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沐川县</w:t>
      </w:r>
      <w:r>
        <w:rPr>
          <w:rFonts w:hint="eastAsia" w:ascii="Times New Roman" w:hAnsi="Times New Roman" w:eastAsia="方正小标宋简体"/>
          <w:sz w:val="44"/>
          <w:szCs w:val="44"/>
        </w:rPr>
        <w:t>市场监督管理局</w:t>
      </w:r>
    </w:p>
    <w:p>
      <w:pPr>
        <w:overflowPunct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2024年政府信息公开工作年度报告</w:t>
      </w:r>
    </w:p>
    <w:p>
      <w:pPr>
        <w:overflowPunct w:val="0"/>
        <w:spacing w:line="600" w:lineRule="exact"/>
        <w:rPr>
          <w:rFonts w:ascii="Times New Roman" w:hAnsi="Times New Roman" w:eastAsia="仿宋_GB2312"/>
          <w:sz w:val="32"/>
          <w:szCs w:val="32"/>
        </w:rPr>
      </w:pPr>
    </w:p>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一、总体情况</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2024年，沐川县</w:t>
      </w:r>
      <w:r>
        <w:rPr>
          <w:rFonts w:hint="eastAsia" w:ascii="Times New Roman" w:hAnsi="Times New Roman" w:eastAsia="仿宋_GB2312"/>
          <w:sz w:val="32"/>
          <w:szCs w:val="32"/>
        </w:rPr>
        <w:t>市场监督管理局</w:t>
      </w:r>
      <w:r>
        <w:rPr>
          <w:rFonts w:ascii="Times New Roman" w:hAnsi="Times New Roman" w:eastAsia="仿宋_GB2312"/>
          <w:sz w:val="32"/>
          <w:szCs w:val="32"/>
        </w:rPr>
        <w:t>认真落实国、省、市、县关于政府信息公开工作的决策部署，深入抓好《中华人民共和国政府信息公开条例》（以下简称“条例”）贯彻实施，政府信息公开各项工作扎实有序开展。</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（一）主动公开情况。</w:t>
      </w:r>
      <w:r>
        <w:rPr>
          <w:rFonts w:ascii="Times New Roman" w:hAnsi="Times New Roman" w:eastAsia="仿宋_GB2312"/>
          <w:sz w:val="32"/>
          <w:szCs w:val="32"/>
        </w:rPr>
        <w:t>2024年，通过政府门户网站公开部门信息</w:t>
      </w:r>
      <w:r>
        <w:rPr>
          <w:rFonts w:hint="eastAsia" w:ascii="Times New Roman" w:hAnsi="Times New Roman" w:eastAsia="仿宋_GB2312"/>
          <w:sz w:val="32"/>
          <w:szCs w:val="32"/>
        </w:rPr>
        <w:t>42</w:t>
      </w:r>
      <w:r>
        <w:rPr>
          <w:rFonts w:ascii="Times New Roman" w:hAnsi="Times New Roman" w:eastAsia="仿宋_GB2312"/>
          <w:sz w:val="32"/>
          <w:szCs w:val="32"/>
        </w:rPr>
        <w:t>条。</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（二）依申请公开情况。</w:t>
      </w:r>
      <w:r>
        <w:rPr>
          <w:rFonts w:ascii="Times New Roman" w:hAnsi="Times New Roman" w:eastAsia="仿宋_GB2312"/>
          <w:sz w:val="32"/>
          <w:szCs w:val="32"/>
        </w:rPr>
        <w:t>推进政府信息依申请公开规范化建设，严格依法依规办理申请，健全登记、审核、办理、答复、归档等工作制度，按照《条例》相关规定办理政府信息公开申请。2024年，未收到政府信息公开申请、未发生因政府信息公开引起行政复议、行政诉讼及举报投</w:t>
      </w:r>
      <w:r>
        <w:rPr>
          <w:rFonts w:ascii="Times New Roman" w:hAnsi="Times New Roman" w:eastAsia="仿宋_GB2312"/>
          <w:color w:val="auto"/>
          <w:sz w:val="32"/>
          <w:szCs w:val="32"/>
        </w:rPr>
        <w:t>诉情况</w:t>
      </w:r>
      <w:r>
        <w:rPr>
          <w:rFonts w:ascii="Times New Roman" w:hAnsi="Times New Roman" w:eastAsia="仿宋_GB2312"/>
          <w:sz w:val="32"/>
          <w:szCs w:val="32"/>
        </w:rPr>
        <w:t>。</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（三）政府信息管理情况。</w:t>
      </w:r>
      <w:r>
        <w:rPr>
          <w:rFonts w:ascii="Times New Roman" w:hAnsi="Times New Roman" w:eastAsia="仿宋_GB2312"/>
          <w:sz w:val="32"/>
          <w:szCs w:val="32"/>
        </w:rPr>
        <w:t>按照“公开为常态、不公开为例外”的原则，严格落实《保密审查制度》，按照“五审”制度和文件公开属性审核发布信息，要求所有公开信息须经信息提供人员、信息提供股室负责人、单位负责人、保密审核人员、分管（主要）领导审核后再发布，确保信息发布的质量和水平。</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（四）政府信息公开平台建设情况。</w:t>
      </w:r>
      <w:r>
        <w:rPr>
          <w:rFonts w:ascii="Times New Roman" w:hAnsi="Times New Roman" w:eastAsia="仿宋_GB2312"/>
          <w:sz w:val="32"/>
          <w:szCs w:val="32"/>
        </w:rPr>
        <w:t>一是规范目录。严格按照县政府要求，将涉及的重点领域信息到相应目录进行公开，确保信息分类科学规范。二是完善行政权力运行目录。进一步厘清单位行政权责，及时调整行政权力事项。</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楷体_GB2312"/>
          <w:sz w:val="32"/>
          <w:szCs w:val="32"/>
        </w:rPr>
        <w:t>（五）监督保障情况。</w:t>
      </w:r>
      <w:r>
        <w:rPr>
          <w:rFonts w:ascii="Times New Roman" w:hAnsi="Times New Roman" w:eastAsia="仿宋_GB2312"/>
          <w:sz w:val="32"/>
          <w:szCs w:val="32"/>
        </w:rPr>
        <w:t>强化政务公开工作管理职责，加大对政务公开工作的推进、指导、协调、监督力度。通过主动公布举报投诉电话、电子邮箱等方式，广泛听取社会各界的意见和要求，切实发挥社会监督作用。2024年公开的政府信息中未涉及国家秘密、商业秘密和个人隐私，没有经权利人同意公开或者行政机关认为不公开可能对公共利益造成重大影响的涉及商业秘密、个人隐私的政府信息。</w:t>
      </w:r>
    </w:p>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二、主动公开政府信息情况</w:t>
      </w:r>
    </w:p>
    <w:p>
      <w:pPr>
        <w:overflowPunct w:val="0"/>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专人负责政府信息公开工作，加强网站账号管理，动态监测网站内容，确保信息安全；严格落实信息公开“三审三校”制度，通过政府网站、政务新媒体等方式多渠道公开政府信息，增强工作透明度。积极做好网站信息发布工作，本年度在政府网站“公告公示”栏目公开信息</w:t>
      </w:r>
      <w:r>
        <w:rPr>
          <w:rFonts w:hint="eastAsia" w:ascii="Times New Roman" w:hAnsi="Times New Roman" w:eastAsia="仿宋_GB2312"/>
          <w:sz w:val="32"/>
          <w:szCs w:val="32"/>
        </w:rPr>
        <w:t>13</w:t>
      </w:r>
      <w:r>
        <w:rPr>
          <w:rFonts w:ascii="Times New Roman" w:hAnsi="Times New Roman" w:eastAsia="仿宋_GB2312"/>
          <w:sz w:val="32"/>
          <w:szCs w:val="32"/>
        </w:rPr>
        <w:t>条，“部门预决算”栏目公开信息</w:t>
      </w:r>
      <w:r>
        <w:rPr>
          <w:rFonts w:hint="eastAsia" w:ascii="Times New Roman" w:hAnsi="Times New Roman" w:eastAsia="仿宋_GB2312"/>
          <w:sz w:val="32"/>
          <w:szCs w:val="32"/>
        </w:rPr>
        <w:t>1</w:t>
      </w:r>
      <w:r>
        <w:rPr>
          <w:rFonts w:ascii="Times New Roman" w:hAnsi="Times New Roman" w:eastAsia="仿宋_GB2312"/>
          <w:sz w:val="32"/>
          <w:szCs w:val="32"/>
        </w:rPr>
        <w:t>条，“教育信息”栏目公开信息</w:t>
      </w:r>
      <w:r>
        <w:rPr>
          <w:rFonts w:hint="eastAsia" w:ascii="Times New Roman" w:hAnsi="Times New Roman" w:eastAsia="仿宋_GB2312"/>
          <w:sz w:val="32"/>
          <w:szCs w:val="32"/>
        </w:rPr>
        <w:t>0</w:t>
      </w:r>
      <w:r>
        <w:rPr>
          <w:rFonts w:ascii="Times New Roman" w:hAnsi="Times New Roman" w:eastAsia="仿宋_GB2312"/>
          <w:sz w:val="32"/>
          <w:szCs w:val="32"/>
        </w:rPr>
        <w:t>余条，完成信息保障任务。及时收办、回复政府网站互动交流栏目信息，处理信息</w:t>
      </w:r>
      <w:r>
        <w:rPr>
          <w:rFonts w:hint="eastAsia" w:ascii="Times New Roman" w:hAnsi="Times New Roman" w:eastAsia="仿宋_GB2312"/>
          <w:sz w:val="32"/>
          <w:szCs w:val="32"/>
        </w:rPr>
        <w:t>0</w:t>
      </w:r>
      <w:r>
        <w:rPr>
          <w:rFonts w:ascii="Times New Roman" w:hAnsi="Times New Roman" w:eastAsia="仿宋_GB2312"/>
          <w:sz w:val="32"/>
          <w:szCs w:val="32"/>
        </w:rPr>
        <w:t>条。加强政务新媒体管理，严格执行备案登记制度，做好信息常态化更新。</w:t>
      </w:r>
    </w:p>
    <w:p>
      <w:pPr>
        <w:overflowPunct w:val="0"/>
        <w:spacing w:line="600" w:lineRule="exact"/>
        <w:rPr>
          <w:rFonts w:ascii="Times New Roman" w:hAnsi="Times New Roman" w:eastAsia="仿宋_GB2312"/>
          <w:sz w:val="32"/>
          <w:szCs w:val="32"/>
        </w:rPr>
      </w:pPr>
    </w:p>
    <w:tbl>
      <w:tblPr>
        <w:tblStyle w:val="3"/>
        <w:tblW w:w="9141" w:type="dxa"/>
        <w:jc w:val="center"/>
        <w:tblLayout w:type="autofit"/>
        <w:tblCellMar>
          <w:top w:w="15" w:type="dxa"/>
          <w:left w:w="15" w:type="dxa"/>
          <w:bottom w:w="15" w:type="dxa"/>
          <w:right w:w="15" w:type="dxa"/>
        </w:tblCellMar>
      </w:tblPr>
      <w:tblGrid>
        <w:gridCol w:w="2471"/>
        <w:gridCol w:w="2148"/>
        <w:gridCol w:w="2238"/>
        <w:gridCol w:w="2284"/>
      </w:tblGrid>
      <w:tr>
        <w:tblPrEx>
          <w:tblCellMar>
            <w:top w:w="15" w:type="dxa"/>
            <w:left w:w="15" w:type="dxa"/>
            <w:bottom w:w="15" w:type="dxa"/>
            <w:right w:w="15" w:type="dxa"/>
          </w:tblCellMar>
        </w:tblPrEx>
        <w:trPr>
          <w:trHeight w:val="600" w:hRule="atLeast"/>
          <w:jc w:val="center"/>
        </w:trPr>
        <w:tc>
          <w:tcPr>
            <w:tcW w:w="9141"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第二十条第（一）项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信息内容</w:t>
            </w:r>
          </w:p>
        </w:tc>
        <w:tc>
          <w:tcPr>
            <w:tcW w:w="2148" w:type="dxa"/>
            <w:tcBorders>
              <w:top w:val="single" w:color="auto" w:sz="8"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本年制发件数</w:t>
            </w:r>
          </w:p>
        </w:tc>
        <w:tc>
          <w:tcPr>
            <w:tcW w:w="2238" w:type="dxa"/>
            <w:tcBorders>
              <w:top w:val="single" w:color="auto" w:sz="8"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本年废止件数</w:t>
            </w:r>
          </w:p>
        </w:tc>
        <w:tc>
          <w:tcPr>
            <w:tcW w:w="2284" w:type="dxa"/>
            <w:tcBorders>
              <w:top w:val="single" w:color="auto" w:sz="8"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现行有效件数</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规章</w:t>
            </w:r>
          </w:p>
        </w:tc>
        <w:tc>
          <w:tcPr>
            <w:tcW w:w="214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hint="eastAsia" w:ascii="Times New Roman" w:hAnsi="Times New Roman" w:eastAsia="仿宋_GB2312"/>
                <w:sz w:val="24"/>
              </w:rPr>
              <w:t>0</w:t>
            </w:r>
          </w:p>
        </w:tc>
        <w:tc>
          <w:tcPr>
            <w:tcW w:w="223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hint="eastAsia" w:ascii="Times New Roman" w:hAnsi="Times New Roman" w:eastAsia="仿宋_GB2312"/>
                <w:sz w:val="24"/>
              </w:rPr>
              <w:t>0</w:t>
            </w:r>
          </w:p>
        </w:tc>
        <w:tc>
          <w:tcPr>
            <w:tcW w:w="2284"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hint="eastAsia" w:ascii="Times New Roman" w:hAnsi="Times New Roman" w:eastAsia="仿宋_GB2312"/>
                <w:sz w:val="24"/>
              </w:rPr>
              <w:t>0</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行政规范性文件</w:t>
            </w:r>
          </w:p>
        </w:tc>
        <w:tc>
          <w:tcPr>
            <w:tcW w:w="214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hint="eastAsia" w:ascii="Times New Roman" w:hAnsi="Times New Roman" w:eastAsia="仿宋_GB2312"/>
                <w:sz w:val="24"/>
              </w:rPr>
              <w:t>0</w:t>
            </w:r>
          </w:p>
        </w:tc>
        <w:tc>
          <w:tcPr>
            <w:tcW w:w="223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hint="eastAsia" w:ascii="Times New Roman" w:hAnsi="Times New Roman" w:eastAsia="仿宋_GB2312"/>
                <w:sz w:val="24"/>
              </w:rPr>
              <w:t>0</w:t>
            </w:r>
          </w:p>
        </w:tc>
        <w:tc>
          <w:tcPr>
            <w:tcW w:w="2284"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hint="eastAsia" w:ascii="Times New Roman" w:hAnsi="Times New Roman" w:eastAsia="仿宋_GB2312"/>
                <w:sz w:val="24"/>
              </w:rPr>
              <w:t>0</w:t>
            </w:r>
          </w:p>
        </w:tc>
      </w:tr>
      <w:tr>
        <w:tblPrEx>
          <w:tblCellMar>
            <w:top w:w="15" w:type="dxa"/>
            <w:left w:w="15" w:type="dxa"/>
            <w:bottom w:w="15" w:type="dxa"/>
            <w:right w:w="15" w:type="dxa"/>
          </w:tblCellMar>
        </w:tblPrEx>
        <w:trPr>
          <w:trHeight w:val="600" w:hRule="atLeast"/>
          <w:jc w:val="center"/>
        </w:trPr>
        <w:tc>
          <w:tcPr>
            <w:tcW w:w="9141" w:type="dxa"/>
            <w:gridSpan w:val="4"/>
            <w:tcBorders>
              <w:top w:val="single" w:color="000000" w:sz="8" w:space="0"/>
              <w:left w:val="single" w:color="000000" w:sz="8" w:space="0"/>
              <w:bottom w:val="single" w:color="auto" w:sz="8" w:space="0"/>
              <w:right w:val="single" w:color="000000" w:sz="8" w:space="0"/>
            </w:tcBorders>
            <w:shd w:val="clear" w:color="auto" w:fill="C6D9F1"/>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第二十条第（五）项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本年处理决定数量</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行政许可</w:t>
            </w:r>
          </w:p>
        </w:tc>
        <w:tc>
          <w:tcPr>
            <w:tcW w:w="6670" w:type="dxa"/>
            <w:gridSpan w:val="3"/>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hint="eastAsia" w:ascii="Times New Roman" w:hAnsi="Times New Roman" w:eastAsia="仿宋_GB2312"/>
                <w:sz w:val="24"/>
              </w:rPr>
              <w:t>0</w:t>
            </w:r>
          </w:p>
        </w:tc>
      </w:tr>
      <w:tr>
        <w:tblPrEx>
          <w:tblCellMar>
            <w:top w:w="15" w:type="dxa"/>
            <w:left w:w="15" w:type="dxa"/>
            <w:bottom w:w="15" w:type="dxa"/>
            <w:right w:w="15" w:type="dxa"/>
          </w:tblCellMar>
        </w:tblPrEx>
        <w:trPr>
          <w:trHeight w:val="600" w:hRule="atLeast"/>
          <w:jc w:val="center"/>
        </w:trPr>
        <w:tc>
          <w:tcPr>
            <w:tcW w:w="9141" w:type="dxa"/>
            <w:gridSpan w:val="4"/>
            <w:tcBorders>
              <w:top w:val="nil"/>
              <w:left w:val="single" w:color="auto" w:sz="8" w:space="0"/>
              <w:bottom w:val="single" w:color="auto" w:sz="8" w:space="0"/>
              <w:right w:val="single" w:color="auto" w:sz="8" w:space="0"/>
            </w:tcBorders>
            <w:shd w:val="clear" w:color="auto" w:fill="C6D9F1"/>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第二十条第（六）项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single" w:color="auto" w:sz="8"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本年处理决定数量</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行政处罚</w:t>
            </w:r>
          </w:p>
        </w:tc>
        <w:tc>
          <w:tcPr>
            <w:tcW w:w="6670" w:type="dxa"/>
            <w:gridSpan w:val="3"/>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hint="eastAsia" w:ascii="Times New Roman" w:hAnsi="Times New Roman" w:eastAsia="仿宋_GB2312"/>
                <w:sz w:val="24"/>
              </w:rPr>
              <w:t>0</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行政强制</w:t>
            </w:r>
          </w:p>
        </w:tc>
        <w:tc>
          <w:tcPr>
            <w:tcW w:w="6670" w:type="dxa"/>
            <w:gridSpan w:val="3"/>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hint="eastAsia" w:ascii="Times New Roman" w:hAnsi="Times New Roman" w:eastAsia="仿宋_GB2312"/>
                <w:sz w:val="24"/>
              </w:rPr>
              <w:t>0</w:t>
            </w:r>
          </w:p>
        </w:tc>
      </w:tr>
      <w:tr>
        <w:tblPrEx>
          <w:tblCellMar>
            <w:top w:w="15" w:type="dxa"/>
            <w:left w:w="15" w:type="dxa"/>
            <w:bottom w:w="15" w:type="dxa"/>
            <w:right w:w="15" w:type="dxa"/>
          </w:tblCellMar>
        </w:tblPrEx>
        <w:trPr>
          <w:trHeight w:val="600" w:hRule="atLeast"/>
          <w:jc w:val="center"/>
        </w:trPr>
        <w:tc>
          <w:tcPr>
            <w:tcW w:w="9141" w:type="dxa"/>
            <w:gridSpan w:val="4"/>
            <w:tcBorders>
              <w:top w:val="nil"/>
              <w:left w:val="single" w:color="auto" w:sz="8" w:space="0"/>
              <w:bottom w:val="single" w:color="auto" w:sz="8" w:space="0"/>
              <w:right w:val="single" w:color="auto" w:sz="8" w:space="0"/>
            </w:tcBorders>
            <w:shd w:val="clear" w:color="auto" w:fill="C6D9F1"/>
            <w:noWrap/>
            <w:tcMar>
              <w:top w:w="0" w:type="dxa"/>
              <w:left w:w="57" w:type="dxa"/>
              <w:bottom w:w="0" w:type="dxa"/>
              <w:right w:w="57" w:type="dxa"/>
            </w:tcMar>
            <w:vAlign w:val="center"/>
          </w:tcPr>
          <w:p>
            <w:pPr>
              <w:overflowPunct w:val="0"/>
              <w:spacing w:line="400" w:lineRule="exact"/>
              <w:jc w:val="center"/>
              <w:rPr>
                <w:rFonts w:ascii="Times New Roman" w:hAnsi="Times New Roman" w:eastAsia="仿宋_GB2312"/>
                <w:sz w:val="24"/>
              </w:rPr>
            </w:pPr>
            <w:r>
              <w:rPr>
                <w:rFonts w:ascii="Times New Roman" w:hAnsi="Times New Roman" w:eastAsia="仿宋_GB2312"/>
                <w:sz w:val="24"/>
              </w:rPr>
              <w:t>第二十条第（八）项</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信息内容</w:t>
            </w:r>
          </w:p>
        </w:tc>
        <w:tc>
          <w:tcPr>
            <w:tcW w:w="6670" w:type="dxa"/>
            <w:gridSpan w:val="3"/>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本年收费金额（单位：万元）</w:t>
            </w:r>
          </w:p>
        </w:tc>
      </w:tr>
      <w:tr>
        <w:tblPrEx>
          <w:tblCellMar>
            <w:top w:w="15" w:type="dxa"/>
            <w:left w:w="15" w:type="dxa"/>
            <w:bottom w:w="15" w:type="dxa"/>
            <w:right w:w="15" w:type="dxa"/>
          </w:tblCellMar>
        </w:tblPrEx>
        <w:trPr>
          <w:trHeight w:val="600" w:hRule="atLeast"/>
          <w:jc w:val="center"/>
        </w:trPr>
        <w:tc>
          <w:tcPr>
            <w:tcW w:w="2471" w:type="dxa"/>
            <w:tcBorders>
              <w:top w:val="nil"/>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行政事业性收费</w:t>
            </w:r>
          </w:p>
        </w:tc>
        <w:tc>
          <w:tcPr>
            <w:tcW w:w="6670" w:type="dxa"/>
            <w:gridSpan w:val="3"/>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color w:val="FF0000"/>
                <w:sz w:val="24"/>
              </w:rPr>
            </w:pPr>
            <w:r>
              <w:rPr>
                <w:rFonts w:ascii="Times New Roman" w:hAnsi="Times New Roman" w:eastAsia="仿宋_GB2312"/>
                <w:b w:val="0"/>
                <w:bCs w:val="0"/>
                <w:color w:val="auto"/>
                <w:sz w:val="24"/>
              </w:rPr>
              <w:t>22</w:t>
            </w:r>
            <w:r>
              <w:rPr>
                <w:rFonts w:hint="eastAsia" w:ascii="Times New Roman" w:hAnsi="Times New Roman" w:eastAsia="仿宋_GB2312"/>
                <w:b w:val="0"/>
                <w:bCs w:val="0"/>
                <w:color w:val="auto"/>
                <w:sz w:val="24"/>
              </w:rPr>
              <w:t>.</w:t>
            </w:r>
            <w:r>
              <w:rPr>
                <w:rFonts w:ascii="Times New Roman" w:hAnsi="Times New Roman" w:eastAsia="仿宋_GB2312"/>
                <w:b w:val="0"/>
                <w:bCs w:val="0"/>
                <w:color w:val="auto"/>
                <w:sz w:val="24"/>
              </w:rPr>
              <w:t>746045</w:t>
            </w:r>
          </w:p>
        </w:tc>
      </w:tr>
    </w:tbl>
    <w:p>
      <w:pPr>
        <w:overflowPunct w:val="0"/>
        <w:spacing w:line="600" w:lineRule="exact"/>
        <w:rPr>
          <w:rFonts w:ascii="Times New Roman" w:hAnsi="Times New Roman" w:eastAsia="黑体"/>
          <w:sz w:val="32"/>
          <w:szCs w:val="32"/>
        </w:rPr>
      </w:pPr>
      <w:r>
        <w:rPr>
          <w:rFonts w:ascii="Times New Roman" w:hAnsi="Times New Roman" w:eastAsia="黑体"/>
          <w:sz w:val="32"/>
          <w:szCs w:val="32"/>
        </w:rPr>
        <w:t>三、收到和处理政府信息公开申请情况</w:t>
      </w:r>
    </w:p>
    <w:tbl>
      <w:tblPr>
        <w:tblStyle w:val="3"/>
        <w:tblW w:w="90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19"/>
        <w:gridCol w:w="994"/>
        <w:gridCol w:w="3234"/>
        <w:gridCol w:w="582"/>
        <w:gridCol w:w="629"/>
        <w:gridCol w:w="586"/>
        <w:gridCol w:w="578"/>
        <w:gridCol w:w="578"/>
        <w:gridCol w:w="579"/>
        <w:gridCol w:w="59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47" w:type="dxa"/>
            <w:gridSpan w:val="3"/>
            <w:vMerge w:val="restart"/>
            <w:tcBorders>
              <w:top w:val="single" w:color="auto" w:sz="8" w:space="0"/>
              <w:left w:val="single" w:color="auto" w:sz="8" w:space="0"/>
              <w:bottom w:val="outset" w:color="auto" w:sz="8" w:space="0"/>
              <w:right w:val="single" w:color="auto" w:sz="8" w:space="0"/>
            </w:tcBorders>
            <w:noWrap/>
            <w:tcMar>
              <w:top w:w="0" w:type="dxa"/>
              <w:left w:w="108" w:type="dxa"/>
              <w:bottom w:w="0" w:type="dxa"/>
              <w:right w:w="108"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（本列数据的勾稽关系为：第一项加第二项之和，等于第三项加第四项之和）</w:t>
            </w:r>
          </w:p>
        </w:tc>
        <w:tc>
          <w:tcPr>
            <w:tcW w:w="4130" w:type="dxa"/>
            <w:gridSpan w:val="7"/>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center"/>
              <w:rPr>
                <w:rFonts w:ascii="Times New Roman" w:hAnsi="Times New Roman" w:eastAsia="仿宋_GB2312"/>
                <w:sz w:val="24"/>
              </w:rPr>
            </w:pPr>
            <w:r>
              <w:rPr>
                <w:rFonts w:ascii="Times New Roman" w:hAnsi="Times New Roman" w:eastAsia="仿宋_GB2312"/>
                <w:sz w:val="24"/>
              </w:rPr>
              <w:t>申请人情况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47" w:type="dxa"/>
            <w:gridSpan w:val="3"/>
            <w:vMerge w:val="continue"/>
            <w:tcBorders>
              <w:top w:val="single" w:color="auto" w:sz="8" w:space="0"/>
              <w:left w:val="single" w:color="auto" w:sz="8" w:space="0"/>
              <w:bottom w:val="outset" w:color="auto" w:sz="8" w:space="0"/>
              <w:right w:val="single" w:color="auto" w:sz="8" w:space="0"/>
            </w:tcBorders>
            <w:noWrap/>
            <w:vAlign w:val="center"/>
          </w:tcPr>
          <w:p>
            <w:pPr>
              <w:overflowPunct w:val="0"/>
              <w:spacing w:line="500" w:lineRule="exact"/>
              <w:rPr>
                <w:rFonts w:ascii="Times New Roman" w:hAnsi="Times New Roman" w:eastAsia="仿宋_GB2312"/>
                <w:sz w:val="24"/>
              </w:rPr>
            </w:pPr>
          </w:p>
        </w:tc>
        <w:tc>
          <w:tcPr>
            <w:tcW w:w="582" w:type="dxa"/>
            <w:vMerge w:val="restart"/>
            <w:tcBorders>
              <w:top w:val="single" w:color="auto" w:sz="8" w:space="0"/>
              <w:left w:val="single" w:color="auto" w:sz="8" w:space="0"/>
              <w:bottom w:val="single" w:color="auto" w:sz="8" w:space="0"/>
              <w:right w:val="single" w:color="auto" w:sz="8" w:space="0"/>
            </w:tcBorders>
            <w:noWrap/>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自然人</w:t>
            </w:r>
          </w:p>
        </w:tc>
        <w:tc>
          <w:tcPr>
            <w:tcW w:w="2950" w:type="dxa"/>
            <w:gridSpan w:val="5"/>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法人或其他组织</w:t>
            </w:r>
          </w:p>
        </w:tc>
        <w:tc>
          <w:tcPr>
            <w:tcW w:w="598" w:type="dxa"/>
            <w:vMerge w:val="restart"/>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9" w:hRule="atLeast"/>
        </w:trPr>
        <w:tc>
          <w:tcPr>
            <w:tcW w:w="4947" w:type="dxa"/>
            <w:gridSpan w:val="3"/>
            <w:vMerge w:val="continue"/>
            <w:tcBorders>
              <w:top w:val="single" w:color="auto" w:sz="8" w:space="0"/>
              <w:left w:val="single" w:color="auto" w:sz="8" w:space="0"/>
              <w:bottom w:val="outset" w:color="auto" w:sz="8" w:space="0"/>
              <w:right w:val="single" w:color="auto" w:sz="8" w:space="0"/>
            </w:tcBorders>
            <w:noWrap/>
            <w:vAlign w:val="center"/>
          </w:tcPr>
          <w:p>
            <w:pPr>
              <w:overflowPunct w:val="0"/>
              <w:spacing w:line="500" w:lineRule="exact"/>
              <w:rPr>
                <w:rFonts w:ascii="Times New Roman" w:hAnsi="Times New Roman" w:eastAsia="仿宋_GB2312"/>
                <w:sz w:val="24"/>
              </w:rPr>
            </w:pPr>
          </w:p>
        </w:tc>
        <w:tc>
          <w:tcPr>
            <w:tcW w:w="582" w:type="dxa"/>
            <w:vMerge w:val="continue"/>
            <w:tcBorders>
              <w:top w:val="single" w:color="auto" w:sz="8" w:space="0"/>
              <w:left w:val="single" w:color="auto" w:sz="8" w:space="0"/>
              <w:bottom w:val="single" w:color="auto" w:sz="8" w:space="0"/>
              <w:right w:val="single" w:color="auto" w:sz="8" w:space="0"/>
            </w:tcBorders>
            <w:noWrap/>
            <w:vAlign w:val="center"/>
          </w:tcPr>
          <w:p>
            <w:pPr>
              <w:overflowPunct w:val="0"/>
              <w:spacing w:line="500" w:lineRule="exact"/>
              <w:ind w:left="-42" w:leftChars="-20" w:right="-42" w:rightChars="-20"/>
              <w:jc w:val="center"/>
              <w:rPr>
                <w:rFonts w:ascii="Times New Roman" w:hAnsi="Times New Roman" w:eastAsia="仿宋_GB2312"/>
                <w:szCs w:val="21"/>
              </w:rPr>
            </w:pPr>
          </w:p>
        </w:tc>
        <w:tc>
          <w:tcPr>
            <w:tcW w:w="629" w:type="dxa"/>
            <w:tcBorders>
              <w:top w:val="single" w:color="auto" w:sz="8" w:space="0"/>
              <w:left w:val="single" w:color="auto" w:sz="8" w:space="0"/>
              <w:bottom w:val="single" w:color="auto" w:sz="8" w:space="0"/>
              <w:right w:val="single" w:color="auto" w:sz="8" w:space="0"/>
            </w:tcBorders>
            <w:noWrap/>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商业</w:t>
            </w:r>
          </w:p>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企业</w:t>
            </w:r>
          </w:p>
        </w:tc>
        <w:tc>
          <w:tcPr>
            <w:tcW w:w="586"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科研</w:t>
            </w:r>
          </w:p>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机构</w:t>
            </w:r>
          </w:p>
        </w:tc>
        <w:tc>
          <w:tcPr>
            <w:tcW w:w="578"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社会公益组织</w:t>
            </w:r>
          </w:p>
        </w:tc>
        <w:tc>
          <w:tcPr>
            <w:tcW w:w="578"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法律服务机构</w:t>
            </w:r>
          </w:p>
        </w:tc>
        <w:tc>
          <w:tcPr>
            <w:tcW w:w="579"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其他</w:t>
            </w:r>
          </w:p>
        </w:tc>
        <w:tc>
          <w:tcPr>
            <w:tcW w:w="598"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center"/>
              <w:rPr>
                <w:rFonts w:ascii="Times New Roman" w:hAnsi="Times New Roman" w:eastAsia="仿宋_GB2312"/>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47" w:type="dxa"/>
            <w:gridSpan w:val="3"/>
            <w:tcBorders>
              <w:top w:val="nil"/>
              <w:left w:val="single" w:color="auto" w:sz="8" w:space="0"/>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一、本年新收政府信息公开申请数量</w:t>
            </w:r>
          </w:p>
        </w:tc>
        <w:tc>
          <w:tcPr>
            <w:tcW w:w="582"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47" w:type="dxa"/>
            <w:gridSpan w:val="3"/>
            <w:tcBorders>
              <w:top w:val="single" w:color="auto" w:sz="4"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二、上年结转政府信息公开申请数量</w:t>
            </w:r>
          </w:p>
        </w:tc>
        <w:tc>
          <w:tcPr>
            <w:tcW w:w="582"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4" w:space="0"/>
              <w:left w:val="nil"/>
              <w:bottom w:val="single" w:color="auto" w:sz="8" w:space="0"/>
              <w:right w:val="single" w:color="auto" w:sz="8" w:space="0"/>
            </w:tcBorders>
            <w:noWrap/>
            <w:tcMar>
              <w:top w:w="0" w:type="dxa"/>
              <w:left w:w="57" w:type="dxa"/>
              <w:bottom w:w="0" w:type="dxa"/>
              <w:right w:w="57" w:type="dxa"/>
            </w:tcMar>
          </w:tcPr>
          <w:p>
            <w:pPr>
              <w:overflowPunct w:val="0"/>
              <w:spacing w:line="5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restart"/>
            <w:tcBorders>
              <w:top w:val="single" w:color="auto" w:sz="8" w:space="0"/>
              <w:left w:val="single" w:color="auto" w:sz="8" w:space="0"/>
              <w:right w:val="single" w:color="auto" w:sz="8" w:space="0"/>
            </w:tcBorders>
            <w:noWrap/>
            <w:tcMar>
              <w:top w:w="0" w:type="dxa"/>
              <w:left w:w="57" w:type="dxa"/>
              <w:bottom w:w="0" w:type="dxa"/>
              <w:right w:w="57" w:type="dxa"/>
            </w:tcMar>
            <w:vAlign w:val="center"/>
          </w:tcPr>
          <w:p>
            <w:pPr>
              <w:overflowPunct w:val="0"/>
              <w:spacing w:line="460" w:lineRule="exact"/>
              <w:rPr>
                <w:rFonts w:ascii="Times New Roman" w:hAnsi="Times New Roman" w:eastAsia="仿宋_GB2312"/>
                <w:sz w:val="24"/>
              </w:rPr>
            </w:pPr>
            <w:r>
              <w:rPr>
                <w:rFonts w:ascii="Times New Roman" w:hAnsi="Times New Roman" w:eastAsia="仿宋_GB2312"/>
                <w:sz w:val="24"/>
              </w:rPr>
              <w:t>三、本年度办理结果</w:t>
            </w:r>
          </w:p>
        </w:tc>
        <w:tc>
          <w:tcPr>
            <w:tcW w:w="4228" w:type="dxa"/>
            <w:gridSpan w:val="2"/>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rPr>
                <w:rFonts w:ascii="Times New Roman" w:hAnsi="Times New Roman" w:eastAsia="仿宋_GB2312"/>
                <w:sz w:val="24"/>
              </w:rPr>
            </w:pPr>
            <w:r>
              <w:rPr>
                <w:rFonts w:ascii="Times New Roman" w:hAnsi="Times New Roman" w:eastAsia="仿宋_GB2312"/>
                <w:sz w:val="24"/>
              </w:rPr>
              <w:t>（一）予以公开</w:t>
            </w:r>
          </w:p>
        </w:tc>
        <w:tc>
          <w:tcPr>
            <w:tcW w:w="582"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2</w:t>
            </w:r>
          </w:p>
        </w:tc>
        <w:tc>
          <w:tcPr>
            <w:tcW w:w="629"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21" w:hRule="exact"/>
        </w:trPr>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4228" w:type="dxa"/>
            <w:gridSpan w:val="2"/>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（二）部分公开（区分处理的，只计这一情形，不计其他情形）</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restart"/>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（三）不予公开</w:t>
            </w: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1.属于国家秘密</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pacing w:val="2"/>
                <w:kern w:val="0"/>
                <w:sz w:val="24"/>
                <w:fitText w:val="3120" w:id="1527601078"/>
              </w:rPr>
              <w:t>2.其他法律行政法规禁止公</w:t>
            </w:r>
            <w:r>
              <w:rPr>
                <w:rFonts w:ascii="Times New Roman" w:hAnsi="Times New Roman" w:eastAsia="仿宋_GB2312"/>
                <w:spacing w:val="6"/>
                <w:kern w:val="0"/>
                <w:sz w:val="24"/>
                <w:fitText w:val="3120" w:id="1527601078"/>
              </w:rPr>
              <w:t>开</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3.危及“三安全一稳定”</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4.保护第三方合法权益</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5.属于三类内部事务信息</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6.属于四类过程性信息</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7.属于行政执法案卷</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8.属于行政查询事项</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restart"/>
            <w:tcBorders>
              <w:top w:val="single" w:color="000000"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（四）无法提供</w:t>
            </w:r>
          </w:p>
        </w:tc>
        <w:tc>
          <w:tcPr>
            <w:tcW w:w="3234" w:type="dxa"/>
            <w:tcBorders>
              <w:top w:val="single" w:color="000000"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00" w:lineRule="exact"/>
              <w:rPr>
                <w:rFonts w:ascii="Times New Roman" w:hAnsi="Times New Roman" w:eastAsia="仿宋_GB2312"/>
                <w:sz w:val="24"/>
              </w:rPr>
            </w:pPr>
            <w:r>
              <w:rPr>
                <w:rFonts w:ascii="Times New Roman" w:hAnsi="Times New Roman" w:eastAsia="仿宋_GB2312"/>
                <w:sz w:val="24"/>
              </w:rPr>
              <w:t>1.本机关不掌握相关政府信息</w:t>
            </w:r>
          </w:p>
        </w:tc>
        <w:tc>
          <w:tcPr>
            <w:tcW w:w="582"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4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8" w:space="0"/>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000000"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00" w:lineRule="exact"/>
              <w:rPr>
                <w:rFonts w:ascii="Times New Roman" w:hAnsi="Times New Roman" w:eastAsia="仿宋_GB2312"/>
                <w:sz w:val="24"/>
              </w:rPr>
            </w:pPr>
            <w:r>
              <w:rPr>
                <w:rFonts w:ascii="Times New Roman" w:hAnsi="Times New Roman" w:eastAsia="仿宋_GB2312"/>
                <w:sz w:val="24"/>
              </w:rPr>
              <w:t>2.没有现成信息需要另行制作</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000000"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00" w:lineRule="exact"/>
              <w:rPr>
                <w:rFonts w:ascii="Times New Roman" w:hAnsi="Times New Roman" w:eastAsia="仿宋_GB2312"/>
                <w:sz w:val="24"/>
              </w:rPr>
            </w:pPr>
            <w:r>
              <w:rPr>
                <w:rFonts w:ascii="Times New Roman" w:hAnsi="Times New Roman" w:eastAsia="仿宋_GB2312"/>
                <w:sz w:val="24"/>
              </w:rPr>
              <w:t>3.补正后申请内容仍不明确</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restart"/>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（五）不予处理</w:t>
            </w: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1.信访举报投诉类申请</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2.重复申请</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3.要求提供公开出版物</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tcPr>
          <w:p>
            <w:pPr>
              <w:overflowPunct w:val="0"/>
              <w:spacing w:line="460" w:lineRule="exact"/>
              <w:rPr>
                <w:rFonts w:ascii="Times New Roman" w:hAnsi="Times New Roman" w:eastAsia="仿宋_GB2312"/>
                <w:sz w:val="24"/>
              </w:rPr>
            </w:pPr>
            <w:r>
              <w:rPr>
                <w:rFonts w:ascii="Times New Roman" w:hAnsi="Times New Roman" w:eastAsia="仿宋_GB2312"/>
                <w:sz w:val="24"/>
              </w:rPr>
              <w:t>4.无正当理由大量反复申请</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46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83" w:hRule="atLeast"/>
        </w:trPr>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5.要求行政机关确认或重新出具已获取信息</w:t>
            </w:r>
          </w:p>
        </w:tc>
        <w:tc>
          <w:tcPr>
            <w:tcW w:w="582"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tcPr>
          <w:p>
            <w:pPr>
              <w:overflowPunct w:val="0"/>
              <w:spacing w:line="4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single" w:color="auto" w:sz="8" w:space="0"/>
              <w:left w:val="single" w:color="auto" w:sz="8" w:space="0"/>
              <w:bottom w:val="outset" w:color="auto" w:sz="8" w:space="0"/>
              <w:right w:val="single" w:color="auto"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8" w:space="0"/>
              <w:left w:val="single" w:color="auto" w:sz="8" w:space="0"/>
              <w:bottom w:val="outset" w:color="auto" w:sz="8" w:space="0"/>
              <w:right w:val="single" w:color="000000" w:sz="8" w:space="0"/>
            </w:tcBorders>
            <w:noWrap/>
            <w:tcMar>
              <w:top w:w="0" w:type="dxa"/>
              <w:left w:w="57" w:type="dxa"/>
              <w:bottom w:w="0" w:type="dxa"/>
              <w:right w:w="57" w:type="dxa"/>
            </w:tcMa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3" w:hRule="atLeast"/>
        </w:trPr>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restart"/>
            <w:tcBorders>
              <w:top w:val="single" w:color="auto" w:sz="0"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（六）其他处理</w:t>
            </w: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1.申请人无正当理由逾期不补正、行政机关不再处理其政府信息公开申请</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auto"/>
              <w:ind w:left="-42" w:leftChars="-20" w:right="-42" w:rightChars="-20"/>
              <w:jc w:val="left"/>
              <w:rPr>
                <w:rFonts w:ascii="Times New Roman" w:hAnsi="Times New Roman" w:eastAsia="仿宋_GB2312"/>
                <w:sz w:val="24"/>
              </w:rPr>
            </w:pPr>
          </w:p>
          <w:p>
            <w:pPr>
              <w:overflowPunct w:val="0"/>
              <w:spacing w:line="300" w:lineRule="auto"/>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0"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r>
              <w:rPr>
                <w:rFonts w:ascii="Times New Roman" w:hAnsi="Times New Roman" w:eastAsia="仿宋_GB2312"/>
                <w:sz w:val="24"/>
              </w:rPr>
              <w:t>2.申请人逾期未按收费通知要求缴纳费用、行政机关不再处理其政府信息公开申请</w:t>
            </w:r>
          </w:p>
        </w:tc>
        <w:tc>
          <w:tcPr>
            <w:tcW w:w="582"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4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3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8" w:space="0"/>
              <w:right w:val="single" w:color="auto" w:sz="8" w:space="0"/>
            </w:tcBorders>
            <w:noWrap/>
            <w:tcMar>
              <w:top w:w="0" w:type="dxa"/>
              <w:left w:w="57" w:type="dxa"/>
              <w:bottom w:w="0" w:type="dxa"/>
              <w:right w:w="57" w:type="dxa"/>
            </w:tcMar>
          </w:tcPr>
          <w:p>
            <w:pPr>
              <w:overflowPunct w:val="0"/>
              <w:spacing w:line="300" w:lineRule="auto"/>
              <w:ind w:right="-42" w:rightChars="-20"/>
              <w:jc w:val="left"/>
              <w:rPr>
                <w:rFonts w:ascii="Times New Roman" w:hAnsi="Times New Roman" w:eastAsia="仿宋_GB2312"/>
                <w:sz w:val="24"/>
              </w:rPr>
            </w:pPr>
          </w:p>
          <w:p>
            <w:pPr>
              <w:overflowPunct w:val="0"/>
              <w:spacing w:line="300" w:lineRule="auto"/>
              <w:ind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994" w:type="dxa"/>
            <w:vMerge w:val="continue"/>
            <w:tcBorders>
              <w:top w:val="single" w:color="auto" w:sz="0" w:space="0"/>
              <w:left w:val="single" w:color="auto" w:sz="8" w:space="0"/>
              <w:bottom w:val="outset" w:color="auto" w:sz="8"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3234" w:type="dxa"/>
            <w:tcBorders>
              <w:top w:val="single" w:color="auto" w:sz="8"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3.其他</w:t>
            </w:r>
          </w:p>
        </w:tc>
        <w:tc>
          <w:tcPr>
            <w:tcW w:w="582"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nil"/>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719" w:type="dxa"/>
            <w:vMerge w:val="continue"/>
            <w:tcBorders>
              <w:left w:val="single" w:color="auto" w:sz="8" w:space="0"/>
              <w:bottom w:val="single" w:color="auto" w:sz="4" w:space="0"/>
              <w:right w:val="single" w:color="auto" w:sz="8" w:space="0"/>
            </w:tcBorders>
            <w:noWrap/>
            <w:tcMar>
              <w:top w:w="0" w:type="dxa"/>
              <w:left w:w="57" w:type="dxa"/>
              <w:bottom w:w="0" w:type="dxa"/>
              <w:right w:w="57" w:type="dxa"/>
            </w:tcMar>
            <w:vAlign w:val="center"/>
          </w:tcPr>
          <w:p>
            <w:pPr>
              <w:overflowPunct w:val="0"/>
              <w:spacing w:line="400" w:lineRule="exact"/>
              <w:rPr>
                <w:rFonts w:ascii="Times New Roman" w:hAnsi="Times New Roman" w:eastAsia="仿宋_GB2312"/>
                <w:sz w:val="24"/>
              </w:rPr>
            </w:pPr>
          </w:p>
        </w:tc>
        <w:tc>
          <w:tcPr>
            <w:tcW w:w="4228" w:type="dxa"/>
            <w:gridSpan w:val="2"/>
            <w:tcBorders>
              <w:top w:val="single" w:color="auto" w:sz="8" w:space="0"/>
              <w:left w:val="single" w:color="auto" w:sz="8" w:space="0"/>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（七）总计</w:t>
            </w:r>
          </w:p>
        </w:tc>
        <w:tc>
          <w:tcPr>
            <w:tcW w:w="582"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4" w:space="0"/>
              <w:left w:val="nil"/>
              <w:bottom w:val="single" w:color="auto" w:sz="4"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4947" w:type="dxa"/>
            <w:gridSpan w:val="3"/>
            <w:tcBorders>
              <w:top w:val="single" w:color="auto" w:sz="4" w:space="0"/>
              <w:left w:val="single" w:color="auto" w:sz="8" w:space="0"/>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rPr>
                <w:rFonts w:ascii="Times New Roman" w:hAnsi="Times New Roman" w:eastAsia="仿宋_GB2312"/>
                <w:sz w:val="24"/>
              </w:rPr>
            </w:pPr>
            <w:r>
              <w:rPr>
                <w:rFonts w:ascii="Times New Roman" w:hAnsi="Times New Roman" w:eastAsia="仿宋_GB2312"/>
                <w:sz w:val="24"/>
              </w:rPr>
              <w:t>四、结转下年度继续办理</w:t>
            </w:r>
          </w:p>
        </w:tc>
        <w:tc>
          <w:tcPr>
            <w:tcW w:w="582"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629"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86"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8"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79"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c>
          <w:tcPr>
            <w:tcW w:w="598" w:type="dxa"/>
            <w:tcBorders>
              <w:top w:val="single" w:color="auto" w:sz="4" w:space="0"/>
              <w:left w:val="nil"/>
              <w:bottom w:val="single" w:color="auto" w:sz="8" w:space="0"/>
              <w:right w:val="single" w:color="auto" w:sz="8" w:space="0"/>
            </w:tcBorders>
            <w:noWrap/>
            <w:tcMar>
              <w:top w:w="0" w:type="dxa"/>
              <w:left w:w="57" w:type="dxa"/>
              <w:bottom w:w="0" w:type="dxa"/>
              <w:right w:w="57" w:type="dxa"/>
            </w:tcMar>
            <w:vAlign w:val="center"/>
          </w:tcPr>
          <w:p>
            <w:pPr>
              <w:overflowPunct w:val="0"/>
              <w:spacing w:line="500" w:lineRule="exact"/>
              <w:ind w:left="-42" w:leftChars="-20" w:right="-42" w:rightChars="-20"/>
              <w:jc w:val="left"/>
              <w:rPr>
                <w:rFonts w:ascii="Times New Roman" w:hAnsi="Times New Roman" w:eastAsia="仿宋_GB2312"/>
                <w:sz w:val="24"/>
              </w:rPr>
            </w:pPr>
            <w:r>
              <w:rPr>
                <w:rFonts w:hint="eastAsia" w:ascii="Times New Roman" w:hAnsi="Times New Roman" w:eastAsia="仿宋_GB2312"/>
                <w:sz w:val="24"/>
              </w:rPr>
              <w:t>0</w:t>
            </w:r>
          </w:p>
        </w:tc>
      </w:tr>
    </w:tbl>
    <w:p>
      <w:pPr>
        <w:overflowPunct w:val="0"/>
        <w:spacing w:line="600" w:lineRule="exact"/>
        <w:ind w:firstLine="640" w:firstLineChars="200"/>
        <w:rPr>
          <w:rFonts w:ascii="Times New Roman" w:hAnsi="Times New Roman" w:eastAsia="黑体"/>
          <w:sz w:val="32"/>
          <w:szCs w:val="32"/>
        </w:rPr>
      </w:pPr>
    </w:p>
    <w:p>
      <w:pPr>
        <w:overflowPunct w:val="0"/>
        <w:spacing w:line="600" w:lineRule="exact"/>
        <w:ind w:firstLine="640" w:firstLineChars="200"/>
        <w:rPr>
          <w:rFonts w:ascii="Times New Roman" w:hAnsi="Times New Roman" w:eastAsia="黑体"/>
          <w:sz w:val="32"/>
          <w:szCs w:val="32"/>
        </w:rPr>
      </w:pPr>
    </w:p>
    <w:p>
      <w:pPr>
        <w:overflowPunct w:val="0"/>
        <w:spacing w:line="600" w:lineRule="exact"/>
        <w:ind w:firstLine="640" w:firstLineChars="200"/>
        <w:rPr>
          <w:rFonts w:ascii="Times New Roman" w:hAnsi="Times New Roman" w:eastAsia="黑体"/>
          <w:sz w:val="32"/>
          <w:szCs w:val="32"/>
        </w:rPr>
      </w:pPr>
    </w:p>
    <w:p>
      <w:pPr>
        <w:overflowPunct w:val="0"/>
        <w:spacing w:line="600" w:lineRule="exact"/>
        <w:ind w:firstLine="640" w:firstLineChars="200"/>
        <w:rPr>
          <w:rFonts w:ascii="Times New Roman" w:hAnsi="Times New Roman" w:eastAsia="黑体"/>
          <w:sz w:val="32"/>
          <w:szCs w:val="32"/>
        </w:rPr>
      </w:pPr>
    </w:p>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四、政府信息公开行政复议、行政诉讼情况</w:t>
      </w:r>
    </w:p>
    <w:tbl>
      <w:tblPr>
        <w:tblStyle w:val="3"/>
        <w:tblW w:w="9244"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16"/>
        <w:gridCol w:w="617"/>
        <w:gridCol w:w="616"/>
        <w:gridCol w:w="617"/>
        <w:gridCol w:w="617"/>
        <w:gridCol w:w="613"/>
        <w:gridCol w:w="613"/>
        <w:gridCol w:w="614"/>
        <w:gridCol w:w="613"/>
        <w:gridCol w:w="614"/>
        <w:gridCol w:w="618"/>
        <w:gridCol w:w="619"/>
        <w:gridCol w:w="619"/>
        <w:gridCol w:w="619"/>
        <w:gridCol w:w="6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083" w:type="dxa"/>
            <w:gridSpan w:val="5"/>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jc w:val="center"/>
              <w:rPr>
                <w:rFonts w:ascii="Times New Roman" w:hAnsi="Times New Roman" w:eastAsia="仿宋_GB2312"/>
                <w:sz w:val="24"/>
              </w:rPr>
            </w:pPr>
            <w:r>
              <w:rPr>
                <w:rFonts w:ascii="Times New Roman" w:hAnsi="Times New Roman" w:eastAsia="仿宋_GB2312"/>
                <w:sz w:val="24"/>
              </w:rPr>
              <w:t>行政复议</w:t>
            </w:r>
          </w:p>
        </w:tc>
        <w:tc>
          <w:tcPr>
            <w:tcW w:w="6161" w:type="dxa"/>
            <w:gridSpan w:val="10"/>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jc w:val="center"/>
              <w:rPr>
                <w:rFonts w:ascii="Times New Roman" w:hAnsi="Times New Roman" w:eastAsia="仿宋_GB2312"/>
                <w:sz w:val="24"/>
              </w:rPr>
            </w:pPr>
            <w:r>
              <w:rPr>
                <w:rFonts w:ascii="Times New Roman" w:hAnsi="Times New Roman" w:eastAsia="仿宋_GB2312"/>
                <w:sz w:val="24"/>
              </w:rPr>
              <w:t>行政诉讼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维持</w:t>
            </w:r>
          </w:p>
        </w:tc>
        <w:tc>
          <w:tcPr>
            <w:tcW w:w="617" w:type="dxa"/>
            <w:vMerge w:val="restart"/>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纠正</w:t>
            </w:r>
          </w:p>
        </w:tc>
        <w:tc>
          <w:tcPr>
            <w:tcW w:w="616"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其他</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tc>
        <w:tc>
          <w:tcPr>
            <w:tcW w:w="617"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尚未</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审结</w:t>
            </w:r>
          </w:p>
        </w:tc>
        <w:tc>
          <w:tcPr>
            <w:tcW w:w="617" w:type="dxa"/>
            <w:vMerge w:val="restart"/>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总计</w:t>
            </w:r>
          </w:p>
        </w:tc>
        <w:tc>
          <w:tcPr>
            <w:tcW w:w="3067" w:type="dxa"/>
            <w:gridSpan w:val="5"/>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未经复议直接起诉</w:t>
            </w:r>
          </w:p>
        </w:tc>
        <w:tc>
          <w:tcPr>
            <w:tcW w:w="3094" w:type="dxa"/>
            <w:gridSpan w:val="5"/>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jc w:val="center"/>
              <w:rPr>
                <w:rFonts w:ascii="Times New Roman" w:hAnsi="Times New Roman" w:eastAsia="仿宋_GB2312"/>
                <w:szCs w:val="21"/>
              </w:rPr>
            </w:pPr>
            <w:r>
              <w:rPr>
                <w:rFonts w:ascii="Times New Roman" w:hAnsi="Times New Roman" w:eastAsia="仿宋_GB2312"/>
                <w:szCs w:val="21"/>
              </w:rPr>
              <w:t>复议后起诉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p>
        </w:tc>
        <w:tc>
          <w:tcPr>
            <w:tcW w:w="617" w:type="dxa"/>
            <w:vMerge w:val="continue"/>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p>
        </w:tc>
        <w:tc>
          <w:tcPr>
            <w:tcW w:w="616" w:type="dxa"/>
            <w:vMerge w:val="continue"/>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p>
        </w:tc>
        <w:tc>
          <w:tcPr>
            <w:tcW w:w="617" w:type="dxa"/>
            <w:vMerge w:val="continue"/>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p>
        </w:tc>
        <w:tc>
          <w:tcPr>
            <w:tcW w:w="617" w:type="dxa"/>
            <w:vMerge w:val="continue"/>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p>
        </w:tc>
        <w:tc>
          <w:tcPr>
            <w:tcW w:w="6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维持</w:t>
            </w:r>
          </w:p>
        </w:tc>
        <w:tc>
          <w:tcPr>
            <w:tcW w:w="6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纠正</w:t>
            </w:r>
          </w:p>
        </w:tc>
        <w:tc>
          <w:tcPr>
            <w:tcW w:w="61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其他</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tc>
        <w:tc>
          <w:tcPr>
            <w:tcW w:w="613"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尚未</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审结</w:t>
            </w:r>
          </w:p>
        </w:tc>
        <w:tc>
          <w:tcPr>
            <w:tcW w:w="614"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总计</w:t>
            </w:r>
          </w:p>
        </w:tc>
        <w:tc>
          <w:tcPr>
            <w:tcW w:w="6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维持</w:t>
            </w:r>
          </w:p>
        </w:tc>
        <w:tc>
          <w:tcPr>
            <w:tcW w:w="61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纠正</w:t>
            </w:r>
          </w:p>
        </w:tc>
        <w:tc>
          <w:tcPr>
            <w:tcW w:w="61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其他</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结果</w:t>
            </w:r>
          </w:p>
        </w:tc>
        <w:tc>
          <w:tcPr>
            <w:tcW w:w="61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尚未</w:t>
            </w:r>
          </w:p>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审结</w:t>
            </w:r>
          </w:p>
        </w:tc>
        <w:tc>
          <w:tcPr>
            <w:tcW w:w="61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ind w:left="-42" w:leftChars="-20" w:right="-42" w:rightChars="-20"/>
              <w:rPr>
                <w:rFonts w:ascii="Times New Roman" w:hAnsi="Times New Roman" w:eastAsia="仿宋_GB2312"/>
                <w:szCs w:val="21"/>
              </w:rPr>
            </w:pPr>
            <w:r>
              <w:rPr>
                <w:rFonts w:ascii="Times New Roman" w:hAnsi="Times New Roman" w:eastAsia="仿宋_GB2312"/>
                <w:szCs w:val="21"/>
              </w:rPr>
              <w:t>总计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16"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3</w:t>
            </w:r>
          </w:p>
        </w:tc>
        <w:tc>
          <w:tcPr>
            <w:tcW w:w="6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3</w:t>
            </w:r>
          </w:p>
        </w:tc>
        <w:tc>
          <w:tcPr>
            <w:tcW w:w="616"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Cs w:val="21"/>
              </w:rPr>
              <w:t>6</w:t>
            </w:r>
          </w:p>
        </w:tc>
        <w:tc>
          <w:tcPr>
            <w:tcW w:w="6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7</w:t>
            </w:r>
          </w:p>
        </w:tc>
        <w:tc>
          <w:tcPr>
            <w:tcW w:w="617"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Cs w:val="21"/>
              </w:rPr>
              <w:t>19</w:t>
            </w:r>
          </w:p>
        </w:tc>
        <w:tc>
          <w:tcPr>
            <w:tcW w:w="6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3"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4"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8"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c>
          <w:tcPr>
            <w:tcW w:w="619"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overflowPunct w:val="0"/>
              <w:spacing w:line="440" w:lineRule="exact"/>
              <w:rPr>
                <w:rFonts w:ascii="Times New Roman" w:hAnsi="Times New Roman" w:eastAsia="仿宋_GB2312"/>
                <w:szCs w:val="21"/>
              </w:rPr>
            </w:pPr>
            <w:r>
              <w:rPr>
                <w:rFonts w:hint="eastAsia" w:ascii="Times New Roman" w:hAnsi="Times New Roman" w:eastAsia="仿宋_GB2312"/>
                <w:sz w:val="24"/>
              </w:rPr>
              <w:t>0</w:t>
            </w:r>
          </w:p>
        </w:tc>
      </w:tr>
    </w:tbl>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Calibri" w:hAnsi="Calibri" w:cs="Calibri"/>
          <w:i w:val="0"/>
          <w:iCs w:val="0"/>
          <w:caps w:val="0"/>
          <w:color w:val="000000"/>
          <w:spacing w:val="0"/>
          <w:sz w:val="21"/>
          <w:szCs w:val="21"/>
        </w:rPr>
      </w:pPr>
      <w:r>
        <w:rPr>
          <w:rFonts w:ascii="Times New Roman" w:hAnsi="Times New Roman" w:eastAsia="仿宋_GB2312"/>
          <w:sz w:val="32"/>
          <w:szCs w:val="32"/>
        </w:rPr>
        <w:t>（一）主要问题。</w:t>
      </w:r>
      <w:r>
        <w:rPr>
          <w:rFonts w:hint="eastAsia" w:ascii="仿宋_GB2312" w:hAnsi="Calibri" w:eastAsia="仿宋_GB2312" w:cs="仿宋_GB2312"/>
          <w:i w:val="0"/>
          <w:iCs w:val="0"/>
          <w:caps w:val="0"/>
          <w:color w:val="000000"/>
          <w:spacing w:val="0"/>
          <w:sz w:val="32"/>
          <w:szCs w:val="32"/>
          <w:shd w:val="clear" w:fill="FFFFFF"/>
        </w:rPr>
        <w:t>政府信息公开</w:t>
      </w:r>
      <w:r>
        <w:rPr>
          <w:rFonts w:hint="eastAsia" w:ascii="仿宋_GB2312" w:eastAsia="仿宋_GB2312" w:cs="仿宋_GB2312"/>
          <w:i w:val="0"/>
          <w:iCs w:val="0"/>
          <w:caps w:val="0"/>
          <w:color w:val="000000"/>
          <w:spacing w:val="0"/>
          <w:sz w:val="32"/>
          <w:szCs w:val="32"/>
          <w:shd w:val="clear" w:fill="FFFFFF"/>
          <w:lang w:val="en-US" w:eastAsia="zh-CN"/>
        </w:rPr>
        <w:t>信息不及时</w:t>
      </w:r>
      <w:r>
        <w:rPr>
          <w:rFonts w:hint="eastAsia" w:ascii="仿宋_GB2312" w:eastAsia="仿宋_GB2312" w:cs="仿宋_GB2312"/>
          <w:i w:val="0"/>
          <w:iCs w:val="0"/>
          <w:caps w:val="0"/>
          <w:color w:val="000000"/>
          <w:spacing w:val="0"/>
          <w:sz w:val="32"/>
          <w:szCs w:val="32"/>
          <w:shd w:val="clear" w:fill="FFFFFF"/>
          <w:lang w:eastAsia="zh-CN"/>
        </w:rPr>
        <w:t>，</w:t>
      </w:r>
      <w:r>
        <w:rPr>
          <w:rFonts w:hint="eastAsia" w:ascii="仿宋_GB2312" w:eastAsia="仿宋_GB2312" w:cs="仿宋_GB2312"/>
          <w:i w:val="0"/>
          <w:iCs w:val="0"/>
          <w:caps w:val="0"/>
          <w:color w:val="000000"/>
          <w:spacing w:val="0"/>
          <w:sz w:val="32"/>
          <w:szCs w:val="32"/>
          <w:shd w:val="clear" w:fill="FFFFFF"/>
          <w:lang w:val="en-US" w:eastAsia="zh-CN"/>
        </w:rPr>
        <w:t>信息公开时效有滞后</w:t>
      </w:r>
      <w:r>
        <w:rPr>
          <w:rFonts w:hint="eastAsia" w:ascii="仿宋_GB2312" w:hAnsi="Calibri" w:eastAsia="仿宋_GB2312" w:cs="仿宋_GB2312"/>
          <w:i w:val="0"/>
          <w:iCs w:val="0"/>
          <w:caps w:val="0"/>
          <w:color w:val="000000"/>
          <w:spacing w:val="0"/>
          <w:sz w:val="32"/>
          <w:szCs w:val="32"/>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000000"/>
          <w:spacing w:val="0"/>
          <w:sz w:val="21"/>
          <w:szCs w:val="21"/>
        </w:rPr>
      </w:pPr>
      <w:r>
        <w:rPr>
          <w:rFonts w:hint="eastAsia" w:ascii="仿宋_GB2312" w:hAnsi="Times New Roman" w:eastAsia="仿宋_GB2312" w:cs="仿宋_GB2312"/>
          <w:i w:val="0"/>
          <w:iCs w:val="0"/>
          <w:caps w:val="0"/>
          <w:color w:val="000000"/>
          <w:spacing w:val="0"/>
          <w:sz w:val="32"/>
          <w:szCs w:val="32"/>
          <w:shd w:val="clear" w:fill="FFFFFF"/>
        </w:rPr>
        <w:t>（二）改进情况。</w:t>
      </w:r>
      <w:r>
        <w:rPr>
          <w:rFonts w:hint="eastAsia" w:ascii="仿宋_GB2312" w:hAnsi="Times New Roman" w:eastAsia="仿宋_GB2312" w:cs="仿宋_GB2312"/>
          <w:i w:val="0"/>
          <w:iCs w:val="0"/>
          <w:caps w:val="0"/>
          <w:color w:val="000000"/>
          <w:spacing w:val="0"/>
          <w:sz w:val="32"/>
          <w:szCs w:val="32"/>
          <w:shd w:val="clear" w:fill="FFFFFF"/>
          <w:lang w:val="en-US" w:eastAsia="zh-CN"/>
        </w:rPr>
        <w:t>提高效率，及时</w:t>
      </w:r>
      <w:r>
        <w:rPr>
          <w:rFonts w:hint="eastAsia" w:ascii="仿宋_GB2312" w:hAnsi="Calibri" w:eastAsia="仿宋_GB2312" w:cs="仿宋_GB2312"/>
          <w:i w:val="0"/>
          <w:iCs w:val="0"/>
          <w:caps w:val="0"/>
          <w:color w:val="000000"/>
          <w:spacing w:val="0"/>
          <w:sz w:val="32"/>
          <w:szCs w:val="32"/>
          <w:shd w:val="clear" w:fill="FFFFFF"/>
        </w:rPr>
        <w:t>依法全面公开各类信息。</w:t>
      </w:r>
    </w:p>
    <w:p>
      <w:pPr>
        <w:overflowPunct w:val="0"/>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六、其他需要报告的事项</w:t>
      </w:r>
    </w:p>
    <w:p>
      <w:p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color w:val="auto"/>
          <w:sz w:val="32"/>
          <w:szCs w:val="32"/>
        </w:rPr>
        <w:t>2024</w:t>
      </w:r>
      <w:r>
        <w:rPr>
          <w:rFonts w:ascii="Times New Roman" w:eastAsia="仿宋_GB2312"/>
          <w:color w:val="auto"/>
          <w:sz w:val="32"/>
          <w:szCs w:val="32"/>
        </w:rPr>
        <w:t>年</w:t>
      </w:r>
      <w:r>
        <w:rPr>
          <w:rFonts w:ascii="Times New Roman" w:eastAsia="仿宋_GB2312"/>
          <w:sz w:val="32"/>
          <w:szCs w:val="32"/>
        </w:rPr>
        <w:t>，我局政府信息公开均按照相关要求进行了公示，没有其他需要报告的事项。</w:t>
      </w:r>
      <w:bookmarkStart w:id="0" w:name="_GoBack"/>
      <w:bookmarkEnd w:id="0"/>
    </w:p>
    <w:p>
      <w:pPr>
        <w:overflowPunct w:val="0"/>
        <w:spacing w:line="600" w:lineRule="exact"/>
        <w:ind w:firstLine="600" w:firstLineChars="200"/>
        <w:rPr>
          <w:rFonts w:ascii="Times New Roman" w:hAnsi="Times New Roman" w:eastAsia="仿宋_GB2312"/>
          <w:spacing w:val="-4"/>
          <w:sz w:val="32"/>
          <w:szCs w:val="32"/>
        </w:rPr>
      </w:pPr>
      <w:r>
        <w:rPr>
          <w:rFonts w:ascii="Times New Roman" w:hAnsi="Times New Roman" w:eastAsia="仿宋_GB2312"/>
          <w:spacing w:val="-10"/>
          <w:sz w:val="32"/>
          <w:szCs w:val="32"/>
        </w:rPr>
        <w:t>本报告中所列数据统计时间为2024年1月1日至2024年12月31日，如</w:t>
      </w:r>
      <w:r>
        <w:rPr>
          <w:rFonts w:ascii="Times New Roman" w:hAnsi="Times New Roman" w:eastAsia="仿宋_GB2312"/>
          <w:spacing w:val="-4"/>
          <w:sz w:val="32"/>
          <w:szCs w:val="32"/>
        </w:rPr>
        <w:t>需了解更多政府信息，请登录沐川县人民政府门户网站查询，网址为：http://www.muchuan.gov.cn/。</w:t>
      </w:r>
    </w:p>
    <w:p>
      <w:pPr>
        <w:overflowPunct w:val="0"/>
        <w:spacing w:line="600" w:lineRule="exact"/>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FlODg4NjNmOTBhYzQxYTIyZGRhN2EyZjc1N2NjYmMifQ=="/>
  </w:docVars>
  <w:rsids>
    <w:rsidRoot w:val="1C2E09E5"/>
    <w:rsid w:val="00075204"/>
    <w:rsid w:val="001D0207"/>
    <w:rsid w:val="00527449"/>
    <w:rsid w:val="009A2AF5"/>
    <w:rsid w:val="00A27055"/>
    <w:rsid w:val="00DA5C53"/>
    <w:rsid w:val="04EB042F"/>
    <w:rsid w:val="07EF0236"/>
    <w:rsid w:val="0BC62DCA"/>
    <w:rsid w:val="16FF7D6A"/>
    <w:rsid w:val="192A2A32"/>
    <w:rsid w:val="1C2E09E5"/>
    <w:rsid w:val="1C715266"/>
    <w:rsid w:val="22467D55"/>
    <w:rsid w:val="23CF5BD7"/>
    <w:rsid w:val="2D265BF9"/>
    <w:rsid w:val="3B491430"/>
    <w:rsid w:val="3BF70E8C"/>
    <w:rsid w:val="3E646581"/>
    <w:rsid w:val="42D33CD5"/>
    <w:rsid w:val="47525067"/>
    <w:rsid w:val="4A69389D"/>
    <w:rsid w:val="510859DB"/>
    <w:rsid w:val="55524F2D"/>
    <w:rsid w:val="5B935E32"/>
    <w:rsid w:val="5D9E07F9"/>
    <w:rsid w:val="5DBA7B13"/>
    <w:rsid w:val="5FE27133"/>
    <w:rsid w:val="629D0130"/>
    <w:rsid w:val="63B75221"/>
    <w:rsid w:val="6B1F1FAA"/>
    <w:rsid w:val="6F0252C1"/>
    <w:rsid w:val="722F2426"/>
    <w:rsid w:val="768B46AB"/>
    <w:rsid w:val="7D8A78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363</Words>
  <Characters>2070</Characters>
  <Lines>17</Lines>
  <Paragraphs>4</Paragraphs>
  <TotalTime>0</TotalTime>
  <ScaleCrop>false</ScaleCrop>
  <LinksUpToDate>false</LinksUpToDate>
  <CharactersWithSpaces>2429</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2025-01-02T02:48:00Z</dcterms:created>
  <dc:creator>Administrator</dc:creator>
  <cp:lastModifiedBy>周孟</cp:lastModifiedBy>
  <dcterms:modified xsi:type="dcterms:W3CDTF">2025-01-07T07:02:13Z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8BBD7730833D4FBC9E864FA5A1074324</vt:lpwstr>
  </property>
</Properties>
</file>