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eastAsia="方正小标宋简体"/>
          <w:b/>
          <w:color w:val="000000"/>
          <w:sz w:val="44"/>
          <w:szCs w:val="44"/>
        </w:rPr>
      </w:pPr>
    </w:p>
    <w:p>
      <w:pPr>
        <w:spacing w:line="660" w:lineRule="exact"/>
        <w:jc w:val="center"/>
        <w:rPr>
          <w:rFonts w:eastAsia="方正小标宋简体"/>
          <w:b/>
          <w:color w:val="000000"/>
          <w:sz w:val="44"/>
          <w:szCs w:val="44"/>
        </w:rPr>
      </w:pPr>
      <w:r>
        <w:rPr>
          <w:rFonts w:eastAsia="方正小标宋简体"/>
          <w:b/>
          <w:color w:val="000000"/>
          <w:sz w:val="44"/>
          <w:szCs w:val="44"/>
        </w:rPr>
        <w:t xml:space="preserve"> </w:t>
      </w:r>
    </w:p>
    <w:p>
      <w:pPr>
        <w:spacing w:line="660" w:lineRule="exact"/>
        <w:jc w:val="center"/>
        <w:rPr>
          <w:rFonts w:eastAsia="方正小标宋简体"/>
          <w:b/>
          <w:color w:val="000000"/>
          <w:sz w:val="44"/>
          <w:szCs w:val="44"/>
        </w:rPr>
      </w:pPr>
      <w:r>
        <w:rPr>
          <w:rFonts w:eastAsia="方正小标宋简体"/>
          <w:b/>
          <w:color w:val="000000"/>
          <w:sz w:val="44"/>
          <w:szCs w:val="44"/>
        </w:rPr>
        <w:t xml:space="preserve"> </w:t>
      </w:r>
    </w:p>
    <w:p>
      <w:pPr>
        <w:spacing w:line="660" w:lineRule="exact"/>
        <w:jc w:val="center"/>
        <w:rPr>
          <w:rFonts w:eastAsia="方正小标宋简体"/>
          <w:b/>
          <w:color w:val="000000"/>
          <w:sz w:val="44"/>
          <w:szCs w:val="44"/>
        </w:rPr>
      </w:pPr>
      <w:r>
        <w:rPr>
          <w:rFonts w:eastAsia="方正小标宋简体"/>
          <w:b/>
          <w:color w:val="000000"/>
          <w:sz w:val="44"/>
          <w:szCs w:val="44"/>
        </w:rPr>
        <w:t xml:space="preserve"> </w:t>
      </w:r>
    </w:p>
    <w:p>
      <w:pPr>
        <w:spacing w:line="660" w:lineRule="exact"/>
        <w:jc w:val="center"/>
        <w:rPr>
          <w:rFonts w:eastAsia="方正小标宋简体"/>
          <w:b/>
          <w:color w:val="000000"/>
          <w:sz w:val="44"/>
          <w:szCs w:val="44"/>
        </w:rPr>
      </w:pPr>
      <w:r>
        <w:rPr>
          <w:rFonts w:eastAsia="方正小标宋简体"/>
          <w:b/>
          <w:color w:val="000000"/>
          <w:sz w:val="44"/>
          <w:szCs w:val="44"/>
        </w:rPr>
        <w:t xml:space="preserve"> </w:t>
      </w:r>
    </w:p>
    <w:p>
      <w:pPr>
        <w:spacing w:line="1060" w:lineRule="exact"/>
        <w:jc w:val="center"/>
        <w:rPr>
          <w:rFonts w:eastAsia="方正小标宋简体"/>
          <w:color w:val="FF0000"/>
          <w:sz w:val="96"/>
          <w:szCs w:val="96"/>
        </w:rPr>
      </w:pPr>
      <w:r>
        <w:rPr>
          <w:rFonts w:ascii="方正小标宋简体" w:eastAsia="方正小标宋简体"/>
          <w:color w:val="FF0000"/>
          <w:sz w:val="96"/>
          <w:szCs w:val="96"/>
        </w:rPr>
        <w:t>沐川县教育局文件</w:t>
      </w:r>
    </w:p>
    <w:p>
      <w:pPr>
        <w:spacing w:line="660" w:lineRule="exact"/>
        <w:jc w:val="center"/>
        <w:rPr>
          <w:rFonts w:eastAsia="方正小标宋简体"/>
          <w:b/>
          <w:color w:val="000000"/>
          <w:sz w:val="44"/>
          <w:szCs w:val="44"/>
        </w:rPr>
      </w:pPr>
      <w:r>
        <w:rPr>
          <w:rFonts w:eastAsia="方正小标宋简体"/>
          <w:b/>
          <w:color w:val="000000"/>
          <w:sz w:val="44"/>
          <w:szCs w:val="44"/>
        </w:rPr>
        <w:t xml:space="preserve"> </w:t>
      </w:r>
    </w:p>
    <w:p>
      <w:pPr>
        <w:spacing w:line="660" w:lineRule="exact"/>
        <w:ind w:firstLine="320" w:firstLineChars="100"/>
        <w:rPr>
          <w:rFonts w:hint="default" w:ascii="Times New Roman" w:hAnsi="Times New Roman" w:eastAsia="楷体_GB2312" w:cs="Times New Roman"/>
          <w:color w:val="000000"/>
          <w:sz w:val="32"/>
          <w:szCs w:val="32"/>
          <w:lang w:eastAsia="zh-CN"/>
        </w:rPr>
      </w:pPr>
      <w:r>
        <w:rPr>
          <w:rFonts w:hint="default" w:ascii="Times New Roman" w:hAnsi="Times New Roman" w:eastAsia="仿宋_GB2312" w:cs="Times New Roman"/>
          <w:color w:val="000000"/>
          <w:sz w:val="32"/>
          <w:szCs w:val="32"/>
        </w:rPr>
        <w:t>沐教〔2024〕</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号                      签发人：</w:t>
      </w:r>
      <w:r>
        <w:rPr>
          <w:rFonts w:hint="eastAsia" w:ascii="Times New Roman" w:hAnsi="Times New Roman" w:eastAsia="楷体_GB2312" w:cs="Times New Roman"/>
          <w:color w:val="000000"/>
          <w:sz w:val="32"/>
          <w:szCs w:val="32"/>
          <w:lang w:eastAsia="zh-CN"/>
        </w:rPr>
        <w:t>胡佩珊</w:t>
      </w:r>
    </w:p>
    <w:p>
      <w:pPr>
        <w:jc w:val="center"/>
        <w:rPr>
          <w:rFonts w:hint="eastAsia" w:eastAsia="方正小标宋简体"/>
          <w:b/>
          <w:color w:val="000000"/>
          <w:sz w:val="44"/>
          <w:szCs w:val="44"/>
        </w:rPr>
      </w:pPr>
      <w:r>
        <w:drawing>
          <wp:inline distT="0" distB="0" distL="0" distR="0">
            <wp:extent cx="5677535" cy="17145"/>
            <wp:effectExtent l="0" t="0" r="6985" b="5715"/>
            <wp:docPr id="5" name="图片 5" descr="C:\Users\ADMINI~1\AppData\Local\Temp\ksohtml386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ksohtml3860\wps1.png"/>
                    <pic:cNvPicPr>
                      <a:picLocks noChangeAspect="1" noChangeArrowheads="1"/>
                    </pic:cNvPicPr>
                  </pic:nvPicPr>
                  <pic:blipFill>
                    <a:blip r:embed="rId5"/>
                    <a:srcRect/>
                    <a:stretch>
                      <a:fillRect/>
                    </a:stretch>
                  </pic:blipFill>
                  <pic:spPr>
                    <a:xfrm>
                      <a:off x="0" y="0"/>
                      <a:ext cx="5677535" cy="17145"/>
                    </a:xfrm>
                    <a:prstGeom prst="rect">
                      <a:avLst/>
                    </a:prstGeom>
                    <a:noFill/>
                    <a:ln w="9525">
                      <a:noFill/>
                      <a:miter lim="800000"/>
                      <a:headEnd/>
                      <a:tailEnd/>
                    </a:ln>
                  </pic:spPr>
                </pic:pic>
              </a:graphicData>
            </a:graphic>
          </wp:inline>
        </w:drawing>
      </w:r>
      <w:r>
        <w:rPr>
          <w:rFonts w:eastAsia="方正小标宋简体"/>
          <w:b/>
          <w:color w:val="000000"/>
          <w:sz w:val="44"/>
          <w:szCs w:val="44"/>
        </w:rPr>
        <w:t xml:space="preserve"> </w:t>
      </w:r>
    </w:p>
    <w:p>
      <w:pPr>
        <w:spacing w:line="600" w:lineRule="exact"/>
        <w:jc w:val="center"/>
        <w:rPr>
          <w:rFonts w:eastAsia="方正小标宋简体"/>
          <w:b/>
          <w:sz w:val="44"/>
          <w:szCs w:val="44"/>
        </w:rPr>
      </w:pPr>
      <w:r>
        <w:rPr>
          <w:rFonts w:eastAsia="方正小标宋简体"/>
          <w:b/>
          <w:sz w:val="44"/>
          <w:szCs w:val="44"/>
        </w:rPr>
        <w:t xml:space="preserve"> </w:t>
      </w:r>
    </w:p>
    <w:p>
      <w:pPr>
        <w:pStyle w:val="9"/>
        <w:autoSpaceDE w:val="0"/>
        <w:spacing w:line="600" w:lineRule="exact"/>
        <w:rPr>
          <w:kern w:val="0"/>
          <w:szCs w:val="44"/>
        </w:rPr>
      </w:pPr>
      <w:r>
        <w:rPr>
          <w:rFonts w:ascii="方正小标宋简体"/>
          <w:kern w:val="0"/>
        </w:rPr>
        <w:t>沐川县教育局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关于2023年度法治政府建设工作情况的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报</w:t>
      </w:r>
      <w:r>
        <w:rPr>
          <w:rFonts w:hint="eastAsia" w:ascii="Times New Roman" w:hAnsi="Times New Roman" w:eastAsia="方正小标宋简体" w:cs="Times New Roman"/>
          <w:b/>
          <w:bCs/>
          <w:sz w:val="44"/>
          <w:szCs w:val="44"/>
          <w:lang w:val="en-US" w:eastAsia="zh-CN"/>
        </w:rPr>
        <w:t xml:space="preserve">  </w:t>
      </w:r>
      <w:r>
        <w:rPr>
          <w:rFonts w:hint="default" w:ascii="Times New Roman" w:hAnsi="Times New Roman" w:eastAsia="方正小标宋简体" w:cs="Times New Roman"/>
          <w:b/>
          <w:bCs/>
          <w:sz w:val="44"/>
          <w:szCs w:val="44"/>
        </w:rPr>
        <w:t>告</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县委、县政府：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在县委、县政府的正确领导下，县教育局认真贯彻落实全国、全省、全市、全县法治工作会议精神，坚持以维护社会公平为主旨，牢固树立宪法法律至上观念，切实履行全县教育系统法治建设主体责任，不断提升依法治教能力，推动法治建设走深走实。现将2023年度法治政府建设工作情况报告如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一、主要举措和成效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（一）坚持班子领学，强化分层研学。</w:t>
      </w:r>
      <w:r>
        <w:rPr>
          <w:rFonts w:hint="default" w:ascii="Times New Roman" w:hAnsi="Times New Roman" w:eastAsia="仿宋_GB2312" w:cs="Times New Roman"/>
          <w:sz w:val="32"/>
          <w:szCs w:val="32"/>
          <w:lang w:val="en-US" w:eastAsia="zh-CN"/>
        </w:rPr>
        <w:t>严格落实领导干部年度学法任务，把法治理论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学习理论、法律知识学习列入领导班子及干部学习的重要内容。定期开展中心组学习活动，完成《习近平法治思想学习纲要》全章节学习。坚持抓住“关键少数”和带动“绝大多数”相结合，全面落实《青少年法治教育大纲》，推进法治教育纳入国民教育体系，组织机关干部、全体师生积极参与智慧普法平台在线学习和主题活动，通过微信公众号展播、法治讲堂、线上线下团队会活动等，开展学法、普法活动10万余人次，确保学习范围全覆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（二）加强整体谋划，</w:t>
      </w:r>
      <w:r>
        <w:rPr>
          <w:rFonts w:hint="eastAsia" w:ascii="Times New Roman" w:hAnsi="Times New Roman" w:eastAsia="楷体_GB2312" w:cs="Times New Roman"/>
          <w:b/>
          <w:bCs/>
          <w:sz w:val="32"/>
          <w:szCs w:val="32"/>
          <w:lang w:val="en-US" w:eastAsia="zh-CN"/>
        </w:rPr>
        <w:t>注重工作统筹</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深入贯彻习近平总书记关于全面依法治国新理念、新思想、新战略，将法治建设纳入本单位发展总体规划和年度工作计划，把依法治教贯穿到教育改革实践的各个环节，与推动教育高质量发展同部署、同推进、同督促、同考核、同奖惩，做到年初有计划、平时有检查、日常有活动、季度有小结、年终有考核。严格落实依法行政工作责任制度，定期研究解决本部门法治建设有关的重大问题和督察反馈问题，组织法律顾问协助研究重大复杂疑难法律事务，充分听取意见建议，及时向县委、县政府请示汇报，确保各项工作有序推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（三）严格决策程序，强化制度执行。</w:t>
      </w:r>
      <w:r>
        <w:rPr>
          <w:rFonts w:hint="default" w:ascii="Times New Roman" w:hAnsi="Times New Roman" w:eastAsia="仿宋_GB2312" w:cs="Times New Roman"/>
          <w:sz w:val="32"/>
          <w:szCs w:val="32"/>
          <w:lang w:val="en-US" w:eastAsia="zh-CN"/>
        </w:rPr>
        <w:t>严格执行“三重一大”制度和领导班子议事规则，凡涉及教育改革发展的重要事项、较大数额的资金安排、系统内重要人事岗位调整等决策，均按“集体领导、民主集中、会议决定”的程序执行。划片区招生、教育规划布局调整等涉及公众的重要事项，通过公众参与、专家论证，风险评估和合法性审查后，再集体讨论决定。以方便群众知情、办事、监督为核心，积极推进政务公开，不断优化公开形式，做到职责权限、政策规定、办事程序、办事结果、监督电话及责任追究全公开。加强文件制发管理，一般性文件由相关股室起草，局办公室把关，分管领导审核，主要领导签发；规范性文件严格落实合法性审查、集体审议、公开发布和备案清理制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（四）规范执法行为，提高执法水平。</w:t>
      </w:r>
      <w:r>
        <w:rPr>
          <w:rFonts w:hint="default" w:ascii="Times New Roman" w:hAnsi="Times New Roman" w:eastAsia="仿宋_GB2312" w:cs="Times New Roman"/>
          <w:sz w:val="32"/>
          <w:szCs w:val="32"/>
          <w:lang w:val="en-US" w:eastAsia="zh-CN"/>
        </w:rPr>
        <w:t>严格落实行政执法“三项制度”工作要求，加强执法人员行政执法资格管理，及时更新发布部门权责清单。行政执法活动严格进行全过程留痕管理，确保规范公正文明执法。强化事前、事中及事后公示，及时在执法信息公示平台录入执法数据。加大重点领域行政执法监督，联合相关执法部门出动执法人员700余人次，对学校及校外培训机构办学环境、办学行为开展全覆盖检查12次230所次，督促整改问题47个。重点治理以教育咨询、文化传播等名义开展的学科类校外培训行为，2023年查处违规行为2起，约谈公司负责人2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（五）加大普法力度，筑牢法治基础。</w:t>
      </w:r>
      <w:r>
        <w:rPr>
          <w:rFonts w:hint="default" w:ascii="Times New Roman" w:hAnsi="Times New Roman" w:eastAsia="仿宋_GB2312" w:cs="Times New Roman"/>
          <w:sz w:val="32"/>
          <w:szCs w:val="32"/>
          <w:lang w:val="en-US" w:eastAsia="zh-CN"/>
        </w:rPr>
        <w:t>稳步推进“八五”普法规划和决议实施，组织机关全体干部职工认真学习《宪法》《教育法》《教师法》等法律法规，提高干部依法行政水平。深入推进学法用法制度，2023年度“学法用法”考试参与率100%、合格率100%，平均分95分以上。全面落实“谁执法谁普法”普法责任制，不断拓宽法治宣传教育渠道，结合班会课、团队活动和综合实践课的内容，开辟“第二课堂”，重点宣传《宪法》《民法典》《未成年人保护法》《预防未成年人犯罪法》《交通安全法》等法律法规，开展法治教育专题讲座107场，发放法治宣传资料3万余份，切实提高未成年人自我保护意识和法治意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（六）坚持依法治教，自觉接受监督。</w:t>
      </w:r>
      <w:r>
        <w:rPr>
          <w:rFonts w:hint="default" w:ascii="Times New Roman" w:hAnsi="Times New Roman" w:eastAsia="仿宋_GB2312" w:cs="Times New Roman"/>
          <w:sz w:val="32"/>
          <w:szCs w:val="32"/>
          <w:lang w:val="en-US" w:eastAsia="zh-CN"/>
        </w:rPr>
        <w:t>依法做好群众来访接待、矛盾纠纷调处和网络信访留言办理，自觉接受人大、政协监督，积极配合上级视察调研活动，解决群众关切的教育热点问题。2023年承办人大代表建议2项、政协提案2项，及时回应网络咨询、信访157件，办结率和满意率均达到100%。沐川县第十八届人大常委会第十九次会议对县教育局工作进行了集中评议，评议结果为“满意”。2023年，县教育局未出现因行政执法而被提起行政诉讼、行政复议的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二、存在的不足和原因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2023年，县教育局法治政府建设工作取得了一定成效，全县教育系统持续保持和谐稳定大局，但部分工作有待改进和提高</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（一）理论学习不够深入。</w:t>
      </w:r>
      <w:r>
        <w:rPr>
          <w:rFonts w:hint="default" w:ascii="Times New Roman" w:hAnsi="Times New Roman" w:eastAsia="仿宋_GB2312" w:cs="Times New Roman"/>
          <w:sz w:val="32"/>
          <w:szCs w:val="32"/>
          <w:lang w:val="en-US" w:eastAsia="zh-CN"/>
        </w:rPr>
        <w:t>与法治政府建设总体要求尚有一定的差距</w:t>
      </w:r>
      <w:r>
        <w:rPr>
          <w:rFonts w:hint="eastAsia" w:ascii="Times New Roman" w:hAnsi="Times New Roman" w:eastAsia="仿宋_GB2312" w:cs="Times New Roman"/>
          <w:sz w:val="32"/>
          <w:szCs w:val="32"/>
          <w:lang w:val="en-US" w:eastAsia="zh-CN"/>
        </w:rPr>
        <w:t>，未能充分发挥总揽全局、全面协调的作用，</w:t>
      </w:r>
      <w:r>
        <w:rPr>
          <w:rFonts w:hint="default" w:ascii="Times New Roman" w:hAnsi="Times New Roman" w:eastAsia="仿宋_GB2312" w:cs="Times New Roman"/>
          <w:sz w:val="32"/>
          <w:szCs w:val="32"/>
          <w:lang w:val="en-US" w:eastAsia="zh-CN"/>
        </w:rPr>
        <w:t>存在一定重业务、轻学习的思想，运用法治思维和依法行政能力推动依法行政、解决教育发展难题的能力还需进一步提升。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（二）执法能力有待提高</w:t>
      </w:r>
      <w:r>
        <w:rPr>
          <w:rFonts w:hint="default" w:ascii="楷体_GB2312" w:hAnsi="楷体_GB2312" w:eastAsia="楷体_GB2312" w:cs="楷体_GB2312"/>
          <w:b/>
          <w:bCs/>
          <w:sz w:val="32"/>
          <w:szCs w:val="32"/>
          <w:lang w:val="en-US" w:eastAsia="zh-CN"/>
        </w:rPr>
        <w:t>。</w:t>
      </w:r>
      <w:r>
        <w:rPr>
          <w:rFonts w:hint="eastAsia" w:ascii="Times New Roman" w:hAnsi="Times New Roman" w:eastAsia="仿宋_GB2312" w:cs="Times New Roman"/>
          <w:sz w:val="32"/>
          <w:szCs w:val="32"/>
          <w:lang w:val="en-US" w:eastAsia="zh-CN"/>
        </w:rPr>
        <w:t>现有持证</w:t>
      </w:r>
      <w:r>
        <w:rPr>
          <w:rFonts w:hint="default" w:ascii="Times New Roman" w:hAnsi="Times New Roman" w:eastAsia="仿宋_GB2312" w:cs="Times New Roman"/>
          <w:sz w:val="32"/>
          <w:szCs w:val="32"/>
          <w:lang w:val="en-US" w:eastAsia="zh-CN"/>
        </w:rPr>
        <w:t>行政执法人员分散在各业务股室，</w:t>
      </w:r>
      <w:r>
        <w:rPr>
          <w:rFonts w:hint="eastAsia" w:ascii="Times New Roman" w:hAnsi="Times New Roman" w:eastAsia="仿宋_GB2312" w:cs="Times New Roman"/>
          <w:sz w:val="32"/>
          <w:szCs w:val="32"/>
          <w:lang w:val="en-US" w:eastAsia="zh-CN"/>
        </w:rPr>
        <w:t>接受专业集中培训的渠道、频次有限，导致</w:t>
      </w:r>
      <w:r>
        <w:rPr>
          <w:rFonts w:hint="default" w:ascii="Times New Roman" w:hAnsi="Times New Roman" w:eastAsia="仿宋_GB2312" w:cs="Times New Roman"/>
          <w:sz w:val="32"/>
          <w:szCs w:val="32"/>
          <w:lang w:val="en-US" w:eastAsia="zh-CN"/>
        </w:rPr>
        <w:t>执法经验不足、专业化程度不高，运用法治思维和法治方式深化改革、推动发展、化解矛盾、维护稳定的能力有待提高。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（三）普法宣传缺乏创新</w:t>
      </w:r>
      <w:r>
        <w:rPr>
          <w:rFonts w:hint="default" w:ascii="楷体_GB2312" w:hAnsi="楷体_GB2312" w:eastAsia="楷体_GB2312" w:cs="楷体_GB2312"/>
          <w:b/>
          <w:bCs/>
          <w:sz w:val="32"/>
          <w:szCs w:val="32"/>
          <w:lang w:val="en-US" w:eastAsia="zh-CN"/>
        </w:rPr>
        <w:t>。</w:t>
      </w:r>
      <w:r>
        <w:rPr>
          <w:rFonts w:hint="eastAsia" w:ascii="Times New Roman" w:hAnsi="Times New Roman" w:eastAsia="仿宋_GB2312" w:cs="Times New Roman"/>
          <w:sz w:val="32"/>
          <w:szCs w:val="32"/>
          <w:lang w:val="en-US" w:eastAsia="zh-CN"/>
        </w:rPr>
        <w:t>发放宣传册、张贴海报等传统普法宣传方式，覆盖面有限、传播效果不佳，很难引起广大人民群众的广泛关注和兴趣。校园普法活动缺乏互动性，“灌输式”的宣传模式已不能适应时代的发展，无法激发师生参与兴趣，导致普法宣传效果大打折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三、党政主要负责人履行法治政府建设第一责任人职责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2023年，县教育局党政主要负责人切实履行法治建设第一责任人职责，认真组织实施单位普法规划，重要工作亲自部署、重大问题亲自过问、重点环节亲自协调、重要任务亲自督办</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教育系统法治工作有效开展</w:t>
      </w:r>
      <w:r>
        <w:rPr>
          <w:rFonts w:hint="eastAsia" w:ascii="Times New Roman" w:hAnsi="Times New Roman" w:eastAsia="仿宋_GB2312" w:cs="Times New Roman"/>
          <w:sz w:val="32"/>
          <w:szCs w:val="32"/>
          <w:lang w:val="en-US" w:eastAsia="zh-CN"/>
        </w:rPr>
        <w:t>，主要做法如下。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（一）坚持带头示范引领。</w:t>
      </w:r>
      <w:r>
        <w:rPr>
          <w:rFonts w:hint="default" w:ascii="Times New Roman" w:hAnsi="Times New Roman" w:eastAsia="仿宋_GB2312" w:cs="Times New Roman"/>
          <w:sz w:val="32"/>
          <w:szCs w:val="32"/>
          <w:lang w:val="en-US" w:eastAsia="zh-CN"/>
        </w:rPr>
        <w:t>自觉运用习近平法治思想谋划教育工作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定期听取法治建设工作汇报，将学法守法用法情况列入个人年终述职内容。及时组织学习</w:t>
      </w:r>
      <w:r>
        <w:rPr>
          <w:rFonts w:hint="eastAsia" w:ascii="Times New Roman" w:hAnsi="Times New Roman" w:eastAsia="仿宋_GB2312" w:cs="Times New Roman"/>
          <w:sz w:val="32"/>
          <w:szCs w:val="32"/>
          <w:lang w:val="en-US" w:eastAsia="zh-CN"/>
        </w:rPr>
        <w:t>全国、全省、全市、全县法治会议精神</w:t>
      </w:r>
      <w:r>
        <w:rPr>
          <w:rFonts w:hint="default" w:ascii="Times New Roman" w:hAnsi="Times New Roman" w:eastAsia="仿宋_GB2312" w:cs="Times New Roman"/>
          <w:sz w:val="32"/>
          <w:szCs w:val="32"/>
          <w:lang w:val="en-US" w:eastAsia="zh-CN"/>
        </w:rPr>
        <w:t>，切实做好学习贯彻的带头者、推动者。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（二）坚持统筹协调推进。</w:t>
      </w:r>
      <w:r>
        <w:rPr>
          <w:rFonts w:hint="eastAsia" w:ascii="Times New Roman" w:hAnsi="Times New Roman" w:eastAsia="仿宋_GB2312" w:cs="Times New Roman"/>
          <w:sz w:val="32"/>
          <w:szCs w:val="32"/>
          <w:lang w:val="en-US" w:eastAsia="zh-CN"/>
        </w:rPr>
        <w:t>把法治政府建设工作</w:t>
      </w:r>
      <w:r>
        <w:rPr>
          <w:rFonts w:hint="default" w:ascii="Times New Roman" w:hAnsi="Times New Roman" w:eastAsia="仿宋_GB2312" w:cs="Times New Roman"/>
          <w:sz w:val="32"/>
          <w:szCs w:val="32"/>
          <w:lang w:val="en-US" w:eastAsia="zh-CN"/>
        </w:rPr>
        <w:t>与</w:t>
      </w:r>
      <w:r>
        <w:rPr>
          <w:rFonts w:hint="eastAsia" w:ascii="Times New Roman" w:hAnsi="Times New Roman" w:eastAsia="仿宋_GB2312" w:cs="Times New Roman"/>
          <w:sz w:val="32"/>
          <w:szCs w:val="32"/>
          <w:lang w:val="en-US" w:eastAsia="zh-CN"/>
        </w:rPr>
        <w:t>重点</w:t>
      </w:r>
      <w:r>
        <w:rPr>
          <w:rFonts w:hint="default" w:ascii="Times New Roman" w:hAnsi="Times New Roman" w:eastAsia="仿宋_GB2312" w:cs="Times New Roman"/>
          <w:sz w:val="32"/>
          <w:szCs w:val="32"/>
          <w:lang w:val="en-US" w:eastAsia="zh-CN"/>
        </w:rPr>
        <w:t>业务工作</w:t>
      </w:r>
      <w:r>
        <w:rPr>
          <w:rFonts w:hint="eastAsia" w:ascii="Times New Roman" w:hAnsi="Times New Roman" w:eastAsia="仿宋_GB2312" w:cs="Times New Roman"/>
          <w:sz w:val="32"/>
          <w:szCs w:val="32"/>
          <w:lang w:val="en-US" w:eastAsia="zh-CN"/>
        </w:rPr>
        <w:t>相结合</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充血</w:t>
      </w:r>
      <w:r>
        <w:rPr>
          <w:rFonts w:hint="default" w:ascii="Times New Roman" w:hAnsi="Times New Roman" w:eastAsia="仿宋_GB2312" w:cs="Times New Roman"/>
          <w:sz w:val="32"/>
          <w:szCs w:val="32"/>
          <w:lang w:val="en-US" w:eastAsia="zh-CN"/>
        </w:rPr>
        <w:t>运用法治思维统筹</w:t>
      </w:r>
      <w:r>
        <w:rPr>
          <w:rFonts w:hint="eastAsia" w:ascii="Times New Roman" w:hAnsi="Times New Roman" w:eastAsia="仿宋_GB2312" w:cs="Times New Roman"/>
          <w:sz w:val="32"/>
          <w:szCs w:val="32"/>
          <w:lang w:val="en-US" w:eastAsia="zh-CN"/>
        </w:rPr>
        <w:t>推进教育教学</w:t>
      </w:r>
      <w:r>
        <w:rPr>
          <w:rFonts w:hint="default" w:ascii="Times New Roman" w:hAnsi="Times New Roman" w:eastAsia="仿宋_GB2312" w:cs="Times New Roman"/>
          <w:sz w:val="32"/>
          <w:szCs w:val="32"/>
          <w:lang w:val="en-US" w:eastAsia="zh-CN"/>
        </w:rPr>
        <w:t>改革、教师队伍建设、教育质量提升、教育重点项目、教育民生实事等</w:t>
      </w:r>
      <w:r>
        <w:rPr>
          <w:rFonts w:hint="eastAsia" w:ascii="Times New Roman" w:hAnsi="Times New Roman" w:eastAsia="仿宋_GB2312" w:cs="Times New Roman"/>
          <w:sz w:val="32"/>
          <w:szCs w:val="32"/>
          <w:lang w:val="en-US" w:eastAsia="zh-CN"/>
        </w:rPr>
        <w:t>重点</w:t>
      </w:r>
      <w:r>
        <w:rPr>
          <w:rFonts w:hint="default" w:ascii="Times New Roman" w:hAnsi="Times New Roman" w:eastAsia="仿宋_GB2312" w:cs="Times New Roman"/>
          <w:sz w:val="32"/>
          <w:szCs w:val="32"/>
          <w:lang w:val="en-US" w:eastAsia="zh-CN"/>
        </w:rPr>
        <w:t>目标任务，积极</w:t>
      </w:r>
      <w:r>
        <w:rPr>
          <w:rFonts w:hint="eastAsia" w:ascii="Times New Roman" w:hAnsi="Times New Roman" w:eastAsia="仿宋_GB2312" w:cs="Times New Roman"/>
          <w:sz w:val="32"/>
          <w:szCs w:val="32"/>
          <w:lang w:val="en-US" w:eastAsia="zh-CN"/>
        </w:rPr>
        <w:t>打造</w:t>
      </w:r>
      <w:r>
        <w:rPr>
          <w:rFonts w:hint="default" w:ascii="Times New Roman" w:hAnsi="Times New Roman" w:eastAsia="仿宋_GB2312" w:cs="Times New Roman"/>
          <w:sz w:val="32"/>
          <w:szCs w:val="32"/>
          <w:lang w:val="en-US" w:eastAsia="zh-CN"/>
        </w:rPr>
        <w:t>特色亮点，服务年度法治建设取得新成效。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（三）坚持全面</w:t>
      </w:r>
      <w:r>
        <w:rPr>
          <w:rFonts w:hint="default" w:ascii="楷体_GB2312" w:hAnsi="楷体_GB2312" w:eastAsia="楷体_GB2312" w:cs="楷体_GB2312"/>
          <w:b/>
          <w:bCs/>
          <w:sz w:val="32"/>
          <w:szCs w:val="32"/>
          <w:lang w:val="en-US" w:eastAsia="zh-CN"/>
        </w:rPr>
        <w:t>依法治教</w:t>
      </w:r>
      <w:r>
        <w:rPr>
          <w:rFonts w:hint="eastAsia" w:ascii="楷体_GB2312" w:hAnsi="楷体_GB2312" w:eastAsia="楷体_GB2312" w:cs="楷体_GB2312"/>
          <w:b/>
          <w:bCs/>
          <w:sz w:val="32"/>
          <w:szCs w:val="32"/>
          <w:lang w:val="en-US" w:eastAsia="zh-CN"/>
        </w:rPr>
        <w:t>。</w:t>
      </w:r>
      <w:r>
        <w:rPr>
          <w:rFonts w:hint="eastAsia" w:ascii="Times New Roman" w:hAnsi="Times New Roman" w:eastAsia="仿宋_GB2312" w:cs="Times New Roman"/>
          <w:sz w:val="32"/>
          <w:szCs w:val="32"/>
          <w:lang w:val="en-US" w:eastAsia="zh-CN"/>
        </w:rPr>
        <w:t>严格落实</w:t>
      </w:r>
      <w:r>
        <w:rPr>
          <w:rFonts w:hint="default" w:ascii="Times New Roman" w:hAnsi="Times New Roman" w:eastAsia="仿宋_GB2312" w:cs="Times New Roman"/>
          <w:sz w:val="32"/>
          <w:szCs w:val="32"/>
          <w:lang w:val="en-US" w:eastAsia="zh-CN"/>
        </w:rPr>
        <w:t>“三重一大”重大行政决策程序制度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强化规范性文件制定和备案监督</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加强法治队伍建设</w:t>
      </w:r>
      <w:r>
        <w:rPr>
          <w:rFonts w:hint="eastAsia" w:ascii="Times New Roman" w:hAnsi="Times New Roman" w:eastAsia="仿宋_GB2312" w:cs="Times New Roman"/>
          <w:sz w:val="32"/>
          <w:szCs w:val="32"/>
          <w:lang w:val="en-US" w:eastAsia="zh-CN"/>
        </w:rPr>
        <w:t>，聘请</w:t>
      </w:r>
      <w:r>
        <w:rPr>
          <w:rFonts w:hint="default" w:ascii="Times New Roman" w:hAnsi="Times New Roman" w:eastAsia="仿宋_GB2312" w:cs="Times New Roman"/>
          <w:sz w:val="32"/>
          <w:szCs w:val="32"/>
          <w:lang w:val="en-US" w:eastAsia="zh-CN"/>
        </w:rPr>
        <w:t>法律顾问，严格落实合法性审查制度。持续规范教育行风</w:t>
      </w:r>
      <w:r>
        <w:rPr>
          <w:rFonts w:hint="eastAsia" w:ascii="Times New Roman" w:hAnsi="Times New Roman" w:eastAsia="仿宋_GB2312" w:cs="Times New Roman"/>
          <w:sz w:val="32"/>
          <w:szCs w:val="32"/>
          <w:lang w:val="en-US" w:eastAsia="zh-CN"/>
        </w:rPr>
        <w:t>，大力</w:t>
      </w:r>
      <w:r>
        <w:rPr>
          <w:rFonts w:hint="default" w:ascii="Times New Roman" w:hAnsi="Times New Roman" w:eastAsia="仿宋_GB2312" w:cs="Times New Roman"/>
          <w:sz w:val="32"/>
          <w:szCs w:val="32"/>
          <w:lang w:val="en-US" w:eastAsia="zh-CN"/>
        </w:rPr>
        <w:t>开展师德师风主题</w:t>
      </w:r>
      <w:r>
        <w:rPr>
          <w:rFonts w:hint="eastAsia" w:ascii="Times New Roman" w:hAnsi="Times New Roman" w:eastAsia="仿宋_GB2312" w:cs="Times New Roman"/>
          <w:sz w:val="32"/>
          <w:szCs w:val="32"/>
          <w:lang w:val="en-US" w:eastAsia="zh-CN"/>
        </w:rPr>
        <w:t>活动，</w:t>
      </w:r>
      <w:r>
        <w:rPr>
          <w:rFonts w:hint="default" w:ascii="Times New Roman" w:hAnsi="Times New Roman" w:eastAsia="仿宋_GB2312" w:cs="Times New Roman"/>
          <w:sz w:val="32"/>
          <w:szCs w:val="32"/>
          <w:lang w:val="en-US" w:eastAsia="zh-CN"/>
        </w:rPr>
        <w:t>签订师德师风承诺书1770余份。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（四）</w:t>
      </w:r>
      <w:r>
        <w:rPr>
          <w:rFonts w:hint="default" w:ascii="楷体_GB2312" w:hAnsi="楷体_GB2312" w:eastAsia="楷体_GB2312" w:cs="楷体_GB2312"/>
          <w:b/>
          <w:bCs/>
          <w:sz w:val="32"/>
          <w:szCs w:val="32"/>
          <w:lang w:val="en-US" w:eastAsia="zh-CN"/>
        </w:rPr>
        <w:t>坚持</w:t>
      </w:r>
      <w:r>
        <w:rPr>
          <w:rFonts w:hint="eastAsia" w:ascii="楷体_GB2312" w:hAnsi="楷体_GB2312" w:eastAsia="楷体_GB2312" w:cs="楷体_GB2312"/>
          <w:b/>
          <w:bCs/>
          <w:sz w:val="32"/>
          <w:szCs w:val="32"/>
          <w:lang w:val="en-US" w:eastAsia="zh-CN"/>
        </w:rPr>
        <w:t>政务</w:t>
      </w:r>
      <w:r>
        <w:rPr>
          <w:rFonts w:hint="default" w:ascii="楷体_GB2312" w:hAnsi="楷体_GB2312" w:eastAsia="楷体_GB2312" w:cs="楷体_GB2312"/>
          <w:b/>
          <w:bCs/>
          <w:sz w:val="32"/>
          <w:szCs w:val="32"/>
          <w:lang w:val="en-US" w:eastAsia="zh-CN"/>
        </w:rPr>
        <w:t>信息公开</w:t>
      </w:r>
      <w:r>
        <w:rPr>
          <w:rFonts w:hint="eastAsia" w:ascii="楷体_GB2312" w:hAnsi="楷体_GB2312" w:eastAsia="楷体_GB2312" w:cs="楷体_GB2312"/>
          <w:b/>
          <w:bCs/>
          <w:sz w:val="32"/>
          <w:szCs w:val="32"/>
          <w:lang w:val="en-US" w:eastAsia="zh-CN"/>
        </w:rPr>
        <w:t>。</w:t>
      </w:r>
      <w:r>
        <w:rPr>
          <w:rFonts w:hint="default" w:ascii="Times New Roman" w:hAnsi="Times New Roman" w:eastAsia="仿宋_GB2312" w:cs="Times New Roman"/>
          <w:sz w:val="32"/>
          <w:szCs w:val="32"/>
          <w:lang w:val="en-US" w:eastAsia="zh-CN"/>
        </w:rPr>
        <w:t>以方便群众知情、办事、监督为核心，积极推进教育结果公开。及时发布教育要闻、教育法规政策和社会各界普遍关注的信息，在市级以上主流媒体发布新闻信息120余条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在“沐川发布”发布教育新闻信息60余条。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（五）坚持拓展办学优势</w:t>
      </w:r>
      <w:r>
        <w:rPr>
          <w:rFonts w:hint="default" w:ascii="楷体_GB2312" w:hAnsi="楷体_GB2312" w:eastAsia="楷体_GB2312" w:cs="楷体_GB2312"/>
          <w:b/>
          <w:bCs/>
          <w:sz w:val="32"/>
          <w:szCs w:val="32"/>
          <w:lang w:val="en-US" w:eastAsia="zh-CN"/>
        </w:rPr>
        <w:t>。</w:t>
      </w:r>
      <w:r>
        <w:rPr>
          <w:rFonts w:hint="eastAsia" w:ascii="Times New Roman" w:hAnsi="Times New Roman" w:eastAsia="仿宋_GB2312" w:cs="Times New Roman"/>
          <w:sz w:val="32"/>
          <w:szCs w:val="32"/>
          <w:lang w:val="en-US" w:eastAsia="zh-CN"/>
        </w:rPr>
        <w:t>深入开展</w:t>
      </w:r>
      <w:r>
        <w:rPr>
          <w:rFonts w:hint="default" w:ascii="Times New Roman" w:hAnsi="Times New Roman" w:eastAsia="仿宋_GB2312" w:cs="Times New Roman"/>
          <w:sz w:val="32"/>
          <w:szCs w:val="32"/>
          <w:lang w:val="en-US" w:eastAsia="zh-CN"/>
        </w:rPr>
        <w:t>义务教育共同体领航计划，实验小学、实验二小通过“省级义务教育共同体领航学校创建”市级评估验收。</w:t>
      </w:r>
      <w:r>
        <w:rPr>
          <w:rFonts w:hint="eastAsia" w:ascii="Times New Roman" w:hAnsi="Times New Roman" w:eastAsia="仿宋_GB2312" w:cs="Times New Roman"/>
          <w:sz w:val="32"/>
          <w:szCs w:val="32"/>
          <w:lang w:val="en-US" w:eastAsia="zh-CN"/>
        </w:rPr>
        <w:t>沐川中学在全市率先实现跨区域合作办学，</w:t>
      </w:r>
      <w:r>
        <w:rPr>
          <w:rFonts w:hint="default" w:ascii="Times New Roman" w:hAnsi="Times New Roman" w:eastAsia="仿宋_GB2312" w:cs="Times New Roman"/>
          <w:color w:val="auto"/>
          <w:sz w:val="32"/>
          <w:szCs w:val="32"/>
          <w:lang w:eastAsia="zh-CN"/>
        </w:rPr>
        <w:t>与乐山一中联合举办“乌蒙清北班”</w:t>
      </w:r>
      <w:r>
        <w:rPr>
          <w:rFonts w:hint="default" w:ascii="Times New Roman" w:hAnsi="Times New Roman" w:eastAsia="仿宋_GB2312" w:cs="Times New Roman"/>
          <w:sz w:val="32"/>
          <w:szCs w:val="32"/>
          <w:lang w:val="en-US" w:eastAsia="zh-CN"/>
        </w:rPr>
        <w:t>。沐川职中学校成功申报成为“3+2”中高职贯通培养学校，与四川信息职业技术学院等4所高职院校的王牌专业实现贯通衔接。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四、下步工作安排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结合教育工作实际，进一步解放思想，加大普法工作的宣传力度、教育力度和督查力度，扎实推进依法行政、依法治教、依法办学，促进法治建设工作再上新台阶。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 （一）深化法治学习，强化法治思维。</w:t>
      </w:r>
      <w:r>
        <w:rPr>
          <w:rFonts w:hint="default" w:ascii="Times New Roman" w:hAnsi="Times New Roman" w:eastAsia="仿宋_GB2312" w:cs="Times New Roman"/>
          <w:sz w:val="32"/>
          <w:szCs w:val="32"/>
          <w:lang w:val="en-US" w:eastAsia="zh-CN"/>
        </w:rPr>
        <w:t>把学习宣传贯彻习近平法治思想作为一项重要政治任务，纳入教育工作要点，作为党组理论学习中心组学习、干部职工集中学习、基层党支部“三会一课”等的重要学习内容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宪法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列入党组理论学习中心组学习计划，纳入干部培训教育体系，推动领导干部带头学习、模范践行。把习近平法治思想作为学校思政教育的重要内容，推动习近平法治思想进教材、进课堂、进头脑。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 （二）强化依法行政，规范执法行为。</w:t>
      </w:r>
      <w:r>
        <w:rPr>
          <w:rFonts w:hint="default" w:ascii="Times New Roman" w:hAnsi="Times New Roman" w:eastAsia="仿宋_GB2312" w:cs="Times New Roman"/>
          <w:sz w:val="32"/>
          <w:szCs w:val="32"/>
          <w:lang w:val="en-US" w:eastAsia="zh-CN"/>
        </w:rPr>
        <w:t>强化领导干部法治思维，完善法律顾问服务机制，进一步加强行政规范性文件合法性审查，规范重大行政决策流程，推进依法科学民主决策。全面推进政务公开，增强行政执法、政务信息的透明度，推进教育系统的廉洁廉政建设。进一步规范行政执法行为，加强行政执法监督检查，分层分类强化依法行政专题培训，增强教育部门依法行政的意识与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default" w:ascii="Times New Roman" w:hAnsi="Times New Roman" w:eastAsia="楷体_GB2312" w:cs="Times New Roman"/>
          <w:b/>
          <w:bCs/>
          <w:sz w:val="32"/>
          <w:szCs w:val="32"/>
          <w:lang w:val="en-US" w:eastAsia="zh-CN"/>
        </w:rPr>
        <w:t>（三）严格依法治教，创新普法形式。</w:t>
      </w:r>
      <w:r>
        <w:rPr>
          <w:rFonts w:hint="default" w:ascii="Times New Roman" w:hAnsi="Times New Roman" w:eastAsia="仿宋_GB2312" w:cs="Times New Roman"/>
          <w:sz w:val="32"/>
          <w:szCs w:val="32"/>
          <w:lang w:val="en-US" w:eastAsia="zh-CN"/>
        </w:rPr>
        <w:t>根据青少年学生的身心特点和接受能力，提升法治教育的针对性和实效性，引导青少年学生树立社会主义法治理念和法治意识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巩固现代学校制度建设成果。深入开展普法宣传，</w:t>
      </w:r>
      <w:r>
        <w:rPr>
          <w:rFonts w:hint="eastAsia" w:ascii="Times New Roman" w:hAnsi="Times New Roman" w:eastAsia="仿宋_GB2312" w:cs="Times New Roman"/>
          <w:sz w:val="32"/>
          <w:szCs w:val="32"/>
          <w:lang w:val="en-US" w:eastAsia="zh-CN"/>
        </w:rPr>
        <w:t>充分</w:t>
      </w:r>
      <w:r>
        <w:rPr>
          <w:rFonts w:hint="default" w:ascii="Times New Roman" w:hAnsi="Times New Roman" w:eastAsia="仿宋_GB2312" w:cs="Times New Roman"/>
          <w:sz w:val="32"/>
          <w:szCs w:val="32"/>
          <w:lang w:val="en-US" w:eastAsia="zh-CN"/>
        </w:rPr>
        <w:t>利用宪法宣传周、民法典宣传月、未成年人法治宣传教育活动月等重要时间节点，开展好《宪法》《民法典》《未成年人保护法》等宣传教育工作。利用校园文化建设、电子屏、微信公众号等宣传载体</w:t>
      </w:r>
      <w:r>
        <w:rPr>
          <w:rFonts w:hint="eastAsia" w:ascii="Times New Roman" w:hAnsi="Times New Roman" w:eastAsia="仿宋_GB2312" w:cs="Times New Roman"/>
          <w:sz w:val="32"/>
          <w:szCs w:val="32"/>
          <w:lang w:val="en-US" w:eastAsia="zh-CN"/>
        </w:rPr>
        <w:t>，进一步</w:t>
      </w:r>
      <w:r>
        <w:rPr>
          <w:rFonts w:hint="default" w:ascii="Times New Roman" w:hAnsi="Times New Roman" w:eastAsia="仿宋_GB2312" w:cs="Times New Roman"/>
          <w:sz w:val="32"/>
          <w:szCs w:val="32"/>
          <w:lang w:val="en-US" w:eastAsia="zh-CN"/>
        </w:rPr>
        <w:t>加强法治宣传教育，营造良好的法治宣传舆论氛围。鼓励有条件的学校开展普法实践活动，让师生走出课堂，通过体验式、互动式、案例式教学激发学生学法兴趣，提高用法能力。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沐川县教育局</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2024年2月22日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spacing w:line="600" w:lineRule="exact"/>
        <w:ind w:firstLine="420" w:firstLineChars="200"/>
        <w:rPr>
          <w:rFonts w:hint="default" w:ascii="Times New Roman" w:hAnsi="Times New Roman" w:cs="Times New Roman"/>
          <w:szCs w:val="32"/>
        </w:rPr>
      </w:pPr>
    </w:p>
    <w:p>
      <w:pPr>
        <w:spacing w:line="600" w:lineRule="exact"/>
        <w:ind w:firstLine="420" w:firstLineChars="200"/>
        <w:rPr>
          <w:rFonts w:hint="default" w:ascii="Times New Roman" w:hAnsi="Times New Roman" w:cs="Times New Roman"/>
          <w:szCs w:val="32"/>
        </w:rPr>
      </w:pPr>
    </w:p>
    <w:p>
      <w:pPr>
        <w:spacing w:line="600" w:lineRule="exact"/>
        <w:ind w:firstLine="420" w:firstLineChars="200"/>
        <w:rPr>
          <w:rFonts w:hint="default" w:ascii="Times New Roman" w:hAnsi="Times New Roman" w:cs="Times New Roman"/>
          <w:szCs w:val="32"/>
        </w:rPr>
      </w:pPr>
    </w:p>
    <w:p>
      <w:pPr>
        <w:spacing w:line="600" w:lineRule="exact"/>
        <w:ind w:firstLine="420" w:firstLineChars="200"/>
        <w:rPr>
          <w:rFonts w:hint="default" w:ascii="Times New Roman" w:hAnsi="Times New Roman" w:cs="Times New Roman"/>
          <w:szCs w:val="32"/>
        </w:rPr>
      </w:pPr>
    </w:p>
    <w:p>
      <w:pPr>
        <w:spacing w:line="600" w:lineRule="exact"/>
        <w:ind w:firstLine="420" w:firstLineChars="200"/>
        <w:rPr>
          <w:rFonts w:hint="default" w:ascii="Times New Roman" w:hAnsi="Times New Roman" w:cs="Times New Roman"/>
          <w:szCs w:val="32"/>
        </w:rPr>
      </w:pPr>
    </w:p>
    <w:p>
      <w:pPr>
        <w:spacing w:line="570" w:lineRule="exact"/>
        <w:ind w:firstLine="3255" w:firstLineChars="1550"/>
        <w:rPr>
          <w:rFonts w:hint="default" w:ascii="Times New Roman" w:hAnsi="Times New Roman" w:cs="Times New Roman"/>
          <w:szCs w:val="32"/>
        </w:rPr>
      </w:pPr>
    </w:p>
    <w:p>
      <w:pPr>
        <w:spacing w:line="570" w:lineRule="exact"/>
        <w:ind w:firstLine="3255" w:firstLineChars="1550"/>
        <w:rPr>
          <w:rFonts w:hint="default" w:ascii="Times New Roman" w:hAnsi="Times New Roman" w:cs="Times New Roman"/>
          <w:szCs w:val="32"/>
        </w:rPr>
      </w:pPr>
    </w:p>
    <w:p>
      <w:pPr>
        <w:spacing w:line="570" w:lineRule="exact"/>
        <w:ind w:firstLine="3255" w:firstLineChars="1550"/>
        <w:rPr>
          <w:rFonts w:hint="default" w:ascii="Times New Roman" w:hAnsi="Times New Roman" w:cs="Times New Roman"/>
          <w:szCs w:val="32"/>
        </w:rPr>
      </w:pPr>
    </w:p>
    <w:p>
      <w:pPr>
        <w:spacing w:line="570" w:lineRule="exact"/>
        <w:ind w:firstLine="3255" w:firstLineChars="1550"/>
        <w:rPr>
          <w:rFonts w:hint="default" w:ascii="Times New Roman" w:hAnsi="Times New Roman" w:cs="Times New Roman"/>
          <w:szCs w:val="32"/>
        </w:rPr>
      </w:pPr>
    </w:p>
    <w:p>
      <w:pPr>
        <w:spacing w:line="570" w:lineRule="exact"/>
        <w:ind w:firstLine="3255" w:firstLineChars="1550"/>
        <w:rPr>
          <w:rFonts w:hint="default" w:ascii="Times New Roman" w:hAnsi="Times New Roman" w:cs="Times New Roman"/>
          <w:szCs w:val="32"/>
        </w:rPr>
      </w:pPr>
    </w:p>
    <w:p>
      <w:pPr>
        <w:spacing w:line="570" w:lineRule="exact"/>
        <w:ind w:firstLine="3255" w:firstLineChars="1550"/>
        <w:rPr>
          <w:rFonts w:hint="default" w:ascii="Times New Roman" w:hAnsi="Times New Roman" w:cs="Times New Roman"/>
          <w:szCs w:val="32"/>
        </w:rPr>
      </w:pPr>
    </w:p>
    <w:p>
      <w:pPr>
        <w:spacing w:line="570" w:lineRule="exact"/>
        <w:ind w:firstLine="3255" w:firstLineChars="1550"/>
        <w:rPr>
          <w:rFonts w:hint="default" w:ascii="Times New Roman" w:hAnsi="Times New Roman" w:cs="Times New Roman"/>
          <w:szCs w:val="32"/>
        </w:rPr>
      </w:pPr>
    </w:p>
    <w:p>
      <w:pPr>
        <w:spacing w:line="570" w:lineRule="exact"/>
        <w:ind w:firstLine="3255" w:firstLineChars="1550"/>
        <w:rPr>
          <w:rFonts w:hint="default" w:ascii="Times New Roman" w:hAnsi="Times New Roman" w:cs="Times New Roman"/>
          <w:szCs w:val="32"/>
        </w:rPr>
      </w:pPr>
    </w:p>
    <w:p>
      <w:pPr>
        <w:spacing w:line="570" w:lineRule="exact"/>
        <w:rPr>
          <w:rFonts w:hint="default" w:ascii="Times New Roman" w:hAnsi="Times New Roman" w:cs="Times New Roman"/>
          <w:szCs w:val="32"/>
        </w:rPr>
      </w:pPr>
    </w:p>
    <w:p>
      <w:pPr>
        <w:spacing w:line="570" w:lineRule="exact"/>
        <w:rPr>
          <w:rFonts w:hint="default" w:ascii="Times New Roman" w:hAnsi="Times New Roman" w:cs="Times New Roman"/>
          <w:szCs w:val="32"/>
        </w:rPr>
      </w:pPr>
    </w:p>
    <w:p>
      <w:pPr>
        <w:spacing w:line="570" w:lineRule="exact"/>
        <w:ind w:firstLine="3255" w:firstLineChars="1550"/>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Cs w:val="32"/>
        </w:rPr>
      </w:pPr>
    </w:p>
    <w:p>
      <w:pPr>
        <w:pStyle w:val="2"/>
        <w:rPr>
          <w:rFonts w:hint="default" w:ascii="Times New Roman" w:hAnsi="Times New Roman" w:cs="Times New Roman"/>
          <w:szCs w:val="32"/>
        </w:rPr>
      </w:pPr>
    </w:p>
    <w:p>
      <w:pPr>
        <w:pStyle w:val="2"/>
        <w:rPr>
          <w:rFonts w:hint="default" w:ascii="Times New Roman" w:hAnsi="Times New Roman" w:cs="Times New Roman"/>
          <w:szCs w:val="32"/>
        </w:rPr>
      </w:pPr>
    </w:p>
    <w:p>
      <w:pPr>
        <w:pStyle w:val="2"/>
        <w:rPr>
          <w:rFonts w:hint="default" w:ascii="Times New Roman" w:hAnsi="Times New Roman" w:cs="Times New Roman"/>
          <w:szCs w:val="32"/>
        </w:rPr>
      </w:pPr>
    </w:p>
    <w:p>
      <w:pPr>
        <w:spacing w:line="570" w:lineRule="exact"/>
        <w:rPr>
          <w:rFonts w:hint="default" w:ascii="Times New Roman" w:hAnsi="Times New Roman" w:cs="Times New Roman"/>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wp:posOffset>
                </wp:positionV>
                <wp:extent cx="568769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pt;height:0pt;width:447.85pt;z-index:251661312;mso-width-relative:page;mso-height-relative:page;" filled="f" stroked="t" coordsize="21600,21600" o:gfxdata="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1cXvz0wAAAAQBAAAPAAAAAAAAAAEAIAAAACIAAABkcnMvZG93bnJldi54bWxQSwECFAAU&#10;AAAACACHTuJAzAcBR/YBAADkAwAADgAAAAAAAAABACAAAAAi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lang w:val="en-US" w:eastAsia="zh-CN"/>
        </w:rPr>
        <w:t>抄送：县委全面依法治县委员会办公室。</w:t>
      </w: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417195</wp:posOffset>
                </wp:positionV>
                <wp:extent cx="568769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32.85pt;height:0pt;width:447.85pt;z-index:251660288;mso-width-relative:page;mso-height-relative:page;" filled="f" stroked="t" coordsize="21600,21600" o:gfxdata="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fnoP9QAAAAGAQAADwAAAAAAAAABACAAAAAiAAAAZHJzL2Rvd25yZXYueG1sUEsBAhQA&#10;FAAAAAgAh07iQPoQTZ72AQAA5AMAAA4AAAAAAAAAAQAgAAAAIw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568769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5pt;height:0pt;width:447.85pt;z-index:251659264;mso-width-relative:page;mso-height-relative:page;" filled="f" stroked="t" coordsize="21600,21600" o:gfxdata="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RzI40wAAAAQBAAAPAAAAAAAAAAEAIAAAACIAAABkcnMvZG93bnJldi54bWxQSwECFAAU&#10;AAAACACHTuJA63sp8/YBAADkAwAADgAAAAAAAAABACAAAAAi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lang w:val="en-US" w:eastAsia="zh-CN"/>
        </w:rPr>
        <w:t xml:space="preserve">沐川县教育局办公室      </w:t>
      </w:r>
      <w:r>
        <w:rPr>
          <w:rFonts w:hint="eastAsia" w:ascii="Times New Roman" w:hAnsi="Times New Roman" w:eastAsia="仿宋_GB2312" w:cs="Times New Roman"/>
          <w:sz w:val="28"/>
          <w:szCs w:val="28"/>
          <w:lang w:val="en-US" w:eastAsia="zh-CN"/>
        </w:rPr>
        <w:t>　　　　</w:t>
      </w:r>
      <w:r>
        <w:rPr>
          <w:rFonts w:hint="default" w:ascii="Times New Roman" w:hAnsi="Times New Roman" w:eastAsia="仿宋_GB2312" w:cs="Times New Roman"/>
          <w:sz w:val="28"/>
          <w:szCs w:val="28"/>
          <w:lang w:val="en-US" w:eastAsia="zh-CN"/>
        </w:rPr>
        <w:t xml:space="preserve">         2024年2月22日印发</w:t>
      </w:r>
    </w:p>
    <w:sectPr>
      <w:footerReference r:id="rId3" w:type="default"/>
      <w:pgSz w:w="11906" w:h="16838"/>
      <w:pgMar w:top="2041" w:right="1468" w:bottom="1587" w:left="146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MTVlMzdkOTc5ZmIzMDg2MWEwMDZlNDczYTg1YTkifQ=="/>
  </w:docVars>
  <w:rsids>
    <w:rsidRoot w:val="00000000"/>
    <w:rsid w:val="03300358"/>
    <w:rsid w:val="1462099C"/>
    <w:rsid w:val="20AF7367"/>
    <w:rsid w:val="250407BE"/>
    <w:rsid w:val="298D64EF"/>
    <w:rsid w:val="4ACB45C2"/>
    <w:rsid w:val="69817A0A"/>
    <w:rsid w:val="703312F3"/>
    <w:rsid w:val="78491EDB"/>
    <w:rsid w:val="789D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小标2"/>
    <w:basedOn w:val="1"/>
    <w:qFormat/>
    <w:uiPriority w:val="0"/>
    <w:pPr>
      <w:spacing w:line="700" w:lineRule="exact"/>
      <w:jc w:val="center"/>
    </w:pPr>
    <w:rPr>
      <w:rFonts w:eastAsia="方正小标宋简体"/>
      <w:b/>
      <w:sz w:val="4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2024-02-18T01:21:00Z</dcterms:created>
  <dc:creator>Administrator</dc:creator>
  <cp:lastModifiedBy>Administrator</cp:lastModifiedBy>
  <cp:lastPrinted>2024-03-22T03:02:00Z</cp:lastPrinted>
  <dcterms:modified xsi:type="dcterms:W3CDTF">2024-03-26T06:41:36Z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796C8A7FAAF148C0B185FFB27031236F_13</vt:lpwstr>
  </property>
</Properties>
</file>