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bookmarkStart w:id="4" w:name="_GoBack"/>
      <w:r>
        <w:rPr>
          <w:rFonts w:hint="eastAsia" w:ascii="仿宋" w:hAnsi="仿宋" w:eastAsia="仿宋"/>
          <w:b/>
          <w:sz w:val="28"/>
        </w:rPr>
        <w:t>乐山市沐川县房屋重置价标准表</w:t>
      </w:r>
    </w:p>
    <w:bookmarkEnd w:id="4"/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4003"/>
        <w:gridCol w:w="2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序 号</w:t>
            </w:r>
          </w:p>
        </w:tc>
        <w:tc>
          <w:tcPr>
            <w:tcW w:w="23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补偿项目</w:t>
            </w:r>
          </w:p>
        </w:tc>
        <w:tc>
          <w:tcPr>
            <w:tcW w:w="17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补偿标准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（元/平方米）</w:t>
            </w:r>
          </w:p>
        </w:tc>
      </w:tr>
      <w:tr>
        <w:trPr>
          <w:trHeight w:val="396" w:hRule="atLeast"/>
        </w:trPr>
        <w:tc>
          <w:tcPr>
            <w:tcW w:w="9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23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钢结构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钢混结构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砖混（现浇）结构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砖混（预制）结构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砖木结构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土木、木结构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</w:t>
            </w:r>
          </w:p>
        </w:tc>
        <w:tc>
          <w:tcPr>
            <w:tcW w:w="2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其他结构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说明：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1.建筑物：指供人居住、工作、学习、生产、经营、娱乐、储藏物品以及进行其他活动的工程建筑。例如，工业建筑、民用建筑、农业建筑和园林建筑等。本表采用“房屋主要承重结构的材料”对房屋进行分类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2.钢结构：主要承重构件全部采用钢材制作，外围护墙和分隔内墙用轻质块材、板材的建筑。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3.钢混结构：主要承重构件全部采用钢筋混凝土制作，外围护墙和分隔内墙用轻质块材、板材的建筑，其承重构件主要有：全框架结构、内框架结构、底层框架结构、全剪力墙结构、框架剪力墙结构、核心筒结构、筒中筒结构等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4.砖混结构：用砖墙（或柱）、钢筋混凝土楼板和屋顶承重构件作为主要承重结构的建筑。钢筋凝土楼板分现场浇注件和预制件。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5.砖木结构：指建筑物中竖向承重结构的墙、柱等采用砖或砌块砌筑，楼板、屋架等用木结构，一般砖木结构是1—3层。通常用于农村的屋舍、庙宇、生产、仓储、饲养等，结构简易，有固定屋盖，包含基础、主体结构、内外装饰、水电安装，围护完整，空间较大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6.土木、石木结构：指单纯由木材或主要由木材承受荷载的结构，通过各种金属连接或榫卯手段进行连接和固定。这种结构因为是由天然材料租成，受材料本身条件的限制，因而木结构多用在低层、规模较小的建筑中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7.其他：除钢混结构、砖混结构、砖木结构、土木、石木结构以外的其他房屋结构。</w:t>
            </w:r>
          </w:p>
        </w:tc>
      </w:tr>
    </w:tbl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br w:type="page"/>
      </w:r>
    </w:p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乐山市沐川县地上构筑物及其他附属设施补偿标准表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513"/>
        <w:gridCol w:w="2978"/>
        <w:gridCol w:w="1415"/>
        <w:gridCol w:w="2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序号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补偿项目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单位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围墙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乱石垒、土围墙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砖、石围墙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院（晒） 坝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三合土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砖、石、水泥砂浆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土坝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石板坝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堡坎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石堡坎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砼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其他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水缸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地窖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粪池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土粪池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水泥、三合土粪池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条石粪池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水窖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土水窖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三合土水窖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条石及礙水窖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水池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砣石、条石池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石砌、砖砌、混凝土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造型水池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水井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土水井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条石水井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压水井（含机械取水）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机井（含抗旱井）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灶台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土灶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眼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红砖砌灶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眼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瓷砖灶、水泥灶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眼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节能灶（含设施）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眼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11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坟墓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普通土堆坟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座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砖、石、水泥修砌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座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砖、石、水泥修砌加有花岗石、其它材料刻成的墓碑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座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12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水管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钢管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PE管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PVC管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胶管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13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沼气池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产气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未产气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口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14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粮仓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砖、石、混凝土柜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16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排灌沟渠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衬砌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元/平方米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未衬砌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元/平方米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17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烤烟房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2.7米乘2.7米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个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3米乘3米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个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3.3米乘3.3米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个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18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围墙大门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铁大门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木大门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19</w:t>
            </w:r>
          </w:p>
        </w:tc>
        <w:tc>
          <w:tcPr>
            <w:tcW w:w="8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大棚（花 棚、蔬菜 大棚、蘑 菇棚等）</w:t>
            </w: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竹架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钢架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塑钢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水泥柱架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其他棚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水塔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立方米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21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彩钢房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小青瓦附属房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23</w:t>
            </w:r>
          </w:p>
        </w:tc>
        <w:tc>
          <w:tcPr>
            <w:tcW w:w="26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石棉瓦附属房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平方米</w:t>
            </w:r>
          </w:p>
        </w:tc>
        <w:tc>
          <w:tcPr>
            <w:tcW w:w="12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说明：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1.围墙：住宅、院落四周的砖砌、石垒围墙或竹、木、土筑篱笆，分为砖围墙和石围墙等。围墙工程造价包含围墙基础、墙面装饰。按建筑材料类，按体积计量。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2.院（晒）坝：房前屋后的平地，用于人员活动或晾晒农产品，经过硬化的室外地面。按建筑材料分为：“三合土”、“砖、石、水泥砂浆”、“土坝”、“石板坝”等类型。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3.堡坎：用条状块石（石材）、水泥砼块等长方形的硬质块状建筑材料，砌筑的保护体。主要是保护堡坎内的土壤结构不被破坏。按建筑材料分为：“石堡坎”、“砼堡坎”、“砖堡坎”、“其他”等类型。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4.水缸：用来装水或其他物品的缸。建筑材料为砖、石、混凝土。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5.地窖：保藏薯类、蔬菜等的地洞或地下室。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6.粪池：为盛装粪便而建的土池、水泥池等。按建筑材料分为：“土粪池”、“水泥、三合土粪池”、“条石粪池”等类型。按容积进行丈量。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7.水窖：一种地下埋藏式蓄水工程。在土质地区的多为圆形断面，可分为圆柱形、瓶形、烧杯形、坛形等，其防渗材料可采用水泥砂浆抹面、粘土或现浇混凝土；岩石地区一般为矩形宽浅式，多采用浆砌石砌建筑。按建筑材料分为：“土水窖”、“三合土水窖”、“条石及砼水窖”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8.水池：用自然形成的装有水的小型坑洼，或者人工材料修建、具有防渗作用的蓄水设施，或者人工开挖，用于水产养殖的坑塘水面及相应附属设施用地（不包括池中的养殖（种植）物）。人工水池一般使用土、钢、钢筋混凝土和砖石等材料建造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9.水井：主要用于开采地下水的工程构筑物。它可以是竖向的、斜向的和不同方向组合的，但一般以竖向为主，可用于取水、排水，也可用于注水。按建筑材料分为：“土水井”、“条石水井”、“压水井（含机械取水）”、“机井（含抗旱井）”等类型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10.灶台：按照灶台的建筑材料，分为“土灶”、“红砖砌灶”、“瓷砖灶”、“水泥灶”、“节能灶”等，以“眼”为计量单位。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11.坟墓：为埋葬死人的穴和上面的坟头。按照建筑材料分为“普通土坟堆”、“砖、石、水泥修砌”、“砖、石、水泥修砌加有花岗石、其他材料刻成的墓碑”等。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12.水管：指户内给（排）水管道，区别于给（排）水系统的干网管道。入户水管按照材料一般分为“钢管”和“胶管”。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13.沼气池：使粪污等有机物在一定温度、湿度及厌氧条件下，经厌氧菌发酵分解产生沼气（甲烷）的密闭构筑物。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14.粮仓：用于储藏粮食的设施。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15.土柜：人工修建用于存储物品的立式柜子。主要建筑材料有砖、混凝土、石等。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16.排灌沟渠：为灌溉或排水而挖的水道的统称。分为衬砌和未衬砌沟渠两种。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17.烤烟房：专门用于烤烟的房屋。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18.围墙大门：院落的主要出入口设置的大门，通常与围墙相连。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19.大棚：指用竹木杆、水泥杆、轻型钢管或管材等材料做骨架，做成立柱、拉杆，拱杆及压杆，覆盖塑料薄膜而成为拱圆形的棚。常见的骨架材质一般有竹、钢等。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20.水塔：用于储水和配水的高耸结构，用来保持和调节水管网中的水量和水压。主要由水柜、基础和连接两者的支筒或支架组成。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21.彩钢房：一种以轻钢H型钢、槽钢为骨架，以夹芯板为墙板材料，以标准模数系列进行空间组合，构件采用螺栓连接或焊接的环保经济型房屋。一般是临时建筑。</w:t>
            </w:r>
          </w:p>
        </w:tc>
      </w:tr>
    </w:tbl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br w:type="page"/>
      </w:r>
    </w:p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乐山市沐川县零星林木补偿标准表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56"/>
        <w:gridCol w:w="954"/>
        <w:gridCol w:w="937"/>
        <w:gridCol w:w="2277"/>
        <w:gridCol w:w="920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序号</w:t>
            </w:r>
          </w:p>
        </w:tc>
        <w:tc>
          <w:tcPr>
            <w:tcW w:w="31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补偿项目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单位</w:t>
            </w: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补偿标准（元）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名称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龄组（生长发育阶段）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</w:t>
            </w: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锦橙、血橙、脐橙、夏橙、碰柑、柑桔等柑橘类</w:t>
            </w:r>
          </w:p>
        </w:tc>
        <w:tc>
          <w:tcPr>
            <w:tcW w:w="5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香柚等柚类</w:t>
            </w:r>
          </w:p>
        </w:tc>
        <w:tc>
          <w:tcPr>
            <w:tcW w:w="5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桃子、樱桃、李子、梨子、苹果、 杏子、柿子、青枣等类</w:t>
            </w:r>
          </w:p>
        </w:tc>
        <w:tc>
          <w:tcPr>
            <w:tcW w:w="5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挂果3—11年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挂果11年及以上、含11年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离地面高度1米及以上未产果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荔枝、桂圆、枇杷等类</w:t>
            </w:r>
          </w:p>
        </w:tc>
        <w:tc>
          <w:tcPr>
            <w:tcW w:w="5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定植未挂果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定植嫁接幼树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板栗、核桃等坚果类</w:t>
            </w:r>
          </w:p>
        </w:tc>
        <w:tc>
          <w:tcPr>
            <w:tcW w:w="5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定植未挂果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定植嫁接幼树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葡萄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地径在5厘米及以上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地径在2—5厘米 （含2厘米）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地径在1—2厘米 （含1厘米）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地径在1厘米以下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香（芭）蕉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苗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桑树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产叶（果）桑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初产叶（果）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中产叶（果）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盛产叶（果）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老化树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油茶、油桐、乌桕、梅子等类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未产果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初产果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中产期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盛产期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老化树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  <w:tc>
          <w:tcPr>
            <w:tcW w:w="18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竹笋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笼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11</w:t>
            </w:r>
          </w:p>
        </w:tc>
        <w:tc>
          <w:tcPr>
            <w:tcW w:w="184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竹类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25根以上（含25根）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笼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8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10-25根（含10根）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笼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847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10根及以下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笼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12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松、杉、柏等针叶类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干胸径2厘米以下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干胸径2—6厘米 （含2厘米）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干胸径6—15厘米 （含6厘米）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干胸径15厘米以上 （含15厘米）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13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杂树等阔叶类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离地高度0.5—1米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离地面高度1米及以上， 主干胸径5厘米以下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离地面高度2米及以上， 主干胸径5—16厘米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离地面高度3米及以上， 主干胸径16厘米以上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14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银杏、桂花、其他园林等类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胸径5厘米以下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胸径5—10厘米 （含5厘米）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胸径10厘米以上 （含10厘米）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株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说明：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、零星林木：除村镇、林网（网络的一部分）、间作（统一规划且≥3行）树外，在耕地、田埋、水旁、路旁、渠旁等零星或成行/平原区成片栽植的树木（但连续面积小于1亩），以及分布在苗辅、果园、灌木林地、未成林造林地、无立木林地和宜林地上的散生木，采伐株数小于20株或蓄积小于10立方米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2、幼树：是指已经按成树分开栽种的幼苗，有些是按的株茎的尺寸来算的，即离地面一米处的直径。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3、木本植物：指根和茎因増粗生长形成大量的木质部，而细胞壁也多数木质化的坚固的植物。是草本植物的对应词。地上部分为多年生，分乔木和灌 木。植物体木质部发达，茎坚硬，多年生。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4、幼果期：是指果树从栽植起到第一次结果这一阶段。根据生长年限，不同果树的幼果期年限不同。苹果、梨、柿子、红果、核桃等从定植到三年生 以内；桃树、李、杏二年生以内；葡萄、枣一年生以内。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5、初果期：是指果树开始结果到具有一定的经济产量这一阶段。根据生长年限，不同果树的初果期年限不同。苹果、梨、柿子、红果、核桃等龄组4-5 年；桃、李、杏等龄组3-4年；葡萄、枣等龄组2年以内。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6、盛果期：是指果树树冠扩大缓慢，结果相对稳定的阶段。根据生长年限，苹果、梨、柿子、红果、核桃等龄组6年以上，桃、李、杏等龄组4年以上，葡萄、枣3年龄组以上。</w:t>
            </w:r>
          </w:p>
        </w:tc>
      </w:tr>
    </w:tbl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br w:type="page"/>
      </w:r>
    </w:p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乐山市沐川县成片林木补偿标准表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938"/>
        <w:gridCol w:w="929"/>
        <w:gridCol w:w="931"/>
        <w:gridCol w:w="2156"/>
        <w:gridCol w:w="86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序号</w:t>
            </w:r>
          </w:p>
        </w:tc>
        <w:tc>
          <w:tcPr>
            <w:tcW w:w="3492" w:type="pct"/>
            <w:gridSpan w:val="4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补偿项目</w:t>
            </w:r>
          </w:p>
        </w:tc>
        <w:tc>
          <w:tcPr>
            <w:tcW w:w="510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单位</w:t>
            </w:r>
          </w:p>
        </w:tc>
        <w:tc>
          <w:tcPr>
            <w:tcW w:w="696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名称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龄组（生长发育阶段）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</w:t>
            </w:r>
          </w:p>
        </w:tc>
        <w:tc>
          <w:tcPr>
            <w:tcW w:w="510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696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锦橙、血橙、脐橙、夏橙、碰柑、柑桔等柑橘类</w:t>
            </w:r>
          </w:p>
        </w:tc>
        <w:tc>
          <w:tcPr>
            <w:tcW w:w="545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香柚等柚类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桃子、樱桃、李子、梨子、苹果、杏子、柿子、青枣等类</w:t>
            </w:r>
          </w:p>
        </w:tc>
        <w:tc>
          <w:tcPr>
            <w:tcW w:w="545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 期</w:t>
            </w: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挂果3—11年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挂果11年及以上、含11年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  <w:r>
              <w:rPr>
                <w:rFonts w:ascii="仿宋" w:hAnsi="仿宋" w:eastAsia="仿宋" w:cs="Arial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离地面高度1米以上未产果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荔枝、桂圆、枇杷等类</w:t>
            </w:r>
          </w:p>
        </w:tc>
        <w:tc>
          <w:tcPr>
            <w:tcW w:w="545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挂果3-9年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定植未挂果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定植嫁接幼树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</w:t>
            </w:r>
          </w:p>
        </w:tc>
        <w:tc>
          <w:tcPr>
            <w:tcW w:w="113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板栗、核桃等坚果类</w:t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产果期</w:t>
            </w: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挂果3—9年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  <w:r>
              <w:rPr>
                <w:rFonts w:ascii="仿宋" w:hAnsi="仿宋" w:eastAsia="仿宋" w:cs="Arial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挂果9年及以上、含9年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</w:t>
            </w:r>
            <w:r>
              <w:rPr>
                <w:rFonts w:ascii="仿宋" w:hAnsi="仿宋" w:eastAsia="仿宋" w:cs="Arial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衰果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  <w:r>
              <w:rPr>
                <w:rFonts w:ascii="仿宋" w:hAnsi="仿宋" w:eastAsia="仿宋" w:cs="Arial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定植未挂果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定植3年及以上、含3年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</w:t>
            </w:r>
            <w:r>
              <w:rPr>
                <w:rFonts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定植嫁接幼树</w:t>
            </w:r>
          </w:p>
        </w:tc>
        <w:tc>
          <w:tcPr>
            <w:tcW w:w="12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定植3年内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</w:t>
            </w:r>
            <w:r>
              <w:rPr>
                <w:rFonts w:ascii="仿宋" w:hAnsi="仿宋" w:eastAsia="仿宋" w:cs="Arial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葡萄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胸径在5厘米以上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胸径在2—5厘米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（含2厘米）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胸径在1—2厘米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（含1厘米）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胸径在1厘米以下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7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香（芭）蕉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挂果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苗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8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桑树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幼苗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产叶桑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初产叶（果）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中产叶（果）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盛产叶（果）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老化树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9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油茶、油桐、乌桕、梅子等类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未产果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初产果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中产期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盛产期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老化树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302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</w:t>
            </w:r>
          </w:p>
        </w:tc>
        <w:tc>
          <w:tcPr>
            <w:tcW w:w="2227" w:type="pct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笋用竹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　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11</w:t>
            </w:r>
          </w:p>
        </w:tc>
        <w:tc>
          <w:tcPr>
            <w:tcW w:w="2227" w:type="pct"/>
            <w:gridSpan w:val="3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竹类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25根以上（含25根）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2227" w:type="pct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10-25根（含10根）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2227" w:type="pct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10根及以下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12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松、杉、柏等针叶类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干胸径2厘米以下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干胸径2-6厘米 （含2厘米）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干胸径6-15厘米 （含6厘米）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干胸径15厘米以上 （含15厘米）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13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杂树等阔叶类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幼树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离地高度0.5—1米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离地面高度1米及以上， 主干胸径5厘米以下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离地面高度2米及以上， 主干胸径5—16厘米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离地面高度3米及以上， 主干胸径16厘米以上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302" w:type="pct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14</w:t>
            </w:r>
          </w:p>
        </w:tc>
        <w:tc>
          <w:tcPr>
            <w:tcW w:w="1137" w:type="pct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银杏、桂花、其他园林类</w:t>
            </w: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小树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胸径5厘米以下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中树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胸径5—10厘米（含5厘米）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02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137" w:type="pct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大树</w:t>
            </w:r>
          </w:p>
        </w:tc>
        <w:tc>
          <w:tcPr>
            <w:tcW w:w="1265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胸径10厘米以上 （含10厘米）</w:t>
            </w:r>
          </w:p>
        </w:tc>
        <w:tc>
          <w:tcPr>
            <w:tcW w:w="510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亩</w:t>
            </w:r>
          </w:p>
        </w:tc>
        <w:tc>
          <w:tcPr>
            <w:tcW w:w="696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7"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说明：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1、成片林木：成片面积在1亩以上（一般情况下）的林地上的林木和园地上的林木。</w:t>
            </w:r>
          </w:p>
        </w:tc>
      </w:tr>
    </w:tbl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br w:type="page"/>
      </w:r>
    </w:p>
    <w:p>
      <w:pPr>
        <w:spacing w:before="176" w:line="360" w:lineRule="auto"/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乐山市沐川县征收土地青苗补偿费标准表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49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bookmarkStart w:id="0" w:name="五、使用说明"/>
            <w:bookmarkEnd w:id="0"/>
            <w:bookmarkStart w:id="1" w:name="_bookmark15"/>
            <w:bookmarkEnd w:id="1"/>
            <w:bookmarkStart w:id="2" w:name="_bookmark14"/>
            <w:bookmarkEnd w:id="2"/>
            <w:bookmarkStart w:id="3" w:name="（二）新旧补偿标准的对比"/>
            <w:bookmarkEnd w:id="3"/>
            <w:r>
              <w:rPr>
                <w:rFonts w:hint="eastAsia" w:ascii="仿宋" w:hAnsi="仿宋" w:eastAsia="仿宋" w:cs="Arial"/>
                <w:sz w:val="24"/>
                <w:szCs w:val="24"/>
              </w:rPr>
              <w:t>序号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补偿项目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补偿标准（元/亩/年）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1</w:t>
            </w:r>
          </w:p>
        </w:tc>
        <w:tc>
          <w:tcPr>
            <w:tcW w:w="1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大、小春</w:t>
            </w:r>
          </w:p>
        </w:tc>
        <w:tc>
          <w:tcPr>
            <w:tcW w:w="30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说明：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1、大春指的是种植水稻的时期，即5月份至9月份左右，称为大春；大春作物以水稻、玉米为主。</w:t>
            </w:r>
          </w:p>
          <w:p>
            <w:pPr>
              <w:widowControl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ascii="仿宋" w:hAnsi="仿宋" w:eastAsia="仿宋" w:cs="Arial"/>
                <w:sz w:val="24"/>
                <w:szCs w:val="24"/>
              </w:rPr>
              <w:t>2、第一年播种第二年初夏收获的作物叫小春，即10月份至第二年4月左右。小春作物以小麦、油菜为主，也包括油菜、小麦、大豆、亚麻、豌豆、胡豆等。</w:t>
            </w:r>
          </w:p>
        </w:tc>
      </w:tr>
    </w:tbl>
    <w:p>
      <w:pPr>
        <w:pStyle w:val="4"/>
        <w:spacing w:before="7" w:line="360" w:lineRule="auto"/>
        <w:rPr>
          <w:rFonts w:ascii="仿宋" w:hAnsi="仿宋" w:eastAsia="仿宋"/>
          <w:sz w:val="15"/>
          <w:lang w:eastAsia="zh-CN"/>
        </w:rPr>
      </w:pPr>
    </w:p>
    <w:p/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lN2VlNDAyNTAwMzRjZmZkNmQ4NWFmN2I5NzE1OGQifQ=="/>
  </w:docVars>
  <w:rsids>
    <w:rsidRoot w:val="008218A2"/>
    <w:rsid w:val="00006F37"/>
    <w:rsid w:val="0004339C"/>
    <w:rsid w:val="00054679"/>
    <w:rsid w:val="00074A4B"/>
    <w:rsid w:val="00096179"/>
    <w:rsid w:val="00120DF9"/>
    <w:rsid w:val="001640CF"/>
    <w:rsid w:val="00296F3D"/>
    <w:rsid w:val="00346B41"/>
    <w:rsid w:val="00375843"/>
    <w:rsid w:val="00520E8B"/>
    <w:rsid w:val="00537273"/>
    <w:rsid w:val="005616A2"/>
    <w:rsid w:val="00581C49"/>
    <w:rsid w:val="00602FEB"/>
    <w:rsid w:val="0062009F"/>
    <w:rsid w:val="00634E21"/>
    <w:rsid w:val="00660BA8"/>
    <w:rsid w:val="006D2F5D"/>
    <w:rsid w:val="00744D1B"/>
    <w:rsid w:val="007D4688"/>
    <w:rsid w:val="00810A99"/>
    <w:rsid w:val="008218A2"/>
    <w:rsid w:val="00874BF0"/>
    <w:rsid w:val="008D28EA"/>
    <w:rsid w:val="008D722F"/>
    <w:rsid w:val="008F1830"/>
    <w:rsid w:val="009200C9"/>
    <w:rsid w:val="009A12FD"/>
    <w:rsid w:val="00A2626C"/>
    <w:rsid w:val="00A40CE9"/>
    <w:rsid w:val="00A910E8"/>
    <w:rsid w:val="00AC2376"/>
    <w:rsid w:val="00AE15E2"/>
    <w:rsid w:val="00AF78EC"/>
    <w:rsid w:val="00B401C8"/>
    <w:rsid w:val="00B4679A"/>
    <w:rsid w:val="00B5166F"/>
    <w:rsid w:val="00B72D74"/>
    <w:rsid w:val="00C113DC"/>
    <w:rsid w:val="00C60349"/>
    <w:rsid w:val="00CA00A1"/>
    <w:rsid w:val="00CA557B"/>
    <w:rsid w:val="00CA7901"/>
    <w:rsid w:val="00CB2F3D"/>
    <w:rsid w:val="00CD6376"/>
    <w:rsid w:val="00D4017D"/>
    <w:rsid w:val="00E03DD7"/>
    <w:rsid w:val="00E4321E"/>
    <w:rsid w:val="00E722D0"/>
    <w:rsid w:val="00E97E59"/>
    <w:rsid w:val="00F63D39"/>
    <w:rsid w:val="00F800C4"/>
    <w:rsid w:val="00F96FFB"/>
    <w:rsid w:val="1DC3693D"/>
    <w:rsid w:val="3E7D697D"/>
    <w:rsid w:val="6C8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autoSpaceDE w:val="0"/>
      <w:autoSpaceDN w:val="0"/>
      <w:spacing w:before="54"/>
      <w:ind w:left="260"/>
      <w:jc w:val="left"/>
      <w:outlineLvl w:val="0"/>
    </w:pPr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3">
    <w:name w:val="heading 2"/>
    <w:basedOn w:val="1"/>
    <w:next w:val="1"/>
    <w:link w:val="18"/>
    <w:unhideWhenUsed/>
    <w:qFormat/>
    <w:uiPriority w:val="9"/>
    <w:pPr>
      <w:autoSpaceDE w:val="0"/>
      <w:autoSpaceDN w:val="0"/>
      <w:ind w:left="903"/>
      <w:jc w:val="left"/>
      <w:outlineLvl w:val="1"/>
    </w:pPr>
    <w:rPr>
      <w:rFonts w:ascii="仿宋_GB2312" w:hAnsi="仿宋_GB2312" w:eastAsia="仿宋_GB2312" w:cs="仿宋_GB2312"/>
      <w:b/>
      <w:bCs/>
      <w:kern w:val="0"/>
      <w:sz w:val="28"/>
      <w:szCs w:val="28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8"/>
      <w:szCs w:val="28"/>
      <w:lang w:eastAsia="en-US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autoSpaceDE w:val="0"/>
      <w:autoSpaceDN w:val="0"/>
      <w:spacing w:before="132"/>
      <w:ind w:left="260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10">
    <w:name w:val="toc 2"/>
    <w:basedOn w:val="1"/>
    <w:next w:val="1"/>
    <w:qFormat/>
    <w:uiPriority w:val="39"/>
    <w:pPr>
      <w:autoSpaceDE w:val="0"/>
      <w:autoSpaceDN w:val="0"/>
      <w:spacing w:before="132"/>
      <w:ind w:left="680"/>
      <w:jc w:val="left"/>
    </w:pPr>
    <w:rPr>
      <w:rFonts w:ascii="黑体" w:hAnsi="黑体" w:eastAsia="黑体" w:cs="黑体"/>
      <w:kern w:val="0"/>
      <w:szCs w:val="21"/>
      <w:lang w:eastAsia="en-US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日期 字符"/>
    <w:basedOn w:val="12"/>
    <w:link w:val="6"/>
    <w:semiHidden/>
    <w:qFormat/>
    <w:uiPriority w:val="99"/>
  </w:style>
  <w:style w:type="character" w:customStyle="1" w:styleId="17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character" w:customStyle="1" w:styleId="18">
    <w:name w:val="标题 2 字符"/>
    <w:basedOn w:val="12"/>
    <w:link w:val="3"/>
    <w:qFormat/>
    <w:uiPriority w:val="9"/>
    <w:rPr>
      <w:rFonts w:ascii="仿宋_GB2312" w:hAnsi="仿宋_GB2312" w:eastAsia="仿宋_GB2312" w:cs="仿宋_GB2312"/>
      <w:b/>
      <w:bCs/>
      <w:kern w:val="0"/>
      <w:sz w:val="28"/>
      <w:szCs w:val="28"/>
      <w:lang w:eastAsia="en-US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字符"/>
    <w:basedOn w:val="12"/>
    <w:link w:val="4"/>
    <w:qFormat/>
    <w:uiPriority w:val="1"/>
    <w:rPr>
      <w:rFonts w:ascii="仿宋_GB2312" w:hAnsi="仿宋_GB2312" w:eastAsia="仿宋_GB2312" w:cs="仿宋_GB2312"/>
      <w:kern w:val="0"/>
      <w:sz w:val="28"/>
      <w:szCs w:val="28"/>
      <w:lang w:eastAsia="en-US"/>
    </w:rPr>
  </w:style>
  <w:style w:type="paragraph" w:styleId="21">
    <w:name w:val="List Paragraph"/>
    <w:basedOn w:val="1"/>
    <w:qFormat/>
    <w:uiPriority w:val="1"/>
    <w:pPr>
      <w:autoSpaceDE w:val="0"/>
      <w:autoSpaceDN w:val="0"/>
      <w:spacing w:before="1"/>
      <w:ind w:left="260" w:right="255" w:firstLine="559"/>
      <w:jc w:val="left"/>
    </w:pPr>
    <w:rPr>
      <w:rFonts w:ascii="仿宋_GB2312" w:hAnsi="仿宋_GB2312" w:eastAsia="仿宋_GB2312" w:cs="仿宋_GB2312"/>
      <w:kern w:val="0"/>
      <w:sz w:val="22"/>
      <w:lang w:eastAsia="en-US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center"/>
    </w:pPr>
    <w:rPr>
      <w:rFonts w:ascii="仿宋_GB2312" w:hAnsi="仿宋_GB2312" w:eastAsia="仿宋_GB2312" w:cs="仿宋_GB2312"/>
      <w:kern w:val="0"/>
      <w:sz w:val="22"/>
      <w:lang w:eastAsia="en-US"/>
    </w:rPr>
  </w:style>
  <w:style w:type="paragraph" w:customStyle="1" w:styleId="23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1033</Words>
  <Characters>5889</Characters>
  <Lines>49</Lines>
  <Paragraphs>13</Paragraphs>
  <TotalTime>51</TotalTime>
  <ScaleCrop>false</ScaleCrop>
  <LinksUpToDate>false</LinksUpToDate>
  <CharactersWithSpaces>6909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2020-07-27T01:19:00Z</dcterms:created>
  <dc:creator>User</dc:creator>
  <cp:lastModifiedBy>Administrator</cp:lastModifiedBy>
  <dcterms:modified xsi:type="dcterms:W3CDTF">2024-01-18T09:02:05Z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1D47A22E4DE946F2BE623C113A30916A_12</vt:lpwstr>
  </property>
</Properties>
</file>