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64" w:firstLineChars="739"/>
        <w:rPr>
          <w:rFonts w:ascii="方正小标宋简体" w:hAnsi="宋体" w:eastAsia="方正小标宋简体"/>
          <w:b/>
          <w:sz w:val="44"/>
          <w:szCs w:val="44"/>
        </w:rPr>
      </w:pPr>
      <w:r>
        <w:rPr>
          <w:rFonts w:ascii="方正小标宋简体" w:hAnsi="宋体" w:eastAsia="方正小标宋简体"/>
          <w:b/>
          <w:sz w:val="44"/>
          <w:szCs w:val="44"/>
        </w:rPr>
        <w:t>2022</w:t>
      </w:r>
      <w:r>
        <w:rPr>
          <w:rFonts w:hint="eastAsia" w:ascii="方正小标宋简体" w:hAnsi="宋体" w:eastAsia="方正小标宋简体"/>
          <w:b/>
          <w:sz w:val="44"/>
          <w:szCs w:val="44"/>
        </w:rPr>
        <w:t>年度</w:t>
      </w:r>
    </w:p>
    <w:p>
      <w:pPr>
        <w:spacing w:line="560" w:lineRule="exact"/>
        <w:ind w:firstLine="883" w:firstLineChars="200"/>
        <w:jc w:val="center"/>
        <w:rPr>
          <w:rFonts w:ascii="方正小标宋简体" w:hAnsi="宋体" w:eastAsia="方正小标宋简体"/>
          <w:b/>
          <w:sz w:val="44"/>
          <w:szCs w:val="44"/>
        </w:rPr>
      </w:pPr>
      <w:r>
        <w:rPr>
          <w:rFonts w:hint="eastAsia" w:ascii="方正小标宋简体" w:hAnsi="宋体" w:eastAsia="方正小标宋简体"/>
          <w:b/>
          <w:sz w:val="44"/>
          <w:szCs w:val="44"/>
        </w:rPr>
        <w:t>中国共产党沐川县委员会组织部部门决  算</w:t>
      </w:r>
    </w:p>
    <w:p>
      <w:pPr>
        <w:jc w:val="center"/>
        <w:rPr>
          <w:rFonts w:ascii="黑体" w:eastAsia="黑体" w:cs="黑体"/>
          <w:sz w:val="48"/>
          <w:szCs w:val="48"/>
          <w:lang w:val="zh-CN"/>
        </w:rPr>
      </w:pPr>
    </w:p>
    <w:p>
      <w:pPr>
        <w:jc w:val="center"/>
        <w:rPr>
          <w:rFonts w:ascii="黑体" w:eastAsia="黑体" w:cs="黑体"/>
          <w:sz w:val="48"/>
          <w:szCs w:val="48"/>
          <w:lang w:val="zh-CN"/>
        </w:rPr>
      </w:pPr>
      <w:r>
        <w:rPr>
          <w:rFonts w:hint="eastAsia" w:ascii="黑体" w:eastAsia="黑体" w:cs="黑体"/>
          <w:sz w:val="48"/>
          <w:szCs w:val="48"/>
          <w:lang w:val="zh-CN"/>
        </w:rPr>
        <w:t>目录</w:t>
      </w:r>
    </w:p>
    <w:p>
      <w:pPr>
        <w:jc w:val="center"/>
        <w:rPr>
          <w:rFonts w:ascii="黑体" w:eastAsia="黑体" w:cs="黑体"/>
          <w:sz w:val="28"/>
          <w:szCs w:val="28"/>
          <w:lang w:val="zh-CN"/>
        </w:rPr>
      </w:pPr>
    </w:p>
    <w:p>
      <w:pPr>
        <w:tabs>
          <w:tab w:val="right" w:leader="dot" w:pos="8296"/>
        </w:tabs>
        <w:spacing w:before="93"/>
        <w:jc w:val="center"/>
        <w:rPr>
          <w:rFonts w:ascii="仿宋" w:eastAsia="仿宋" w:cs="仿宋"/>
          <w:sz w:val="28"/>
          <w:szCs w:val="28"/>
          <w:lang w:val="zh-CN"/>
        </w:rPr>
      </w:pPr>
      <w:r>
        <w:rPr>
          <w:rFonts w:hint="eastAsia" w:ascii="仿宋" w:eastAsia="仿宋" w:cs="仿宋"/>
          <w:sz w:val="28"/>
          <w:szCs w:val="28"/>
          <w:lang w:val="zh-CN"/>
        </w:rPr>
        <w:t>公开时间：</w:t>
      </w:r>
      <w:r>
        <w:rPr>
          <w:rFonts w:ascii="仿宋" w:eastAsia="仿宋" w:cs="仿宋"/>
          <w:sz w:val="28"/>
          <w:szCs w:val="28"/>
          <w:lang w:val="zh-CN"/>
        </w:rPr>
        <w:t>2023</w:t>
      </w:r>
      <w:r>
        <w:rPr>
          <w:rFonts w:hint="eastAsia" w:ascii="仿宋" w:eastAsia="仿宋" w:cs="仿宋"/>
          <w:sz w:val="28"/>
          <w:szCs w:val="28"/>
          <w:lang w:val="zh-CN"/>
        </w:rPr>
        <w:t>年10月13日</w:t>
      </w:r>
    </w:p>
    <w:p>
      <w:pPr>
        <w:rPr>
          <w:rFonts w:ascii="Times New Roman" w:hAnsi="Times New Roman" w:eastAsia="仿宋"/>
          <w:szCs w:val="21"/>
          <w:lang w:val="zh-CN"/>
        </w:rPr>
      </w:pPr>
    </w:p>
    <w:p>
      <w:pPr>
        <w:tabs>
          <w:tab w:val="right" w:leader="dot" w:pos="8296"/>
        </w:tabs>
        <w:spacing w:line="440" w:lineRule="exact"/>
        <w:rPr>
          <w:rFonts w:ascii="仿宋_GB2312" w:hAnsi="Times New Roman" w:eastAsia="仿宋_GB2312" w:cs="仿宋"/>
          <w:sz w:val="32"/>
          <w:szCs w:val="32"/>
          <w:lang w:val="zh-CN"/>
        </w:rPr>
      </w:pPr>
      <w:r>
        <w:rPr>
          <w:rFonts w:hint="eastAsia" w:ascii="仿宋_GB2312" w:hAnsi="Times New Roman" w:eastAsia="仿宋_GB2312" w:cs="仿宋"/>
          <w:sz w:val="32"/>
          <w:szCs w:val="32"/>
          <w:lang w:val="zh-CN"/>
        </w:rPr>
        <w:t>第一部分 部门概况</w:t>
      </w:r>
    </w:p>
    <w:p>
      <w:pPr>
        <w:tabs>
          <w:tab w:val="right" w:leader="dot" w:pos="8296"/>
        </w:tabs>
        <w:spacing w:line="44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一、部门职责</w:t>
      </w:r>
    </w:p>
    <w:p>
      <w:pPr>
        <w:tabs>
          <w:tab w:val="right" w:leader="dot" w:pos="8296"/>
        </w:tabs>
        <w:spacing w:line="44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二、机构设置</w:t>
      </w:r>
    </w:p>
    <w:p>
      <w:pPr>
        <w:tabs>
          <w:tab w:val="right" w:leader="dot" w:pos="8296"/>
        </w:tabs>
        <w:spacing w:line="440" w:lineRule="exact"/>
        <w:rPr>
          <w:rFonts w:ascii="仿宋_GB2312" w:hAnsi="Times New Roman" w:eastAsia="仿宋_GB2312" w:cs="仿宋"/>
          <w:sz w:val="32"/>
          <w:szCs w:val="32"/>
          <w:lang w:val="zh-CN"/>
        </w:rPr>
      </w:pPr>
      <w:r>
        <w:rPr>
          <w:rFonts w:hint="eastAsia" w:ascii="仿宋_GB2312" w:hAnsi="Times New Roman" w:eastAsia="仿宋_GB2312" w:cs="仿宋"/>
          <w:sz w:val="32"/>
          <w:szCs w:val="32"/>
          <w:lang w:val="zh-CN"/>
        </w:rPr>
        <w:t>第二部分 2022年度部门决算情况说明</w:t>
      </w:r>
    </w:p>
    <w:p>
      <w:pPr>
        <w:tabs>
          <w:tab w:val="right" w:leader="dot" w:pos="8296"/>
        </w:tabs>
        <w:spacing w:line="44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一、收入支出决算总体情况说明</w:t>
      </w:r>
    </w:p>
    <w:p>
      <w:pPr>
        <w:tabs>
          <w:tab w:val="right" w:leader="dot" w:pos="8296"/>
        </w:tabs>
        <w:spacing w:line="44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二、收入决算情况说明</w:t>
      </w:r>
    </w:p>
    <w:p>
      <w:pPr>
        <w:tabs>
          <w:tab w:val="right" w:leader="dot" w:pos="8296"/>
        </w:tabs>
        <w:spacing w:line="44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三、支出决算情况说明</w:t>
      </w:r>
    </w:p>
    <w:p>
      <w:pPr>
        <w:tabs>
          <w:tab w:val="right" w:leader="dot" w:pos="8296"/>
        </w:tabs>
        <w:spacing w:line="44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四、财政拨款收入支出决算总体情况说明</w:t>
      </w:r>
    </w:p>
    <w:p>
      <w:pPr>
        <w:tabs>
          <w:tab w:val="right" w:leader="dot" w:pos="8296"/>
        </w:tabs>
        <w:spacing w:line="44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五、一般公共预算财政拨款支出决算情况说明</w:t>
      </w:r>
    </w:p>
    <w:p>
      <w:pPr>
        <w:tabs>
          <w:tab w:val="right" w:leader="dot" w:pos="8296"/>
        </w:tabs>
        <w:spacing w:line="44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六、一般公共预算财政拨款基本支出决算情况说明</w:t>
      </w:r>
    </w:p>
    <w:p>
      <w:pPr>
        <w:tabs>
          <w:tab w:val="right" w:leader="dot" w:pos="8296"/>
        </w:tabs>
        <w:spacing w:line="44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七、财政拨款“三公”经费支出决算情况说明</w:t>
      </w:r>
    </w:p>
    <w:p>
      <w:pPr>
        <w:tabs>
          <w:tab w:val="right" w:leader="dot" w:pos="8296"/>
        </w:tabs>
        <w:spacing w:line="440" w:lineRule="exact"/>
        <w:ind w:left="420"/>
        <w:rPr>
          <w:rFonts w:ascii="仿宋_GB2312" w:hAnsi="Times New Roman" w:eastAsia="仿宋_GB2312" w:cs="仿宋"/>
          <w:sz w:val="32"/>
          <w:szCs w:val="32"/>
          <w:lang w:val="zh-CN"/>
        </w:rPr>
      </w:pPr>
      <w:r>
        <w:rPr>
          <w:rFonts w:hint="eastAsia" w:ascii="仿宋_GB2312" w:hAnsi="Times New Roman" w:eastAsia="仿宋_GB2312" w:cs="宋体"/>
          <w:sz w:val="32"/>
          <w:szCs w:val="32"/>
          <w:lang w:val="zh-CN"/>
        </w:rPr>
        <w:t>八、政府性基金预算支出决算情况说明</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九、国有资本经营预算支出决算情况说明</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十、其他重要事项的情况说明</w:t>
      </w:r>
      <w:r>
        <w:rPr>
          <w:rFonts w:hint="eastAsia" w:ascii="仿宋_GB2312" w:hAnsi="Times New Roman" w:eastAsia="仿宋_GB2312" w:cs="宋体"/>
          <w:sz w:val="32"/>
          <w:szCs w:val="32"/>
          <w:lang w:val="zh-CN"/>
        </w:rPr>
        <w:tab/>
      </w:r>
    </w:p>
    <w:p>
      <w:pPr>
        <w:tabs>
          <w:tab w:val="right" w:leader="dot" w:pos="8296"/>
        </w:tabs>
        <w:spacing w:line="440" w:lineRule="exact"/>
        <w:rPr>
          <w:rFonts w:ascii="仿宋_GB2312" w:hAnsi="Times New Roman" w:eastAsia="仿宋_GB2312" w:cs="仿宋"/>
          <w:sz w:val="32"/>
          <w:szCs w:val="32"/>
          <w:lang w:val="zh-CN"/>
        </w:rPr>
      </w:pPr>
      <w:r>
        <w:rPr>
          <w:rFonts w:hint="eastAsia" w:ascii="仿宋_GB2312" w:hAnsi="Times New Roman" w:eastAsia="仿宋_GB2312" w:cs="仿宋"/>
          <w:sz w:val="32"/>
          <w:szCs w:val="32"/>
          <w:lang w:val="zh-CN"/>
        </w:rPr>
        <w:t>第三部分 名词解释</w:t>
      </w:r>
    </w:p>
    <w:p>
      <w:pPr>
        <w:tabs>
          <w:tab w:val="right" w:leader="dot" w:pos="8296"/>
        </w:tabs>
        <w:spacing w:line="440" w:lineRule="exact"/>
        <w:rPr>
          <w:rFonts w:ascii="仿宋_GB2312" w:hAnsi="Times New Roman" w:eastAsia="仿宋_GB2312" w:cs="仿宋"/>
          <w:sz w:val="32"/>
          <w:szCs w:val="32"/>
          <w:lang w:val="zh-CN"/>
        </w:rPr>
      </w:pPr>
      <w:r>
        <w:rPr>
          <w:rFonts w:hint="eastAsia" w:ascii="仿宋_GB2312" w:hAnsi="Times New Roman" w:eastAsia="仿宋_GB2312" w:cs="仿宋"/>
          <w:sz w:val="32"/>
          <w:szCs w:val="32"/>
          <w:lang w:val="zh-CN"/>
        </w:rPr>
        <w:t>第四部分 附件</w:t>
      </w:r>
    </w:p>
    <w:p>
      <w:pPr>
        <w:tabs>
          <w:tab w:val="right" w:leader="dot" w:pos="8296"/>
        </w:tabs>
        <w:spacing w:line="440" w:lineRule="exact"/>
        <w:rPr>
          <w:rFonts w:ascii="仿宋_GB2312" w:hAnsi="Times New Roman" w:eastAsia="仿宋_GB2312" w:cs="仿宋"/>
          <w:sz w:val="32"/>
          <w:szCs w:val="32"/>
          <w:lang w:val="zh-CN"/>
        </w:rPr>
      </w:pPr>
      <w:r>
        <w:rPr>
          <w:rFonts w:hint="eastAsia" w:ascii="仿宋_GB2312" w:hAnsi="Times New Roman" w:eastAsia="仿宋_GB2312" w:cs="仿宋"/>
          <w:sz w:val="32"/>
          <w:szCs w:val="32"/>
          <w:lang w:val="zh-CN"/>
        </w:rPr>
        <w:t>第五部分 附表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一、收入支出决算总表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二、收入决算表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三、支出决算表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四、财政拨款收入支出决算总表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五、财政拨款支出决算明细表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六、一般公共预算财政拨款支出决算表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七、一般公共预算财政拨款支出决算明细表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八、一般公共预算财政拨款基本支出决算明细表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九、一般公共预算财政拨款项目支出决算表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十、政府性基金预算财政拨款收入支出决算表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十一、国有资本经营预算财政拨款收入支出决算表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十二、国有资本经营预算财政拨款支出决算表</w:t>
      </w:r>
    </w:p>
    <w:p>
      <w:pPr>
        <w:tabs>
          <w:tab w:val="right" w:leader="dot" w:pos="8296"/>
        </w:tabs>
        <w:spacing w:line="440" w:lineRule="exact"/>
        <w:ind w:left="420"/>
        <w:rPr>
          <w:rFonts w:ascii="仿宋_GB2312" w:hAnsi="Times New Roman" w:eastAsia="仿宋_GB2312" w:cs="宋体"/>
          <w:sz w:val="32"/>
          <w:szCs w:val="32"/>
          <w:lang w:val="zh-CN"/>
        </w:rPr>
      </w:pPr>
      <w:r>
        <w:rPr>
          <w:rFonts w:hint="eastAsia" w:ascii="仿宋_GB2312" w:hAnsi="Times New Roman" w:eastAsia="仿宋_GB2312" w:cs="宋体"/>
          <w:sz w:val="32"/>
          <w:szCs w:val="32"/>
          <w:lang w:val="zh-CN"/>
        </w:rPr>
        <w:t>十三、财政拨款“三公”经费支出决算表</w:t>
      </w:r>
    </w:p>
    <w:p>
      <w:pPr>
        <w:ind w:firstLine="2400" w:firstLineChars="750"/>
        <w:rPr>
          <w:rFonts w:ascii="黑体" w:eastAsia="黑体"/>
          <w:sz w:val="32"/>
          <w:szCs w:val="32"/>
        </w:rPr>
      </w:pPr>
    </w:p>
    <w:p>
      <w:pPr>
        <w:ind w:firstLine="1966" w:firstLineChars="445"/>
        <w:rPr>
          <w:rFonts w:ascii="黑体" w:eastAsia="黑体"/>
          <w:b/>
          <w:sz w:val="44"/>
          <w:szCs w:val="44"/>
        </w:rPr>
      </w:pPr>
      <w:r>
        <w:rPr>
          <w:rFonts w:hint="eastAsia" w:ascii="黑体" w:eastAsia="黑体"/>
          <w:b/>
          <w:sz w:val="44"/>
          <w:szCs w:val="44"/>
        </w:rPr>
        <w:t>第一部分  部门概况</w:t>
      </w:r>
    </w:p>
    <w:p>
      <w:pPr>
        <w:rPr>
          <w:rFonts w:ascii="仿宋_GB2312" w:eastAsia="仿宋_GB2312"/>
          <w:b/>
          <w:sz w:val="32"/>
          <w:szCs w:val="32"/>
        </w:rPr>
      </w:pPr>
      <w:r>
        <w:rPr>
          <w:rFonts w:ascii="黑体" w:eastAsia="黑体"/>
          <w:sz w:val="32"/>
          <w:szCs w:val="32"/>
        </w:rPr>
        <w:t xml:space="preserve">    </w:t>
      </w:r>
      <w:r>
        <w:rPr>
          <w:rFonts w:hint="eastAsia" w:ascii="黑体" w:eastAsia="黑体"/>
          <w:sz w:val="32"/>
          <w:szCs w:val="32"/>
        </w:rPr>
        <w:t>一、部门职责</w:t>
      </w:r>
    </w:p>
    <w:p>
      <w:pPr>
        <w:widowControl/>
        <w:adjustRightInd w:val="0"/>
        <w:snapToGrid w:val="0"/>
        <w:spacing w:line="600" w:lineRule="exact"/>
        <w:ind w:firstLine="720"/>
        <w:jc w:val="left"/>
        <w:rPr>
          <w:rFonts w:ascii="仿宋" w:hAnsi="仿宋" w:eastAsia="仿宋" w:cs="宋体"/>
          <w:color w:val="000000"/>
          <w:kern w:val="0"/>
          <w:sz w:val="32"/>
          <w:szCs w:val="32"/>
          <w:lang w:val="zh-CN"/>
        </w:rPr>
      </w:pPr>
      <w:r>
        <w:rPr>
          <w:rFonts w:ascii="仿宋" w:hAnsi="仿宋" w:eastAsia="仿宋"/>
          <w:bCs/>
          <w:snapToGrid w:val="0"/>
          <w:kern w:val="0"/>
          <w:sz w:val="32"/>
          <w:szCs w:val="32"/>
        </w:rPr>
        <w:t>负责全县党的组织体系、组织制度建设</w:t>
      </w:r>
      <w:r>
        <w:rPr>
          <w:rFonts w:hint="eastAsia" w:ascii="仿宋" w:hAnsi="仿宋" w:eastAsia="仿宋"/>
          <w:bCs/>
          <w:snapToGrid w:val="0"/>
          <w:kern w:val="0"/>
          <w:sz w:val="32"/>
          <w:szCs w:val="32"/>
        </w:rPr>
        <w:t>、</w:t>
      </w:r>
      <w:r>
        <w:rPr>
          <w:rFonts w:ascii="仿宋" w:hAnsi="仿宋" w:eastAsia="仿宋"/>
          <w:bCs/>
          <w:snapToGrid w:val="0"/>
          <w:kern w:val="0"/>
          <w:sz w:val="32"/>
          <w:szCs w:val="32"/>
        </w:rPr>
        <w:t>党员教育工作。负责全县领导班子和干部队伍建设的总体规划和宏观管理。负责县委管理领导班子和领导干部的考察考核、日常管理，提出调整配备建议，审核办理任免、工资、退休、兼职、待遇等有关事项</w:t>
      </w:r>
      <w:r>
        <w:rPr>
          <w:rFonts w:hint="eastAsia" w:ascii="仿宋" w:hAnsi="仿宋" w:eastAsia="仿宋"/>
          <w:bCs/>
          <w:snapToGrid w:val="0"/>
          <w:kern w:val="0"/>
          <w:sz w:val="32"/>
          <w:szCs w:val="32"/>
        </w:rPr>
        <w:t>，</w:t>
      </w:r>
      <w:r>
        <w:rPr>
          <w:rFonts w:ascii="仿宋" w:hAnsi="仿宋" w:eastAsia="仿宋"/>
          <w:bCs/>
          <w:snapToGrid w:val="0"/>
          <w:kern w:val="0"/>
          <w:sz w:val="32"/>
          <w:szCs w:val="32"/>
        </w:rPr>
        <w:t>承担公务员录用、调配、考核、奖惩、培训、监督、工资福利等工作，指导公务员绩效管理工作。负责全县人才工作的宏观指导、组织协调和督促检查</w:t>
      </w:r>
      <w:r>
        <w:rPr>
          <w:rFonts w:hint="eastAsia" w:ascii="仿宋" w:hAnsi="仿宋" w:eastAsia="仿宋"/>
          <w:bCs/>
          <w:snapToGrid w:val="0"/>
          <w:kern w:val="0"/>
          <w:sz w:val="32"/>
          <w:szCs w:val="32"/>
        </w:rPr>
        <w:t>。</w:t>
      </w:r>
      <w:r>
        <w:rPr>
          <w:rFonts w:ascii="仿宋" w:hAnsi="仿宋" w:eastAsia="仿宋"/>
          <w:bCs/>
          <w:snapToGrid w:val="0"/>
          <w:color w:val="000000"/>
          <w:kern w:val="0"/>
          <w:sz w:val="32"/>
          <w:szCs w:val="32"/>
        </w:rPr>
        <w:t>贯彻落实党的老干部工作方针政策，组织老干部开展政治思想理论学习，落实老干部政治、生活待遇</w:t>
      </w:r>
      <w:r>
        <w:rPr>
          <w:rFonts w:hint="eastAsia" w:ascii="仿宋" w:hAnsi="仿宋" w:eastAsia="仿宋"/>
          <w:bCs/>
          <w:snapToGrid w:val="0"/>
          <w:color w:val="000000"/>
          <w:kern w:val="0"/>
          <w:sz w:val="32"/>
          <w:szCs w:val="32"/>
        </w:rPr>
        <w:t>。</w:t>
      </w:r>
    </w:p>
    <w:p>
      <w:pPr>
        <w:ind w:firstLine="643" w:firstLineChars="200"/>
        <w:rPr>
          <w:rFonts w:ascii="仿宋_GB2312" w:eastAsia="仿宋_GB2312"/>
          <w:b/>
          <w:sz w:val="32"/>
          <w:szCs w:val="32"/>
        </w:rPr>
      </w:pPr>
      <w:r>
        <w:rPr>
          <w:rFonts w:hint="eastAsia" w:ascii="仿宋_GB2312" w:eastAsia="仿宋_GB2312"/>
          <w:b/>
          <w:sz w:val="32"/>
          <w:szCs w:val="32"/>
        </w:rPr>
        <w:t>二、机构设置</w:t>
      </w:r>
    </w:p>
    <w:p>
      <w:pPr>
        <w:ind w:firstLine="640" w:firstLineChars="200"/>
        <w:rPr>
          <w:rFonts w:ascii="仿宋_GB2312" w:eastAsia="仿宋_GB2312"/>
          <w:b/>
          <w:sz w:val="32"/>
          <w:szCs w:val="32"/>
        </w:rPr>
      </w:pPr>
      <w:r>
        <w:rPr>
          <w:rFonts w:hint="eastAsia" w:ascii="仿宋" w:hAnsi="仿宋" w:eastAsia="仿宋"/>
          <w:kern w:val="0"/>
          <w:sz w:val="32"/>
          <w:szCs w:val="32"/>
        </w:rPr>
        <w:t>中共沐川县委组织部为一级预算单位,下属参公事业单位：县委组织部党员教育中心，事业单位：沐川县老干部活动中心、沐川县干部人事档案服务中心，县委直属参公事业单位：县委党史地志室。</w:t>
      </w:r>
    </w:p>
    <w:p>
      <w:pPr>
        <w:ind w:firstLine="643" w:firstLineChars="200"/>
        <w:rPr>
          <w:rFonts w:ascii="仿宋_GB2312" w:eastAsia="仿宋_GB2312"/>
          <w:b/>
          <w:sz w:val="32"/>
          <w:szCs w:val="32"/>
        </w:rPr>
      </w:pPr>
      <w:r>
        <w:rPr>
          <w:rFonts w:hint="eastAsia" w:ascii="仿宋_GB2312" w:eastAsia="仿宋_GB2312"/>
          <w:b/>
          <w:sz w:val="32"/>
          <w:szCs w:val="32"/>
        </w:rPr>
        <w:t>三、人员情况</w:t>
      </w:r>
    </w:p>
    <w:p>
      <w:pPr>
        <w:spacing w:line="560" w:lineRule="exact"/>
        <w:ind w:firstLine="640" w:firstLineChars="200"/>
        <w:rPr>
          <w:rFonts w:ascii="仿宋_GB2312" w:eastAsia="仿宋_GB2312"/>
          <w:sz w:val="32"/>
          <w:szCs w:val="32"/>
        </w:rPr>
      </w:pPr>
      <w:r>
        <w:rPr>
          <w:rFonts w:hint="eastAsia" w:ascii="仿宋" w:hAnsi="仿宋" w:eastAsia="仿宋"/>
          <w:kern w:val="0"/>
          <w:sz w:val="32"/>
          <w:szCs w:val="32"/>
        </w:rPr>
        <w:t>组织部总编制36个，其中：行政编制19个、工勤编制1个、参公编制7个、事业编制9个。在职人员总数27人，其中：行政16人、工勤1人、参公6人、事业4人。</w:t>
      </w:r>
      <w:r>
        <w:rPr>
          <w:rFonts w:hint="eastAsia" w:ascii="仿宋_GB2312" w:eastAsia="仿宋_GB2312"/>
          <w:sz w:val="32"/>
          <w:szCs w:val="32"/>
        </w:rPr>
        <w:t>另长骋人员1人，临聘人员1人，遗属1人。</w:t>
      </w:r>
    </w:p>
    <w:p>
      <w:pPr>
        <w:spacing w:line="560" w:lineRule="exact"/>
        <w:ind w:firstLine="640" w:firstLineChars="200"/>
        <w:rPr>
          <w:rFonts w:ascii="仿宋_GB2312" w:eastAsia="仿宋_GB2312"/>
          <w:sz w:val="32"/>
          <w:szCs w:val="32"/>
        </w:rPr>
      </w:pPr>
    </w:p>
    <w:p>
      <w:pPr>
        <w:spacing w:line="560" w:lineRule="exact"/>
        <w:ind w:firstLine="880" w:firstLineChars="200"/>
        <w:rPr>
          <w:rFonts w:ascii="仿宋_GB2312" w:eastAsia="仿宋_GB2312"/>
          <w:sz w:val="32"/>
          <w:szCs w:val="32"/>
        </w:rPr>
      </w:pPr>
      <w:r>
        <w:rPr>
          <w:rFonts w:hint="eastAsia" w:ascii="黑体" w:hAnsi="Cambria" w:eastAsia="黑体" w:cs="黑体"/>
          <w:color w:val="000000"/>
          <w:kern w:val="44"/>
          <w:sz w:val="44"/>
          <w:szCs w:val="44"/>
          <w:lang w:val="zh-CN"/>
        </w:rPr>
        <w:t>第二部分</w:t>
      </w:r>
      <w:r>
        <w:rPr>
          <w:rFonts w:ascii="黑体" w:hAnsi="Cambria" w:eastAsia="黑体" w:cs="黑体"/>
          <w:b/>
          <w:bCs/>
          <w:color w:val="000000"/>
          <w:kern w:val="44"/>
          <w:sz w:val="44"/>
          <w:szCs w:val="44"/>
          <w:lang w:val="zh-CN"/>
        </w:rPr>
        <w:t xml:space="preserve"> </w:t>
      </w:r>
      <w:r>
        <w:rPr>
          <w:rFonts w:ascii="黑体" w:hAnsi="Cambria" w:eastAsia="黑体" w:cs="黑体"/>
          <w:kern w:val="44"/>
          <w:sz w:val="44"/>
          <w:szCs w:val="44"/>
          <w:lang w:val="zh-CN"/>
        </w:rPr>
        <w:t>2022</w:t>
      </w:r>
      <w:r>
        <w:rPr>
          <w:rFonts w:hint="eastAsia" w:ascii="黑体" w:hAnsi="Cambria" w:eastAsia="黑体" w:cs="黑体"/>
          <w:kern w:val="44"/>
          <w:sz w:val="44"/>
          <w:szCs w:val="44"/>
          <w:lang w:val="zh-CN"/>
        </w:rPr>
        <w:t>年度部门决算情况说明</w:t>
      </w:r>
    </w:p>
    <w:p>
      <w:pPr>
        <w:spacing w:line="560" w:lineRule="exact"/>
        <w:ind w:firstLine="640" w:firstLineChars="200"/>
        <w:rPr>
          <w:rFonts w:ascii="仿宋_GB2312" w:eastAsia="仿宋_GB2312"/>
          <w:sz w:val="32"/>
          <w:szCs w:val="32"/>
        </w:rPr>
      </w:pPr>
    </w:p>
    <w:p>
      <w:pPr>
        <w:ind w:firstLine="640" w:firstLineChars="200"/>
        <w:rPr>
          <w:rFonts w:ascii="黑体" w:eastAsia="黑体"/>
          <w:sz w:val="32"/>
          <w:szCs w:val="32"/>
        </w:rPr>
      </w:pPr>
      <w:r>
        <w:rPr>
          <w:rFonts w:hint="eastAsia" w:ascii="黑体" w:eastAsia="黑体"/>
          <w:sz w:val="32"/>
          <w:szCs w:val="32"/>
        </w:rPr>
        <w:t>一、</w:t>
      </w:r>
      <w:r>
        <w:rPr>
          <w:rFonts w:hint="eastAsia" w:ascii="黑体" w:hAnsi="Times New Roman" w:eastAsia="黑体" w:cs="黑体"/>
          <w:color w:val="000000"/>
          <w:sz w:val="32"/>
          <w:szCs w:val="32"/>
          <w:lang w:val="zh-CN"/>
        </w:rPr>
        <w:t>收</w:t>
      </w:r>
      <w:r>
        <w:rPr>
          <w:rFonts w:hint="eastAsia" w:ascii="黑体" w:hAnsi="Times New Roman" w:eastAsia="黑体" w:cs="黑体"/>
          <w:sz w:val="32"/>
          <w:szCs w:val="32"/>
          <w:lang w:val="zh-CN"/>
        </w:rPr>
        <w:t>入支出决算总体情况说明</w:t>
      </w:r>
    </w:p>
    <w:p>
      <w:pPr>
        <w:ind w:firstLine="640" w:firstLineChars="200"/>
        <w:rPr>
          <w:rFonts w:ascii="仿宋_GB2312" w:eastAsia="仿宋_GB2312"/>
          <w:sz w:val="32"/>
          <w:szCs w:val="32"/>
        </w:rPr>
      </w:pPr>
      <w:r>
        <w:rPr>
          <w:rFonts w:hint="eastAsia" w:ascii="仿宋_GB2312" w:eastAsia="仿宋_GB2312"/>
          <w:sz w:val="32"/>
          <w:szCs w:val="32"/>
        </w:rPr>
        <w:t>2022年组织部收、支总计954.16万元。与2021年相比收、支减少62.08万元，下降6.1%，主要原因是减少项目支出。</w:t>
      </w:r>
    </w:p>
    <w:p>
      <w:pPr>
        <w:ind w:firstLine="640" w:firstLineChars="200"/>
        <w:rPr>
          <w:rFonts w:ascii="仿宋_GB2312" w:eastAsia="仿宋_GB2312"/>
          <w:sz w:val="32"/>
          <w:szCs w:val="32"/>
        </w:rPr>
      </w:pPr>
      <w:r>
        <w:rPr>
          <w:rFonts w:hint="eastAsia" w:ascii="仿宋_GB2312" w:eastAsia="仿宋_GB2312"/>
          <w:sz w:val="32"/>
          <w:szCs w:val="32"/>
        </w:rPr>
        <w:t xml:space="preserve">        2022年</w:t>
      </w:r>
      <w:r>
        <w:rPr>
          <w:rFonts w:hint="eastAsia" w:ascii="仿宋" w:hAnsi="Times New Roman" w:eastAsia="仿宋" w:cs="仿宋"/>
          <w:sz w:val="32"/>
          <w:szCs w:val="32"/>
        </w:rPr>
        <w:t>收、支决算总计变动情况图</w:t>
      </w:r>
    </w:p>
    <w:p>
      <w:pPr>
        <w:ind w:firstLine="420" w:firstLineChars="200"/>
        <w:rPr>
          <w:rFonts w:ascii="仿宋_GB2312" w:eastAsia="仿宋_GB2312"/>
          <w:sz w:val="32"/>
          <w:szCs w:val="32"/>
        </w:rPr>
      </w:pPr>
      <w:r>
        <w:drawing>
          <wp:inline distT="0" distB="0" distL="0" distR="0">
            <wp:extent cx="4572000" cy="27432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rPr>
          <w:rFonts w:ascii="仿宋_GB2312" w:eastAsia="仿宋_GB2312"/>
          <w:sz w:val="32"/>
          <w:szCs w:val="32"/>
        </w:rPr>
      </w:pPr>
      <w:r>
        <w:rPr>
          <w:rFonts w:hint="eastAsia" w:ascii="黑体" w:hAnsi="Times New Roman" w:eastAsia="黑体" w:cs="黑体"/>
          <w:color w:val="000000"/>
          <w:sz w:val="32"/>
          <w:szCs w:val="32"/>
          <w:lang w:val="zh-CN"/>
        </w:rPr>
        <w:t>二、收</w:t>
      </w:r>
      <w:r>
        <w:rPr>
          <w:rFonts w:hint="eastAsia" w:ascii="黑体" w:hAnsi="Times New Roman" w:eastAsia="黑体" w:cs="黑体"/>
          <w:sz w:val="32"/>
          <w:szCs w:val="32"/>
          <w:lang w:val="zh-CN"/>
        </w:rPr>
        <w:t>入决算情况说明</w:t>
      </w:r>
    </w:p>
    <w:p>
      <w:pPr>
        <w:ind w:firstLine="640" w:firstLineChars="200"/>
        <w:rPr>
          <w:rFonts w:ascii="仿宋_GB2312" w:hAnsi="Times New Roman" w:eastAsia="仿宋_GB2312" w:cs="仿宋_GB2312"/>
          <w:color w:val="000000"/>
          <w:sz w:val="32"/>
          <w:szCs w:val="32"/>
          <w:lang w:val="zh-CN"/>
        </w:rPr>
      </w:pPr>
      <w:r>
        <w:rPr>
          <w:rFonts w:ascii="仿宋_GB2312" w:hAnsi="Times New Roman" w:eastAsia="仿宋_GB2312" w:cs="仿宋_GB2312"/>
          <w:color w:val="000000"/>
          <w:sz w:val="32"/>
          <w:szCs w:val="32"/>
          <w:lang w:val="zh-CN"/>
        </w:rPr>
        <w:t>2022</w:t>
      </w:r>
      <w:r>
        <w:rPr>
          <w:rFonts w:hint="eastAsia" w:ascii="仿宋_GB2312" w:hAnsi="Times New Roman" w:eastAsia="仿宋_GB2312" w:cs="仿宋_GB2312"/>
          <w:color w:val="000000"/>
          <w:sz w:val="32"/>
          <w:szCs w:val="32"/>
          <w:lang w:val="zh-CN"/>
        </w:rPr>
        <w:t>年本年收入合计954.16万元，其中：一般公共预算财政拨款收入</w:t>
      </w:r>
      <w:r>
        <w:rPr>
          <w:rFonts w:ascii="仿宋_GB2312" w:hAnsi="Times New Roman" w:eastAsia="仿宋_GB2312" w:cs="仿宋_GB2312"/>
          <w:color w:val="000000"/>
          <w:sz w:val="32"/>
          <w:szCs w:val="32"/>
          <w:lang w:val="zh-CN"/>
        </w:rPr>
        <w:t>941.66</w:t>
      </w:r>
      <w:r>
        <w:rPr>
          <w:rFonts w:hint="eastAsia" w:ascii="仿宋_GB2312" w:hAnsi="Times New Roman" w:eastAsia="仿宋_GB2312" w:cs="仿宋_GB2312"/>
          <w:color w:val="000000"/>
          <w:sz w:val="32"/>
          <w:szCs w:val="32"/>
          <w:lang w:val="zh-CN"/>
        </w:rPr>
        <w:t>万元，占98.6</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，年初结转和结余12.5万元，占1.4%。其中一般公共服务支出707.71万元，社会保障和就业支出99.25万元，卫生健康支出14.83万元，农林水支出79.33万元，住房保障支出40.54万元。政府性基金预算财政拨款收入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；国有资本经营预算财政拨款收入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；上级补助收入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；事业收入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；经营收入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；附属单位上缴收入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；其他收入</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w:t>
      </w:r>
    </w:p>
    <w:p>
      <w:pPr>
        <w:ind w:firstLine="2891" w:firstLineChars="900"/>
        <w:rPr>
          <w:rFonts w:ascii="仿宋_GB2312" w:hAnsi="Times New Roman" w:eastAsia="仿宋_GB2312" w:cs="仿宋_GB2312"/>
          <w:b/>
          <w:color w:val="000000"/>
          <w:sz w:val="32"/>
          <w:szCs w:val="32"/>
          <w:lang w:val="zh-CN"/>
        </w:rPr>
      </w:pPr>
      <w:r>
        <w:rPr>
          <w:rFonts w:hint="eastAsia" w:ascii="仿宋" w:hAnsi="Times New Roman" w:eastAsia="仿宋" w:cs="仿宋"/>
          <w:b/>
          <w:sz w:val="32"/>
          <w:szCs w:val="32"/>
        </w:rPr>
        <w:t>2022年收入决算结构图</w:t>
      </w:r>
    </w:p>
    <w:p>
      <w:pPr>
        <w:ind w:firstLine="420" w:firstLineChars="200"/>
      </w:pPr>
    </w:p>
    <w:p>
      <w:pPr>
        <w:ind w:firstLine="420" w:firstLineChars="200"/>
        <w:rPr>
          <w:rFonts w:ascii="黑体" w:hAnsi="Times New Roman" w:eastAsia="黑体" w:cs="黑体"/>
          <w:color w:val="000000"/>
          <w:sz w:val="32"/>
          <w:szCs w:val="32"/>
          <w:lang w:val="zh-CN"/>
        </w:rPr>
      </w:pPr>
      <w:r>
        <w:drawing>
          <wp:inline distT="0" distB="0" distL="0" distR="0">
            <wp:extent cx="4572000" cy="2743200"/>
            <wp:effectExtent l="0" t="0" r="19050" b="1905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rPr>
          <w:rFonts w:ascii="楷体_GB2312" w:hAnsi="仿宋" w:eastAsia="楷体_GB2312"/>
          <w:b/>
          <w:sz w:val="32"/>
          <w:szCs w:val="32"/>
        </w:rPr>
      </w:pPr>
      <w:r>
        <w:rPr>
          <w:rFonts w:hint="eastAsia" w:ascii="黑体" w:hAnsi="Times New Roman" w:eastAsia="黑体" w:cs="黑体"/>
          <w:color w:val="000000"/>
          <w:sz w:val="32"/>
          <w:szCs w:val="32"/>
          <w:lang w:val="zh-CN"/>
        </w:rPr>
        <w:t>三、支</w:t>
      </w:r>
      <w:r>
        <w:rPr>
          <w:rFonts w:hint="eastAsia" w:ascii="黑体" w:hAnsi="Times New Roman" w:eastAsia="黑体" w:cs="黑体"/>
          <w:sz w:val="32"/>
          <w:szCs w:val="32"/>
          <w:lang w:val="zh-CN"/>
        </w:rPr>
        <w:t>出决算情况说明</w:t>
      </w:r>
    </w:p>
    <w:p>
      <w:pPr>
        <w:ind w:firstLine="640" w:firstLineChars="200"/>
        <w:rPr>
          <w:rFonts w:ascii="仿宋_GB2312" w:hAnsi="Times New Roman" w:eastAsia="仿宋_GB2312" w:cs="仿宋_GB2312"/>
          <w:color w:val="000000"/>
          <w:sz w:val="32"/>
          <w:szCs w:val="32"/>
          <w:lang w:val="zh-CN"/>
        </w:rPr>
      </w:pPr>
      <w:r>
        <w:rPr>
          <w:rFonts w:ascii="仿宋_GB2312" w:hAnsi="Times New Roman" w:eastAsia="仿宋_GB2312" w:cs="仿宋_GB2312"/>
          <w:color w:val="000000"/>
          <w:sz w:val="32"/>
          <w:szCs w:val="32"/>
          <w:lang w:val="zh-CN"/>
        </w:rPr>
        <w:t>2022</w:t>
      </w:r>
      <w:r>
        <w:rPr>
          <w:rFonts w:hint="eastAsia" w:ascii="仿宋_GB2312" w:hAnsi="Times New Roman" w:eastAsia="仿宋_GB2312" w:cs="仿宋_GB2312"/>
          <w:color w:val="000000"/>
          <w:sz w:val="32"/>
          <w:szCs w:val="32"/>
          <w:lang w:val="zh-CN"/>
        </w:rPr>
        <w:t>年本年支出合计</w:t>
      </w:r>
      <w:r>
        <w:rPr>
          <w:rFonts w:ascii="仿宋_GB2312" w:hAnsi="Times New Roman" w:eastAsia="仿宋_GB2312" w:cs="仿宋_GB2312"/>
          <w:color w:val="000000"/>
          <w:sz w:val="32"/>
          <w:szCs w:val="32"/>
          <w:lang w:val="zh-CN"/>
        </w:rPr>
        <w:t>954.16</w:t>
      </w:r>
      <w:r>
        <w:rPr>
          <w:rFonts w:hint="eastAsia" w:ascii="仿宋_GB2312" w:hAnsi="Times New Roman" w:eastAsia="仿宋_GB2312" w:cs="仿宋_GB2312"/>
          <w:color w:val="000000"/>
          <w:sz w:val="32"/>
          <w:szCs w:val="32"/>
          <w:lang w:val="zh-CN"/>
        </w:rPr>
        <w:t>万元，其中：基本支出</w:t>
      </w:r>
      <w:r>
        <w:rPr>
          <w:rFonts w:ascii="仿宋_GB2312" w:hAnsi="Times New Roman" w:eastAsia="仿宋_GB2312" w:cs="仿宋_GB2312"/>
          <w:color w:val="000000"/>
          <w:sz w:val="32"/>
          <w:szCs w:val="32"/>
          <w:lang w:val="zh-CN"/>
        </w:rPr>
        <w:t>581.9</w:t>
      </w:r>
      <w:r>
        <w:rPr>
          <w:rFonts w:hint="eastAsia" w:ascii="仿宋_GB2312" w:hAnsi="Times New Roman" w:eastAsia="仿宋_GB2312" w:cs="仿宋_GB2312"/>
          <w:color w:val="000000"/>
          <w:sz w:val="32"/>
          <w:szCs w:val="32"/>
          <w:lang w:val="zh-CN"/>
        </w:rPr>
        <w:t>5万元，占</w:t>
      </w:r>
      <w:r>
        <w:rPr>
          <w:rFonts w:ascii="仿宋_GB2312" w:hAnsi="Times New Roman" w:eastAsia="仿宋_GB2312" w:cs="仿宋_GB2312"/>
          <w:color w:val="000000"/>
          <w:sz w:val="32"/>
          <w:szCs w:val="32"/>
          <w:lang w:val="zh-CN"/>
        </w:rPr>
        <w:t>61%</w:t>
      </w:r>
      <w:r>
        <w:rPr>
          <w:rFonts w:hint="eastAsia" w:ascii="仿宋_GB2312" w:hAnsi="Times New Roman" w:eastAsia="仿宋_GB2312" w:cs="仿宋_GB2312"/>
          <w:color w:val="000000"/>
          <w:sz w:val="32"/>
          <w:szCs w:val="32"/>
          <w:lang w:val="zh-CN"/>
        </w:rPr>
        <w:t>；项目支出</w:t>
      </w:r>
      <w:r>
        <w:rPr>
          <w:rFonts w:ascii="仿宋_GB2312" w:hAnsi="Times New Roman" w:eastAsia="仿宋_GB2312" w:cs="仿宋_GB2312"/>
          <w:color w:val="000000"/>
          <w:sz w:val="32"/>
          <w:szCs w:val="32"/>
          <w:lang w:val="zh-CN"/>
        </w:rPr>
        <w:t>372.21</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39%</w:t>
      </w:r>
      <w:r>
        <w:rPr>
          <w:rFonts w:hint="eastAsia" w:ascii="仿宋_GB2312" w:hAnsi="Times New Roman" w:eastAsia="仿宋_GB2312" w:cs="仿宋_GB2312"/>
          <w:color w:val="000000"/>
          <w:sz w:val="32"/>
          <w:szCs w:val="32"/>
          <w:lang w:val="zh-CN"/>
        </w:rPr>
        <w:t>；上缴上级支出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；经营支出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；对附属单位补助支出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w:t>
      </w:r>
    </w:p>
    <w:p>
      <w:pPr>
        <w:ind w:firstLine="640" w:firstLineChars="200"/>
        <w:rPr>
          <w:rFonts w:ascii="仿宋_GB2312" w:hAnsi="Times New Roman" w:eastAsia="仿宋_GB2312" w:cs="仿宋_GB2312"/>
          <w:b/>
          <w:color w:val="000000"/>
          <w:sz w:val="32"/>
          <w:szCs w:val="32"/>
          <w:lang w:val="zh-CN"/>
        </w:rPr>
      </w:pPr>
      <w:r>
        <w:rPr>
          <w:rFonts w:hint="eastAsia" w:ascii="仿宋_GB2312" w:hAnsi="Times New Roman" w:eastAsia="仿宋_GB2312" w:cs="仿宋_GB2312"/>
          <w:color w:val="000000"/>
          <w:sz w:val="32"/>
          <w:szCs w:val="32"/>
          <w:lang w:val="zh-CN"/>
        </w:rPr>
        <w:t xml:space="preserve">             </w:t>
      </w:r>
      <w:r>
        <w:rPr>
          <w:rFonts w:hint="eastAsia" w:ascii="仿宋" w:hAnsi="Times New Roman" w:eastAsia="仿宋" w:cs="仿宋"/>
          <w:b/>
          <w:sz w:val="32"/>
          <w:szCs w:val="32"/>
        </w:rPr>
        <w:t>2022年总体支出结构图</w:t>
      </w:r>
    </w:p>
    <w:p>
      <w:pPr>
        <w:ind w:firstLine="420" w:firstLineChars="200"/>
      </w:pPr>
      <w:r>
        <w:drawing>
          <wp:inline distT="0" distB="0" distL="0" distR="0">
            <wp:extent cx="4572000" cy="2743200"/>
            <wp:effectExtent l="0" t="0" r="19050" b="1905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420" w:firstLineChars="200"/>
      </w:pPr>
    </w:p>
    <w:p>
      <w:pPr>
        <w:ind w:firstLine="640" w:firstLineChars="200"/>
        <w:rPr>
          <w:rFonts w:ascii="楷体_GB2312" w:hAnsi="仿宋" w:eastAsia="楷体_GB2312"/>
          <w:b/>
          <w:sz w:val="32"/>
          <w:szCs w:val="32"/>
        </w:rPr>
      </w:pPr>
      <w:r>
        <w:rPr>
          <w:rFonts w:hint="eastAsia" w:ascii="黑体" w:hAnsi="Times New Roman" w:eastAsia="黑体" w:cs="黑体"/>
          <w:color w:val="000000"/>
          <w:sz w:val="32"/>
          <w:szCs w:val="32"/>
          <w:lang w:val="zh-CN"/>
        </w:rPr>
        <w:t>四、财</w:t>
      </w:r>
      <w:r>
        <w:rPr>
          <w:rFonts w:hint="eastAsia" w:ascii="黑体" w:hAnsi="Times New Roman" w:eastAsia="黑体" w:cs="黑体"/>
          <w:sz w:val="32"/>
          <w:szCs w:val="32"/>
          <w:lang w:val="zh-CN"/>
        </w:rPr>
        <w:t>政拨款收入支出决算总体情况说明</w:t>
      </w:r>
    </w:p>
    <w:p>
      <w:pPr>
        <w:spacing w:line="576" w:lineRule="exact"/>
        <w:ind w:firstLine="640"/>
        <w:rPr>
          <w:rFonts w:ascii="仿宋_GB2312" w:hAnsi="Times New Roman" w:eastAsia="仿宋_GB2312" w:cs="仿宋_GB2312"/>
          <w:color w:val="000000"/>
          <w:sz w:val="32"/>
          <w:szCs w:val="32"/>
          <w:lang w:val="zh-CN"/>
        </w:rPr>
      </w:pPr>
      <w:r>
        <w:rPr>
          <w:rFonts w:ascii="仿宋_GB2312" w:hAnsi="Times New Roman" w:eastAsia="仿宋_GB2312" w:cs="仿宋_GB2312"/>
          <w:color w:val="000000"/>
          <w:sz w:val="32"/>
          <w:szCs w:val="32"/>
          <w:lang w:val="zh-CN"/>
        </w:rPr>
        <w:t>2022</w:t>
      </w:r>
      <w:r>
        <w:rPr>
          <w:rFonts w:hint="eastAsia" w:ascii="仿宋_GB2312" w:hAnsi="Times New Roman" w:eastAsia="仿宋_GB2312" w:cs="仿宋_GB2312"/>
          <w:color w:val="000000"/>
          <w:sz w:val="32"/>
          <w:szCs w:val="32"/>
          <w:lang w:val="zh-CN"/>
        </w:rPr>
        <w:t>年财政拨款收、支总计</w:t>
      </w:r>
      <w:r>
        <w:rPr>
          <w:rFonts w:ascii="仿宋_GB2312" w:hAnsi="Times New Roman" w:eastAsia="仿宋_GB2312" w:cs="仿宋_GB2312"/>
          <w:color w:val="000000"/>
          <w:sz w:val="32"/>
          <w:szCs w:val="32"/>
          <w:lang w:val="zh-CN"/>
        </w:rPr>
        <w:t>954.16</w:t>
      </w:r>
      <w:r>
        <w:rPr>
          <w:rFonts w:hint="eastAsia" w:ascii="仿宋_GB2312" w:hAnsi="Times New Roman" w:eastAsia="仿宋_GB2312" w:cs="仿宋_GB2312"/>
          <w:color w:val="000000"/>
          <w:sz w:val="32"/>
          <w:szCs w:val="32"/>
          <w:lang w:val="zh-CN"/>
        </w:rPr>
        <w:t>万元。与</w:t>
      </w:r>
      <w:r>
        <w:rPr>
          <w:rFonts w:ascii="仿宋_GB2312" w:hAnsi="Times New Roman" w:eastAsia="仿宋_GB2312" w:cs="仿宋_GB2312"/>
          <w:color w:val="000000"/>
          <w:sz w:val="32"/>
          <w:szCs w:val="32"/>
          <w:lang w:val="zh-CN"/>
        </w:rPr>
        <w:t>2021</w:t>
      </w:r>
      <w:r>
        <w:rPr>
          <w:rFonts w:hint="eastAsia" w:ascii="仿宋_GB2312" w:hAnsi="Times New Roman" w:eastAsia="仿宋_GB2312" w:cs="仿宋_GB2312"/>
          <w:color w:val="000000"/>
          <w:sz w:val="32"/>
          <w:szCs w:val="32"/>
          <w:lang w:val="zh-CN"/>
        </w:rPr>
        <w:t>年相比，财政拨款收、支总计减少</w:t>
      </w:r>
      <w:r>
        <w:rPr>
          <w:rFonts w:ascii="仿宋_GB2312" w:hAnsi="Times New Roman" w:eastAsia="仿宋_GB2312" w:cs="仿宋_GB2312"/>
          <w:color w:val="000000"/>
          <w:sz w:val="32"/>
          <w:szCs w:val="32"/>
          <w:lang w:val="zh-CN"/>
        </w:rPr>
        <w:t>62.08</w:t>
      </w:r>
      <w:r>
        <w:rPr>
          <w:rFonts w:hint="eastAsia" w:ascii="仿宋_GB2312" w:hAnsi="Times New Roman" w:eastAsia="仿宋_GB2312" w:cs="仿宋_GB2312"/>
          <w:color w:val="000000"/>
          <w:sz w:val="32"/>
          <w:szCs w:val="32"/>
          <w:lang w:val="zh-CN"/>
        </w:rPr>
        <w:t>万元，下降</w:t>
      </w:r>
      <w:r>
        <w:rPr>
          <w:rFonts w:ascii="仿宋_GB2312" w:hAnsi="Times New Roman" w:eastAsia="仿宋_GB2312" w:cs="仿宋_GB2312"/>
          <w:color w:val="000000"/>
          <w:sz w:val="32"/>
          <w:szCs w:val="32"/>
          <w:lang w:val="zh-CN"/>
        </w:rPr>
        <w:t>6.1%</w:t>
      </w:r>
      <w:r>
        <w:rPr>
          <w:rFonts w:hint="eastAsia" w:ascii="仿宋_GB2312" w:hAnsi="Times New Roman" w:eastAsia="仿宋_GB2312" w:cs="仿宋_GB2312"/>
          <w:color w:val="000000"/>
          <w:sz w:val="32"/>
          <w:szCs w:val="32"/>
          <w:lang w:val="zh-CN"/>
        </w:rPr>
        <w:t>。主要变动原因是减少项目支出。</w:t>
      </w:r>
    </w:p>
    <w:p>
      <w:pPr>
        <w:spacing w:line="576" w:lineRule="exact"/>
        <w:ind w:firstLine="640"/>
        <w:rPr>
          <w:rFonts w:ascii="仿宋" w:hAnsi="Times New Roman" w:eastAsia="仿宋" w:cs="仿宋"/>
          <w:sz w:val="32"/>
          <w:szCs w:val="32"/>
        </w:rPr>
      </w:pPr>
      <w:r>
        <w:rPr>
          <w:rFonts w:hint="eastAsia" w:ascii="仿宋" w:hAnsi="Times New Roman" w:eastAsia="仿宋" w:cs="仿宋"/>
          <w:sz w:val="32"/>
          <w:szCs w:val="32"/>
        </w:rPr>
        <w:t>（图</w:t>
      </w:r>
      <w:r>
        <w:rPr>
          <w:rFonts w:ascii="仿宋" w:hAnsi="Times New Roman" w:eastAsia="仿宋" w:cs="仿宋"/>
          <w:sz w:val="32"/>
          <w:szCs w:val="32"/>
        </w:rPr>
        <w:t>4</w:t>
      </w:r>
      <w:r>
        <w:rPr>
          <w:rFonts w:hint="eastAsia" w:ascii="仿宋" w:hAnsi="Times New Roman" w:eastAsia="仿宋" w:cs="仿宋"/>
          <w:sz w:val="32"/>
          <w:szCs w:val="32"/>
        </w:rPr>
        <w:t>：财政拨款收、支决算总计变动情况）（柱状图）</w:t>
      </w:r>
    </w:p>
    <w:p>
      <w:pPr>
        <w:spacing w:line="576" w:lineRule="exact"/>
        <w:ind w:firstLine="640"/>
        <w:rPr>
          <w:rFonts w:ascii="仿宋" w:hAnsi="Times New Roman" w:eastAsia="仿宋" w:cs="仿宋"/>
          <w:sz w:val="32"/>
          <w:szCs w:val="32"/>
        </w:rPr>
      </w:pPr>
      <w:r>
        <w:drawing>
          <wp:anchor distT="0" distB="0" distL="114300" distR="114300" simplePos="0" relativeHeight="251660288" behindDoc="0" locked="0" layoutInCell="1" allowOverlap="1">
            <wp:simplePos x="0" y="0"/>
            <wp:positionH relativeFrom="column">
              <wp:posOffset>333375</wp:posOffset>
            </wp:positionH>
            <wp:positionV relativeFrom="paragraph">
              <wp:posOffset>243840</wp:posOffset>
            </wp:positionV>
            <wp:extent cx="4505325" cy="2480945"/>
            <wp:effectExtent l="0" t="0" r="9525" b="14605"/>
            <wp:wrapNone/>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576" w:lineRule="exact"/>
        <w:ind w:firstLine="640"/>
        <w:rPr>
          <w:rFonts w:ascii="仿宋" w:hAnsi="Times New Roman" w:eastAsia="仿宋" w:cs="仿宋"/>
          <w:sz w:val="32"/>
          <w:szCs w:val="32"/>
        </w:rPr>
      </w:pPr>
    </w:p>
    <w:p>
      <w:pPr>
        <w:spacing w:line="576" w:lineRule="exact"/>
        <w:ind w:firstLine="640"/>
        <w:rPr>
          <w:rFonts w:ascii="仿宋" w:hAnsi="Times New Roman" w:eastAsia="仿宋" w:cs="仿宋"/>
          <w:sz w:val="32"/>
          <w:szCs w:val="32"/>
        </w:rPr>
      </w:pPr>
    </w:p>
    <w:p>
      <w:pPr>
        <w:spacing w:line="576" w:lineRule="exact"/>
        <w:ind w:firstLine="640"/>
        <w:rPr>
          <w:rFonts w:ascii="仿宋" w:hAnsi="Times New Roman" w:eastAsia="仿宋" w:cs="仿宋"/>
          <w:sz w:val="32"/>
          <w:szCs w:val="32"/>
        </w:rPr>
      </w:pPr>
    </w:p>
    <w:p>
      <w:pPr>
        <w:spacing w:line="576" w:lineRule="exact"/>
        <w:ind w:firstLine="640"/>
        <w:rPr>
          <w:rFonts w:ascii="仿宋" w:hAnsi="Times New Roman" w:eastAsia="仿宋" w:cs="仿宋"/>
          <w:sz w:val="32"/>
          <w:szCs w:val="32"/>
        </w:rPr>
      </w:pPr>
      <w:r>
        <w:rPr>
          <w:rFonts w:ascii="仿宋" w:hAnsi="Times New Roman" w:eastAsia="仿宋" w:cs="仿宋"/>
          <w:sz w:val="32"/>
          <w:szCs w:val="32"/>
        </w:rPr>
        <w:br w:type="textWrapping" w:clear="all"/>
      </w:r>
    </w:p>
    <w:p>
      <w:pPr>
        <w:spacing w:line="576" w:lineRule="exact"/>
        <w:ind w:firstLine="640"/>
        <w:rPr>
          <w:rFonts w:ascii="仿宋" w:hAnsi="Times New Roman" w:eastAsia="仿宋" w:cs="仿宋"/>
          <w:sz w:val="32"/>
          <w:szCs w:val="32"/>
        </w:rPr>
      </w:pPr>
    </w:p>
    <w:p>
      <w:pPr>
        <w:spacing w:line="576" w:lineRule="exact"/>
        <w:ind w:firstLine="640"/>
        <w:rPr>
          <w:rFonts w:ascii="仿宋" w:hAnsi="Times New Roman" w:eastAsia="仿宋" w:cs="仿宋"/>
          <w:sz w:val="32"/>
          <w:szCs w:val="32"/>
        </w:rPr>
      </w:pPr>
    </w:p>
    <w:p>
      <w:pPr>
        <w:spacing w:line="576" w:lineRule="exact"/>
        <w:ind w:firstLine="640"/>
        <w:rPr>
          <w:rFonts w:ascii="仿宋_GB2312" w:hAnsi="Times New Roman" w:eastAsia="仿宋_GB2312" w:cs="仿宋_GB2312"/>
          <w:color w:val="000000"/>
          <w:sz w:val="32"/>
          <w:szCs w:val="32"/>
          <w:lang w:val="zh-CN"/>
        </w:rPr>
      </w:pPr>
      <w:r>
        <w:rPr>
          <w:rFonts w:hint="eastAsia" w:ascii="黑体" w:hAnsi="Times New Roman" w:eastAsia="黑体" w:cs="黑体"/>
          <w:color w:val="000000"/>
          <w:sz w:val="32"/>
          <w:szCs w:val="32"/>
          <w:lang w:val="zh-CN"/>
        </w:rPr>
        <w:t>五、</w:t>
      </w:r>
      <w:r>
        <w:rPr>
          <w:rFonts w:hint="eastAsia" w:ascii="黑体" w:hAnsi="Times New Roman" w:eastAsia="黑体" w:cs="黑体"/>
          <w:b/>
          <w:bCs/>
          <w:color w:val="000000"/>
          <w:sz w:val="32"/>
          <w:szCs w:val="32"/>
          <w:lang w:val="zh-CN"/>
        </w:rPr>
        <w:t>一</w:t>
      </w:r>
      <w:r>
        <w:rPr>
          <w:rFonts w:hint="eastAsia" w:ascii="黑体" w:hAnsi="Times New Roman" w:eastAsia="黑体" w:cs="黑体"/>
          <w:sz w:val="32"/>
          <w:szCs w:val="32"/>
          <w:lang w:val="zh-CN"/>
        </w:rPr>
        <w:t>般公共预算财政拨款支出决算情况说明</w:t>
      </w:r>
    </w:p>
    <w:p>
      <w:pPr>
        <w:spacing w:line="576" w:lineRule="exact"/>
        <w:ind w:firstLine="640"/>
        <w:rPr>
          <w:rFonts w:ascii="仿宋_GB2312" w:hAnsi="Times New Roman" w:eastAsia="仿宋_GB2312" w:cs="仿宋_GB2312"/>
          <w:color w:val="000000"/>
          <w:sz w:val="32"/>
          <w:szCs w:val="32"/>
          <w:lang w:val="zh-CN"/>
        </w:rPr>
      </w:pPr>
      <w:r>
        <w:rPr>
          <w:rFonts w:hint="eastAsia" w:ascii="仿宋_GB2312" w:hAnsi="Times New Roman" w:eastAsia="仿宋_GB2312" w:cs="仿宋_GB2312"/>
          <w:b/>
          <w:bCs/>
          <w:color w:val="000000"/>
          <w:sz w:val="32"/>
          <w:szCs w:val="32"/>
          <w:lang w:val="zh-CN"/>
        </w:rPr>
        <w:t>（一）一般公共预算财政拨款支出决算总体情况。</w:t>
      </w:r>
    </w:p>
    <w:p>
      <w:pPr>
        <w:spacing w:line="576" w:lineRule="exact"/>
        <w:ind w:firstLine="640"/>
        <w:rPr>
          <w:rFonts w:ascii="仿宋_GB2312" w:hAnsi="Times New Roman" w:eastAsia="仿宋_GB2312" w:cs="仿宋_GB2312"/>
          <w:color w:val="000000"/>
          <w:sz w:val="32"/>
          <w:szCs w:val="32"/>
          <w:lang w:val="zh-CN"/>
        </w:rPr>
      </w:pPr>
      <w:r>
        <w:rPr>
          <w:rFonts w:ascii="仿宋_GB2312" w:hAnsi="Times New Roman" w:eastAsia="仿宋_GB2312" w:cs="仿宋_GB2312"/>
          <w:color w:val="000000"/>
          <w:sz w:val="32"/>
          <w:szCs w:val="32"/>
          <w:lang w:val="zh-CN"/>
        </w:rPr>
        <w:t>2022</w:t>
      </w:r>
      <w:r>
        <w:rPr>
          <w:rFonts w:hint="eastAsia" w:ascii="仿宋_GB2312" w:hAnsi="Times New Roman" w:eastAsia="仿宋_GB2312" w:cs="仿宋_GB2312"/>
          <w:color w:val="000000"/>
          <w:sz w:val="32"/>
          <w:szCs w:val="32"/>
          <w:lang w:val="zh-CN"/>
        </w:rPr>
        <w:t>年一般公共预算财政拨款支出</w:t>
      </w:r>
      <w:r>
        <w:rPr>
          <w:rFonts w:ascii="仿宋_GB2312" w:hAnsi="Times New Roman" w:eastAsia="仿宋_GB2312" w:cs="仿宋_GB2312"/>
          <w:color w:val="000000"/>
          <w:sz w:val="32"/>
          <w:szCs w:val="32"/>
          <w:lang w:val="zh-CN"/>
        </w:rPr>
        <w:t>954.16</w:t>
      </w:r>
      <w:r>
        <w:rPr>
          <w:rFonts w:hint="eastAsia" w:ascii="仿宋_GB2312" w:hAnsi="Times New Roman" w:eastAsia="仿宋_GB2312" w:cs="仿宋_GB2312"/>
          <w:color w:val="000000"/>
          <w:sz w:val="32"/>
          <w:szCs w:val="32"/>
          <w:lang w:val="zh-CN"/>
        </w:rPr>
        <w:t>万元，占本年支出合计的</w:t>
      </w:r>
      <w:r>
        <w:rPr>
          <w:rFonts w:ascii="仿宋_GB2312" w:hAnsi="Times New Roman" w:eastAsia="仿宋_GB2312" w:cs="仿宋_GB2312"/>
          <w:color w:val="000000"/>
          <w:sz w:val="32"/>
          <w:szCs w:val="32"/>
          <w:lang w:val="zh-CN"/>
        </w:rPr>
        <w:t>100%</w:t>
      </w:r>
      <w:r>
        <w:rPr>
          <w:rFonts w:hint="eastAsia" w:ascii="仿宋_GB2312" w:hAnsi="Times New Roman" w:eastAsia="仿宋_GB2312" w:cs="仿宋_GB2312"/>
          <w:color w:val="000000"/>
          <w:sz w:val="32"/>
          <w:szCs w:val="32"/>
          <w:lang w:val="zh-CN"/>
        </w:rPr>
        <w:t>。与</w:t>
      </w:r>
      <w:r>
        <w:rPr>
          <w:rFonts w:ascii="仿宋_GB2312" w:hAnsi="Times New Roman" w:eastAsia="仿宋_GB2312" w:cs="仿宋_GB2312"/>
          <w:color w:val="000000"/>
          <w:sz w:val="32"/>
          <w:szCs w:val="32"/>
          <w:lang w:val="zh-CN"/>
        </w:rPr>
        <w:t>2021</w:t>
      </w:r>
      <w:r>
        <w:rPr>
          <w:rFonts w:hint="eastAsia" w:ascii="仿宋_GB2312" w:hAnsi="Times New Roman" w:eastAsia="仿宋_GB2312" w:cs="仿宋_GB2312"/>
          <w:color w:val="000000"/>
          <w:sz w:val="32"/>
          <w:szCs w:val="32"/>
          <w:lang w:val="zh-CN"/>
        </w:rPr>
        <w:t>年相比，一般公共预算财政拨款支出减少62.08万元，下降6.1</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。主要变动原因是减少项目支出。</w:t>
      </w:r>
    </w:p>
    <w:p>
      <w:pPr>
        <w:ind w:firstLine="643" w:firstLineChars="200"/>
        <w:rPr>
          <w:rFonts w:ascii="仿宋" w:hAnsi="Times New Roman" w:eastAsia="仿宋" w:cs="仿宋"/>
          <w:b/>
          <w:sz w:val="32"/>
          <w:szCs w:val="32"/>
        </w:rPr>
      </w:pPr>
      <w:r>
        <w:rPr>
          <w:rFonts w:hint="eastAsia" w:ascii="楷体_GB2312" w:hAnsi="仿宋" w:eastAsia="楷体_GB2312"/>
          <w:b/>
          <w:sz w:val="32"/>
          <w:szCs w:val="32"/>
        </w:rPr>
        <w:t xml:space="preserve">      </w:t>
      </w:r>
      <w:r>
        <w:rPr>
          <w:rFonts w:hint="eastAsia" w:ascii="仿宋" w:hAnsi="Times New Roman" w:eastAsia="仿宋" w:cs="仿宋"/>
          <w:b/>
          <w:sz w:val="32"/>
          <w:szCs w:val="32"/>
        </w:rPr>
        <w:t>一般公共预算财政拨款支出决算变动情况</w:t>
      </w:r>
    </w:p>
    <w:p>
      <w:pPr>
        <w:ind w:firstLine="420" w:firstLineChars="200"/>
        <w:rPr>
          <w:rFonts w:ascii="楷体_GB2312" w:hAnsi="仿宋" w:eastAsia="楷体_GB2312"/>
          <w:b/>
          <w:sz w:val="32"/>
          <w:szCs w:val="32"/>
        </w:rPr>
      </w:pPr>
      <w:r>
        <w:drawing>
          <wp:inline distT="0" distB="0" distL="0" distR="0">
            <wp:extent cx="4572000" cy="27432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3" w:firstLineChars="200"/>
        <w:rPr>
          <w:rFonts w:ascii="仿宋_GB2312" w:hAnsi="Times New Roman" w:eastAsia="仿宋_GB2312" w:cs="仿宋_GB2312"/>
          <w:b/>
          <w:bCs/>
          <w:color w:val="000000"/>
          <w:sz w:val="32"/>
          <w:szCs w:val="32"/>
          <w:lang w:val="zh-CN"/>
        </w:rPr>
      </w:pPr>
      <w:r>
        <w:rPr>
          <w:rFonts w:hint="eastAsia" w:ascii="仿宋_GB2312" w:hAnsi="Times New Roman" w:eastAsia="仿宋_GB2312" w:cs="仿宋_GB2312"/>
          <w:b/>
          <w:bCs/>
          <w:color w:val="000000"/>
          <w:sz w:val="32"/>
          <w:szCs w:val="32"/>
          <w:lang w:val="zh-CN"/>
        </w:rPr>
        <w:t>（二）一般公共预算财政拨款支出决算结构情况。</w:t>
      </w:r>
    </w:p>
    <w:p>
      <w:pPr>
        <w:ind w:firstLine="640" w:firstLineChars="200"/>
        <w:rPr>
          <w:rFonts w:ascii="仿宋_GB2312" w:hAnsi="Times New Roman" w:eastAsia="仿宋_GB2312" w:cs="仿宋_GB2312"/>
          <w:color w:val="000000"/>
          <w:sz w:val="32"/>
          <w:szCs w:val="32"/>
          <w:lang w:val="zh-CN"/>
        </w:rPr>
      </w:pPr>
      <w:r>
        <w:rPr>
          <w:rFonts w:ascii="仿宋_GB2312" w:hAnsi="Times New Roman" w:eastAsia="仿宋_GB2312" w:cs="仿宋_GB2312"/>
          <w:color w:val="000000"/>
          <w:sz w:val="32"/>
          <w:szCs w:val="32"/>
          <w:lang w:val="zh-CN"/>
        </w:rPr>
        <w:t>2022</w:t>
      </w:r>
      <w:r>
        <w:rPr>
          <w:rFonts w:hint="eastAsia" w:ascii="仿宋_GB2312" w:hAnsi="Times New Roman" w:eastAsia="仿宋_GB2312" w:cs="仿宋_GB2312"/>
          <w:color w:val="000000"/>
          <w:sz w:val="32"/>
          <w:szCs w:val="32"/>
          <w:lang w:val="zh-CN"/>
        </w:rPr>
        <w:t>年一般公共预算财政拨款支出</w:t>
      </w:r>
      <w:r>
        <w:rPr>
          <w:rFonts w:ascii="仿宋_GB2312" w:hAnsi="Times New Roman" w:eastAsia="仿宋_GB2312" w:cs="仿宋_GB2312"/>
          <w:color w:val="000000"/>
          <w:sz w:val="32"/>
          <w:szCs w:val="32"/>
          <w:lang w:val="zh-CN"/>
        </w:rPr>
        <w:t>954.16</w:t>
      </w:r>
      <w:r>
        <w:rPr>
          <w:rFonts w:hint="eastAsia" w:ascii="仿宋_GB2312" w:hAnsi="Times New Roman" w:eastAsia="仿宋_GB2312" w:cs="仿宋_GB2312"/>
          <w:color w:val="000000"/>
          <w:sz w:val="32"/>
          <w:szCs w:val="32"/>
          <w:lang w:val="zh-CN"/>
        </w:rPr>
        <w:t>万元，主要用于以下方面</w:t>
      </w:r>
      <w:r>
        <w:rPr>
          <w:rFonts w:ascii="仿宋_GB2312" w:hAnsi="Times New Roman" w:eastAsia="仿宋_GB2312" w:cs="仿宋_GB2312"/>
          <w:color w:val="000000"/>
          <w:sz w:val="32"/>
          <w:szCs w:val="32"/>
          <w:lang w:val="zh-CN"/>
        </w:rPr>
        <w:t xml:space="preserve">: </w:t>
      </w:r>
      <w:r>
        <w:rPr>
          <w:rFonts w:hint="eastAsia" w:ascii="仿宋_GB2312" w:hAnsi="Times New Roman" w:eastAsia="仿宋_GB2312" w:cs="仿宋_GB2312"/>
          <w:color w:val="000000"/>
          <w:sz w:val="32"/>
          <w:szCs w:val="32"/>
          <w:lang w:val="zh-CN"/>
        </w:rPr>
        <w:t>一般公共服务支出</w:t>
      </w:r>
      <w:r>
        <w:rPr>
          <w:rFonts w:ascii="仿宋_GB2312" w:hAnsi="Times New Roman" w:eastAsia="仿宋_GB2312" w:cs="仿宋_GB2312"/>
          <w:color w:val="000000"/>
          <w:sz w:val="32"/>
          <w:szCs w:val="32"/>
          <w:lang w:val="zh-CN"/>
        </w:rPr>
        <w:t>720.2</w:t>
      </w:r>
      <w:r>
        <w:rPr>
          <w:rFonts w:hint="eastAsia" w:ascii="仿宋_GB2312" w:hAnsi="Times New Roman" w:eastAsia="仿宋_GB2312" w:cs="仿宋_GB2312"/>
          <w:color w:val="000000"/>
          <w:sz w:val="32"/>
          <w:szCs w:val="32"/>
          <w:lang w:val="zh-CN"/>
        </w:rPr>
        <w:t>1万元，占</w:t>
      </w:r>
      <w:r>
        <w:rPr>
          <w:rFonts w:ascii="仿宋_GB2312" w:hAnsi="Times New Roman" w:eastAsia="仿宋_GB2312" w:cs="仿宋_GB2312"/>
          <w:color w:val="000000"/>
          <w:sz w:val="32"/>
          <w:szCs w:val="32"/>
          <w:lang w:val="zh-CN"/>
        </w:rPr>
        <w:t>75.5%</w:t>
      </w:r>
      <w:r>
        <w:rPr>
          <w:rFonts w:hint="eastAsia" w:ascii="仿宋_GB2312" w:hAnsi="Times New Roman" w:eastAsia="仿宋_GB2312" w:cs="仿宋_GB2312"/>
          <w:color w:val="000000"/>
          <w:sz w:val="32"/>
          <w:szCs w:val="32"/>
          <w:lang w:val="zh-CN"/>
        </w:rPr>
        <w:t>；外交支出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；国防支出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；公共安全支出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；教育支出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；科学技术支出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；文化体育与传媒支出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；社会保障和就业支出</w:t>
      </w:r>
      <w:r>
        <w:rPr>
          <w:rFonts w:ascii="仿宋_GB2312" w:hAnsi="Times New Roman" w:eastAsia="仿宋_GB2312" w:cs="仿宋_GB2312"/>
          <w:color w:val="000000"/>
          <w:sz w:val="32"/>
          <w:szCs w:val="32"/>
          <w:lang w:val="zh-CN"/>
        </w:rPr>
        <w:t>99.25</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10.4%</w:t>
      </w:r>
      <w:r>
        <w:rPr>
          <w:rFonts w:hint="eastAsia" w:ascii="仿宋_GB2312" w:hAnsi="Times New Roman" w:eastAsia="仿宋_GB2312" w:cs="仿宋_GB2312"/>
          <w:color w:val="000000"/>
          <w:sz w:val="32"/>
          <w:szCs w:val="32"/>
          <w:lang w:val="zh-CN"/>
        </w:rPr>
        <w:t>；卫生健康支出</w:t>
      </w:r>
      <w:r>
        <w:rPr>
          <w:rFonts w:ascii="仿宋_GB2312" w:hAnsi="Times New Roman" w:eastAsia="仿宋_GB2312" w:cs="仿宋_GB2312"/>
          <w:color w:val="000000"/>
          <w:sz w:val="32"/>
          <w:szCs w:val="32"/>
          <w:lang w:val="zh-CN"/>
        </w:rPr>
        <w:t>14.83</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1.6%</w:t>
      </w:r>
      <w:r>
        <w:rPr>
          <w:rFonts w:hint="eastAsia" w:ascii="仿宋_GB2312" w:hAnsi="Times New Roman" w:eastAsia="仿宋_GB2312" w:cs="仿宋_GB2312"/>
          <w:color w:val="000000"/>
          <w:sz w:val="32"/>
          <w:szCs w:val="32"/>
          <w:lang w:val="zh-CN"/>
        </w:rPr>
        <w:t>；节能环保支出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；城乡社区支出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；农林水支出</w:t>
      </w:r>
      <w:r>
        <w:rPr>
          <w:rFonts w:ascii="仿宋_GB2312" w:hAnsi="Times New Roman" w:eastAsia="仿宋_GB2312" w:cs="仿宋_GB2312"/>
          <w:color w:val="000000"/>
          <w:sz w:val="32"/>
          <w:szCs w:val="32"/>
          <w:lang w:val="zh-CN"/>
        </w:rPr>
        <w:t>79.33</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8.3%</w:t>
      </w:r>
      <w:r>
        <w:rPr>
          <w:rFonts w:hint="eastAsia" w:ascii="仿宋_GB2312" w:hAnsi="Times New Roman" w:eastAsia="仿宋_GB2312" w:cs="仿宋_GB2312"/>
          <w:color w:val="000000"/>
          <w:sz w:val="32"/>
          <w:szCs w:val="32"/>
          <w:lang w:val="zh-CN"/>
        </w:rPr>
        <w:t>；交通运输支出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；资源勘探工业信息等支出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；商业服务业等支出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；金融支出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；援助其他地区支出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；自然资源海洋气象等支出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；住房保障支出</w:t>
      </w:r>
      <w:r>
        <w:rPr>
          <w:rFonts w:ascii="仿宋_GB2312" w:hAnsi="Times New Roman" w:eastAsia="仿宋_GB2312" w:cs="仿宋_GB2312"/>
          <w:color w:val="000000"/>
          <w:sz w:val="32"/>
          <w:szCs w:val="32"/>
          <w:lang w:val="zh-CN"/>
        </w:rPr>
        <w:t>40.54</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4.2%</w:t>
      </w:r>
      <w:r>
        <w:rPr>
          <w:rFonts w:hint="eastAsia" w:ascii="仿宋_GB2312" w:hAnsi="Times New Roman" w:eastAsia="仿宋_GB2312" w:cs="仿宋_GB2312"/>
          <w:color w:val="000000"/>
          <w:sz w:val="32"/>
          <w:szCs w:val="32"/>
          <w:lang w:val="zh-CN"/>
        </w:rPr>
        <w:t>；粮油物资储备支出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；国有资本经营预算支出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；灾害防治及应急管理支出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；其他支出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；债务还本支出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；债务付息支出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；抗疫特别国债安排的支出</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万元，占</w:t>
      </w:r>
      <w:r>
        <w:rPr>
          <w:rFonts w:ascii="仿宋_GB2312" w:hAnsi="Times New Roman" w:eastAsia="仿宋_GB2312" w:cs="仿宋_GB2312"/>
          <w:color w:val="000000"/>
          <w:sz w:val="32"/>
          <w:szCs w:val="32"/>
          <w:lang w:val="zh-CN"/>
        </w:rPr>
        <w:t>0%</w:t>
      </w:r>
      <w:r>
        <w:rPr>
          <w:rFonts w:hint="eastAsia" w:ascii="仿宋_GB2312" w:hAnsi="Times New Roman" w:eastAsia="仿宋_GB2312" w:cs="仿宋_GB2312"/>
          <w:color w:val="000000"/>
          <w:sz w:val="32"/>
          <w:szCs w:val="32"/>
          <w:lang w:val="zh-CN"/>
        </w:rPr>
        <w:t>。</w:t>
      </w:r>
    </w:p>
    <w:p>
      <w:pPr>
        <w:spacing w:line="600" w:lineRule="exact"/>
        <w:ind w:firstLine="640"/>
        <w:rPr>
          <w:rFonts w:ascii="仿宋" w:hAnsi="Times New Roman" w:eastAsia="仿宋" w:cs="仿宋"/>
          <w:b/>
          <w:bCs/>
          <w:sz w:val="32"/>
          <w:szCs w:val="32"/>
        </w:rPr>
      </w:pPr>
      <w:r>
        <w:rPr>
          <w:rFonts w:hint="eastAsia" w:ascii="仿宋" w:hAnsi="Times New Roman" w:eastAsia="仿宋" w:cs="仿宋"/>
          <w:b/>
          <w:bCs/>
          <w:sz w:val="32"/>
          <w:szCs w:val="32"/>
        </w:rPr>
        <w:t>（注：数据来源于财决</w:t>
      </w:r>
      <w:r>
        <w:rPr>
          <w:rFonts w:ascii="仿宋" w:hAnsi="Times New Roman" w:eastAsia="仿宋" w:cs="仿宋"/>
          <w:b/>
          <w:bCs/>
          <w:sz w:val="32"/>
          <w:szCs w:val="32"/>
        </w:rPr>
        <w:t>01-1</w:t>
      </w:r>
      <w:r>
        <w:rPr>
          <w:rFonts w:hint="eastAsia" w:ascii="仿宋" w:hAnsi="Times New Roman" w:eastAsia="仿宋" w:cs="仿宋"/>
          <w:b/>
          <w:bCs/>
          <w:sz w:val="32"/>
          <w:szCs w:val="32"/>
        </w:rPr>
        <w:t>表，仅罗列本部门涉及的全部功能分类科目，至类级。）</w:t>
      </w:r>
    </w:p>
    <w:p>
      <w:pPr>
        <w:spacing w:line="600" w:lineRule="exact"/>
        <w:ind w:left="479" w:leftChars="228" w:firstLine="160" w:firstLineChars="50"/>
        <w:rPr>
          <w:rFonts w:ascii="仿宋" w:hAnsi="Times New Roman" w:eastAsia="仿宋" w:cs="仿宋"/>
          <w:sz w:val="32"/>
          <w:szCs w:val="32"/>
        </w:rPr>
      </w:pPr>
      <w:r>
        <w:rPr>
          <w:rFonts w:hint="eastAsia" w:ascii="仿宋" w:hAnsi="Times New Roman" w:eastAsia="仿宋" w:cs="仿宋"/>
          <w:sz w:val="32"/>
          <w:szCs w:val="32"/>
        </w:rPr>
        <w:t>（图</w:t>
      </w:r>
      <w:r>
        <w:rPr>
          <w:rFonts w:ascii="仿宋" w:hAnsi="Times New Roman" w:eastAsia="仿宋" w:cs="仿宋"/>
          <w:sz w:val="32"/>
          <w:szCs w:val="32"/>
        </w:rPr>
        <w:t>6</w:t>
      </w:r>
      <w:r>
        <w:rPr>
          <w:rFonts w:hint="eastAsia" w:ascii="仿宋" w:hAnsi="Times New Roman" w:eastAsia="仿宋" w:cs="仿宋"/>
          <w:sz w:val="32"/>
          <w:szCs w:val="32"/>
        </w:rPr>
        <w:t>：一般公共预算财政拨款支出决算结构）（饼状图）</w:t>
      </w:r>
    </w:p>
    <w:p>
      <w:pPr>
        <w:spacing w:line="600" w:lineRule="exact"/>
        <w:ind w:left="479" w:leftChars="228" w:firstLine="105" w:firstLineChars="50"/>
        <w:rPr>
          <w:rFonts w:ascii="仿宋" w:hAnsi="Times New Roman" w:eastAsia="仿宋" w:cs="仿宋"/>
          <w:sz w:val="32"/>
          <w:szCs w:val="32"/>
        </w:rPr>
      </w:pPr>
      <w:r>
        <w:drawing>
          <wp:anchor distT="0" distB="0" distL="114300" distR="114300" simplePos="0" relativeHeight="251661312" behindDoc="1" locked="0" layoutInCell="1" allowOverlap="1">
            <wp:simplePos x="0" y="0"/>
            <wp:positionH relativeFrom="column">
              <wp:posOffset>485775</wp:posOffset>
            </wp:positionH>
            <wp:positionV relativeFrom="paragraph">
              <wp:posOffset>192405</wp:posOffset>
            </wp:positionV>
            <wp:extent cx="4572000" cy="2743200"/>
            <wp:effectExtent l="0" t="0" r="19050" b="19050"/>
            <wp:wrapNone/>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left="479" w:leftChars="228" w:firstLine="160" w:firstLineChars="50"/>
        <w:rPr>
          <w:rFonts w:ascii="仿宋" w:hAnsi="Times New Roman" w:eastAsia="仿宋" w:cs="仿宋"/>
          <w:sz w:val="32"/>
          <w:szCs w:val="32"/>
        </w:rPr>
      </w:pPr>
    </w:p>
    <w:p>
      <w:pPr>
        <w:spacing w:line="600" w:lineRule="exact"/>
        <w:ind w:left="479" w:leftChars="228" w:firstLine="160" w:firstLineChars="50"/>
        <w:rPr>
          <w:rFonts w:ascii="仿宋" w:hAnsi="Times New Roman" w:eastAsia="仿宋" w:cs="仿宋"/>
          <w:sz w:val="32"/>
          <w:szCs w:val="32"/>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p>
    <w:p>
      <w:pPr>
        <w:spacing w:line="600" w:lineRule="exact"/>
        <w:ind w:left="479" w:leftChars="228" w:firstLine="161" w:firstLineChars="50"/>
        <w:rPr>
          <w:rFonts w:ascii="仿宋_GB2312" w:hAnsi="Times New Roman" w:eastAsia="仿宋_GB2312" w:cs="仿宋_GB2312"/>
          <w:b/>
          <w:bCs/>
          <w:color w:val="000000"/>
          <w:sz w:val="32"/>
          <w:szCs w:val="32"/>
          <w:lang w:val="zh-CN"/>
        </w:rPr>
      </w:pPr>
      <w:r>
        <w:rPr>
          <w:rFonts w:hint="eastAsia" w:ascii="仿宋_GB2312" w:hAnsi="Times New Roman" w:eastAsia="仿宋_GB2312" w:cs="仿宋_GB2312"/>
          <w:b/>
          <w:bCs/>
          <w:color w:val="000000"/>
          <w:sz w:val="32"/>
          <w:szCs w:val="32"/>
          <w:lang w:val="zh-CN"/>
        </w:rPr>
        <w:t>（三）一般公共预算财政拨款支出决算具体情况。</w:t>
      </w:r>
    </w:p>
    <w:p>
      <w:pPr>
        <w:spacing w:line="600" w:lineRule="exact"/>
        <w:ind w:firstLine="640"/>
        <w:rPr>
          <w:rFonts w:ascii="仿宋_GB2312" w:hAnsi="Times New Roman" w:eastAsia="仿宋_GB2312" w:cs="仿宋_GB2312"/>
          <w:b/>
          <w:bCs/>
          <w:color w:val="000000"/>
          <w:sz w:val="32"/>
          <w:szCs w:val="32"/>
          <w:lang w:val="zh-CN"/>
        </w:rPr>
      </w:pPr>
      <w:r>
        <w:rPr>
          <w:rFonts w:ascii="仿宋_GB2312" w:hAnsi="Times New Roman" w:eastAsia="仿宋_GB2312" w:cs="仿宋_GB2312"/>
          <w:b/>
          <w:bCs/>
          <w:color w:val="000000"/>
          <w:sz w:val="32"/>
          <w:szCs w:val="32"/>
          <w:lang w:val="zh-CN"/>
        </w:rPr>
        <w:t>2022</w:t>
      </w:r>
      <w:r>
        <w:rPr>
          <w:rFonts w:hint="eastAsia" w:ascii="仿宋_GB2312" w:hAnsi="Times New Roman" w:eastAsia="仿宋_GB2312" w:cs="仿宋_GB2312"/>
          <w:b/>
          <w:bCs/>
          <w:color w:val="000000"/>
          <w:sz w:val="32"/>
          <w:szCs w:val="32"/>
          <w:lang w:val="zh-CN"/>
        </w:rPr>
        <w:t>年一般公共预算支出决算数为</w:t>
      </w:r>
      <w:r>
        <w:rPr>
          <w:rFonts w:ascii="仿宋_GB2312" w:hAnsi="Times New Roman" w:eastAsia="仿宋_GB2312" w:cs="仿宋_GB2312"/>
          <w:b/>
          <w:bCs/>
          <w:color w:val="000000"/>
          <w:sz w:val="32"/>
          <w:szCs w:val="32"/>
          <w:lang w:val="zh-CN"/>
        </w:rPr>
        <w:t>954.16</w:t>
      </w:r>
      <w:r>
        <w:rPr>
          <w:rFonts w:hint="eastAsia" w:ascii="仿宋_GB2312" w:hAnsi="Times New Roman" w:eastAsia="仿宋_GB2312" w:cs="仿宋_GB2312"/>
          <w:b/>
          <w:bCs/>
          <w:color w:val="000000"/>
          <w:sz w:val="32"/>
          <w:szCs w:val="32"/>
          <w:lang w:val="zh-CN"/>
        </w:rPr>
        <w:t>万元</w:t>
      </w:r>
      <w:r>
        <w:rPr>
          <w:rFonts w:hint="eastAsia" w:ascii="仿宋_GB2312" w:hAnsi="Times New Roman" w:eastAsia="仿宋_GB2312" w:cs="仿宋_GB2312"/>
          <w:color w:val="000000"/>
          <w:sz w:val="32"/>
          <w:szCs w:val="32"/>
          <w:lang w:val="zh-CN"/>
        </w:rPr>
        <w:t>，</w:t>
      </w:r>
      <w:r>
        <w:rPr>
          <w:rFonts w:hint="eastAsia" w:ascii="仿宋_GB2312" w:hAnsi="Times New Roman" w:eastAsia="仿宋_GB2312" w:cs="仿宋_GB2312"/>
          <w:b/>
          <w:bCs/>
          <w:color w:val="000000"/>
          <w:sz w:val="32"/>
          <w:szCs w:val="32"/>
          <w:lang w:val="zh-CN"/>
        </w:rPr>
        <w:t>完成预算</w:t>
      </w:r>
      <w:r>
        <w:rPr>
          <w:rFonts w:ascii="仿宋_GB2312" w:hAnsi="Times New Roman" w:eastAsia="仿宋_GB2312" w:cs="仿宋_GB2312"/>
          <w:b/>
          <w:bCs/>
          <w:color w:val="000000"/>
          <w:sz w:val="32"/>
          <w:szCs w:val="32"/>
          <w:lang w:val="zh-CN"/>
        </w:rPr>
        <w:t>100%</w:t>
      </w:r>
      <w:r>
        <w:rPr>
          <w:rFonts w:hint="eastAsia" w:ascii="仿宋_GB2312" w:hAnsi="Times New Roman" w:eastAsia="仿宋_GB2312" w:cs="仿宋_GB2312"/>
          <w:b/>
          <w:bCs/>
          <w:color w:val="000000"/>
          <w:sz w:val="32"/>
          <w:szCs w:val="32"/>
          <w:lang w:val="zh-CN"/>
        </w:rPr>
        <w:t>。其中：</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w:t>
      </w:r>
      <w:r>
        <w:rPr>
          <w:rFonts w:hint="eastAsia" w:ascii="仿宋" w:hAnsi="仿宋" w:eastAsia="仿宋"/>
          <w:bCs/>
          <w:color w:val="000000"/>
          <w:sz w:val="32"/>
          <w:szCs w:val="32"/>
        </w:rPr>
        <w:t xml:space="preserve"> </w:t>
      </w:r>
      <w:r>
        <w:rPr>
          <w:rStyle w:val="15"/>
          <w:rFonts w:hint="eastAsia" w:ascii="仿宋" w:hAnsi="仿宋" w:eastAsia="仿宋"/>
          <w:bCs/>
          <w:color w:val="000000"/>
          <w:sz w:val="32"/>
          <w:szCs w:val="32"/>
        </w:rPr>
        <w:t>一般公共服务（类）组织事务（款）行政运行（项）：</w:t>
      </w:r>
      <w:r>
        <w:rPr>
          <w:rStyle w:val="15"/>
          <w:rFonts w:hint="eastAsia" w:ascii="仿宋" w:hAnsi="仿宋" w:eastAsia="仿宋"/>
          <w:b w:val="0"/>
          <w:bCs/>
          <w:color w:val="000000"/>
          <w:sz w:val="32"/>
          <w:szCs w:val="32"/>
        </w:rPr>
        <w:t>支出决算数为359.74万元，完成预算100%</w:t>
      </w:r>
      <w:r>
        <w:rPr>
          <w:rStyle w:val="15"/>
          <w:rFonts w:hint="eastAsia" w:ascii="仿宋" w:hAnsi="仿宋" w:eastAsia="仿宋"/>
          <w:bCs/>
          <w:color w:val="000000"/>
          <w:sz w:val="32"/>
          <w:szCs w:val="32"/>
        </w:rPr>
        <w:t>。一般公共服务（类）组织事务（款）一般行政管理事务（项）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支出决算为208.61万元，完成预算100%。</w:t>
      </w:r>
      <w:r>
        <w:rPr>
          <w:rStyle w:val="15"/>
          <w:rFonts w:hint="eastAsia" w:ascii="仿宋" w:hAnsi="仿宋" w:eastAsia="仿宋"/>
          <w:bCs/>
          <w:color w:val="000000"/>
          <w:sz w:val="32"/>
          <w:szCs w:val="32"/>
        </w:rPr>
        <w:t>一般公共服务（类）组织事务（款）事业运行（项）：</w:t>
      </w:r>
      <w:r>
        <w:rPr>
          <w:rStyle w:val="15"/>
          <w:rFonts w:hint="eastAsia" w:ascii="仿宋" w:hAnsi="仿宋" w:eastAsia="仿宋"/>
          <w:b w:val="0"/>
          <w:bCs/>
          <w:color w:val="000000"/>
          <w:sz w:val="32"/>
          <w:szCs w:val="32"/>
        </w:rPr>
        <w:t>支出决算为67.59万元，完成预算数100%。</w:t>
      </w:r>
      <w:r>
        <w:rPr>
          <w:rStyle w:val="15"/>
          <w:rFonts w:hint="eastAsia" w:ascii="仿宋" w:hAnsi="仿宋" w:eastAsia="仿宋"/>
          <w:bCs/>
          <w:color w:val="000000"/>
          <w:sz w:val="32"/>
          <w:szCs w:val="32"/>
        </w:rPr>
        <w:t>一般公共服务（类）组织事务（款）其他组织事务（项）：</w:t>
      </w:r>
      <w:r>
        <w:rPr>
          <w:rStyle w:val="15"/>
          <w:rFonts w:hint="eastAsia" w:ascii="仿宋" w:hAnsi="仿宋" w:eastAsia="仿宋"/>
          <w:b w:val="0"/>
          <w:bCs/>
          <w:color w:val="000000"/>
          <w:sz w:val="32"/>
          <w:szCs w:val="32"/>
        </w:rPr>
        <w:t>支出决算数为84.28万元，完成预算100%。</w:t>
      </w:r>
    </w:p>
    <w:p>
      <w:pPr>
        <w:spacing w:line="600" w:lineRule="exact"/>
        <w:ind w:firstLine="643" w:firstLineChars="200"/>
        <w:jc w:val="left"/>
        <w:rPr>
          <w:rStyle w:val="15"/>
          <w:rFonts w:ascii="仿宋" w:hAnsi="仿宋" w:eastAsia="仿宋"/>
          <w:b w:val="0"/>
          <w:bCs/>
          <w:color w:val="000000"/>
          <w:sz w:val="32"/>
          <w:szCs w:val="32"/>
        </w:rPr>
      </w:pPr>
      <w:r>
        <w:rPr>
          <w:rStyle w:val="15"/>
          <w:rFonts w:hint="eastAsia" w:ascii="仿宋" w:hAnsi="仿宋" w:eastAsia="仿宋"/>
          <w:bCs/>
          <w:color w:val="000000"/>
          <w:sz w:val="32"/>
          <w:szCs w:val="32"/>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社会保障和就业（类）行政事业单位养老支出（款）机关事业单位养老保险缴费支出（项）</w:t>
      </w:r>
      <w:r>
        <w:rPr>
          <w:rStyle w:val="15"/>
          <w:rFonts w:hint="eastAsia" w:ascii="仿宋" w:hAnsi="仿宋" w:eastAsia="仿宋"/>
          <w:b w:val="0"/>
          <w:bCs/>
          <w:color w:val="000000"/>
          <w:sz w:val="32"/>
          <w:szCs w:val="32"/>
        </w:rPr>
        <w:t>29.24万元，完成预算100%。</w:t>
      </w:r>
      <w:r>
        <w:rPr>
          <w:rStyle w:val="15"/>
          <w:rFonts w:hint="eastAsia" w:ascii="仿宋" w:hAnsi="仿宋" w:eastAsia="仿宋"/>
          <w:bCs/>
          <w:color w:val="000000"/>
          <w:sz w:val="32"/>
          <w:szCs w:val="32"/>
        </w:rPr>
        <w:t>社会保障和就业（类）行政事业单位养老支出（款）机关事业单位职业年金缴费支出（项）：</w:t>
      </w:r>
      <w:r>
        <w:rPr>
          <w:rStyle w:val="15"/>
          <w:rFonts w:hint="eastAsia" w:ascii="仿宋" w:hAnsi="仿宋" w:eastAsia="仿宋"/>
          <w:b w:val="0"/>
          <w:bCs/>
          <w:color w:val="000000"/>
          <w:sz w:val="32"/>
          <w:szCs w:val="32"/>
        </w:rPr>
        <w:t>支出决算为6.87万元，完成预算100%。</w:t>
      </w:r>
      <w:r>
        <w:rPr>
          <w:rStyle w:val="15"/>
          <w:rFonts w:hint="eastAsia" w:ascii="仿宋" w:hAnsi="仿宋" w:eastAsia="仿宋"/>
          <w:bCs/>
          <w:color w:val="000000"/>
          <w:sz w:val="32"/>
          <w:szCs w:val="32"/>
        </w:rPr>
        <w:t>社会保障和就业（类）行政事业单位养老支出（款）其他行政事业单位养老支出（项）：</w:t>
      </w:r>
      <w:r>
        <w:rPr>
          <w:rStyle w:val="15"/>
          <w:rFonts w:hint="eastAsia" w:ascii="仿宋" w:hAnsi="仿宋" w:eastAsia="仿宋"/>
          <w:b w:val="0"/>
          <w:bCs/>
          <w:color w:val="000000"/>
          <w:sz w:val="32"/>
          <w:szCs w:val="32"/>
        </w:rPr>
        <w:t>支出决算为63.14万元，完成预算100%。</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卫生健康支出（类）行政事业单位医疗（款）行政单位医疗（项）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支出决算为10.4万元，完成预算100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Cs/>
          <w:color w:val="000000"/>
          <w:sz w:val="32"/>
          <w:szCs w:val="32"/>
        </w:rPr>
        <w:t>卫生健康支出（类）行政事业单位医疗（款）事业单位医疗（项）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支出决算数为1.92万元，完成预算100%。</w:t>
      </w:r>
      <w:r>
        <w:rPr>
          <w:rStyle w:val="15"/>
          <w:rFonts w:hint="eastAsia" w:ascii="仿宋" w:hAnsi="仿宋" w:eastAsia="仿宋"/>
          <w:bCs/>
          <w:color w:val="000000"/>
          <w:sz w:val="32"/>
          <w:szCs w:val="32"/>
        </w:rPr>
        <w:t>卫生健康支出（类）行政事业单位医疗（款）公务员医疗补助（项）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 xml:space="preserve"> 支出决算为2.51万元，完成预算100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Cs/>
          <w:color w:val="000000"/>
          <w:sz w:val="32"/>
          <w:szCs w:val="32"/>
        </w:rPr>
      </w:pPr>
      <w:r>
        <w:rPr>
          <w:rStyle w:val="15"/>
          <w:rFonts w:hint="eastAsia" w:ascii="仿宋" w:hAnsi="仿宋" w:eastAsia="仿宋"/>
          <w:bCs/>
          <w:color w:val="000000"/>
          <w:sz w:val="32"/>
          <w:szCs w:val="32"/>
        </w:rPr>
        <w:t>4.农林水支出（类）巩固脱贫衔接乡村振兴（款）</w:t>
      </w:r>
      <w:r>
        <w:rPr>
          <w:rStyle w:val="15"/>
          <w:rFonts w:ascii="仿宋" w:hAnsi="仿宋" w:eastAsia="仿宋"/>
          <w:bCs/>
          <w:color w:val="000000"/>
          <w:sz w:val="32"/>
          <w:szCs w:val="32"/>
        </w:rPr>
        <w:t>其他巩固脱贫衔接乡村振兴支出</w:t>
      </w:r>
      <w:r>
        <w:rPr>
          <w:rStyle w:val="15"/>
          <w:rFonts w:hint="eastAsia" w:ascii="仿宋" w:hAnsi="仿宋" w:eastAsia="仿宋"/>
          <w:bCs/>
          <w:color w:val="000000"/>
          <w:sz w:val="32"/>
          <w:szCs w:val="32"/>
        </w:rPr>
        <w:t>（项）：</w:t>
      </w:r>
      <w:r>
        <w:rPr>
          <w:rStyle w:val="15"/>
          <w:rFonts w:hint="eastAsia" w:ascii="仿宋" w:hAnsi="仿宋" w:eastAsia="仿宋"/>
          <w:b w:val="0"/>
          <w:bCs/>
          <w:color w:val="000000"/>
          <w:sz w:val="32"/>
          <w:szCs w:val="32"/>
        </w:rPr>
        <w:t>支出决算数为79.33万元，完成预算100%。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5.住房保障支出（类）住房改革支出（款）住房公积金（项）：</w:t>
      </w:r>
      <w:r>
        <w:rPr>
          <w:rFonts w:hint="eastAsia" w:ascii="仿宋" w:hAnsi="仿宋" w:eastAsia="仿宋"/>
          <w:color w:val="000000"/>
          <w:sz w:val="32"/>
          <w:szCs w:val="32"/>
        </w:rPr>
        <w:t>支出决算数为40.54万元，完成预算100%。</w:t>
      </w:r>
    </w:p>
    <w:p>
      <w:pPr>
        <w:spacing w:line="600" w:lineRule="exact"/>
        <w:ind w:firstLine="643"/>
        <w:rPr>
          <w:rFonts w:ascii="仿宋" w:hAnsi="Times New Roman" w:eastAsia="仿宋" w:cs="仿宋"/>
          <w:b/>
          <w:bCs/>
          <w:sz w:val="32"/>
          <w:szCs w:val="32"/>
        </w:rPr>
      </w:pPr>
      <w:r>
        <w:rPr>
          <w:rFonts w:hint="eastAsia" w:ascii="仿宋" w:hAnsi="Times New Roman" w:eastAsia="仿宋" w:cs="仿宋"/>
          <w:b/>
          <w:bCs/>
          <w:sz w:val="32"/>
          <w:szCs w:val="32"/>
        </w:rPr>
        <w:t>（注：数据来源于财决</w:t>
      </w:r>
      <w:r>
        <w:rPr>
          <w:rFonts w:ascii="仿宋" w:hAnsi="Times New Roman" w:eastAsia="仿宋" w:cs="仿宋"/>
          <w:b/>
          <w:bCs/>
          <w:sz w:val="32"/>
          <w:szCs w:val="32"/>
        </w:rPr>
        <w:t>01-1</w:t>
      </w:r>
      <w:r>
        <w:rPr>
          <w:rFonts w:hint="eastAsia" w:ascii="仿宋" w:hAnsi="Times New Roman" w:eastAsia="仿宋" w:cs="仿宋"/>
          <w:b/>
          <w:bCs/>
          <w:sz w:val="32"/>
          <w:szCs w:val="32"/>
        </w:rPr>
        <w:t>表和财决</w:t>
      </w:r>
      <w:r>
        <w:rPr>
          <w:rFonts w:ascii="仿宋" w:hAnsi="Times New Roman" w:eastAsia="仿宋" w:cs="仿宋"/>
          <w:b/>
          <w:bCs/>
          <w:sz w:val="32"/>
          <w:szCs w:val="32"/>
        </w:rPr>
        <w:t>08</w:t>
      </w:r>
      <w:r>
        <w:rPr>
          <w:rFonts w:hint="eastAsia" w:ascii="仿宋" w:hAnsi="Times New Roman" w:eastAsia="仿宋" w:cs="仿宋"/>
          <w:b/>
          <w:bCs/>
          <w:sz w:val="32"/>
          <w:szCs w:val="32"/>
        </w:rPr>
        <w:t>表，仅罗列本部门涉及的全部功能分类科目，至项级。上述</w:t>
      </w:r>
      <w:r>
        <w:rPr>
          <w:rFonts w:ascii="仿宋" w:hAnsi="Times New Roman" w:eastAsia="仿宋" w:cs="仿宋"/>
          <w:b/>
          <w:bCs/>
          <w:sz w:val="32"/>
          <w:szCs w:val="32"/>
        </w:rPr>
        <w:t>“</w:t>
      </w:r>
      <w:r>
        <w:rPr>
          <w:rFonts w:hint="eastAsia" w:ascii="仿宋" w:hAnsi="Times New Roman" w:eastAsia="仿宋" w:cs="仿宋"/>
          <w:b/>
          <w:bCs/>
          <w:sz w:val="32"/>
          <w:szCs w:val="32"/>
        </w:rPr>
        <w:t>预算</w:t>
      </w:r>
      <w:r>
        <w:rPr>
          <w:rFonts w:ascii="仿宋" w:hAnsi="Times New Roman" w:eastAsia="仿宋" w:cs="仿宋"/>
          <w:b/>
          <w:bCs/>
          <w:sz w:val="32"/>
          <w:szCs w:val="32"/>
        </w:rPr>
        <w:t>”</w:t>
      </w:r>
      <w:r>
        <w:rPr>
          <w:rFonts w:hint="eastAsia" w:ascii="仿宋" w:hAnsi="Times New Roman" w:eastAsia="仿宋" w:cs="仿宋"/>
          <w:b/>
          <w:bCs/>
          <w:sz w:val="32"/>
          <w:szCs w:val="32"/>
        </w:rPr>
        <w:t>口径为全年预算数。增减变动原因为决算数</w:t>
      </w:r>
      <w:r>
        <w:rPr>
          <w:rFonts w:ascii="仿宋" w:hAnsi="Times New Roman" w:eastAsia="仿宋" w:cs="仿宋"/>
          <w:b/>
          <w:bCs/>
          <w:sz w:val="32"/>
          <w:szCs w:val="32"/>
        </w:rPr>
        <w:t>&lt;</w:t>
      </w:r>
      <w:r>
        <w:rPr>
          <w:rFonts w:hint="eastAsia" w:ascii="仿宋" w:hAnsi="Times New Roman" w:eastAsia="仿宋" w:cs="仿宋"/>
          <w:b/>
          <w:bCs/>
          <w:sz w:val="32"/>
          <w:szCs w:val="32"/>
        </w:rPr>
        <w:t>项级</w:t>
      </w:r>
      <w:r>
        <w:rPr>
          <w:rFonts w:ascii="仿宋" w:hAnsi="Times New Roman" w:eastAsia="仿宋" w:cs="仿宋"/>
          <w:b/>
          <w:bCs/>
          <w:sz w:val="32"/>
          <w:szCs w:val="32"/>
        </w:rPr>
        <w:t>&gt;</w:t>
      </w:r>
      <w:r>
        <w:rPr>
          <w:rFonts w:hint="eastAsia" w:ascii="仿宋" w:hAnsi="Times New Roman" w:eastAsia="仿宋" w:cs="仿宋"/>
          <w:b/>
          <w:bCs/>
          <w:sz w:val="32"/>
          <w:szCs w:val="32"/>
        </w:rPr>
        <w:t>和全年预算数</w:t>
      </w:r>
      <w:r>
        <w:rPr>
          <w:rFonts w:ascii="仿宋" w:hAnsi="Times New Roman" w:eastAsia="仿宋" w:cs="仿宋"/>
          <w:b/>
          <w:bCs/>
          <w:sz w:val="32"/>
          <w:szCs w:val="32"/>
        </w:rPr>
        <w:t>&lt;</w:t>
      </w:r>
      <w:r>
        <w:rPr>
          <w:rFonts w:hint="eastAsia" w:ascii="仿宋" w:hAnsi="Times New Roman" w:eastAsia="仿宋" w:cs="仿宋"/>
          <w:b/>
          <w:bCs/>
          <w:sz w:val="32"/>
          <w:szCs w:val="32"/>
        </w:rPr>
        <w:t>项级</w:t>
      </w:r>
      <w:r>
        <w:rPr>
          <w:rFonts w:ascii="仿宋" w:hAnsi="Times New Roman" w:eastAsia="仿宋" w:cs="仿宋"/>
          <w:b/>
          <w:bCs/>
          <w:sz w:val="32"/>
          <w:szCs w:val="32"/>
        </w:rPr>
        <w:t>&gt;</w:t>
      </w:r>
      <w:r>
        <w:rPr>
          <w:rFonts w:hint="eastAsia" w:ascii="仿宋" w:hAnsi="Times New Roman" w:eastAsia="仿宋" w:cs="仿宋"/>
          <w:b/>
          <w:bCs/>
          <w:sz w:val="32"/>
          <w:szCs w:val="32"/>
        </w:rPr>
        <w:t>比较，与预算数持平可以不写原因。）</w:t>
      </w:r>
    </w:p>
    <w:p>
      <w:pPr>
        <w:spacing w:line="600" w:lineRule="exact"/>
        <w:ind w:firstLine="643"/>
        <w:rPr>
          <w:rFonts w:ascii="仿宋" w:hAnsi="Times New Roman" w:eastAsia="仿宋" w:cs="仿宋"/>
          <w:b/>
          <w:bCs/>
          <w:sz w:val="32"/>
          <w:szCs w:val="32"/>
        </w:rPr>
      </w:pPr>
      <w:r>
        <w:rPr>
          <w:rFonts w:hint="eastAsia" w:ascii="黑体" w:hAnsi="Times New Roman" w:eastAsia="黑体" w:cs="黑体"/>
          <w:color w:val="000000"/>
          <w:sz w:val="32"/>
          <w:szCs w:val="32"/>
          <w:lang w:val="zh-CN"/>
        </w:rPr>
        <w:t>六</w:t>
      </w:r>
      <w:r>
        <w:rPr>
          <w:rFonts w:hint="eastAsia" w:ascii="黑体" w:hAnsi="Times New Roman" w:eastAsia="黑体" w:cs="黑体"/>
          <w:b/>
          <w:bCs/>
          <w:color w:val="000000"/>
          <w:sz w:val="32"/>
          <w:szCs w:val="32"/>
          <w:lang w:val="zh-CN"/>
        </w:rPr>
        <w:t>、一</w:t>
      </w:r>
      <w:r>
        <w:rPr>
          <w:rFonts w:hint="eastAsia" w:ascii="黑体" w:hAnsi="Times New Roman" w:eastAsia="黑体" w:cs="黑体"/>
          <w:sz w:val="32"/>
          <w:szCs w:val="32"/>
          <w:lang w:val="zh-CN"/>
        </w:rPr>
        <w:t>般公共预算财政拨款基本支出决算情况说明</w:t>
      </w:r>
      <w:r>
        <w:rPr>
          <w:rFonts w:ascii="黑体" w:hAnsi="Times New Roman" w:eastAsia="黑体" w:cs="黑体"/>
          <w:sz w:val="32"/>
          <w:szCs w:val="32"/>
          <w:lang w:val="zh-CN"/>
        </w:rPr>
        <w:tab/>
      </w:r>
    </w:p>
    <w:p>
      <w:pPr>
        <w:spacing w:line="576" w:lineRule="exact"/>
        <w:ind w:firstLine="640"/>
        <w:rPr>
          <w:rFonts w:ascii="仿宋_GB2312" w:hAnsi="Cambria" w:eastAsia="仿宋_GB2312" w:cs="仿宋_GB2312"/>
          <w:color w:val="000000"/>
          <w:sz w:val="32"/>
          <w:szCs w:val="32"/>
          <w:lang w:val="zh-CN"/>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年一般公共预算财政拨款基本支出</w:t>
      </w:r>
      <w:r>
        <w:rPr>
          <w:rFonts w:ascii="仿宋_GB2312" w:hAnsi="Cambria" w:eastAsia="仿宋_GB2312" w:cs="仿宋_GB2312"/>
          <w:color w:val="000000"/>
          <w:sz w:val="32"/>
          <w:szCs w:val="32"/>
          <w:lang w:val="zh-CN"/>
        </w:rPr>
        <w:t>581.96</w:t>
      </w:r>
      <w:r>
        <w:rPr>
          <w:rFonts w:hint="eastAsia" w:ascii="仿宋_GB2312" w:hAnsi="Cambria" w:eastAsia="仿宋_GB2312" w:cs="仿宋_GB2312"/>
          <w:color w:val="000000"/>
          <w:sz w:val="32"/>
          <w:szCs w:val="32"/>
          <w:lang w:val="zh-CN"/>
        </w:rPr>
        <w:t>万元，其中：</w:t>
      </w:r>
    </w:p>
    <w:p>
      <w:pPr>
        <w:spacing w:line="576"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人员经费</w:t>
      </w:r>
      <w:r>
        <w:rPr>
          <w:rFonts w:ascii="仿宋_GB2312" w:hAnsi="Cambria" w:eastAsia="仿宋_GB2312" w:cs="仿宋_GB2312"/>
          <w:color w:val="000000"/>
          <w:sz w:val="32"/>
          <w:szCs w:val="32"/>
          <w:lang w:val="zh-CN"/>
        </w:rPr>
        <w:t>521.47</w:t>
      </w:r>
      <w:r>
        <w:rPr>
          <w:rFonts w:hint="eastAsia" w:ascii="仿宋_GB2312" w:hAnsi="Cambria" w:eastAsia="仿宋_GB2312" w:cs="仿宋_GB2312"/>
          <w:color w:val="000000"/>
          <w:sz w:val="32"/>
          <w:szCs w:val="32"/>
          <w:lang w:val="zh-CN"/>
        </w:rPr>
        <w:t>万元，主要包括：</w:t>
      </w:r>
      <w:r>
        <w:rPr>
          <w:rFonts w:hint="eastAsia" w:ascii="仿宋" w:hAnsi="Cambria" w:eastAsia="仿宋" w:cs="仿宋"/>
          <w:sz w:val="32"/>
          <w:szCs w:val="32"/>
        </w:rPr>
        <w:t>基本工资、津贴补贴、奖金、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Cambria" w:eastAsia="仿宋_GB2312" w:cs="仿宋_GB2312"/>
          <w:color w:val="000000"/>
          <w:sz w:val="32"/>
          <w:szCs w:val="32"/>
          <w:lang w:val="zh-CN"/>
        </w:rPr>
        <w:t>。</w:t>
      </w:r>
    </w:p>
    <w:p>
      <w:pPr>
        <w:spacing w:line="576"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公用经费</w:t>
      </w:r>
      <w:r>
        <w:rPr>
          <w:rFonts w:ascii="仿宋_GB2312" w:hAnsi="Cambria" w:eastAsia="仿宋_GB2312" w:cs="仿宋_GB2312"/>
          <w:color w:val="000000"/>
          <w:sz w:val="32"/>
          <w:szCs w:val="32"/>
          <w:lang w:val="zh-CN"/>
        </w:rPr>
        <w:t>60.4</w:t>
      </w:r>
      <w:r>
        <w:rPr>
          <w:rFonts w:hint="eastAsia" w:ascii="仿宋_GB2312" w:hAnsi="Cambria" w:eastAsia="仿宋_GB2312" w:cs="仿宋_GB2312"/>
          <w:color w:val="000000"/>
          <w:sz w:val="32"/>
          <w:szCs w:val="32"/>
          <w:lang w:val="zh-CN"/>
        </w:rPr>
        <w:t>9万元，主要包括：</w:t>
      </w:r>
      <w:r>
        <w:rPr>
          <w:rFonts w:hint="eastAsia" w:ascii="仿宋" w:hAnsi="Cambria" w:eastAsia="仿宋" w:cs="仿宋"/>
          <w:sz w:val="32"/>
          <w:szCs w:val="32"/>
        </w:rPr>
        <w:t>办公费、印刷费、水费、电费、邮电费、物业管理费、差旅费、维修（护）费、租赁费、会议费、培训费、公务接待费、劳务费、委托业务费、工会经费、福利费、其他交通费、其他商品和服务支出、办公设备购置、其他资本性支出等</w:t>
      </w:r>
      <w:r>
        <w:rPr>
          <w:rFonts w:hint="eastAsia" w:ascii="仿宋_GB2312" w:hAnsi="Cambria" w:eastAsia="仿宋_GB2312" w:cs="仿宋_GB2312"/>
          <w:color w:val="000000"/>
          <w:sz w:val="32"/>
          <w:szCs w:val="32"/>
          <w:lang w:val="zh-CN"/>
        </w:rPr>
        <w:t>。</w:t>
      </w:r>
    </w:p>
    <w:p>
      <w:pPr>
        <w:spacing w:line="600" w:lineRule="exact"/>
        <w:ind w:firstLine="645"/>
        <w:rPr>
          <w:rFonts w:ascii="仿宋" w:hAnsi="Cambria" w:eastAsia="仿宋" w:cs="仿宋"/>
          <w:b/>
          <w:bCs/>
          <w:sz w:val="32"/>
          <w:szCs w:val="32"/>
        </w:rPr>
      </w:pPr>
      <w:r>
        <w:rPr>
          <w:rFonts w:hint="eastAsia" w:ascii="仿宋" w:hAnsi="Cambria" w:eastAsia="仿宋" w:cs="仿宋"/>
          <w:b/>
          <w:bCs/>
          <w:sz w:val="32"/>
          <w:szCs w:val="32"/>
        </w:rPr>
        <w:t>（注：数据来源于财决</w:t>
      </w:r>
      <w:r>
        <w:rPr>
          <w:rFonts w:ascii="仿宋" w:hAnsi="Cambria" w:eastAsia="仿宋" w:cs="仿宋"/>
          <w:b/>
          <w:bCs/>
          <w:sz w:val="32"/>
          <w:szCs w:val="32"/>
        </w:rPr>
        <w:t>07</w:t>
      </w:r>
      <w:r>
        <w:rPr>
          <w:rFonts w:hint="eastAsia" w:ascii="仿宋" w:hAnsi="Cambria" w:eastAsia="仿宋" w:cs="仿宋"/>
          <w:b/>
          <w:bCs/>
          <w:sz w:val="32"/>
          <w:szCs w:val="32"/>
        </w:rPr>
        <w:t>表和财决</w:t>
      </w:r>
      <w:r>
        <w:rPr>
          <w:rFonts w:ascii="仿宋" w:hAnsi="Cambria" w:eastAsia="仿宋" w:cs="仿宋"/>
          <w:b/>
          <w:bCs/>
          <w:sz w:val="32"/>
          <w:szCs w:val="32"/>
        </w:rPr>
        <w:t>08-1</w:t>
      </w:r>
      <w:r>
        <w:rPr>
          <w:rFonts w:hint="eastAsia" w:ascii="仿宋" w:hAnsi="Cambria" w:eastAsia="仿宋" w:cs="仿宋"/>
          <w:b/>
          <w:bCs/>
          <w:sz w:val="32"/>
          <w:szCs w:val="32"/>
        </w:rPr>
        <w:t>表，仅罗列本部门实际支出涉及的经济分类科目。）</w:t>
      </w:r>
    </w:p>
    <w:p>
      <w:pPr>
        <w:spacing w:line="600" w:lineRule="exact"/>
        <w:ind w:firstLine="645"/>
        <w:rPr>
          <w:rFonts w:ascii="仿宋" w:hAnsi="Cambria" w:eastAsia="仿宋" w:cs="仿宋"/>
          <w:b/>
          <w:bCs/>
          <w:sz w:val="32"/>
          <w:szCs w:val="32"/>
        </w:rPr>
      </w:pPr>
      <w:r>
        <w:rPr>
          <w:rFonts w:hint="eastAsia" w:ascii="黑体" w:hAnsi="Cambria" w:eastAsia="黑体" w:cs="黑体"/>
          <w:color w:val="000000"/>
          <w:sz w:val="32"/>
          <w:szCs w:val="32"/>
          <w:lang w:val="zh-CN"/>
        </w:rPr>
        <w:t>七、</w:t>
      </w:r>
      <w:r>
        <w:rPr>
          <w:rFonts w:ascii="黑体" w:hAnsi="Cambria" w:eastAsia="黑体" w:cs="黑体"/>
          <w:b/>
          <w:bCs/>
          <w:sz w:val="32"/>
          <w:szCs w:val="32"/>
          <w:lang w:val="zh-CN"/>
        </w:rPr>
        <w:t>“</w:t>
      </w:r>
      <w:r>
        <w:rPr>
          <w:rFonts w:hint="eastAsia" w:ascii="黑体" w:hAnsi="Cambria" w:eastAsia="黑体" w:cs="黑体"/>
          <w:sz w:val="32"/>
          <w:szCs w:val="32"/>
          <w:lang w:val="zh-CN"/>
        </w:rPr>
        <w:t>三公</w:t>
      </w:r>
      <w:r>
        <w:rPr>
          <w:rFonts w:ascii="黑体" w:hAnsi="Cambria" w:eastAsia="黑体" w:cs="黑体"/>
          <w:sz w:val="32"/>
          <w:szCs w:val="32"/>
          <w:lang w:val="zh-CN"/>
        </w:rPr>
        <w:t>”</w:t>
      </w:r>
      <w:r>
        <w:rPr>
          <w:rFonts w:hint="eastAsia" w:ascii="黑体" w:hAnsi="Cambria" w:eastAsia="黑体" w:cs="黑体"/>
          <w:sz w:val="32"/>
          <w:szCs w:val="32"/>
          <w:lang w:val="zh-CN"/>
        </w:rPr>
        <w:t>经费财政拨款支出决算情况说明</w:t>
      </w:r>
    </w:p>
    <w:p>
      <w:pPr>
        <w:spacing w:line="600" w:lineRule="exact"/>
        <w:ind w:firstLine="645"/>
        <w:rPr>
          <w:rFonts w:ascii="仿宋" w:hAnsi="Cambria" w:eastAsia="仿宋" w:cs="仿宋"/>
          <w:b/>
          <w:bCs/>
          <w:sz w:val="32"/>
          <w:szCs w:val="32"/>
        </w:rPr>
      </w:pPr>
      <w:r>
        <w:rPr>
          <w:rFonts w:hint="eastAsia" w:ascii="仿宋_GB2312" w:hAnsi="Cambria" w:eastAsia="仿宋_GB2312" w:cs="仿宋_GB2312"/>
          <w:b/>
          <w:bCs/>
          <w:color w:val="000000"/>
          <w:sz w:val="32"/>
          <w:szCs w:val="32"/>
          <w:lang w:val="zh-CN"/>
        </w:rPr>
        <w:t>（一）</w:t>
      </w:r>
      <w:r>
        <w:rPr>
          <w:rFonts w:ascii="仿宋_GB2312" w:hAnsi="Cambria" w:eastAsia="仿宋_GB2312" w:cs="仿宋_GB2312"/>
          <w:b/>
          <w:bCs/>
          <w:color w:val="000000"/>
          <w:sz w:val="32"/>
          <w:szCs w:val="32"/>
          <w:lang w:val="zh-CN"/>
        </w:rPr>
        <w:t>“</w:t>
      </w:r>
      <w:r>
        <w:rPr>
          <w:rFonts w:hint="eastAsia" w:ascii="仿宋_GB2312" w:hAnsi="Cambria" w:eastAsia="仿宋_GB2312" w:cs="仿宋_GB2312"/>
          <w:b/>
          <w:bCs/>
          <w:color w:val="000000"/>
          <w:sz w:val="32"/>
          <w:szCs w:val="32"/>
          <w:lang w:val="zh-CN"/>
        </w:rPr>
        <w:t>三公</w:t>
      </w:r>
      <w:r>
        <w:rPr>
          <w:rFonts w:ascii="仿宋_GB2312" w:hAnsi="Cambria" w:eastAsia="仿宋_GB2312" w:cs="仿宋_GB2312"/>
          <w:b/>
          <w:bCs/>
          <w:color w:val="000000"/>
          <w:sz w:val="32"/>
          <w:szCs w:val="32"/>
          <w:lang w:val="zh-CN"/>
        </w:rPr>
        <w:t>”</w:t>
      </w:r>
      <w:r>
        <w:rPr>
          <w:rFonts w:hint="eastAsia" w:ascii="仿宋_GB2312" w:hAnsi="Cambria" w:eastAsia="仿宋_GB2312" w:cs="仿宋_GB2312"/>
          <w:b/>
          <w:bCs/>
          <w:color w:val="000000"/>
          <w:sz w:val="32"/>
          <w:szCs w:val="32"/>
          <w:lang w:val="zh-CN"/>
        </w:rPr>
        <w:t>经费财政拨款支出决算总体情况说明</w:t>
      </w:r>
    </w:p>
    <w:p>
      <w:pPr>
        <w:spacing w:line="600" w:lineRule="exact"/>
        <w:ind w:firstLine="645"/>
        <w:rPr>
          <w:rFonts w:ascii="仿宋" w:hAnsi="Cambria" w:eastAsia="仿宋" w:cs="仿宋"/>
          <w:b/>
          <w:bCs/>
          <w:sz w:val="32"/>
          <w:szCs w:val="32"/>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三公</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经费财政拨款支出决算为</w:t>
      </w:r>
      <w:r>
        <w:rPr>
          <w:rFonts w:ascii="仿宋_GB2312" w:hAnsi="Cambria" w:eastAsia="仿宋_GB2312" w:cs="仿宋_GB2312"/>
          <w:color w:val="000000"/>
          <w:sz w:val="32"/>
          <w:szCs w:val="32"/>
          <w:lang w:val="zh-CN"/>
        </w:rPr>
        <w:t>2.57</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16.1%</w:t>
      </w:r>
      <w:r>
        <w:rPr>
          <w:rFonts w:hint="eastAsia" w:ascii="仿宋_GB2312" w:hAnsi="Cambria" w:eastAsia="仿宋_GB2312" w:cs="仿宋_GB2312"/>
          <w:color w:val="000000"/>
          <w:sz w:val="32"/>
          <w:szCs w:val="32"/>
          <w:lang w:val="zh-CN"/>
        </w:rPr>
        <w:t>；较上年减少</w:t>
      </w:r>
      <w:r>
        <w:rPr>
          <w:rFonts w:ascii="仿宋_GB2312" w:hAnsi="Cambria" w:eastAsia="仿宋_GB2312" w:cs="仿宋_GB2312"/>
          <w:color w:val="000000"/>
          <w:sz w:val="32"/>
          <w:szCs w:val="32"/>
          <w:lang w:val="zh-CN"/>
        </w:rPr>
        <w:t>9.63</w:t>
      </w:r>
      <w:r>
        <w:rPr>
          <w:rFonts w:hint="eastAsia" w:ascii="仿宋_GB2312" w:hAnsi="Cambria" w:eastAsia="仿宋_GB2312" w:cs="仿宋_GB2312"/>
          <w:color w:val="000000"/>
          <w:sz w:val="32"/>
          <w:szCs w:val="32"/>
          <w:lang w:val="zh-CN"/>
        </w:rPr>
        <w:t>万元，下降</w:t>
      </w:r>
      <w:r>
        <w:rPr>
          <w:rFonts w:ascii="仿宋_GB2312" w:hAnsi="Cambria" w:eastAsia="仿宋_GB2312" w:cs="仿宋_GB2312"/>
          <w:color w:val="000000"/>
          <w:sz w:val="32"/>
          <w:szCs w:val="32"/>
          <w:lang w:val="zh-CN"/>
        </w:rPr>
        <w:t>78.9%</w:t>
      </w:r>
      <w:r>
        <w:rPr>
          <w:rFonts w:hint="eastAsia" w:ascii="仿宋_GB2312" w:hAnsi="Cambria" w:eastAsia="仿宋_GB2312" w:cs="仿宋_GB2312"/>
          <w:color w:val="000000"/>
          <w:sz w:val="32"/>
          <w:szCs w:val="32"/>
          <w:lang w:val="zh-CN"/>
        </w:rPr>
        <w:t>。决算数小于预算数的主要原因是厉行节约。</w:t>
      </w:r>
    </w:p>
    <w:p>
      <w:pPr>
        <w:spacing w:line="600" w:lineRule="exact"/>
        <w:ind w:firstLine="640"/>
        <w:rPr>
          <w:rFonts w:ascii="仿宋" w:hAnsi="Cambria" w:eastAsia="仿宋" w:cs="仿宋"/>
          <w:b/>
          <w:bCs/>
          <w:sz w:val="32"/>
          <w:szCs w:val="32"/>
        </w:rPr>
      </w:pPr>
      <w:r>
        <w:rPr>
          <w:rFonts w:hint="eastAsia" w:ascii="仿宋" w:hAnsi="Cambria" w:eastAsia="仿宋" w:cs="仿宋"/>
          <w:b/>
          <w:bCs/>
          <w:sz w:val="32"/>
          <w:szCs w:val="32"/>
        </w:rPr>
        <w:t>（注：上述</w:t>
      </w:r>
      <w:r>
        <w:rPr>
          <w:rFonts w:ascii="仿宋" w:hAnsi="Cambria" w:eastAsia="仿宋" w:cs="仿宋"/>
          <w:b/>
          <w:bCs/>
          <w:sz w:val="32"/>
          <w:szCs w:val="32"/>
        </w:rPr>
        <w:t>“</w:t>
      </w:r>
      <w:r>
        <w:rPr>
          <w:rFonts w:hint="eastAsia" w:ascii="仿宋" w:hAnsi="Cambria" w:eastAsia="仿宋" w:cs="仿宋"/>
          <w:b/>
          <w:bCs/>
          <w:sz w:val="32"/>
          <w:szCs w:val="32"/>
        </w:rPr>
        <w:t>预算</w:t>
      </w:r>
      <w:r>
        <w:rPr>
          <w:rFonts w:ascii="仿宋" w:hAnsi="Cambria" w:eastAsia="仿宋" w:cs="仿宋"/>
          <w:b/>
          <w:bCs/>
          <w:sz w:val="32"/>
          <w:szCs w:val="32"/>
        </w:rPr>
        <w:t>”</w:t>
      </w:r>
      <w:r>
        <w:rPr>
          <w:rFonts w:hint="eastAsia" w:ascii="仿宋" w:hAnsi="Cambria" w:eastAsia="仿宋" w:cs="仿宋"/>
          <w:b/>
          <w:bCs/>
          <w:sz w:val="32"/>
          <w:szCs w:val="32"/>
        </w:rPr>
        <w:t>口径为全年预算数，包括一般公共预算和政府性基金预算财政拨款支出决算情况。）</w:t>
      </w:r>
    </w:p>
    <w:p>
      <w:pPr>
        <w:spacing w:line="600" w:lineRule="exact"/>
        <w:ind w:firstLine="640"/>
        <w:rPr>
          <w:rFonts w:ascii="仿宋" w:hAnsi="Cambria" w:eastAsia="仿宋" w:cs="仿宋"/>
          <w:b/>
          <w:bCs/>
          <w:sz w:val="32"/>
          <w:szCs w:val="32"/>
        </w:rPr>
      </w:pPr>
      <w:r>
        <w:rPr>
          <w:rFonts w:hint="eastAsia" w:ascii="仿宋_GB2312" w:hAnsi="Cambria" w:eastAsia="仿宋_GB2312" w:cs="仿宋_GB2312"/>
          <w:b/>
          <w:bCs/>
          <w:color w:val="000000"/>
          <w:sz w:val="32"/>
          <w:szCs w:val="32"/>
          <w:lang w:val="zh-CN"/>
        </w:rPr>
        <w:t>（二）</w:t>
      </w:r>
      <w:r>
        <w:rPr>
          <w:rFonts w:ascii="仿宋_GB2312" w:hAnsi="Cambria" w:eastAsia="仿宋_GB2312" w:cs="仿宋_GB2312"/>
          <w:b/>
          <w:bCs/>
          <w:color w:val="000000"/>
          <w:sz w:val="32"/>
          <w:szCs w:val="32"/>
          <w:lang w:val="zh-CN"/>
        </w:rPr>
        <w:t>“</w:t>
      </w:r>
      <w:r>
        <w:rPr>
          <w:rFonts w:hint="eastAsia" w:ascii="仿宋_GB2312" w:hAnsi="Cambria" w:eastAsia="仿宋_GB2312" w:cs="仿宋_GB2312"/>
          <w:b/>
          <w:bCs/>
          <w:color w:val="000000"/>
          <w:sz w:val="32"/>
          <w:szCs w:val="32"/>
          <w:lang w:val="zh-CN"/>
        </w:rPr>
        <w:t>三公</w:t>
      </w:r>
      <w:r>
        <w:rPr>
          <w:rFonts w:ascii="仿宋_GB2312" w:hAnsi="Cambria" w:eastAsia="仿宋_GB2312" w:cs="仿宋_GB2312"/>
          <w:b/>
          <w:bCs/>
          <w:color w:val="000000"/>
          <w:sz w:val="32"/>
          <w:szCs w:val="32"/>
          <w:lang w:val="zh-CN"/>
        </w:rPr>
        <w:t>”</w:t>
      </w:r>
      <w:r>
        <w:rPr>
          <w:rFonts w:hint="eastAsia" w:ascii="仿宋_GB2312" w:hAnsi="Cambria" w:eastAsia="仿宋_GB2312" w:cs="仿宋_GB2312"/>
          <w:b/>
          <w:bCs/>
          <w:color w:val="000000"/>
          <w:sz w:val="32"/>
          <w:szCs w:val="32"/>
          <w:lang w:val="zh-CN"/>
        </w:rPr>
        <w:t>经费财政拨款支出决算具体情况说明</w:t>
      </w:r>
    </w:p>
    <w:p>
      <w:pPr>
        <w:spacing w:line="600" w:lineRule="exact"/>
        <w:ind w:firstLine="640"/>
        <w:rPr>
          <w:rFonts w:ascii="仿宋" w:hAnsi="Cambria" w:eastAsia="仿宋" w:cs="仿宋"/>
          <w:b/>
          <w:bCs/>
          <w:sz w:val="32"/>
          <w:szCs w:val="32"/>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三公</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经费财政拨款支出决算中，因公出国（境）费支出决算</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万元，占</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；公务用车购置及运行维护费支出决算</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万元，占</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；公务接待费支出决算</w:t>
      </w:r>
      <w:r>
        <w:rPr>
          <w:rFonts w:ascii="仿宋_GB2312" w:hAnsi="Cambria" w:eastAsia="仿宋_GB2312" w:cs="仿宋_GB2312"/>
          <w:color w:val="000000"/>
          <w:sz w:val="32"/>
          <w:szCs w:val="32"/>
          <w:lang w:val="zh-CN"/>
        </w:rPr>
        <w:t>2.57</w:t>
      </w:r>
      <w:r>
        <w:rPr>
          <w:rFonts w:hint="eastAsia" w:ascii="仿宋_GB2312" w:hAnsi="Cambria" w:eastAsia="仿宋_GB2312" w:cs="仿宋_GB2312"/>
          <w:color w:val="000000"/>
          <w:sz w:val="32"/>
          <w:szCs w:val="32"/>
          <w:lang w:val="zh-CN"/>
        </w:rPr>
        <w:t>万元，占</w:t>
      </w:r>
      <w:r>
        <w:rPr>
          <w:rFonts w:ascii="仿宋_GB2312" w:hAnsi="Cambria" w:eastAsia="仿宋_GB2312" w:cs="仿宋_GB2312"/>
          <w:color w:val="000000"/>
          <w:sz w:val="32"/>
          <w:szCs w:val="32"/>
          <w:lang w:val="zh-CN"/>
        </w:rPr>
        <w:t>100%</w:t>
      </w:r>
      <w:r>
        <w:rPr>
          <w:rFonts w:hint="eastAsia" w:ascii="仿宋_GB2312" w:hAnsi="Cambria" w:eastAsia="仿宋_GB2312" w:cs="仿宋_GB2312"/>
          <w:color w:val="000000"/>
          <w:sz w:val="32"/>
          <w:szCs w:val="32"/>
          <w:lang w:val="zh-CN"/>
        </w:rPr>
        <w:t>。具体情况如下：</w:t>
      </w:r>
    </w:p>
    <w:p>
      <w:pPr>
        <w:spacing w:line="600" w:lineRule="exact"/>
        <w:ind w:firstLine="640"/>
        <w:rPr>
          <w:rFonts w:ascii="仿宋" w:hAnsi="Cambria" w:eastAsia="仿宋" w:cs="仿宋"/>
          <w:sz w:val="32"/>
          <w:szCs w:val="32"/>
        </w:rPr>
      </w:pPr>
      <w:r>
        <w:rPr>
          <w:rFonts w:hint="eastAsia" w:ascii="仿宋" w:hAnsi="Cambria" w:eastAsia="仿宋" w:cs="仿宋"/>
          <w:sz w:val="32"/>
          <w:szCs w:val="32"/>
        </w:rPr>
        <w:t>（图</w:t>
      </w:r>
      <w:r>
        <w:rPr>
          <w:rFonts w:ascii="仿宋" w:hAnsi="Cambria" w:eastAsia="仿宋" w:cs="仿宋"/>
          <w:sz w:val="32"/>
          <w:szCs w:val="32"/>
        </w:rPr>
        <w:t>7</w:t>
      </w:r>
      <w:r>
        <w:rPr>
          <w:rFonts w:hint="eastAsia" w:ascii="仿宋" w:hAnsi="Cambria" w:eastAsia="仿宋" w:cs="仿宋"/>
          <w:sz w:val="32"/>
          <w:szCs w:val="32"/>
        </w:rPr>
        <w:t>：</w:t>
      </w:r>
      <w:r>
        <w:rPr>
          <w:rFonts w:ascii="仿宋" w:hAnsi="Cambria" w:eastAsia="仿宋" w:cs="仿宋"/>
          <w:sz w:val="32"/>
          <w:szCs w:val="32"/>
        </w:rPr>
        <w:t>“</w:t>
      </w:r>
      <w:r>
        <w:rPr>
          <w:rFonts w:hint="eastAsia" w:ascii="仿宋" w:hAnsi="Cambria" w:eastAsia="仿宋" w:cs="仿宋"/>
          <w:sz w:val="32"/>
          <w:szCs w:val="32"/>
        </w:rPr>
        <w:t>三公</w:t>
      </w:r>
      <w:r>
        <w:rPr>
          <w:rFonts w:ascii="仿宋" w:hAnsi="Cambria" w:eastAsia="仿宋" w:cs="仿宋"/>
          <w:sz w:val="32"/>
          <w:szCs w:val="32"/>
        </w:rPr>
        <w:t>”</w:t>
      </w:r>
      <w:r>
        <w:rPr>
          <w:rFonts w:hint="eastAsia" w:ascii="仿宋" w:hAnsi="Cambria" w:eastAsia="仿宋" w:cs="仿宋"/>
          <w:sz w:val="32"/>
          <w:szCs w:val="32"/>
        </w:rPr>
        <w:t>经费财政拨款支出结构）（饼状图）</w:t>
      </w:r>
    </w:p>
    <w:p>
      <w:pPr>
        <w:spacing w:line="600" w:lineRule="exact"/>
        <w:ind w:firstLine="640"/>
        <w:rPr>
          <w:rFonts w:ascii="仿宋" w:hAnsi="Cambria" w:eastAsia="仿宋" w:cs="仿宋"/>
          <w:sz w:val="32"/>
          <w:szCs w:val="32"/>
        </w:rPr>
      </w:pPr>
      <w:r>
        <w:rPr>
          <w:rFonts w:ascii="仿宋" w:hAnsi="Cambria" w:eastAsia="仿宋" w:cs="仿宋"/>
          <w:sz w:val="32"/>
          <w:szCs w:val="32"/>
        </w:rPr>
        <w:drawing>
          <wp:anchor distT="0" distB="0" distL="114300" distR="114300" simplePos="0" relativeHeight="251659264" behindDoc="0" locked="0" layoutInCell="1" allowOverlap="1">
            <wp:simplePos x="0" y="0"/>
            <wp:positionH relativeFrom="column">
              <wp:posOffset>133350</wp:posOffset>
            </wp:positionH>
            <wp:positionV relativeFrom="paragraph">
              <wp:posOffset>142875</wp:posOffset>
            </wp:positionV>
            <wp:extent cx="4629150" cy="2774950"/>
            <wp:effectExtent l="0" t="0" r="0" b="635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29150" cy="2774950"/>
                    </a:xfrm>
                    <a:prstGeom prst="rect">
                      <a:avLst/>
                    </a:prstGeom>
                    <a:noFill/>
                  </pic:spPr>
                </pic:pic>
              </a:graphicData>
            </a:graphic>
          </wp:anchor>
        </w:drawing>
      </w:r>
    </w:p>
    <w:p>
      <w:pPr>
        <w:spacing w:line="600" w:lineRule="exact"/>
        <w:ind w:firstLine="640"/>
        <w:rPr>
          <w:rFonts w:ascii="仿宋" w:hAnsi="Cambria" w:eastAsia="仿宋" w:cs="仿宋"/>
          <w:sz w:val="32"/>
          <w:szCs w:val="32"/>
        </w:rPr>
      </w:pPr>
    </w:p>
    <w:p>
      <w:pPr>
        <w:spacing w:line="600" w:lineRule="exact"/>
        <w:ind w:firstLine="640"/>
        <w:rPr>
          <w:rFonts w:ascii="仿宋" w:hAnsi="Cambria" w:eastAsia="仿宋" w:cs="仿宋"/>
          <w:sz w:val="32"/>
          <w:szCs w:val="32"/>
        </w:rPr>
      </w:pPr>
    </w:p>
    <w:p>
      <w:pPr>
        <w:spacing w:line="600" w:lineRule="exact"/>
        <w:ind w:firstLine="640"/>
        <w:rPr>
          <w:rFonts w:ascii="仿宋" w:hAnsi="Cambria" w:eastAsia="仿宋" w:cs="仿宋"/>
          <w:sz w:val="32"/>
          <w:szCs w:val="32"/>
        </w:rPr>
      </w:pPr>
    </w:p>
    <w:p>
      <w:pPr>
        <w:spacing w:line="600" w:lineRule="exact"/>
        <w:ind w:firstLine="640"/>
        <w:rPr>
          <w:rFonts w:ascii="仿宋" w:hAnsi="Cambria" w:eastAsia="仿宋" w:cs="仿宋"/>
          <w:sz w:val="32"/>
          <w:szCs w:val="32"/>
        </w:rPr>
      </w:pPr>
    </w:p>
    <w:p>
      <w:pPr>
        <w:spacing w:line="600" w:lineRule="exact"/>
        <w:ind w:firstLine="640"/>
        <w:rPr>
          <w:rFonts w:ascii="仿宋" w:hAnsi="Cambria" w:eastAsia="仿宋" w:cs="仿宋"/>
          <w:sz w:val="32"/>
          <w:szCs w:val="32"/>
        </w:rPr>
      </w:pPr>
    </w:p>
    <w:p>
      <w:pPr>
        <w:ind w:firstLine="641"/>
        <w:rPr>
          <w:rFonts w:ascii="仿宋" w:hAnsi="Cambria" w:eastAsia="仿宋" w:cs="仿宋"/>
          <w:sz w:val="32"/>
          <w:szCs w:val="32"/>
        </w:rPr>
      </w:pPr>
    </w:p>
    <w:p>
      <w:pPr>
        <w:spacing w:line="600" w:lineRule="exact"/>
        <w:ind w:firstLine="640"/>
        <w:rPr>
          <w:rFonts w:ascii="仿宋" w:hAnsi="Cambria" w:eastAsia="仿宋" w:cs="仿宋"/>
          <w:sz w:val="32"/>
          <w:szCs w:val="32"/>
        </w:rPr>
      </w:pPr>
    </w:p>
    <w:p>
      <w:pPr>
        <w:spacing w:line="600" w:lineRule="exact"/>
        <w:ind w:firstLine="643"/>
        <w:rPr>
          <w:rFonts w:ascii="仿宋_GB2312" w:hAnsi="Cambria" w:eastAsia="仿宋_GB2312" w:cs="仿宋_GB2312"/>
          <w:color w:val="000000"/>
          <w:sz w:val="32"/>
          <w:szCs w:val="32"/>
          <w:lang w:val="zh-CN"/>
        </w:rPr>
      </w:pPr>
      <w:r>
        <w:rPr>
          <w:rFonts w:ascii="仿宋_GB2312" w:hAnsi="Cambria" w:eastAsia="仿宋_GB2312" w:cs="仿宋_GB2312"/>
          <w:b/>
          <w:bCs/>
          <w:color w:val="000000"/>
          <w:sz w:val="32"/>
          <w:szCs w:val="32"/>
          <w:lang w:val="zh-CN"/>
        </w:rPr>
        <w:t>1.</w:t>
      </w:r>
      <w:r>
        <w:rPr>
          <w:rFonts w:hint="eastAsia" w:ascii="仿宋_GB2312" w:hAnsi="Cambria" w:eastAsia="仿宋_GB2312" w:cs="仿宋_GB2312"/>
          <w:b/>
          <w:bCs/>
          <w:color w:val="000000"/>
          <w:sz w:val="32"/>
          <w:szCs w:val="32"/>
          <w:lang w:val="zh-CN"/>
        </w:rPr>
        <w:t>因公出国（境）经费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。全年安排因公出国（境）团组</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个，出国（境）</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人。因公出国（境）支出决算与</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年持平。</w:t>
      </w:r>
    </w:p>
    <w:p>
      <w:pPr>
        <w:spacing w:line="600" w:lineRule="exact"/>
        <w:ind w:firstLine="643"/>
        <w:rPr>
          <w:rFonts w:ascii="仿宋_GB2312" w:hAnsi="Cambria" w:eastAsia="仿宋_GB2312" w:cs="仿宋_GB2312"/>
          <w:color w:val="000000"/>
          <w:sz w:val="32"/>
          <w:szCs w:val="32"/>
          <w:lang w:val="zh-CN"/>
        </w:rPr>
      </w:pPr>
      <w:r>
        <w:rPr>
          <w:rFonts w:ascii="仿宋_GB2312" w:hAnsi="Cambria" w:eastAsia="仿宋_GB2312" w:cs="仿宋_GB2312"/>
          <w:b/>
          <w:bCs/>
          <w:color w:val="000000"/>
          <w:sz w:val="32"/>
          <w:szCs w:val="32"/>
          <w:lang w:val="zh-CN"/>
        </w:rPr>
        <w:t>2.</w:t>
      </w:r>
      <w:r>
        <w:rPr>
          <w:rFonts w:hint="eastAsia" w:ascii="仿宋_GB2312" w:hAnsi="Cambria" w:eastAsia="仿宋_GB2312" w:cs="仿宋_GB2312"/>
          <w:b/>
          <w:bCs/>
          <w:color w:val="000000"/>
          <w:sz w:val="32"/>
          <w:szCs w:val="32"/>
          <w:lang w:val="zh-CN"/>
        </w:rPr>
        <w:t>公务用车购置及运行维护费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。公务用车购置及运行维护费支出决算与</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年持平。</w:t>
      </w:r>
    </w:p>
    <w:p>
      <w:pPr>
        <w:spacing w:line="600"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color w:val="000000"/>
          <w:sz w:val="32"/>
          <w:szCs w:val="32"/>
          <w:lang w:val="zh-CN"/>
        </w:rPr>
        <w:t>其中：</w:t>
      </w:r>
      <w:r>
        <w:rPr>
          <w:rFonts w:hint="eastAsia" w:ascii="仿宋_GB2312" w:hAnsi="Cambria" w:eastAsia="仿宋_GB2312" w:cs="仿宋_GB2312"/>
          <w:b/>
          <w:bCs/>
          <w:color w:val="000000"/>
          <w:sz w:val="32"/>
          <w:szCs w:val="32"/>
          <w:lang w:val="zh-CN"/>
        </w:rPr>
        <w:t>公务用车购置费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万元。全年按规定更新购置公务用车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辆，其中：轿车0辆、金额0万元，越野车0辆、金额0万元，小型载客汽车0辆、金额0万元，大中型载客汽车0辆、金额0万元，其他车型0辆、金额0万元。截至</w:t>
      </w: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月底，本部门共有公务用车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辆，其中：轿车0辆、越野车0辆、小型载客汽车0辆、大中型载客汽车0辆、其他车型0辆。</w:t>
      </w:r>
    </w:p>
    <w:p>
      <w:pPr>
        <w:spacing w:line="600"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公务用车运行维护费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p>
    <w:p>
      <w:pPr>
        <w:spacing w:line="600" w:lineRule="exact"/>
        <w:ind w:firstLine="643"/>
        <w:rPr>
          <w:rFonts w:ascii="仿宋_GB2312" w:hAnsi="Cambria" w:eastAsia="仿宋_GB2312" w:cs="仿宋_GB2312"/>
          <w:color w:val="000000"/>
          <w:sz w:val="32"/>
          <w:szCs w:val="32"/>
          <w:lang w:val="zh-CN"/>
        </w:rPr>
      </w:pPr>
      <w:r>
        <w:rPr>
          <w:rFonts w:ascii="仿宋_GB2312" w:hAnsi="Cambria" w:eastAsia="仿宋_GB2312" w:cs="仿宋_GB2312"/>
          <w:b/>
          <w:bCs/>
          <w:color w:val="000000"/>
          <w:sz w:val="32"/>
          <w:szCs w:val="32"/>
          <w:lang w:val="zh-CN"/>
        </w:rPr>
        <w:t>3.</w:t>
      </w:r>
      <w:r>
        <w:rPr>
          <w:rFonts w:hint="eastAsia" w:ascii="仿宋_GB2312" w:hAnsi="Cambria" w:eastAsia="仿宋_GB2312" w:cs="仿宋_GB2312"/>
          <w:b/>
          <w:bCs/>
          <w:color w:val="000000"/>
          <w:sz w:val="32"/>
          <w:szCs w:val="32"/>
          <w:lang w:val="zh-CN"/>
        </w:rPr>
        <w:t>公务接待费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2.57</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16.1%</w:t>
      </w:r>
      <w:r>
        <w:rPr>
          <w:rFonts w:hint="eastAsia" w:ascii="仿宋_GB2312" w:hAnsi="Cambria" w:eastAsia="仿宋_GB2312" w:cs="仿宋_GB2312"/>
          <w:color w:val="000000"/>
          <w:sz w:val="32"/>
          <w:szCs w:val="32"/>
          <w:lang w:val="zh-CN"/>
        </w:rPr>
        <w:t>。公务接待费支出决算比</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年减少</w:t>
      </w:r>
      <w:r>
        <w:rPr>
          <w:rFonts w:ascii="仿宋_GB2312" w:hAnsi="Cambria" w:eastAsia="仿宋_GB2312" w:cs="仿宋_GB2312"/>
          <w:color w:val="000000"/>
          <w:sz w:val="32"/>
          <w:szCs w:val="32"/>
          <w:lang w:val="zh-CN"/>
        </w:rPr>
        <w:t>9.63</w:t>
      </w:r>
      <w:r>
        <w:rPr>
          <w:rFonts w:hint="eastAsia" w:ascii="仿宋_GB2312" w:hAnsi="Cambria" w:eastAsia="仿宋_GB2312" w:cs="仿宋_GB2312"/>
          <w:color w:val="000000"/>
          <w:sz w:val="32"/>
          <w:szCs w:val="32"/>
          <w:lang w:val="zh-CN"/>
        </w:rPr>
        <w:t>万元，下降</w:t>
      </w:r>
      <w:r>
        <w:rPr>
          <w:rFonts w:ascii="仿宋_GB2312" w:hAnsi="Cambria" w:eastAsia="仿宋_GB2312" w:cs="仿宋_GB2312"/>
          <w:color w:val="000000"/>
          <w:sz w:val="32"/>
          <w:szCs w:val="32"/>
          <w:lang w:val="zh-CN"/>
        </w:rPr>
        <w:t>78.9%</w:t>
      </w:r>
      <w:r>
        <w:rPr>
          <w:rFonts w:hint="eastAsia" w:ascii="仿宋_GB2312" w:hAnsi="Cambria" w:eastAsia="仿宋_GB2312" w:cs="仿宋_GB2312"/>
          <w:color w:val="000000"/>
          <w:sz w:val="32"/>
          <w:szCs w:val="32"/>
          <w:lang w:val="zh-CN"/>
        </w:rPr>
        <w:t>。主要原因是厉行节约和2021年换届增加接待费。</w:t>
      </w:r>
    </w:p>
    <w:p>
      <w:pPr>
        <w:spacing w:line="600"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国内公务接待</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2.57</w:t>
      </w:r>
      <w:r>
        <w:rPr>
          <w:rFonts w:hint="eastAsia" w:ascii="仿宋_GB2312" w:hAnsi="Cambria" w:eastAsia="仿宋_GB2312" w:cs="仿宋_GB2312"/>
          <w:color w:val="000000"/>
          <w:sz w:val="32"/>
          <w:szCs w:val="32"/>
          <w:lang w:val="zh-CN"/>
        </w:rPr>
        <w:t>万元。主要用于</w:t>
      </w:r>
      <w:r>
        <w:rPr>
          <w:rFonts w:hint="eastAsia" w:ascii="仿宋_GB2312" w:hAnsi="Cambria" w:eastAsia="仿宋_GB2312" w:cs="仿宋_GB2312"/>
          <w:color w:val="000000"/>
          <w:sz w:val="32"/>
          <w:szCs w:val="32"/>
          <w:highlight w:val="white"/>
        </w:rPr>
        <w:t>执行公务、开展业务活动开支的交通费、住宿费、用餐费等。</w:t>
      </w:r>
      <w:r>
        <w:rPr>
          <w:rFonts w:hint="eastAsia" w:ascii="仿宋_GB2312" w:hAnsi="Cambria" w:eastAsia="仿宋_GB2312" w:cs="仿宋_GB2312"/>
          <w:color w:val="000000"/>
          <w:sz w:val="32"/>
          <w:szCs w:val="32"/>
          <w:lang w:val="zh-CN"/>
        </w:rPr>
        <w:t>国内公务接待</w:t>
      </w:r>
      <w:r>
        <w:rPr>
          <w:rFonts w:ascii="仿宋_GB2312" w:hAnsi="Cambria" w:eastAsia="仿宋_GB2312" w:cs="仿宋_GB2312"/>
          <w:color w:val="000000"/>
          <w:sz w:val="32"/>
          <w:szCs w:val="32"/>
          <w:lang w:val="zh-CN"/>
        </w:rPr>
        <w:t>76</w:t>
      </w:r>
      <w:r>
        <w:rPr>
          <w:rFonts w:hint="eastAsia" w:ascii="仿宋_GB2312" w:hAnsi="Cambria" w:eastAsia="仿宋_GB2312" w:cs="仿宋_GB2312"/>
          <w:color w:val="000000"/>
          <w:sz w:val="32"/>
          <w:szCs w:val="32"/>
          <w:lang w:val="zh-CN"/>
        </w:rPr>
        <w:t>批次，</w:t>
      </w:r>
      <w:r>
        <w:rPr>
          <w:rFonts w:ascii="仿宋_GB2312" w:hAnsi="Cambria" w:eastAsia="仿宋_GB2312" w:cs="仿宋_GB2312"/>
          <w:color w:val="000000"/>
          <w:sz w:val="32"/>
          <w:szCs w:val="32"/>
          <w:lang w:val="zh-CN"/>
        </w:rPr>
        <w:t>396</w:t>
      </w:r>
      <w:r>
        <w:rPr>
          <w:rFonts w:hint="eastAsia" w:ascii="仿宋_GB2312" w:hAnsi="Cambria" w:eastAsia="仿宋_GB2312" w:cs="仿宋_GB2312"/>
          <w:color w:val="000000"/>
          <w:sz w:val="32"/>
          <w:szCs w:val="32"/>
          <w:lang w:val="zh-CN"/>
        </w:rPr>
        <w:t>人次，共计支出</w:t>
      </w:r>
      <w:r>
        <w:rPr>
          <w:rFonts w:ascii="仿宋_GB2312" w:hAnsi="Cambria" w:eastAsia="仿宋_GB2312" w:cs="仿宋_GB2312"/>
          <w:color w:val="000000"/>
          <w:sz w:val="32"/>
          <w:szCs w:val="32"/>
          <w:lang w:val="zh-CN"/>
        </w:rPr>
        <w:t>2.57</w:t>
      </w:r>
      <w:r>
        <w:rPr>
          <w:rFonts w:hint="eastAsia" w:ascii="仿宋_GB2312" w:hAnsi="Cambria" w:eastAsia="仿宋_GB2312" w:cs="仿宋_GB2312"/>
          <w:color w:val="000000"/>
          <w:sz w:val="32"/>
          <w:szCs w:val="32"/>
          <w:lang w:val="zh-CN"/>
        </w:rPr>
        <w:t>万元</w:t>
      </w:r>
      <w:r>
        <w:rPr>
          <w:rFonts w:hint="eastAsia" w:ascii="仿宋_GB2312" w:hAnsi="Cambria" w:eastAsia="仿宋_GB2312" w:cs="仿宋_GB2312"/>
          <w:color w:val="000000"/>
          <w:sz w:val="32"/>
          <w:szCs w:val="32"/>
          <w:highlight w:val="white"/>
        </w:rPr>
        <w:t>。</w:t>
      </w:r>
    </w:p>
    <w:p>
      <w:pPr>
        <w:spacing w:line="600" w:lineRule="exact"/>
        <w:ind w:firstLine="643"/>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外事接待</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万元，外事接待</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批次，</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人，共计支出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p>
    <w:p>
      <w:pPr>
        <w:spacing w:line="600" w:lineRule="exact"/>
        <w:ind w:firstLine="643"/>
        <w:rPr>
          <w:rFonts w:ascii="黑体" w:hAnsi="Cambria" w:eastAsia="黑体" w:cs="黑体"/>
          <w:b/>
          <w:bCs/>
          <w:sz w:val="32"/>
          <w:szCs w:val="32"/>
          <w:lang w:val="zh-CN"/>
        </w:rPr>
      </w:pPr>
      <w:r>
        <w:rPr>
          <w:rFonts w:hint="eastAsia" w:ascii="黑体" w:hAnsi="Cambria" w:eastAsia="黑体" w:cs="黑体"/>
          <w:color w:val="000000"/>
          <w:sz w:val="32"/>
          <w:szCs w:val="32"/>
          <w:lang w:val="zh-CN"/>
        </w:rPr>
        <w:t>八、</w:t>
      </w:r>
      <w:r>
        <w:rPr>
          <w:rFonts w:hint="eastAsia" w:ascii="黑体" w:hAnsi="Cambria" w:eastAsia="黑体" w:cs="黑体"/>
          <w:sz w:val="32"/>
          <w:szCs w:val="32"/>
          <w:lang w:val="zh-CN"/>
        </w:rPr>
        <w:t>政府性基金预算支出决算情况说明</w:t>
      </w:r>
    </w:p>
    <w:p>
      <w:pPr>
        <w:spacing w:line="576" w:lineRule="exact"/>
        <w:ind w:firstLine="640"/>
        <w:rPr>
          <w:rFonts w:ascii="仿宋_GB2312" w:hAnsi="Cambria" w:eastAsia="仿宋_GB2312" w:cs="仿宋_GB2312"/>
          <w:color w:val="000000"/>
          <w:sz w:val="32"/>
          <w:szCs w:val="32"/>
          <w:lang w:val="zh-CN"/>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年政府性基金预算拨款支出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p>
    <w:p>
      <w:pPr>
        <w:spacing w:line="576" w:lineRule="exact"/>
        <w:ind w:firstLine="640"/>
        <w:rPr>
          <w:rFonts w:ascii="仿宋_GB2312" w:hAnsi="Cambria" w:eastAsia="仿宋_GB2312" w:cs="仿宋_GB2312"/>
          <w:color w:val="000000"/>
          <w:sz w:val="32"/>
          <w:szCs w:val="32"/>
          <w:lang w:val="zh-CN"/>
        </w:rPr>
      </w:pPr>
      <w:r>
        <w:rPr>
          <w:rFonts w:hint="eastAsia" w:ascii="黑体" w:hAnsi="Cambria" w:eastAsia="黑体" w:cs="黑体"/>
          <w:sz w:val="32"/>
          <w:szCs w:val="32"/>
          <w:lang w:val="zh-CN"/>
        </w:rPr>
        <w:t>九、国有资本经营预算支出决算情况说明</w:t>
      </w:r>
    </w:p>
    <w:p>
      <w:pPr>
        <w:spacing w:line="576" w:lineRule="exact"/>
        <w:ind w:firstLine="640"/>
        <w:rPr>
          <w:rFonts w:ascii="仿宋_GB2312" w:hAnsi="Cambria" w:eastAsia="仿宋_GB2312" w:cs="仿宋_GB2312"/>
          <w:color w:val="000000"/>
          <w:sz w:val="32"/>
          <w:szCs w:val="32"/>
          <w:lang w:val="zh-CN"/>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年国有资本经营预算拨款支出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p>
    <w:p>
      <w:pPr>
        <w:spacing w:line="576" w:lineRule="exact"/>
        <w:ind w:firstLine="640"/>
        <w:rPr>
          <w:rFonts w:ascii="仿宋_GB2312" w:hAnsi="Cambria" w:eastAsia="仿宋_GB2312" w:cs="仿宋_GB2312"/>
          <w:color w:val="000000"/>
          <w:sz w:val="32"/>
          <w:szCs w:val="32"/>
          <w:lang w:val="zh-CN"/>
        </w:rPr>
      </w:pPr>
      <w:r>
        <w:rPr>
          <w:rFonts w:hint="eastAsia" w:ascii="黑体" w:hAnsi="Cambria" w:eastAsia="黑体" w:cs="黑体"/>
          <w:color w:val="000000"/>
          <w:sz w:val="32"/>
          <w:szCs w:val="32"/>
          <w:lang w:val="zh-CN"/>
        </w:rPr>
        <w:t>十</w:t>
      </w:r>
      <w:r>
        <w:rPr>
          <w:rFonts w:hint="eastAsia" w:ascii="黑体" w:hAnsi="Cambria" w:eastAsia="黑体" w:cs="黑体"/>
          <w:b/>
          <w:bCs/>
          <w:sz w:val="32"/>
          <w:szCs w:val="32"/>
          <w:lang w:val="zh-CN"/>
        </w:rPr>
        <w:t>、</w:t>
      </w:r>
      <w:r>
        <w:rPr>
          <w:rFonts w:hint="eastAsia" w:ascii="黑体" w:hAnsi="Cambria" w:eastAsia="黑体" w:cs="黑体"/>
          <w:sz w:val="32"/>
          <w:szCs w:val="32"/>
          <w:lang w:val="zh-CN"/>
        </w:rPr>
        <w:t>其他重要事项的情况说明</w:t>
      </w:r>
    </w:p>
    <w:p>
      <w:pPr>
        <w:spacing w:line="576" w:lineRule="exact"/>
        <w:ind w:firstLine="640"/>
        <w:rPr>
          <w:rFonts w:ascii="仿宋_GB2312" w:hAnsi="Cambria" w:eastAsia="仿宋_GB2312" w:cs="仿宋_GB2312"/>
          <w:color w:val="000000"/>
          <w:sz w:val="32"/>
          <w:szCs w:val="32"/>
          <w:lang w:val="zh-CN"/>
        </w:rPr>
      </w:pPr>
      <w:r>
        <w:rPr>
          <w:rFonts w:hint="eastAsia" w:ascii="仿宋_GB2312" w:hAnsi="Cambria" w:eastAsia="仿宋_GB2312" w:cs="仿宋_GB2312"/>
          <w:b/>
          <w:bCs/>
          <w:color w:val="000000"/>
          <w:sz w:val="32"/>
          <w:szCs w:val="32"/>
          <w:lang w:val="zh-CN"/>
        </w:rPr>
        <w:t>（一）机关运行经费支出情况</w:t>
      </w:r>
    </w:p>
    <w:p>
      <w:pPr>
        <w:spacing w:line="576" w:lineRule="exact"/>
        <w:ind w:firstLine="640"/>
        <w:rPr>
          <w:rFonts w:ascii="仿宋_GB2312" w:hAnsi="Cambria" w:eastAsia="仿宋_GB2312" w:cs="仿宋_GB2312"/>
          <w:color w:val="000000"/>
          <w:sz w:val="32"/>
          <w:szCs w:val="32"/>
          <w:lang w:val="zh-CN"/>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年，中国共产党沐川县委员会组织部机关运行经费支出</w:t>
      </w:r>
      <w:r>
        <w:rPr>
          <w:rFonts w:ascii="仿宋_GB2312" w:hAnsi="Cambria" w:eastAsia="仿宋_GB2312" w:cs="仿宋_GB2312"/>
          <w:color w:val="000000"/>
          <w:sz w:val="32"/>
          <w:szCs w:val="32"/>
          <w:lang w:val="zh-CN"/>
        </w:rPr>
        <w:t>60.4</w:t>
      </w:r>
      <w:r>
        <w:rPr>
          <w:rFonts w:hint="eastAsia" w:ascii="仿宋_GB2312" w:hAnsi="Cambria" w:eastAsia="仿宋_GB2312" w:cs="仿宋_GB2312"/>
          <w:color w:val="000000"/>
          <w:sz w:val="32"/>
          <w:szCs w:val="32"/>
          <w:lang w:val="zh-CN"/>
        </w:rPr>
        <w:t>9万元，比</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年减少</w:t>
      </w:r>
      <w:r>
        <w:rPr>
          <w:rFonts w:ascii="仿宋_GB2312" w:hAnsi="Cambria" w:eastAsia="仿宋_GB2312" w:cs="仿宋_GB2312"/>
          <w:color w:val="000000"/>
          <w:sz w:val="32"/>
          <w:szCs w:val="32"/>
          <w:lang w:val="zh-CN"/>
        </w:rPr>
        <w:t>1.85</w:t>
      </w:r>
      <w:r>
        <w:rPr>
          <w:rFonts w:hint="eastAsia" w:ascii="仿宋_GB2312" w:hAnsi="Cambria" w:eastAsia="仿宋_GB2312" w:cs="仿宋_GB2312"/>
          <w:color w:val="000000"/>
          <w:sz w:val="32"/>
          <w:szCs w:val="32"/>
          <w:lang w:val="zh-CN"/>
        </w:rPr>
        <w:t>万元，下降</w:t>
      </w:r>
      <w:r>
        <w:rPr>
          <w:rFonts w:ascii="仿宋_GB2312" w:hAnsi="Cambria" w:eastAsia="仿宋_GB2312" w:cs="仿宋_GB2312"/>
          <w:color w:val="000000"/>
          <w:sz w:val="32"/>
          <w:szCs w:val="32"/>
          <w:lang w:val="zh-CN"/>
        </w:rPr>
        <w:t>3%</w:t>
      </w:r>
      <w:r>
        <w:rPr>
          <w:rFonts w:hint="eastAsia" w:ascii="仿宋_GB2312" w:hAnsi="Cambria" w:eastAsia="仿宋_GB2312" w:cs="仿宋_GB2312"/>
          <w:color w:val="000000"/>
          <w:sz w:val="32"/>
          <w:szCs w:val="32"/>
          <w:lang w:val="zh-CN"/>
        </w:rPr>
        <w:t>。主要原因是厉行节约。</w:t>
      </w:r>
    </w:p>
    <w:p>
      <w:pPr>
        <w:spacing w:line="600" w:lineRule="exact"/>
        <w:ind w:firstLine="643"/>
        <w:rPr>
          <w:rFonts w:ascii="仿宋" w:hAnsi="Cambria" w:eastAsia="仿宋" w:cs="仿宋"/>
          <w:b/>
          <w:bCs/>
          <w:sz w:val="32"/>
          <w:szCs w:val="32"/>
        </w:rPr>
      </w:pPr>
      <w:r>
        <w:rPr>
          <w:rFonts w:hint="eastAsia" w:ascii="仿宋" w:hAnsi="Cambria" w:eastAsia="仿宋" w:cs="仿宋"/>
          <w:b/>
          <w:bCs/>
          <w:sz w:val="32"/>
          <w:szCs w:val="32"/>
        </w:rPr>
        <w:t>（注：数据来源于财决附</w:t>
      </w:r>
      <w:r>
        <w:rPr>
          <w:rFonts w:ascii="仿宋" w:hAnsi="Cambria" w:eastAsia="仿宋" w:cs="仿宋"/>
          <w:b/>
          <w:bCs/>
          <w:sz w:val="32"/>
          <w:szCs w:val="32"/>
        </w:rPr>
        <w:t>03</w:t>
      </w:r>
      <w:r>
        <w:rPr>
          <w:rFonts w:hint="eastAsia" w:ascii="仿宋" w:hAnsi="Cambria" w:eastAsia="仿宋" w:cs="仿宋"/>
          <w:b/>
          <w:bCs/>
          <w:sz w:val="32"/>
          <w:szCs w:val="32"/>
        </w:rPr>
        <w:t>表）</w:t>
      </w:r>
    </w:p>
    <w:p>
      <w:pPr>
        <w:spacing w:line="600" w:lineRule="exact"/>
        <w:ind w:firstLine="643"/>
        <w:rPr>
          <w:rFonts w:ascii="仿宋" w:hAnsi="Cambria" w:eastAsia="仿宋" w:cs="仿宋"/>
          <w:b/>
          <w:bCs/>
          <w:sz w:val="32"/>
          <w:szCs w:val="32"/>
        </w:rPr>
      </w:pPr>
      <w:r>
        <w:rPr>
          <w:rFonts w:hint="eastAsia" w:ascii="仿宋_GB2312" w:hAnsi="Cambria" w:eastAsia="仿宋_GB2312" w:cs="仿宋_GB2312"/>
          <w:b/>
          <w:bCs/>
          <w:color w:val="000000"/>
          <w:sz w:val="32"/>
          <w:szCs w:val="32"/>
          <w:lang w:val="zh-CN"/>
        </w:rPr>
        <w:t>（二）政府采购支出情况</w:t>
      </w:r>
    </w:p>
    <w:p>
      <w:pPr>
        <w:spacing w:line="576" w:lineRule="exact"/>
        <w:ind w:firstLine="640"/>
        <w:rPr>
          <w:rFonts w:ascii="仿宋_GB2312" w:hAnsi="Cambria" w:eastAsia="仿宋_GB2312" w:cs="仿宋_GB2312"/>
          <w:color w:val="000000"/>
          <w:sz w:val="32"/>
          <w:szCs w:val="32"/>
          <w:lang w:val="zh-CN"/>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年，中国共产党沐川县委员会组织部政府采购支出总额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万元，其中：政府采购货物支出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万元、政府采购工程支出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万元、政府采购服务支出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万元。主要用于</w:t>
      </w:r>
      <w:r>
        <w:rPr>
          <w:rFonts w:hint="eastAsia" w:ascii="仿宋_GB2312" w:hAnsi="Cambria" w:eastAsia="仿宋_GB2312" w:cs="仿宋_GB2312"/>
          <w:color w:val="000000"/>
          <w:sz w:val="32"/>
          <w:szCs w:val="32"/>
          <w:highlight w:val="white"/>
          <w:lang w:val="zh-CN"/>
        </w:rPr>
        <w:t>…</w:t>
      </w:r>
      <w:r>
        <w:rPr>
          <w:rFonts w:hint="eastAsia" w:ascii="仿宋_GB2312" w:hAnsi="Cambria" w:eastAsia="仿宋_GB2312" w:cs="仿宋_GB2312"/>
          <w:color w:val="000000"/>
          <w:sz w:val="32"/>
          <w:szCs w:val="32"/>
          <w:highlight w:val="white"/>
        </w:rPr>
        <w:t>（具体工作）</w:t>
      </w:r>
      <w:r>
        <w:rPr>
          <w:rFonts w:hint="eastAsia" w:ascii="仿宋_GB2312" w:hAnsi="Cambria" w:eastAsia="仿宋_GB2312" w:cs="仿宋_GB2312"/>
          <w:color w:val="000000"/>
          <w:sz w:val="32"/>
          <w:szCs w:val="32"/>
          <w:highlight w:val="white"/>
          <w:lang w:val="zh-CN"/>
        </w:rPr>
        <w:t>。</w:t>
      </w:r>
      <w:r>
        <w:rPr>
          <w:rFonts w:hint="eastAsia" w:ascii="仿宋_GB2312" w:hAnsi="Cambria" w:eastAsia="仿宋_GB2312" w:cs="仿宋_GB2312"/>
          <w:color w:val="000000"/>
          <w:sz w:val="32"/>
          <w:szCs w:val="32"/>
          <w:lang w:val="zh-CN"/>
        </w:rPr>
        <w:t>授予中小企业合同金额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万元，占政府采购支出总额的</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，其中：授予小微企业合同金额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r>
        <w:rPr>
          <w:rFonts w:hint="eastAsia" w:ascii="仿宋_GB2312" w:hAnsi="Cambria" w:eastAsia="仿宋_GB2312" w:cs="仿宋_GB2312"/>
          <w:sz w:val="32"/>
          <w:szCs w:val="32"/>
        </w:rPr>
        <w:t>占政府采购支出总额的</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w:t>
      </w:r>
    </w:p>
    <w:p>
      <w:pPr>
        <w:spacing w:line="600" w:lineRule="exact"/>
        <w:ind w:firstLine="643"/>
        <w:rPr>
          <w:rFonts w:ascii="仿宋" w:hAnsi="Cambria" w:eastAsia="仿宋" w:cs="仿宋"/>
          <w:b/>
          <w:bCs/>
          <w:sz w:val="32"/>
          <w:szCs w:val="32"/>
        </w:rPr>
      </w:pPr>
      <w:r>
        <w:rPr>
          <w:rFonts w:hint="eastAsia" w:ascii="仿宋" w:hAnsi="Cambria" w:eastAsia="仿宋" w:cs="仿宋"/>
          <w:b/>
          <w:bCs/>
          <w:sz w:val="32"/>
          <w:szCs w:val="32"/>
        </w:rPr>
        <w:t>（注：数据来源于财决附</w:t>
      </w:r>
      <w:r>
        <w:rPr>
          <w:rFonts w:ascii="仿宋" w:hAnsi="Cambria" w:eastAsia="仿宋" w:cs="仿宋"/>
          <w:b/>
          <w:bCs/>
          <w:sz w:val="32"/>
          <w:szCs w:val="32"/>
        </w:rPr>
        <w:t>03</w:t>
      </w:r>
      <w:r>
        <w:rPr>
          <w:rFonts w:hint="eastAsia" w:ascii="仿宋" w:hAnsi="Cambria" w:eastAsia="仿宋" w:cs="仿宋"/>
          <w:b/>
          <w:bCs/>
          <w:sz w:val="32"/>
          <w:szCs w:val="32"/>
        </w:rPr>
        <w:t>表）</w:t>
      </w:r>
    </w:p>
    <w:p>
      <w:pPr>
        <w:spacing w:line="600" w:lineRule="exact"/>
        <w:ind w:firstLine="643"/>
        <w:rPr>
          <w:rFonts w:ascii="仿宋_GB2312" w:hAnsi="Cambria" w:eastAsia="仿宋_GB2312" w:cs="仿宋_GB2312"/>
          <w:b/>
          <w:bCs/>
          <w:color w:val="000000"/>
          <w:sz w:val="32"/>
          <w:szCs w:val="32"/>
          <w:lang w:val="zh-CN"/>
        </w:rPr>
      </w:pPr>
      <w:r>
        <w:rPr>
          <w:rFonts w:hint="eastAsia" w:ascii="仿宋_GB2312" w:hAnsi="Cambria" w:eastAsia="仿宋_GB2312" w:cs="仿宋_GB2312"/>
          <w:b/>
          <w:bCs/>
          <w:color w:val="000000"/>
          <w:sz w:val="32"/>
          <w:szCs w:val="32"/>
          <w:lang w:val="zh-CN"/>
        </w:rPr>
        <w:t>（三）国有资产占有使用情况</w:t>
      </w:r>
    </w:p>
    <w:p>
      <w:pPr>
        <w:spacing w:line="576" w:lineRule="exact"/>
        <w:ind w:firstLine="640"/>
        <w:rPr>
          <w:rFonts w:ascii="仿宋_GB2312" w:hAnsi="Cambria" w:eastAsia="仿宋_GB2312" w:cs="仿宋_GB2312"/>
          <w:color w:val="000000"/>
          <w:sz w:val="32"/>
          <w:szCs w:val="32"/>
          <w:lang w:val="zh-CN"/>
        </w:rPr>
      </w:pPr>
      <w:r>
        <w:rPr>
          <w:rFonts w:hint="eastAsia" w:ascii="仿宋_GB2312" w:hAnsi="Cambria" w:eastAsia="仿宋_GB2312" w:cs="仿宋_GB2312"/>
          <w:color w:val="000000"/>
          <w:sz w:val="32"/>
          <w:szCs w:val="32"/>
          <w:lang w:val="zh-CN"/>
        </w:rPr>
        <w:t>截至</w:t>
      </w: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月</w:t>
      </w:r>
      <w:r>
        <w:rPr>
          <w:rFonts w:ascii="仿宋_GB2312" w:hAnsi="Cambria" w:eastAsia="仿宋_GB2312" w:cs="仿宋_GB2312"/>
          <w:color w:val="000000"/>
          <w:sz w:val="32"/>
          <w:szCs w:val="32"/>
          <w:lang w:val="zh-CN"/>
        </w:rPr>
        <w:t>31</w:t>
      </w:r>
      <w:r>
        <w:rPr>
          <w:rFonts w:hint="eastAsia" w:ascii="仿宋_GB2312" w:hAnsi="Cambria" w:eastAsia="仿宋_GB2312" w:cs="仿宋_GB2312"/>
          <w:color w:val="000000"/>
          <w:sz w:val="32"/>
          <w:szCs w:val="32"/>
          <w:lang w:val="zh-CN"/>
        </w:rPr>
        <w:t>日，中国共产党沐川县委员会组织部共有车辆</w:t>
      </w:r>
      <w:r>
        <w:rPr>
          <w:rFonts w:ascii="仿宋_GB2312" w:hAnsi="Cambria" w:eastAsia="仿宋_GB2312" w:cs="仿宋_GB2312"/>
          <w:color w:val="000000"/>
          <w:sz w:val="32"/>
          <w:szCs w:val="32"/>
          <w:lang w:val="zh-CN"/>
        </w:rPr>
        <w:t>1</w:t>
      </w:r>
      <w:r>
        <w:rPr>
          <w:rFonts w:hint="eastAsia" w:ascii="仿宋_GB2312" w:hAnsi="Cambria" w:eastAsia="仿宋_GB2312" w:cs="仿宋_GB2312"/>
          <w:color w:val="000000"/>
          <w:sz w:val="32"/>
          <w:szCs w:val="32"/>
          <w:lang w:val="zh-CN"/>
        </w:rPr>
        <w:t>辆，其中：副部（省）级及以上领导用车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辆、主要领导干部用车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辆、机要通信用车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辆、应急保障用车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辆、执法执勤用车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辆、特种专业技术用车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辆、离退休干部用车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辆、其他用车</w:t>
      </w:r>
      <w:r>
        <w:rPr>
          <w:rFonts w:ascii="仿宋_GB2312" w:hAnsi="Cambria" w:eastAsia="仿宋_GB2312" w:cs="仿宋_GB2312"/>
          <w:color w:val="000000"/>
          <w:sz w:val="32"/>
          <w:szCs w:val="32"/>
          <w:lang w:val="zh-CN"/>
        </w:rPr>
        <w:t>1</w:t>
      </w:r>
      <w:r>
        <w:rPr>
          <w:rFonts w:hint="eastAsia" w:ascii="仿宋_GB2312" w:hAnsi="Cambria" w:eastAsia="仿宋_GB2312" w:cs="仿宋_GB2312"/>
          <w:color w:val="000000"/>
          <w:sz w:val="32"/>
          <w:szCs w:val="32"/>
          <w:lang w:val="zh-CN"/>
        </w:rPr>
        <w:t>辆。其中：单价</w:t>
      </w:r>
      <w:r>
        <w:rPr>
          <w:rFonts w:ascii="仿宋_GB2312" w:hAnsi="Cambria" w:eastAsia="仿宋_GB2312" w:cs="仿宋_GB2312"/>
          <w:color w:val="000000"/>
          <w:sz w:val="32"/>
          <w:szCs w:val="32"/>
          <w:lang w:val="zh-CN"/>
        </w:rPr>
        <w:t>100</w:t>
      </w:r>
      <w:r>
        <w:rPr>
          <w:rFonts w:hint="eastAsia" w:ascii="仿宋_GB2312" w:hAnsi="Cambria" w:eastAsia="仿宋_GB2312" w:cs="仿宋_GB2312"/>
          <w:color w:val="000000"/>
          <w:sz w:val="32"/>
          <w:szCs w:val="32"/>
          <w:lang w:val="zh-CN"/>
        </w:rPr>
        <w:t>万元（含）以上设备</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台（套</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w:t>
      </w:r>
    </w:p>
    <w:p>
      <w:pPr>
        <w:spacing w:line="600" w:lineRule="exact"/>
        <w:ind w:firstLine="643"/>
        <w:rPr>
          <w:rFonts w:ascii="仿宋" w:hAnsi="Cambria" w:eastAsia="仿宋" w:cs="仿宋"/>
          <w:b/>
          <w:bCs/>
          <w:sz w:val="32"/>
          <w:szCs w:val="32"/>
        </w:rPr>
      </w:pPr>
      <w:r>
        <w:rPr>
          <w:rFonts w:hint="eastAsia" w:ascii="仿宋" w:hAnsi="Cambria" w:eastAsia="仿宋" w:cs="仿宋"/>
          <w:b/>
          <w:bCs/>
          <w:sz w:val="32"/>
          <w:szCs w:val="32"/>
        </w:rPr>
        <w:t>（注：数据来源于财决附</w:t>
      </w:r>
      <w:r>
        <w:rPr>
          <w:rFonts w:ascii="仿宋" w:hAnsi="Cambria" w:eastAsia="仿宋" w:cs="仿宋"/>
          <w:b/>
          <w:bCs/>
          <w:sz w:val="32"/>
          <w:szCs w:val="32"/>
        </w:rPr>
        <w:t>03</w:t>
      </w:r>
      <w:r>
        <w:rPr>
          <w:rFonts w:hint="eastAsia" w:ascii="仿宋" w:hAnsi="Cambria" w:eastAsia="仿宋" w:cs="仿宋"/>
          <w:b/>
          <w:bCs/>
          <w:sz w:val="32"/>
          <w:szCs w:val="32"/>
        </w:rPr>
        <w:t>表，按部门决算报表填报数据罗列车辆情况。）</w:t>
      </w:r>
    </w:p>
    <w:p>
      <w:pPr>
        <w:spacing w:line="600" w:lineRule="exact"/>
        <w:ind w:firstLine="643"/>
        <w:rPr>
          <w:rFonts w:ascii="仿宋" w:hAnsi="Cambria" w:eastAsia="仿宋" w:cs="仿宋"/>
          <w:b/>
          <w:bCs/>
          <w:sz w:val="32"/>
          <w:szCs w:val="32"/>
        </w:rPr>
      </w:pPr>
      <w:r>
        <w:rPr>
          <w:rFonts w:hint="eastAsia" w:ascii="仿宋_GB2312" w:hAnsi="Cambria" w:eastAsia="仿宋_GB2312" w:cs="仿宋_GB2312"/>
          <w:b/>
          <w:bCs/>
          <w:color w:val="000000"/>
          <w:sz w:val="32"/>
          <w:szCs w:val="32"/>
          <w:lang w:val="zh-CN"/>
        </w:rPr>
        <w:t>（四）预算绩效管理情况。</w:t>
      </w:r>
    </w:p>
    <w:p>
      <w:pPr>
        <w:spacing w:line="576" w:lineRule="exact"/>
        <w:ind w:firstLine="640"/>
        <w:rPr>
          <w:rFonts w:ascii="仿宋_GB2312" w:hAnsi="Cambria" w:eastAsia="仿宋_GB2312" w:cs="仿宋_GB2312"/>
          <w:sz w:val="32"/>
          <w:szCs w:val="32"/>
        </w:rPr>
      </w:pPr>
      <w:r>
        <w:rPr>
          <w:rFonts w:hint="eastAsia" w:ascii="仿宋_GB2312" w:hAnsi="Cambria" w:eastAsia="仿宋_GB2312" w:cs="仿宋_GB2312"/>
          <w:sz w:val="32"/>
          <w:szCs w:val="32"/>
        </w:rPr>
        <w:t>根据预算绩效管理要求，本部门在</w:t>
      </w:r>
      <w:r>
        <w:rPr>
          <w:rFonts w:ascii="仿宋_GB2312" w:hAnsi="Cambria" w:eastAsia="仿宋_GB2312" w:cs="仿宋_GB2312"/>
          <w:sz w:val="32"/>
          <w:szCs w:val="32"/>
        </w:rPr>
        <w:t>2022</w:t>
      </w:r>
      <w:r>
        <w:rPr>
          <w:rFonts w:hint="eastAsia" w:ascii="仿宋_GB2312" w:hAnsi="Cambria" w:eastAsia="仿宋_GB2312" w:cs="仿宋_GB2312"/>
          <w:sz w:val="32"/>
          <w:szCs w:val="32"/>
        </w:rPr>
        <w:t>年度预算编制阶段，组织对老干部关爱慰问经费、县级领导干部体检费、党员教育培训经费等14个项目开展了预算事前绩效评估，对1个项目编制了绩效目标，预算执行过程中，选取1个项目开展绩效监控。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党员教育培训经费”项目绩效目标完成情况综述。项目全年预算数10万元，执行数为6.85万元，完成预算的68.5%。通过项目实施，加大了党员干部思想政治教育、提高党员干部人才理论综合素质。发现的主要问题：党员教育工作内容方式单一、创新不多，其他基层党组织重视程度不够；党员教育覆盖面不广。下一步改进措施：丰富载体，保持党员教育管理工作的多样性。逐步改变过去那种机械的、灌输式、说教式的教育方式，采取灵活多样的、党员喜闻乐见的教育方式方法，开展各种学习教育活动，调动党员参与学习的积极性。</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lang w:bidi="ar"/>
              </w:rPr>
            </w:pPr>
            <w:r>
              <w:rPr>
                <w:rFonts w:hint="eastAsia" w:ascii="宋体" w:hAnsi="宋体" w:cs="宋体"/>
                <w:b/>
                <w:bCs/>
                <w:color w:val="000000"/>
                <w:kern w:val="0"/>
                <w:sz w:val="36"/>
                <w:szCs w:val="36"/>
                <w:lang w:bidi="ar"/>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lang w:bidi="ar"/>
              </w:rPr>
              <w:t>(202</w:t>
            </w:r>
            <w:r>
              <w:rPr>
                <w:rFonts w:hint="eastAsia" w:ascii="宋体" w:hAnsi="宋体" w:cs="宋体"/>
                <w:color w:val="000000"/>
                <w:kern w:val="0"/>
                <w:sz w:val="36"/>
                <w:szCs w:val="36"/>
                <w:lang w:bidi="ar"/>
              </w:rPr>
              <w:t>2年度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党员教育培训经费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组织部</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6.85万元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全县党员干部培训全覆盖</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举办入党积极分子、党组织书记培训班</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完成党员干部培训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举办入党积极分子培训班、党组织书记培训班</w:t>
            </w:r>
          </w:p>
          <w:p>
            <w:pPr>
              <w:widowControl/>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党员干部理论水平、业务水平进一步提高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显著提高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显著提高</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县委县政府、上级业务部门的满意度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bl>
    <w:p>
      <w:pPr>
        <w:spacing w:line="580" w:lineRule="exact"/>
        <w:ind w:firstLine="800" w:firstLineChars="250"/>
        <w:rPr>
          <w:rFonts w:ascii="楷体_GB2312" w:hAnsi="楷体_GB2312" w:eastAsia="楷体_GB2312" w:cs="楷体_GB2312"/>
          <w:sz w:val="32"/>
          <w:szCs w:val="32"/>
        </w:rPr>
      </w:pPr>
    </w:p>
    <w:p>
      <w:pPr>
        <w:spacing w:line="580" w:lineRule="exact"/>
        <w:ind w:firstLine="800" w:firstLineChars="25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2年部门整体支出绩效评价情况开展自评，《组织部</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2年部门整体支出绩效评价报告》见附件（附件1）。</w:t>
      </w:r>
      <w:r>
        <w:rPr>
          <w:rFonts w:hint="eastAsia" w:ascii="仿宋_GB2312" w:hAnsi="Cambria" w:eastAsia="仿宋_GB2312" w:cs="仿宋_GB2312"/>
          <w:sz w:val="32"/>
          <w:szCs w:val="32"/>
        </w:rPr>
        <w:t>组织对</w:t>
      </w:r>
      <w:r>
        <w:rPr>
          <w:rFonts w:ascii="仿宋_GB2312" w:hAnsi="Cambria" w:eastAsia="仿宋_GB2312" w:cs="仿宋_GB2312"/>
          <w:sz w:val="32"/>
          <w:szCs w:val="32"/>
        </w:rPr>
        <w:t>2022</w:t>
      </w:r>
      <w:r>
        <w:rPr>
          <w:rFonts w:hint="eastAsia" w:ascii="仿宋_GB2312" w:hAnsi="Cambria" w:eastAsia="仿宋_GB2312" w:cs="仿宋_GB2312"/>
          <w:sz w:val="32"/>
          <w:szCs w:val="32"/>
        </w:rPr>
        <w:t>年度一般公共预算全面开展绩效自评，形成组织部绩效自评报告，其中，组织部门部门整体绩效自评得分为98分，绩效自评综述：党员教育培训经费自评综合绩效良好，绩效自评报告详见附件。</w:t>
      </w:r>
    </w:p>
    <w:p>
      <w:pPr>
        <w:spacing w:line="600" w:lineRule="exact"/>
        <w:ind w:firstLine="643"/>
        <w:rPr>
          <w:rFonts w:ascii="仿宋" w:hAnsi="Times New Roman" w:eastAsia="仿宋" w:cs="仿宋"/>
          <w:b/>
          <w:bCs/>
          <w:sz w:val="32"/>
          <w:szCs w:val="32"/>
        </w:rPr>
      </w:pPr>
    </w:p>
    <w:p>
      <w:pPr>
        <w:spacing w:line="600" w:lineRule="exact"/>
        <w:ind w:firstLine="1285" w:firstLineChars="400"/>
        <w:rPr>
          <w:rFonts w:ascii="仿宋" w:hAnsi="Times New Roman" w:eastAsia="仿宋" w:cs="仿宋"/>
          <w:b/>
          <w:bCs/>
          <w:sz w:val="32"/>
          <w:szCs w:val="32"/>
        </w:rPr>
      </w:pPr>
      <w:r>
        <w:rPr>
          <w:rFonts w:hint="eastAsia" w:ascii="仿宋" w:hAnsi="Times New Roman" w:eastAsia="仿宋" w:cs="仿宋"/>
          <w:b/>
          <w:bCs/>
          <w:sz w:val="32"/>
          <w:szCs w:val="32"/>
        </w:rPr>
        <w:t xml:space="preserve">     </w:t>
      </w:r>
      <w:r>
        <w:rPr>
          <w:rFonts w:hint="eastAsia" w:ascii="黑体" w:hAnsi="Cambria" w:eastAsia="黑体" w:cs="黑体"/>
          <w:color w:val="000000"/>
          <w:sz w:val="44"/>
          <w:szCs w:val="44"/>
          <w:lang w:val="zh-CN"/>
        </w:rPr>
        <w:t>第三部分</w:t>
      </w:r>
      <w:r>
        <w:rPr>
          <w:rFonts w:ascii="黑体" w:hAnsi="Cambria" w:eastAsia="黑体" w:cs="黑体"/>
          <w:color w:val="000000"/>
          <w:sz w:val="44"/>
          <w:szCs w:val="44"/>
          <w:lang w:val="zh-CN"/>
        </w:rPr>
        <w:t xml:space="preserve"> </w:t>
      </w:r>
      <w:r>
        <w:rPr>
          <w:rFonts w:hint="eastAsia" w:ascii="黑体" w:hAnsi="Cambria" w:eastAsia="黑体" w:cs="黑体"/>
          <w:color w:val="000000"/>
          <w:sz w:val="44"/>
          <w:szCs w:val="44"/>
          <w:lang w:val="zh-CN"/>
        </w:rPr>
        <w:t>名</w:t>
      </w:r>
      <w:r>
        <w:rPr>
          <w:rFonts w:hint="eastAsia" w:ascii="黑体" w:hAnsi="Cambria" w:eastAsia="黑体" w:cs="黑体"/>
          <w:kern w:val="44"/>
          <w:sz w:val="44"/>
          <w:szCs w:val="44"/>
          <w:lang w:val="zh-CN"/>
        </w:rPr>
        <w:t>词解释</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财政拨款收入：反映单位从同级财政部门取得的财政预算资金。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年初结转和结余：反映以前年度尚未完成、结转到本年按有关规定继续使用的资金。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7. 结余分配：指事业单位按照会计制度规定缴纳的所得税、提取的专用结余以及转入非财政拨款结余的金额等。</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8.年末结转和结余：反映单位按有关规定结转到下年或以后年度继续使用的资金。</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9、一般公共服务（类）组织事务（款）行政运行（项）：反映行政单位（包括实行公务员管理的事业单位）用于财政事务方面的基本支出。一般公共服务（类）组织事务（款）一般行政管理事务（项）反映行政单位（包括实行公务员管理的事业单位）未单独设置项级科目的其他用于财政事务方面的项目支出。一般公共服务（类）组织事务（款）事业运行（项）：</w:t>
      </w:r>
      <w:r>
        <w:rPr>
          <w:rFonts w:hint="eastAsia" w:ascii="仿宋_GB2312" w:eastAsia="仿宋_GB2312"/>
          <w:sz w:val="32"/>
          <w:szCs w:val="32"/>
        </w:rPr>
        <w:t>反映事业单位的基本支出。</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10.社会保障和就业（类）行政事业单位养支出（款）行政事业单位离退休（项）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反映未实行归口管理的行政单位开支的离退休支出。社会保障和就业（类）行政事业单位离退休（款）机关事业单位养老保险缴费支出（项）：反映机关事业单位实施养老保险制度由单位缴纳的基本养老保险费支出。社会保障和就业（类）行政事业单位离退休（款）机关事业单位职业年金缴费支出（项）：反映机关事业单位实施职业年金制度由单位缴纳的职业年金支出。社会保障和就业（类）行政事业单位离退休（款）其他行政事业单位离退休支出（项）：反映除其他项目以外用于行政事业单位离退休方面的支出。社会保障和就业（类）抚恤（款）死亡抚恤（项）：反映按规定用于烈士和牺牲、病故人员家属的一次性和定期抚恤金以及丧葬补助费。</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11.卫生健康支出（类）行政事业单位医疗（款）行政单位医疗（项）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反映财政部门安排的行政单位基本医疗保险缴费经费。 卫生健康支出（类）行政事业单位医疗（款）事业单位医疗（项）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反映财政部门集中安排的事业单位基本医疗保险缴费经费。卫生健康支出（类）老龄卫生健康事务（款）老龄卫生健康事务（项）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反映老龄卫生健康事务方面的支出。</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农林水支出（类）扶贫（款）生产发展（项）：反映用于农村贫困地区发展种植业、养殖业、畜牧业、农副产品加工等生产发展项目以及相关技术推广等方面的项目支出。农林水支出（类）扶贫（款）社会发展（项）：反映用于农村贫困地区中小学教育、文化、广播、电视医疗、卫生等方面的项目支出。农林水支出（类）扶贫（款）其他扶贫支出（项）：反映除规定项目以外其他用于扶贫方面的支出。</w:t>
      </w: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13.住房保障支出（类）住房改革支出（款）住房公积金（项）：反映行政事业单位按人力资源和社会保障部、财政部规定的基本工资和津补贴以及规定比例为职工缴纳的住房公积金。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14.基本支出：指为保障机构正常运转、完成日常工作任务而发生的人员支出和公用支出。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15.项目支出：指在基本支出之外为完成特定行政任务和事业发展目标所发生的支出。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16.“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rPr>
          <w:rFonts w:ascii="仿宋" w:hAnsi="Cambria" w:eastAsia="仿宋" w:cs="仿宋"/>
          <w:b/>
          <w:bCs/>
          <w:sz w:val="32"/>
          <w:szCs w:val="32"/>
        </w:rPr>
      </w:pPr>
      <w:r>
        <w:rPr>
          <w:rFonts w:hint="eastAsia" w:ascii="仿宋" w:hAnsi="Cambria" w:eastAsia="仿宋" w:cs="仿宋"/>
          <w:b/>
          <w:bCs/>
          <w:sz w:val="32"/>
          <w:szCs w:val="32"/>
        </w:rPr>
        <w:t>（名词解释部分请根据各部门实际列支情况罗列，并根据本部门职责职能增减名词解释内容。）</w:t>
      </w:r>
    </w:p>
    <w:p>
      <w:pPr>
        <w:ind w:firstLine="643"/>
        <w:rPr>
          <w:rFonts w:ascii="仿宋" w:hAnsi="Cambria" w:eastAsia="仿宋" w:cs="仿宋"/>
          <w:b/>
          <w:bCs/>
          <w:sz w:val="32"/>
          <w:szCs w:val="32"/>
        </w:rPr>
      </w:pPr>
    </w:p>
    <w:p>
      <w:pPr>
        <w:spacing w:line="600" w:lineRule="exact"/>
        <w:jc w:val="center"/>
        <w:rPr>
          <w:rFonts w:ascii="黑体" w:hAnsi="Cambria" w:eastAsia="黑体" w:cs="黑体"/>
          <w:kern w:val="44"/>
          <w:sz w:val="44"/>
          <w:szCs w:val="44"/>
        </w:rPr>
      </w:pPr>
      <w:r>
        <w:rPr>
          <w:rFonts w:hint="eastAsia" w:ascii="黑体" w:hAnsi="Cambria" w:eastAsia="黑体" w:cs="黑体"/>
          <w:sz w:val="44"/>
          <w:szCs w:val="44"/>
        </w:rPr>
        <w:t>第</w:t>
      </w:r>
      <w:r>
        <w:rPr>
          <w:rFonts w:hint="eastAsia" w:ascii="黑体" w:hAnsi="Cambria" w:eastAsia="黑体" w:cs="黑体"/>
          <w:kern w:val="44"/>
          <w:sz w:val="44"/>
          <w:szCs w:val="44"/>
        </w:rPr>
        <w:t>四部分</w:t>
      </w:r>
      <w:r>
        <w:rPr>
          <w:rFonts w:ascii="黑体" w:hAnsi="Cambria" w:eastAsia="黑体" w:cs="黑体"/>
          <w:kern w:val="44"/>
          <w:sz w:val="44"/>
          <w:szCs w:val="44"/>
        </w:rPr>
        <w:t xml:space="preserve"> </w:t>
      </w:r>
      <w:r>
        <w:rPr>
          <w:rFonts w:hint="eastAsia" w:ascii="黑体" w:hAnsi="Cambria" w:eastAsia="黑体" w:cs="黑体"/>
          <w:kern w:val="44"/>
          <w:sz w:val="44"/>
          <w:szCs w:val="44"/>
        </w:rPr>
        <w:t>附件</w:t>
      </w:r>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widowControl/>
        <w:adjustRightInd w:val="0"/>
        <w:snapToGrid w:val="0"/>
        <w:spacing w:line="600" w:lineRule="exact"/>
        <w:ind w:firstLine="720"/>
        <w:jc w:val="center"/>
        <w:rPr>
          <w:rFonts w:ascii="黑体" w:hAnsi="黑体" w:eastAsia="黑体" w:cs="宋体"/>
          <w:b/>
          <w:color w:val="000000"/>
          <w:kern w:val="0"/>
          <w:sz w:val="44"/>
          <w:szCs w:val="44"/>
        </w:rPr>
      </w:pPr>
      <w:r>
        <w:rPr>
          <w:rFonts w:hint="eastAsia" w:ascii="黑体" w:hAnsi="黑体" w:eastAsia="黑体" w:cs="宋体"/>
          <w:b/>
          <w:color w:val="000000"/>
          <w:kern w:val="0"/>
          <w:sz w:val="44"/>
          <w:szCs w:val="44"/>
        </w:rPr>
        <w:t>2022年部门整体支出绩效报告</w:t>
      </w:r>
    </w:p>
    <w:p>
      <w:pPr>
        <w:widowControl/>
        <w:adjustRightInd w:val="0"/>
        <w:snapToGrid w:val="0"/>
        <w:spacing w:line="600" w:lineRule="exact"/>
        <w:ind w:firstLine="720"/>
        <w:jc w:val="left"/>
        <w:rPr>
          <w:rFonts w:ascii="黑体" w:hAnsi="黑体" w:eastAsia="黑体" w:cs="宋体"/>
          <w:b/>
          <w:color w:val="000000"/>
          <w:kern w:val="0"/>
          <w:sz w:val="32"/>
          <w:szCs w:val="32"/>
          <w:lang w:val="zh-CN"/>
        </w:rPr>
      </w:pPr>
      <w:r>
        <w:rPr>
          <w:rFonts w:hint="eastAsia" w:ascii="黑体" w:hAnsi="黑体" w:eastAsia="黑体" w:cs="宋体"/>
          <w:b/>
          <w:color w:val="000000"/>
          <w:kern w:val="0"/>
          <w:sz w:val="32"/>
          <w:szCs w:val="32"/>
        </w:rPr>
        <w:t>一、</w:t>
      </w:r>
      <w:r>
        <w:rPr>
          <w:rFonts w:hint="eastAsia" w:ascii="黑体" w:hAnsi="黑体" w:eastAsia="黑体" w:cs="宋体"/>
          <w:b/>
          <w:color w:val="000000"/>
          <w:kern w:val="0"/>
          <w:sz w:val="32"/>
          <w:szCs w:val="32"/>
          <w:lang w:val="zh-CN"/>
        </w:rPr>
        <w:t>部门概况</w:t>
      </w:r>
    </w:p>
    <w:p>
      <w:pPr>
        <w:ind w:firstLine="643" w:firstLineChars="200"/>
        <w:rPr>
          <w:rFonts w:ascii="仿宋" w:hAnsi="仿宋" w:eastAsia="仿宋"/>
          <w:sz w:val="32"/>
          <w:szCs w:val="32"/>
        </w:rPr>
      </w:pPr>
      <w:r>
        <w:rPr>
          <w:rFonts w:hint="eastAsia" w:ascii="楷体_GB2312" w:hAnsi="仿宋" w:eastAsia="楷体_GB2312" w:cs="宋体"/>
          <w:b/>
          <w:color w:val="000000"/>
          <w:kern w:val="0"/>
          <w:sz w:val="32"/>
          <w:szCs w:val="32"/>
          <w:lang w:val="zh-CN"/>
        </w:rPr>
        <w:t>（一）机构组成。</w:t>
      </w:r>
      <w:r>
        <w:rPr>
          <w:rFonts w:hint="eastAsia" w:ascii="仿宋" w:hAnsi="仿宋" w:eastAsia="仿宋"/>
          <w:sz w:val="32"/>
          <w:szCs w:val="32"/>
        </w:rPr>
        <w:t>组织部属行政单位，其中参照公务员法管理的事业单位</w:t>
      </w:r>
      <w:r>
        <w:rPr>
          <w:rFonts w:hint="eastAsia" w:ascii="仿宋" w:hAnsi="仿宋" w:eastAsia="仿宋"/>
          <w:bCs/>
          <w:sz w:val="32"/>
          <w:szCs w:val="32"/>
        </w:rPr>
        <w:t>2</w:t>
      </w:r>
      <w:r>
        <w:rPr>
          <w:rFonts w:hint="eastAsia" w:ascii="仿宋" w:hAnsi="仿宋" w:eastAsia="仿宋"/>
          <w:sz w:val="32"/>
          <w:szCs w:val="32"/>
        </w:rPr>
        <w:t>个，其他事业单位2个。</w:t>
      </w:r>
    </w:p>
    <w:p>
      <w:pPr>
        <w:spacing w:line="600" w:lineRule="exact"/>
        <w:ind w:firstLine="643" w:firstLineChars="200"/>
        <w:rPr>
          <w:rFonts w:ascii="仿宋" w:hAnsi="仿宋" w:eastAsia="仿宋"/>
          <w:sz w:val="32"/>
          <w:szCs w:val="32"/>
        </w:rPr>
      </w:pPr>
      <w:r>
        <w:rPr>
          <w:rFonts w:hint="eastAsia" w:ascii="楷体_GB2312" w:hAnsi="仿宋" w:eastAsia="楷体_GB2312" w:cs="宋体"/>
          <w:b/>
          <w:color w:val="000000"/>
          <w:kern w:val="0"/>
          <w:sz w:val="32"/>
          <w:szCs w:val="32"/>
          <w:lang w:val="zh-CN"/>
        </w:rPr>
        <w:t>（二）机构职能。</w:t>
      </w:r>
      <w:r>
        <w:rPr>
          <w:rFonts w:hint="eastAsia" w:ascii="仿宋" w:hAnsi="仿宋" w:eastAsia="仿宋"/>
          <w:bCs/>
          <w:sz w:val="32"/>
          <w:szCs w:val="32"/>
        </w:rPr>
        <w:t>贯彻新时代党的建设总要求和新时代党的组织路线，落实党中央的方针政策和省委、市委、县委决策部署。负责全县党的组织体系、组织制度建设，负责基层党组织建设规划指导和党员队伍宏观管理，指导开展党员教育工作。负责全县领导班子和干部队伍建设的总体规划和宏观管理。负责县委管理领导班子和领导干部的考察考核、日常管理，提出调整配备建议，审核办理任免、工资、退休、兼职、待遇等有关事项。负责全县优秀年轻干部队伍建设工作。负责管理全县公务员工作。牵头拟订和组织实施公务员管理政策，承担公务员录用、调配、考核、奖惩、培训、监督、工资福利等工作，指导公务员绩效管理工作。负责全县人才工作的宏观指导、组织协调和督促检查，牵头推进人才发展体制机制改革和政策创新，牵头推进高校（院）战略合作、人才引进，统筹实施重大人才工程和人才表彰奖励。负责全县干部教育培训工作的宏观指导、政策规划、组织协调和督促检查，负责县重点培训项目的策划、实施和管理，指导全县干部教育培训基地建设管理、师资队伍建设等工作。负责组织系统干部监督工作的宏观指导和综合协调，制定和落实干部监督工作制度，组织实施领导干部报告个人有关事项及抽查核实工作。贯彻落实党的老干部工作方针政策，组织老干部开展政治思想理论学习，落实老干部政治、生活待遇，及时发现和掌握老干部中的新问题，向</w:t>
      </w:r>
      <w:r>
        <w:rPr>
          <w:rFonts w:hint="eastAsia" w:ascii="仿宋" w:hAnsi="仿宋" w:eastAsia="仿宋"/>
          <w:bCs/>
          <w:sz w:val="32"/>
          <w:szCs w:val="32"/>
          <w:lang w:eastAsia="zh-CN"/>
        </w:rPr>
        <w:t>县委、县政府</w:t>
      </w:r>
      <w:r>
        <w:rPr>
          <w:rFonts w:hint="eastAsia" w:ascii="仿宋" w:hAnsi="仿宋" w:eastAsia="仿宋"/>
          <w:bCs/>
          <w:sz w:val="32"/>
          <w:szCs w:val="32"/>
        </w:rPr>
        <w:t>提出处理的意见和建议。负责制定县直机关党的建设的规划，指导县直机关党委、党组党的思想、组织和作风建设，抓好党员学习教育管理和发展党员工作。负责审批县直机关党总支、党支部的建设、撤并、换届和任免其组成人员等工作。统一管理县委机构编制委员会办公室。承担县委党建领导小组、县委人才工作领导小组的日常工作。</w:t>
      </w:r>
      <w:r>
        <w:rPr>
          <w:rFonts w:hint="eastAsia" w:ascii="仿宋" w:hAnsi="仿宋" w:eastAsia="仿宋"/>
          <w:sz w:val="32"/>
          <w:szCs w:val="32"/>
        </w:rPr>
        <w:t>负责职责范围内的安全生产和职业健康、生态环境保护等工作。完成县委和上级组织部交办的其他任务。</w:t>
      </w:r>
    </w:p>
    <w:p>
      <w:pPr>
        <w:spacing w:line="560" w:lineRule="exact"/>
        <w:ind w:firstLine="643" w:firstLineChars="200"/>
        <w:rPr>
          <w:rFonts w:ascii="仿宋_GB2312" w:eastAsia="仿宋_GB2312"/>
          <w:sz w:val="32"/>
          <w:szCs w:val="32"/>
        </w:rPr>
      </w:pPr>
      <w:r>
        <w:rPr>
          <w:rFonts w:hint="eastAsia" w:ascii="楷体_GB2312" w:hAnsi="仿宋" w:eastAsia="楷体_GB2312" w:cs="宋体"/>
          <w:b/>
          <w:color w:val="000000"/>
          <w:kern w:val="0"/>
          <w:sz w:val="32"/>
          <w:szCs w:val="32"/>
          <w:lang w:val="zh-CN"/>
        </w:rPr>
        <w:t>（三）人</w:t>
      </w:r>
      <w:r>
        <w:rPr>
          <w:rFonts w:ascii="楷体_GB2312" w:hAnsi="仿宋" w:eastAsia="楷体_GB2312" w:cs="宋体"/>
          <w:b/>
          <w:color w:val="000000"/>
          <w:kern w:val="0"/>
          <w:sz w:val="32"/>
          <w:szCs w:val="32"/>
          <w:lang w:val="zh-CN"/>
        </w:rPr>
        <w:t>员概况。</w:t>
      </w:r>
      <w:r>
        <w:rPr>
          <w:rFonts w:ascii="仿宋" w:hAnsi="仿宋" w:eastAsia="仿宋"/>
          <w:color w:val="000000"/>
          <w:kern w:val="0"/>
          <w:sz w:val="32"/>
          <w:szCs w:val="32"/>
          <w:lang w:val="zh-CN"/>
        </w:rPr>
        <w:t>截止</w:t>
      </w:r>
      <w:r>
        <w:rPr>
          <w:rFonts w:hint="eastAsia" w:ascii="仿宋" w:hAnsi="仿宋" w:eastAsia="仿宋"/>
          <w:color w:val="000000"/>
          <w:kern w:val="0"/>
          <w:sz w:val="32"/>
          <w:szCs w:val="32"/>
          <w:lang w:val="zh-CN"/>
        </w:rPr>
        <w:t>2022</w:t>
      </w:r>
      <w:r>
        <w:rPr>
          <w:rFonts w:ascii="仿宋" w:hAnsi="仿宋" w:eastAsia="仿宋"/>
          <w:color w:val="000000"/>
          <w:kern w:val="0"/>
          <w:sz w:val="32"/>
          <w:szCs w:val="32"/>
          <w:lang w:val="zh-CN"/>
        </w:rPr>
        <w:t>年底，</w:t>
      </w:r>
      <w:r>
        <w:rPr>
          <w:rFonts w:hint="eastAsia" w:ascii="仿宋" w:hAnsi="仿宋" w:eastAsia="仿宋"/>
          <w:kern w:val="0"/>
          <w:sz w:val="32"/>
          <w:szCs w:val="32"/>
        </w:rPr>
        <w:t>组织部总编制36个，其中：行政编制19个、工勤编制1个、参公编制7个、事业编制9个。在职人员总数29人，其中：行政16人、工勤1人、参公6人、事业4人。</w:t>
      </w:r>
      <w:r>
        <w:rPr>
          <w:rFonts w:hint="eastAsia" w:ascii="仿宋_GB2312" w:eastAsia="仿宋_GB2312"/>
          <w:sz w:val="32"/>
          <w:szCs w:val="32"/>
        </w:rPr>
        <w:t>另长骋人员1人，临聘人员1人，遗属1人。</w:t>
      </w:r>
    </w:p>
    <w:p>
      <w:pPr>
        <w:spacing w:line="600" w:lineRule="exact"/>
        <w:ind w:firstLine="643" w:firstLineChars="200"/>
        <w:jc w:val="left"/>
        <w:rPr>
          <w:rFonts w:ascii="黑体" w:hAnsi="黑体" w:eastAsia="黑体"/>
          <w:b/>
          <w:color w:val="000000"/>
          <w:kern w:val="0"/>
          <w:sz w:val="32"/>
          <w:szCs w:val="32"/>
        </w:rPr>
      </w:pPr>
      <w:r>
        <w:rPr>
          <w:rFonts w:hint="eastAsia" w:ascii="黑体" w:hAnsi="黑体" w:eastAsia="黑体" w:cs="宋体"/>
          <w:b/>
          <w:color w:val="000000"/>
          <w:kern w:val="0"/>
          <w:sz w:val="32"/>
          <w:szCs w:val="32"/>
        </w:rPr>
        <w:t>二、部门财政资金收支情况</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ascii="仿宋" w:hAnsi="仿宋" w:eastAsia="仿宋" w:cs="宋体"/>
          <w:b/>
          <w:color w:val="000000"/>
          <w:kern w:val="0"/>
          <w:sz w:val="32"/>
          <w:szCs w:val="32"/>
        </w:rPr>
        <w:t>（</w:t>
      </w:r>
      <w:r>
        <w:rPr>
          <w:rFonts w:ascii="楷体_GB2312" w:hAnsi="仿宋" w:eastAsia="楷体_GB2312" w:cs="宋体"/>
          <w:b/>
          <w:color w:val="000000"/>
          <w:kern w:val="0"/>
          <w:sz w:val="32"/>
          <w:szCs w:val="32"/>
          <w:lang w:val="zh-CN"/>
        </w:rPr>
        <w:t>一）</w:t>
      </w:r>
      <w:r>
        <w:rPr>
          <w:rFonts w:hint="eastAsia" w:ascii="楷体_GB2312" w:hAnsi="仿宋" w:eastAsia="楷体_GB2312" w:cs="宋体"/>
          <w:b/>
          <w:color w:val="000000"/>
          <w:kern w:val="0"/>
          <w:sz w:val="32"/>
          <w:szCs w:val="32"/>
          <w:lang w:val="zh-CN"/>
        </w:rPr>
        <w:t>部门财政资金收入情况</w:t>
      </w:r>
    </w:p>
    <w:p>
      <w:pPr>
        <w:widowControl/>
        <w:adjustRightInd w:val="0"/>
        <w:snapToGrid w:val="0"/>
        <w:spacing w:line="600" w:lineRule="exact"/>
        <w:ind w:firstLine="720"/>
        <w:rPr>
          <w:rFonts w:ascii="仿宋" w:hAnsi="仿宋" w:eastAsia="仿宋" w:cs="宋体"/>
          <w:color w:val="000000"/>
          <w:kern w:val="0"/>
          <w:sz w:val="32"/>
          <w:szCs w:val="32"/>
        </w:rPr>
      </w:pPr>
      <w:r>
        <w:rPr>
          <w:rFonts w:hint="eastAsia" w:ascii="仿宋" w:hAnsi="仿宋" w:eastAsia="仿宋" w:cs="宋体"/>
          <w:color w:val="000000"/>
          <w:kern w:val="0"/>
          <w:sz w:val="32"/>
          <w:szCs w:val="32"/>
        </w:rPr>
        <w:t>2022年财政拨款总收入954.16万元，其中</w:t>
      </w:r>
      <w:r>
        <w:rPr>
          <w:rFonts w:hint="eastAsia" w:ascii="仿宋_GB2312" w:eastAsia="仿宋_GB2312"/>
          <w:sz w:val="32"/>
          <w:szCs w:val="32"/>
        </w:rPr>
        <w:t>上年结转结余12.5万元。</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hint="eastAsia" w:ascii="楷体_GB2312" w:hAnsi="仿宋" w:eastAsia="楷体_GB2312" w:cs="宋体"/>
          <w:b/>
          <w:color w:val="000000"/>
          <w:kern w:val="0"/>
          <w:sz w:val="32"/>
          <w:szCs w:val="32"/>
          <w:lang w:val="zh-CN"/>
        </w:rPr>
        <w:t>（二）部门财政资金支出情况</w:t>
      </w:r>
    </w:p>
    <w:p>
      <w:pPr>
        <w:widowControl/>
        <w:adjustRightInd w:val="0"/>
        <w:snapToGrid w:val="0"/>
        <w:spacing w:line="600" w:lineRule="exact"/>
        <w:ind w:firstLine="720"/>
        <w:jc w:val="left"/>
        <w:rPr>
          <w:rFonts w:ascii="仿宋" w:hAnsi="仿宋" w:eastAsia="仿宋"/>
          <w:sz w:val="32"/>
          <w:szCs w:val="32"/>
        </w:rPr>
      </w:pPr>
      <w:r>
        <w:rPr>
          <w:rFonts w:hint="eastAsia" w:ascii="仿宋" w:hAnsi="仿宋" w:eastAsia="仿宋" w:cs="宋体"/>
          <w:color w:val="000000"/>
          <w:kern w:val="0"/>
          <w:sz w:val="32"/>
          <w:szCs w:val="32"/>
          <w:lang w:val="zh-CN"/>
        </w:rPr>
        <w:t>2022年共计支出654.16万元。</w:t>
      </w:r>
      <w:r>
        <w:rPr>
          <w:rFonts w:hint="eastAsia" w:ascii="仿宋" w:hAnsi="仿宋" w:eastAsia="仿宋"/>
          <w:sz w:val="32"/>
          <w:szCs w:val="32"/>
        </w:rPr>
        <w:t>主要用于人员经费支出521.47万元，日常公用经费支出60.49万元；项目支出72.2万元。</w:t>
      </w:r>
    </w:p>
    <w:p>
      <w:pPr>
        <w:widowControl/>
        <w:adjustRightInd w:val="0"/>
        <w:snapToGrid w:val="0"/>
        <w:spacing w:line="600" w:lineRule="exact"/>
        <w:ind w:firstLine="720"/>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三、部门整体预算绩效管理情况</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hint="eastAsia" w:ascii="楷体_GB2312" w:hAnsi="仿宋" w:eastAsia="楷体_GB2312" w:cs="宋体"/>
          <w:b/>
          <w:color w:val="000000"/>
          <w:kern w:val="0"/>
          <w:sz w:val="32"/>
          <w:szCs w:val="32"/>
          <w:lang w:val="zh-CN"/>
        </w:rPr>
        <w:t>（一）部门预算管理</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b/>
          <w:color w:val="000000"/>
          <w:sz w:val="32"/>
          <w:szCs w:val="32"/>
        </w:rPr>
        <w:t xml:space="preserve">1.预算编制  </w:t>
      </w:r>
      <w:r>
        <w:rPr>
          <w:rFonts w:hint="eastAsia" w:ascii="仿宋" w:hAnsi="仿宋" w:eastAsia="仿宋" w:cs="宋体"/>
          <w:color w:val="000000"/>
          <w:kern w:val="0"/>
          <w:sz w:val="32"/>
          <w:szCs w:val="32"/>
          <w:shd w:val="clear" w:color="auto" w:fill="FFFFFF"/>
          <w:lang w:val="zh-CN"/>
        </w:rPr>
        <w:t xml:space="preserve"> </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按照县财政局2022年部门预算编制通知要求，按时完成部门年初预算编制工作。在编制过程中，认真核实单位实际财政供养人数和单位实有编制情况，正确编制人员经费和公用经费等，做到尽量细化项目资金支出预算范围和科目，及时报相关股室进行审核，对所编制的预算予以调整。</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b/>
          <w:color w:val="000000"/>
          <w:sz w:val="32"/>
          <w:szCs w:val="32"/>
        </w:rPr>
        <w:t xml:space="preserve">2.认真编制部门年度决算报表  </w:t>
      </w:r>
      <w:r>
        <w:rPr>
          <w:rFonts w:hint="eastAsia" w:ascii="仿宋" w:hAnsi="仿宋" w:eastAsia="仿宋" w:cs="宋体"/>
          <w:color w:val="000000"/>
          <w:kern w:val="0"/>
          <w:sz w:val="32"/>
          <w:szCs w:val="32"/>
          <w:shd w:val="clear" w:color="auto" w:fill="FFFFFF"/>
          <w:lang w:val="zh-CN"/>
        </w:rPr>
        <w:t xml:space="preserve"> </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为真实、准确反应单位年度财务收、支情况，根据县财政的要求，认真开展部门年度决算报表编制工作。按照政府收支分类科目和财务报表支出情况编制部门决算，决算收入、支出口径与财政局国库股、预算股和行政政法股以及一体化核对无误，报表编制无差错。</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hint="eastAsia" w:ascii="楷体_GB2312" w:hAnsi="仿宋" w:eastAsia="楷体_GB2312" w:cs="宋体"/>
          <w:b/>
          <w:color w:val="000000"/>
          <w:kern w:val="0"/>
          <w:sz w:val="32"/>
          <w:szCs w:val="32"/>
          <w:lang w:val="zh-CN"/>
        </w:rPr>
        <w:t>（二）项目预算管理</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 xml:space="preserve">1.部门预算执行情况   </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按《预算法》和财政有关规定，职工工资等人员经费按月发放，公务费按月申报，项目支出按项目实施情况经我单位和县财政审核无误后按项目进度拨付；公用经费申请授权支付并采取转账支付，尽量减少现金支出（零星支出）。</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 xml:space="preserve">2.中期评估   </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县委组织部在执行各项资金预算中，严格按照中央、省、市、县各级财务规定，管好、用好每笔资金。在专项项目资金使用过程中，严格按照项目资金管理办法的规定做好项目实施和监管，切实做到专款专用，从而发挥好项目资金对项目实施的促进作用；对涉及专项资金支出额度较大时，必须专题研究决定，杜绝违规违法事件的发生。</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 xml:space="preserve">3.机关节能降耗  </w:t>
      </w:r>
    </w:p>
    <w:p>
      <w:pPr>
        <w:widowControl/>
        <w:adjustRightInd w:val="0"/>
        <w:snapToGrid w:val="0"/>
        <w:spacing w:line="600" w:lineRule="exact"/>
        <w:ind w:firstLine="720"/>
        <w:jc w:val="left"/>
        <w:rPr>
          <w:rFonts w:ascii="仿宋" w:hAnsi="仿宋" w:eastAsia="仿宋" w:cs="Arial"/>
          <w:color w:val="333333"/>
          <w:sz w:val="32"/>
          <w:szCs w:val="32"/>
        </w:rPr>
      </w:pPr>
      <w:r>
        <w:rPr>
          <w:rFonts w:hint="eastAsia" w:ascii="仿宋" w:hAnsi="仿宋" w:eastAsia="仿宋"/>
          <w:sz w:val="32"/>
          <w:szCs w:val="32"/>
        </w:rPr>
        <w:t>认真学习厉行节约反对浪费规定的同时倡导全体机关工作人员弘扬艰苦奋斗、勤俭节约的优良作风，进一步推进节约型机关建设。办公室、会议室等尽量采用自然光，尽可能少开灯或不开灯；做到离开办公室随手关灯，杜绝</w:t>
      </w:r>
      <w:r>
        <w:rPr>
          <w:rFonts w:ascii="仿宋" w:hAnsi="仿宋" w:eastAsia="仿宋"/>
          <w:sz w:val="32"/>
          <w:szCs w:val="32"/>
        </w:rPr>
        <w:t>“</w:t>
      </w:r>
      <w:r>
        <w:rPr>
          <w:rFonts w:hint="eastAsia" w:ascii="仿宋" w:hAnsi="仿宋" w:eastAsia="仿宋"/>
          <w:sz w:val="32"/>
          <w:szCs w:val="32"/>
        </w:rPr>
        <w:t>长明灯</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白昼灯</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Arial"/>
          <w:color w:val="333333"/>
          <w:sz w:val="32"/>
          <w:szCs w:val="32"/>
        </w:rPr>
        <w:t>下班后自觉关闭各类电器设备电源；</w:t>
      </w:r>
      <w:r>
        <w:rPr>
          <w:rFonts w:hint="eastAsia" w:ascii="仿宋" w:hAnsi="仿宋" w:eastAsia="仿宋"/>
          <w:sz w:val="32"/>
          <w:szCs w:val="32"/>
        </w:rPr>
        <w:t>强化节水意识，</w:t>
      </w:r>
      <w:r>
        <w:rPr>
          <w:rFonts w:hint="eastAsia" w:ascii="仿宋" w:hAnsi="仿宋" w:eastAsia="仿宋" w:cs="Arial"/>
          <w:color w:val="333333"/>
          <w:sz w:val="32"/>
          <w:szCs w:val="32"/>
        </w:rPr>
        <w:t>切实做到节约每一滴水，使广大干部职工养成良好的节水习惯；加强办公用品的使用管理，规范办公用品的采购，积极推行网络办公，尽量在电子媒介上撰写、修改文稿，推行无纸化办公。</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 xml:space="preserve">4.“三公”支出逐年递减   </w:t>
      </w:r>
    </w:p>
    <w:p>
      <w:pPr>
        <w:widowControl/>
        <w:adjustRightInd w:val="0"/>
        <w:snapToGrid w:val="0"/>
        <w:spacing w:line="600" w:lineRule="exact"/>
        <w:ind w:firstLine="720"/>
        <w:jc w:val="left"/>
        <w:rPr>
          <w:rFonts w:ascii="仿宋" w:hAnsi="仿宋" w:eastAsia="仿宋" w:cs="宋体"/>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严格执行中央八项规定和省、市、县十项规定，着力控制“三公”经费预算支出。全年无因公出国（境）费用支出；精减会议活动，减少会议费支出；严格执行党政机关厉行节约反对浪费条例，加强内部财务管理，</w:t>
      </w:r>
      <w:r>
        <w:rPr>
          <w:rFonts w:hint="eastAsia" w:ascii="仿宋" w:hAnsi="仿宋" w:eastAsia="仿宋" w:cs="宋体"/>
          <w:kern w:val="0"/>
          <w:sz w:val="32"/>
          <w:szCs w:val="32"/>
          <w:shd w:val="clear" w:color="auto" w:fill="FFFFFF"/>
          <w:lang w:val="zh-CN"/>
        </w:rPr>
        <w:t>公务接待费支出2.57万元，比2021年减少9.63万元。</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hint="eastAsia" w:ascii="楷体_GB2312" w:hAnsi="仿宋" w:eastAsia="楷体_GB2312" w:cs="宋体"/>
          <w:b/>
          <w:color w:val="000000"/>
          <w:kern w:val="0"/>
          <w:sz w:val="32"/>
          <w:szCs w:val="32"/>
          <w:lang w:val="zh-CN"/>
        </w:rPr>
        <w:t>（三）综合管理情况</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1.有效确保行政运转</w:t>
      </w:r>
    </w:p>
    <w:p>
      <w:pPr>
        <w:adjustRightInd w:val="0"/>
        <w:snapToGrid w:val="0"/>
        <w:spacing w:line="600" w:lineRule="exact"/>
        <w:ind w:firstLine="640" w:firstLineChars="200"/>
        <w:rPr>
          <w:rFonts w:eastAsia="仿宋_GB2312"/>
          <w:bCs/>
          <w:sz w:val="32"/>
          <w:szCs w:val="32"/>
        </w:rPr>
      </w:pPr>
      <w:r>
        <w:rPr>
          <w:rFonts w:hint="eastAsia" w:ascii="仿宋" w:hAnsi="仿宋" w:eastAsia="仿宋" w:cs="宋体"/>
          <w:kern w:val="0"/>
          <w:sz w:val="32"/>
          <w:szCs w:val="32"/>
          <w:shd w:val="clear" w:color="auto" w:fill="FFFFFF"/>
          <w:lang w:val="zh-CN"/>
        </w:rPr>
        <w:t>在保障了机关正常运转的同时，认真履行好部门职能职责。</w:t>
      </w:r>
      <w:r>
        <w:rPr>
          <w:rFonts w:ascii="仿宋" w:hAnsi="仿宋" w:eastAsia="仿宋" w:cs="宋体"/>
          <w:kern w:val="0"/>
          <w:sz w:val="32"/>
          <w:szCs w:val="32"/>
          <w:shd w:val="clear" w:color="auto" w:fill="FFFFFF"/>
          <w:lang w:val="zh-CN"/>
        </w:rPr>
        <w:t>一是聚焦刚性标准抓考录。引进乡</w:t>
      </w:r>
      <w:r>
        <w:rPr>
          <w:rFonts w:eastAsia="仿宋_GB2312"/>
          <w:bCs/>
          <w:sz w:val="32"/>
          <w:szCs w:val="32"/>
        </w:rPr>
        <w:t>镇公务员2</w:t>
      </w:r>
      <w:r>
        <w:rPr>
          <w:bCs/>
          <w:sz w:val="32"/>
          <w:szCs w:val="32"/>
        </w:rPr>
        <w:t>4</w:t>
      </w:r>
      <w:r>
        <w:rPr>
          <w:rFonts w:eastAsia="仿宋_GB2312"/>
          <w:bCs/>
          <w:sz w:val="32"/>
          <w:szCs w:val="32"/>
        </w:rPr>
        <w:t>名，政法系统公务员4名</w:t>
      </w:r>
      <w:r>
        <w:rPr>
          <w:bCs/>
          <w:sz w:val="32"/>
          <w:szCs w:val="32"/>
        </w:rPr>
        <w:t>，</w:t>
      </w:r>
      <w:r>
        <w:rPr>
          <w:rFonts w:eastAsia="仿宋_GB2312"/>
          <w:bCs/>
          <w:sz w:val="32"/>
          <w:szCs w:val="32"/>
        </w:rPr>
        <w:t>服务基层选调生4名，紧缺专业选调生1名，调任公务员1名。</w:t>
      </w:r>
      <w:r>
        <w:rPr>
          <w:rFonts w:eastAsia="仿宋_GB2312"/>
          <w:sz w:val="32"/>
          <w:szCs w:val="32"/>
        </w:rPr>
        <w:t>二是聚焦班子建设抓提升。组建6个工作组，采取民主测评、个别谈话等方式，全面启动换届后乡镇和县级部门领导班子运行和成员履职情况分析研判，详实掌握领导班子和干部现实表现情况</w:t>
      </w:r>
      <w:r>
        <w:rPr>
          <w:rFonts w:eastAsia="仿宋_GB2312"/>
          <w:bCs/>
          <w:sz w:val="32"/>
          <w:szCs w:val="32"/>
        </w:rPr>
        <w:t>，精准干部“侧写画像”，统筹调配科级领导干部90余名。</w:t>
      </w:r>
      <w:r>
        <w:rPr>
          <w:rFonts w:eastAsia="仿宋_GB2312"/>
          <w:sz w:val="32"/>
          <w:szCs w:val="32"/>
        </w:rPr>
        <w:t>三是聚焦后备力量抓淬炼。稳步实施干部蓄水池计划，把发现优秀年轻干部作为班</w:t>
      </w:r>
      <w:r>
        <w:rPr>
          <w:rFonts w:eastAsia="仿宋_GB2312"/>
          <w:bCs/>
          <w:sz w:val="32"/>
          <w:szCs w:val="32"/>
        </w:rPr>
        <w:t>子研判的重要内容，综合考核评优、实地考察等情况，储备35岁以下、“全日本”等后备干部200余名</w:t>
      </w:r>
      <w:r>
        <w:rPr>
          <w:bCs/>
          <w:sz w:val="32"/>
          <w:szCs w:val="32"/>
        </w:rPr>
        <w:t>。</w:t>
      </w:r>
      <w:r>
        <w:rPr>
          <w:rFonts w:eastAsia="仿宋_GB2312"/>
          <w:bCs/>
          <w:sz w:val="32"/>
          <w:szCs w:val="32"/>
        </w:rPr>
        <w:t>创新实施“沐兵沙场”干部培训淬炼成长工程，启动第一批“后备精英”选拔，通过竞演面试方式进行“面对面”考察识别，择优建立首批50名优秀年轻干部“精英营”。</w:t>
      </w:r>
      <w:r>
        <w:rPr>
          <w:rFonts w:hint="eastAsia" w:eastAsia="仿宋_GB2312"/>
          <w:bCs/>
          <w:sz w:val="32"/>
          <w:szCs w:val="32"/>
        </w:rPr>
        <w:t>四</w:t>
      </w:r>
      <w:r>
        <w:rPr>
          <w:rFonts w:eastAsia="仿宋_GB2312"/>
          <w:bCs/>
          <w:sz w:val="32"/>
          <w:szCs w:val="32"/>
        </w:rPr>
        <w:t>是做优东西协作人才交流品牌。实施“沐暨飞燕”东西部协作干部人才交流计划，先后选派</w:t>
      </w:r>
      <w:r>
        <w:rPr>
          <w:rFonts w:hint="eastAsia" w:eastAsia="仿宋_GB2312"/>
          <w:bCs/>
          <w:sz w:val="32"/>
          <w:szCs w:val="32"/>
        </w:rPr>
        <w:t>16</w:t>
      </w:r>
      <w:r>
        <w:rPr>
          <w:rFonts w:eastAsia="仿宋_GB2312"/>
          <w:bCs/>
          <w:sz w:val="32"/>
          <w:szCs w:val="32"/>
        </w:rPr>
        <w:t>名干部人才到诸暨开展“领题”跟岗学习，诸暨选派</w:t>
      </w:r>
      <w:r>
        <w:rPr>
          <w:rFonts w:hint="eastAsia" w:eastAsia="仿宋_GB2312"/>
          <w:bCs/>
          <w:sz w:val="32"/>
          <w:szCs w:val="32"/>
        </w:rPr>
        <w:t>4</w:t>
      </w:r>
      <w:r>
        <w:rPr>
          <w:rFonts w:eastAsia="仿宋_GB2312"/>
          <w:bCs/>
          <w:sz w:val="32"/>
          <w:szCs w:val="32"/>
        </w:rPr>
        <w:t>批</w:t>
      </w:r>
      <w:r>
        <w:rPr>
          <w:rFonts w:hint="eastAsia" w:eastAsia="仿宋_GB2312"/>
          <w:bCs/>
          <w:sz w:val="32"/>
          <w:szCs w:val="32"/>
        </w:rPr>
        <w:t>15</w:t>
      </w:r>
      <w:r>
        <w:rPr>
          <w:rFonts w:eastAsia="仿宋_GB2312"/>
          <w:bCs/>
          <w:sz w:val="32"/>
          <w:szCs w:val="32"/>
        </w:rPr>
        <w:t>名干部人才到沐川开展“订单”援助。持续推进“蓝鹰工程”项目，组建冠名班10个，先后投入项目资金400万元共建袜业孵化中心、电子商务等产教融合实训基地5个，累计培养学生481名。建强“诸暨沐川东西部协作神经外科”，搭建诸沐远程医疗平台，开展“脑室外引流术、开颅血肿清除术+去骨瓣减压术”等5项新技术新项目，创新实施乐山市首例“立体定向下血肿穿刺引流术”“腹腔镜辅助脑室腹腔分流术”，救治神经外科危重症及普通患者近600余人。</w:t>
      </w:r>
      <w:r>
        <w:rPr>
          <w:rFonts w:hint="eastAsia" w:eastAsia="仿宋_GB2312"/>
          <w:bCs/>
          <w:sz w:val="32"/>
          <w:szCs w:val="32"/>
        </w:rPr>
        <w:t>五</w:t>
      </w:r>
      <w:r>
        <w:rPr>
          <w:rFonts w:eastAsia="仿宋_GB2312"/>
          <w:bCs/>
          <w:sz w:val="32"/>
          <w:szCs w:val="32"/>
        </w:rPr>
        <w:t>是持续推进“沐光红盟”全域党建联盟。聚焦市委“一县一品”工作要求，围绕产业发展、行业服务、基层治理一体化，构建“沐光红盟”全域党建联盟，打造“1348”沐川特色党建联盟体系，通过以大带小、组团聚合、多方参与等方式，实现组织共建、资源共享、品牌共创、利益共融。目前已建立“沐光路”“七碗茶山”“沐源驿站”“颐养天和”等初步成型的党建子联盟21个，打造</w:t>
      </w:r>
      <w:r>
        <w:rPr>
          <w:rFonts w:hint="eastAsia" w:eastAsia="仿宋_GB2312"/>
          <w:bCs/>
          <w:sz w:val="32"/>
          <w:szCs w:val="32"/>
        </w:rPr>
        <w:t>全域</w:t>
      </w:r>
      <w:r>
        <w:rPr>
          <w:rFonts w:eastAsia="仿宋_GB2312"/>
          <w:bCs/>
          <w:sz w:val="32"/>
          <w:szCs w:val="32"/>
        </w:rPr>
        <w:t>党建联盟主题馆1个，党建联盟</w:t>
      </w:r>
      <w:r>
        <w:rPr>
          <w:rFonts w:hint="eastAsia" w:eastAsia="仿宋_GB2312"/>
          <w:bCs/>
          <w:sz w:val="32"/>
          <w:szCs w:val="32"/>
        </w:rPr>
        <w:t>示范</w:t>
      </w:r>
      <w:r>
        <w:rPr>
          <w:rFonts w:eastAsia="仿宋_GB2312"/>
          <w:bCs/>
          <w:sz w:val="32"/>
          <w:szCs w:val="32"/>
        </w:rPr>
        <w:t>阵地8个，组建党建联盟服务队9支。</w:t>
      </w:r>
      <w:r>
        <w:rPr>
          <w:rFonts w:hint="eastAsia" w:eastAsia="仿宋_GB2312"/>
          <w:bCs/>
          <w:sz w:val="32"/>
          <w:szCs w:val="32"/>
        </w:rPr>
        <w:t>六</w:t>
      </w:r>
      <w:r>
        <w:rPr>
          <w:rFonts w:eastAsia="仿宋_GB2312"/>
          <w:bCs/>
          <w:sz w:val="32"/>
          <w:szCs w:val="32"/>
        </w:rPr>
        <w:t>是稳步提升五老服务。实施“沐源银龄之春”党建提升工程，建立“五老”志愿者队伍25支300余人，组织开展助力建强堡垒、产业发展、基层治理、亲情关怀、惠民服务“五大行动”，累计开展志愿服务23场次、服务群众2700余人次，建成科技赋能老党员工作室1个。全面落实离退休干部政治待遇和生活待遇，兑现门诊、住院医疗费16.79万元，节日走访慰问离退休干部151人次，发放慰问金7.54万元。</w:t>
      </w:r>
    </w:p>
    <w:p>
      <w:pPr>
        <w:ind w:firstLine="639" w:firstLineChars="199"/>
        <w:rPr>
          <w:rFonts w:ascii="仿宋" w:hAnsi="仿宋" w:eastAsia="仿宋"/>
          <w:b/>
          <w:color w:val="000000"/>
          <w:sz w:val="32"/>
          <w:szCs w:val="32"/>
        </w:rPr>
      </w:pPr>
      <w:r>
        <w:rPr>
          <w:rFonts w:hint="eastAsia" w:ascii="仿宋" w:hAnsi="仿宋" w:eastAsia="仿宋"/>
          <w:b/>
          <w:color w:val="000000"/>
          <w:sz w:val="32"/>
          <w:szCs w:val="32"/>
        </w:rPr>
        <w:t>2. 严守财务管理各项制度</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严格执行财务管理制度，强化项目资金管理和使用。认真《沐川县财政资金支付管理暂行办法》，并结合部门实际制定了《机关财务管理制度》，严格遵守国家、省、市财务管理法律法规，本着勤俭节约原则，管好用好每笔资金，杜绝违规违法事件的发生。财务活动接受审计、财政、纪检监察等部门的监督检查。</w:t>
      </w:r>
    </w:p>
    <w:p>
      <w:pPr>
        <w:widowControl/>
        <w:adjustRightInd w:val="0"/>
        <w:snapToGrid w:val="0"/>
        <w:spacing w:line="600" w:lineRule="exact"/>
        <w:ind w:firstLine="720"/>
        <w:jc w:val="left"/>
        <w:rPr>
          <w:rFonts w:ascii="仿宋" w:hAnsi="仿宋" w:eastAsia="仿宋"/>
          <w:b/>
          <w:color w:val="000000"/>
          <w:sz w:val="32"/>
          <w:szCs w:val="32"/>
        </w:rPr>
      </w:pPr>
      <w:r>
        <w:rPr>
          <w:rFonts w:hint="eastAsia" w:ascii="仿宋" w:hAnsi="仿宋" w:eastAsia="仿宋"/>
          <w:b/>
          <w:color w:val="000000"/>
          <w:sz w:val="32"/>
          <w:szCs w:val="32"/>
        </w:rPr>
        <w:t>3. 及时开展预、决算公开</w:t>
      </w:r>
    </w:p>
    <w:p>
      <w:pPr>
        <w:widowControl/>
        <w:adjustRightInd w:val="0"/>
        <w:snapToGrid w:val="0"/>
        <w:spacing w:line="600" w:lineRule="exact"/>
        <w:ind w:firstLine="720"/>
        <w:jc w:val="left"/>
        <w:rPr>
          <w:rFonts w:ascii="仿宋" w:hAnsi="仿宋" w:eastAsia="仿宋" w:cs="宋体"/>
          <w:color w:val="000000"/>
          <w:kern w:val="0"/>
          <w:sz w:val="32"/>
          <w:szCs w:val="32"/>
          <w:lang w:val="zh-CN"/>
        </w:rPr>
      </w:pPr>
      <w:r>
        <w:rPr>
          <w:rFonts w:hint="eastAsia" w:ascii="仿宋" w:hAnsi="仿宋" w:eastAsia="仿宋" w:cs="宋体"/>
          <w:color w:val="000000"/>
          <w:kern w:val="0"/>
          <w:sz w:val="32"/>
          <w:szCs w:val="32"/>
          <w:lang w:val="zh-CN"/>
        </w:rPr>
        <w:t>严格按照本单位正常运转的日常费用支出和完成特定专项业务工作的经费进行预算，中期对临时增加的特定工作进行了财政资金追加，年终对全年财政拨</w:t>
      </w:r>
      <w:bookmarkStart w:id="0" w:name="_GoBack"/>
      <w:bookmarkEnd w:id="0"/>
      <w:r>
        <w:rPr>
          <w:rFonts w:hint="eastAsia" w:ascii="仿宋" w:hAnsi="仿宋" w:eastAsia="仿宋" w:cs="宋体"/>
          <w:color w:val="000000"/>
          <w:kern w:val="0"/>
          <w:sz w:val="32"/>
          <w:szCs w:val="32"/>
          <w:lang w:val="zh-CN"/>
        </w:rPr>
        <w:t>入资金进行分类分项目进行决算，并及时在沐川县人民政府网站和沐川党务公开网上进行了公开。</w:t>
      </w:r>
    </w:p>
    <w:p>
      <w:pPr>
        <w:widowControl/>
        <w:adjustRightInd w:val="0"/>
        <w:snapToGrid w:val="0"/>
        <w:spacing w:line="600" w:lineRule="exact"/>
        <w:ind w:firstLine="720"/>
        <w:rPr>
          <w:rFonts w:ascii="楷体_GB2312" w:hAnsi="仿宋" w:eastAsia="楷体_GB2312" w:cs="宋体"/>
          <w:b/>
          <w:color w:val="000000"/>
          <w:kern w:val="0"/>
          <w:sz w:val="32"/>
          <w:szCs w:val="32"/>
          <w:lang w:val="zh-CN"/>
        </w:rPr>
      </w:pPr>
      <w:r>
        <w:rPr>
          <w:rFonts w:hint="eastAsia" w:ascii="楷体_GB2312" w:hAnsi="仿宋" w:eastAsia="楷体_GB2312" w:cs="宋体"/>
          <w:b/>
          <w:color w:val="000000"/>
          <w:kern w:val="0"/>
          <w:sz w:val="32"/>
          <w:szCs w:val="32"/>
          <w:lang w:val="zh-CN"/>
        </w:rPr>
        <w:t>（四）整体绩效</w:t>
      </w:r>
    </w:p>
    <w:p>
      <w:pPr>
        <w:widowControl/>
        <w:adjustRightInd w:val="0"/>
        <w:snapToGrid w:val="0"/>
        <w:spacing w:line="600" w:lineRule="exact"/>
        <w:ind w:firstLine="720"/>
        <w:jc w:val="left"/>
        <w:rPr>
          <w:rFonts w:ascii="仿宋" w:hAnsi="仿宋" w:eastAsia="仿宋" w:cs="宋体"/>
          <w:color w:val="000000"/>
          <w:kern w:val="0"/>
          <w:sz w:val="32"/>
          <w:szCs w:val="32"/>
          <w:lang w:val="zh-CN"/>
        </w:rPr>
      </w:pPr>
      <w:r>
        <w:rPr>
          <w:rFonts w:hint="eastAsia" w:ascii="仿宋" w:hAnsi="仿宋" w:eastAsia="仿宋" w:cs="宋体"/>
          <w:color w:val="000000"/>
          <w:kern w:val="0"/>
          <w:sz w:val="32"/>
          <w:szCs w:val="32"/>
          <w:lang w:val="zh-CN"/>
        </w:rPr>
        <w:t>2022年财政拨款支出主要用于保障我部机构正常运转、完成日常工作任务以及承担党的组织、干部、人才开发、老干部工作等相关工作，取得了较好的成效。</w:t>
      </w:r>
    </w:p>
    <w:p>
      <w:pPr>
        <w:spacing w:line="600" w:lineRule="exact"/>
        <w:ind w:firstLine="630" w:firstLineChars="196"/>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四、评价结论及建议</w:t>
      </w:r>
    </w:p>
    <w:p>
      <w:pPr>
        <w:widowControl/>
        <w:adjustRightInd w:val="0"/>
        <w:snapToGrid w:val="0"/>
        <w:spacing w:line="600" w:lineRule="exact"/>
        <w:ind w:firstLine="720"/>
        <w:jc w:val="left"/>
        <w:rPr>
          <w:rFonts w:ascii="仿宋" w:hAnsi="仿宋" w:eastAsia="仿宋"/>
          <w:color w:val="000000"/>
          <w:sz w:val="32"/>
          <w:szCs w:val="32"/>
        </w:rPr>
      </w:pPr>
      <w:r>
        <w:rPr>
          <w:rFonts w:hint="eastAsia" w:ascii="仿宋" w:hAnsi="仿宋" w:eastAsia="仿宋"/>
          <w:color w:val="000000"/>
          <w:sz w:val="32"/>
          <w:szCs w:val="32"/>
        </w:rPr>
        <w:t>2022年，县委组织部认真履行好部门职责，全面保障了机关正常运行，圆满完成了县委、县政府和市委组织部下达的各项业务目标任务，多项工作得到了省委、市委组织部的肯定，党员群众满意，干部满意。</w:t>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pStyle w:val="31"/>
        <w:spacing w:line="580" w:lineRule="exact"/>
        <w:ind w:firstLine="1980" w:firstLineChars="450"/>
        <w:rPr>
          <w:rFonts w:ascii="仿宋_GB2312" w:hAnsi="宋体" w:eastAsia="仿宋_GB2312"/>
          <w:color w:val="auto"/>
          <w:sz w:val="32"/>
          <w:szCs w:val="32"/>
        </w:rPr>
      </w:pPr>
      <w:r>
        <w:rPr>
          <w:rFonts w:hint="eastAsia" w:ascii="方正小标宋简体" w:hAnsi="宋体" w:eastAsia="方正小标宋简体"/>
          <w:sz w:val="44"/>
          <w:szCs w:val="44"/>
        </w:rPr>
        <w:t>组织部项目支出绩效自评报告</w:t>
      </w:r>
    </w:p>
    <w:p>
      <w:pPr>
        <w:pStyle w:val="31"/>
        <w:spacing w:line="580" w:lineRule="exact"/>
        <w:ind w:firstLine="640"/>
        <w:jc w:val="center"/>
        <w:rPr>
          <w:rFonts w:ascii="宋体" w:hAnsi="宋体"/>
          <w:color w:val="auto"/>
          <w:sz w:val="32"/>
          <w:szCs w:val="32"/>
        </w:rPr>
      </w:pP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b/>
          <w:sz w:val="32"/>
          <w:szCs w:val="32"/>
        </w:rPr>
        <w:t>一、</w:t>
      </w:r>
      <w:r>
        <w:rPr>
          <w:rFonts w:hint="eastAsia" w:ascii="仿宋_GB2312" w:hAnsi="宋体" w:eastAsia="仿宋_GB2312"/>
          <w:b/>
          <w:sz w:val="32"/>
          <w:szCs w:val="32"/>
          <w:lang w:val="zh-CN"/>
        </w:rPr>
        <w:t>项目概况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离退休党支部书记、委员工作补贴主要用于离退休支部书记和委员工作补贴；县级退休干部医疗补助主要用于县级退休干部医疗补助；老干部关爱慰问经费主要用于春节、中秋、国庆慰问老干部和县级领导联系老干部费；政务运转经费主要用于弥补办公经费不足；党员教育培训经费主要用于全县党员、干部培训；人才开发及关爱慰问经费主要用于人才引进、干部培训和慰问等；《中共执政纪要》《沐川年鉴》出版费主要用于编写县委执政纪要、沐川年鉴和出版费；县级领导干部体检费主要用于县级领导干部体检；到村任职选调生补助主要用于选调生到村任职开展工作；干部人才交流项目主要用于东西部协作干部培训。重点说明以下内容：</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b/>
          <w:sz w:val="32"/>
          <w:szCs w:val="32"/>
          <w:lang w:val="zh-CN"/>
        </w:rPr>
        <w:t>（一）项目资金申报及批复情况。</w:t>
      </w:r>
      <w:r>
        <w:rPr>
          <w:rFonts w:hint="eastAsia" w:ascii="仿宋_GB2312" w:hAnsi="宋体" w:eastAsia="仿宋_GB2312"/>
          <w:sz w:val="32"/>
          <w:szCs w:val="32"/>
          <w:lang w:val="zh-CN"/>
        </w:rPr>
        <w:t>对项目资金实施预算指标，实施项目时按实申报，符合资金管理办法等相关规定。</w:t>
      </w:r>
    </w:p>
    <w:p>
      <w:pPr>
        <w:spacing w:line="600" w:lineRule="exact"/>
        <w:ind w:firstLine="643" w:firstLineChars="200"/>
        <w:rPr>
          <w:rFonts w:ascii="仿宋_GB2312" w:hAnsi="宋体" w:eastAsia="仿宋_GB2312"/>
          <w:sz w:val="32"/>
          <w:szCs w:val="32"/>
          <w:lang w:val="zh-CN"/>
        </w:rPr>
      </w:pPr>
      <w:r>
        <w:rPr>
          <w:rFonts w:hint="eastAsia" w:ascii="仿宋_GB2312" w:hAnsi="宋体" w:eastAsia="仿宋_GB2312"/>
          <w:b/>
          <w:sz w:val="32"/>
          <w:szCs w:val="32"/>
          <w:lang w:val="zh-CN"/>
        </w:rPr>
        <w:t>（二）项目绩效目标。</w:t>
      </w:r>
      <w:r>
        <w:rPr>
          <w:rFonts w:ascii="仿宋_GB2312" w:hAnsi="宋体" w:eastAsia="仿宋_GB2312"/>
          <w:sz w:val="32"/>
          <w:szCs w:val="32"/>
          <w:lang w:val="zh-CN"/>
        </w:rPr>
        <w:t>围绕“四个聚焦”，打造坚实干部梯队。</w:t>
      </w:r>
      <w:r>
        <w:rPr>
          <w:rFonts w:ascii="Times New Roman" w:hAnsi="Times New Roman" w:eastAsia="仿宋_GB2312"/>
          <w:bCs/>
          <w:sz w:val="32"/>
          <w:szCs w:val="32"/>
        </w:rPr>
        <w:t>坚持政治标准“</w:t>
      </w:r>
      <w:r>
        <w:rPr>
          <w:rFonts w:ascii="Times New Roman" w:hAnsi="Times New Roman"/>
          <w:bCs/>
          <w:sz w:val="32"/>
          <w:szCs w:val="32"/>
        </w:rPr>
        <w:t>硬杠杠”，科学编制进人计划，平衡入口比例，通过合理设置性别和专业条件，依托公开考录、服务基层项目引进、选调优秀国有企事业人员等渠道整合各类政策资源，突出矿业、土木建筑、交通运输、管理科学与工程、经济金融等重点领域，引进</w:t>
      </w:r>
      <w:r>
        <w:rPr>
          <w:rFonts w:ascii="Times New Roman" w:hAnsi="Times New Roman" w:eastAsia="仿宋_GB2312"/>
          <w:bCs/>
          <w:sz w:val="32"/>
          <w:szCs w:val="32"/>
        </w:rPr>
        <w:t>乡镇公务员2</w:t>
      </w:r>
      <w:r>
        <w:rPr>
          <w:rFonts w:ascii="Times New Roman" w:hAnsi="Times New Roman"/>
          <w:bCs/>
          <w:sz w:val="32"/>
          <w:szCs w:val="32"/>
        </w:rPr>
        <w:t>4</w:t>
      </w:r>
      <w:r>
        <w:rPr>
          <w:rFonts w:ascii="Times New Roman" w:hAnsi="Times New Roman" w:eastAsia="仿宋_GB2312"/>
          <w:bCs/>
          <w:sz w:val="32"/>
          <w:szCs w:val="32"/>
        </w:rPr>
        <w:t>名，政法系统公务员4名</w:t>
      </w:r>
      <w:r>
        <w:rPr>
          <w:rFonts w:ascii="Times New Roman" w:hAnsi="Times New Roman"/>
          <w:bCs/>
          <w:sz w:val="32"/>
          <w:szCs w:val="32"/>
        </w:rPr>
        <w:t>，</w:t>
      </w:r>
      <w:r>
        <w:rPr>
          <w:rFonts w:ascii="Times New Roman" w:hAnsi="Times New Roman" w:eastAsia="仿宋_GB2312"/>
          <w:bCs/>
          <w:sz w:val="32"/>
          <w:szCs w:val="32"/>
        </w:rPr>
        <w:t>服务基层选调生4名，紧缺专业选调生1名，调任公务员1名。稳步实施干部蓄水池计划</w:t>
      </w:r>
      <w:r>
        <w:rPr>
          <w:rFonts w:ascii="Times New Roman" w:hAnsi="Times New Roman"/>
          <w:bCs/>
          <w:sz w:val="32"/>
          <w:szCs w:val="32"/>
        </w:rPr>
        <w:t>，</w:t>
      </w:r>
      <w:r>
        <w:rPr>
          <w:rFonts w:ascii="Times New Roman" w:hAnsi="Times New Roman" w:eastAsia="仿宋_GB2312"/>
          <w:bCs/>
          <w:sz w:val="32"/>
          <w:szCs w:val="32"/>
        </w:rPr>
        <w:t>把发现优秀年轻干部作为班子研判的重要内容，综合考核评优、实地考察等情况，储备35岁以下、“全日本”等后备干部200余名</w:t>
      </w:r>
      <w:r>
        <w:rPr>
          <w:rFonts w:ascii="Times New Roman" w:hAnsi="Times New Roman"/>
          <w:bCs/>
          <w:sz w:val="32"/>
          <w:szCs w:val="32"/>
        </w:rPr>
        <w:t>。</w:t>
      </w:r>
      <w:r>
        <w:rPr>
          <w:rFonts w:ascii="Times New Roman" w:hAnsi="Times New Roman" w:eastAsia="仿宋_GB2312"/>
          <w:bCs/>
          <w:sz w:val="32"/>
          <w:szCs w:val="32"/>
        </w:rPr>
        <w:t>创新实施“沐兵沙场”干部培训淬炼成长工程，启动第一批“后备精英”选拔，通过竞演面试方式进行“面对面”考察识别，择优建立首批50名优秀年轻干部“精英营”。突出中层岗位关键一环，</w:t>
      </w:r>
      <w:r>
        <w:rPr>
          <w:rFonts w:hint="eastAsia" w:ascii="Times New Roman" w:hAnsi="Times New Roman"/>
          <w:bCs/>
          <w:sz w:val="32"/>
          <w:szCs w:val="32"/>
        </w:rPr>
        <w:t>指导各乡镇、县级部门</w:t>
      </w:r>
      <w:r>
        <w:rPr>
          <w:rFonts w:ascii="Times New Roman" w:hAnsi="Times New Roman" w:eastAsia="仿宋_GB2312"/>
          <w:bCs/>
          <w:sz w:val="32"/>
          <w:szCs w:val="32"/>
        </w:rPr>
        <w:t>完成50多名中层干部的选拔配备。</w:t>
      </w:r>
      <w:r>
        <w:rPr>
          <w:rFonts w:ascii="Times New Roman" w:hAnsi="Times New Roman" w:eastAsia="仿宋_GB2312"/>
          <w:sz w:val="32"/>
          <w:szCs w:val="32"/>
        </w:rPr>
        <w:t>实施“沐暨飞燕”东西部协作干部人才交流计划，</w:t>
      </w:r>
      <w:r>
        <w:rPr>
          <w:rFonts w:ascii="Times New Roman" w:hAnsi="Times New Roman"/>
          <w:sz w:val="32"/>
          <w:szCs w:val="32"/>
        </w:rPr>
        <w:t>先后</w:t>
      </w:r>
      <w:r>
        <w:rPr>
          <w:rFonts w:ascii="Times New Roman" w:hAnsi="Times New Roman" w:eastAsia="仿宋_GB2312"/>
          <w:sz w:val="32"/>
          <w:szCs w:val="32"/>
        </w:rPr>
        <w:t>选派</w:t>
      </w:r>
      <w:r>
        <w:rPr>
          <w:rFonts w:hint="eastAsia" w:ascii="Times New Roman" w:hAnsi="Times New Roman"/>
          <w:sz w:val="32"/>
          <w:szCs w:val="32"/>
        </w:rPr>
        <w:t>16</w:t>
      </w:r>
      <w:r>
        <w:rPr>
          <w:rFonts w:ascii="Times New Roman" w:hAnsi="Times New Roman" w:eastAsia="仿宋_GB2312"/>
          <w:sz w:val="32"/>
          <w:szCs w:val="32"/>
        </w:rPr>
        <w:t>名干部人才到诸暨开展“领题”跟岗学习，</w:t>
      </w:r>
      <w:r>
        <w:rPr>
          <w:rFonts w:ascii="Times New Roman" w:hAnsi="Times New Roman"/>
          <w:sz w:val="32"/>
          <w:szCs w:val="32"/>
        </w:rPr>
        <w:t>诸暨选派</w:t>
      </w:r>
      <w:r>
        <w:rPr>
          <w:rFonts w:hint="eastAsia" w:ascii="Times New Roman" w:hAnsi="Times New Roman"/>
          <w:sz w:val="32"/>
          <w:szCs w:val="32"/>
        </w:rPr>
        <w:t>4</w:t>
      </w:r>
      <w:r>
        <w:rPr>
          <w:rFonts w:ascii="Times New Roman" w:hAnsi="Times New Roman"/>
          <w:sz w:val="32"/>
          <w:szCs w:val="32"/>
        </w:rPr>
        <w:t>批</w:t>
      </w:r>
      <w:r>
        <w:rPr>
          <w:rFonts w:hint="eastAsia" w:ascii="Times New Roman" w:hAnsi="Times New Roman"/>
          <w:sz w:val="32"/>
          <w:szCs w:val="32"/>
        </w:rPr>
        <w:t>15</w:t>
      </w:r>
      <w:r>
        <w:rPr>
          <w:rFonts w:ascii="Times New Roman" w:hAnsi="Times New Roman"/>
          <w:sz w:val="32"/>
          <w:szCs w:val="32"/>
        </w:rPr>
        <w:t>名干部人才到沐川开展“订单”援助。持续推进</w:t>
      </w:r>
      <w:r>
        <w:rPr>
          <w:rFonts w:ascii="Times New Roman" w:hAnsi="Times New Roman" w:eastAsia="仿宋_GB2312"/>
          <w:sz w:val="32"/>
          <w:szCs w:val="32"/>
        </w:rPr>
        <w:t>“蓝鹰工程”项目，组建冠名班10个，先后投入项目资金400万元共建袜业孵化中心、电子商务等产教融合实训基地5个，累计培养学生481名。</w:t>
      </w:r>
      <w:r>
        <w:rPr>
          <w:rFonts w:ascii="Times New Roman" w:hAnsi="Times New Roman" w:eastAsia="仿宋_GB2312"/>
          <w:kern w:val="0"/>
          <w:sz w:val="32"/>
          <w:szCs w:val="32"/>
          <w:lang w:bidi="ar"/>
        </w:rPr>
        <w:t>创新推出“沐语风生”多彩党课，</w:t>
      </w:r>
      <w:r>
        <w:rPr>
          <w:rFonts w:ascii="Times New Roman" w:hAnsi="Times New Roman"/>
          <w:kern w:val="0"/>
          <w:sz w:val="32"/>
          <w:szCs w:val="32"/>
          <w:lang w:bidi="ar"/>
        </w:rPr>
        <w:t>组织</w:t>
      </w:r>
      <w:r>
        <w:rPr>
          <w:rFonts w:ascii="Times New Roman" w:hAnsi="Times New Roman" w:eastAsia="仿宋_GB2312"/>
          <w:kern w:val="0"/>
          <w:sz w:val="32"/>
          <w:szCs w:val="32"/>
          <w:lang w:bidi="ar"/>
        </w:rPr>
        <w:t>基层党委评选《百年誓词耀初心》《英雄的故事》等优秀党课30余个。</w:t>
      </w:r>
      <w:r>
        <w:rPr>
          <w:rFonts w:ascii="Times New Roman" w:hAnsi="Times New Roman" w:eastAsia="仿宋_GB2312"/>
          <w:sz w:val="32"/>
          <w:szCs w:val="32"/>
        </w:rPr>
        <w:t>深入推进“沐花千红”党建项目示范创建</w:t>
      </w:r>
      <w:r>
        <w:rPr>
          <w:rFonts w:ascii="Times New Roman" w:hAnsi="Times New Roman"/>
          <w:sz w:val="32"/>
          <w:szCs w:val="32"/>
        </w:rPr>
        <w:t>，</w:t>
      </w:r>
      <w:r>
        <w:rPr>
          <w:rFonts w:ascii="Times New Roman" w:hAnsi="Times New Roman" w:eastAsia="仿宋_GB2312"/>
          <w:sz w:val="32"/>
          <w:szCs w:val="32"/>
        </w:rPr>
        <w:t>严格“六步”工作法，确立“四性四觉”创建标准，</w:t>
      </w:r>
      <w:r>
        <w:rPr>
          <w:rFonts w:ascii="Times New Roman" w:hAnsi="Times New Roman"/>
          <w:sz w:val="32"/>
          <w:szCs w:val="32"/>
        </w:rPr>
        <w:t>目前全县</w:t>
      </w:r>
      <w:r>
        <w:rPr>
          <w:rFonts w:ascii="Times New Roman" w:hAnsi="Times New Roman" w:eastAsia="仿宋_GB2312"/>
          <w:sz w:val="32"/>
          <w:szCs w:val="32"/>
        </w:rPr>
        <w:t>68个党建项目</w:t>
      </w:r>
      <w:r>
        <w:rPr>
          <w:rFonts w:ascii="Times New Roman" w:hAnsi="Times New Roman"/>
          <w:sz w:val="32"/>
          <w:szCs w:val="32"/>
        </w:rPr>
        <w:t>已</w:t>
      </w:r>
      <w:r>
        <w:rPr>
          <w:rFonts w:ascii="Times New Roman" w:hAnsi="Times New Roman" w:eastAsia="仿宋_GB2312"/>
          <w:sz w:val="32"/>
          <w:szCs w:val="32"/>
        </w:rPr>
        <w:t>申报立项，57个党建项目</w:t>
      </w:r>
      <w:r>
        <w:rPr>
          <w:rFonts w:ascii="Times New Roman" w:hAnsi="Times New Roman"/>
          <w:sz w:val="32"/>
          <w:szCs w:val="32"/>
        </w:rPr>
        <w:t>稳步推进</w:t>
      </w:r>
      <w:r>
        <w:rPr>
          <w:rFonts w:ascii="Times New Roman" w:hAnsi="Times New Roman" w:eastAsia="仿宋_GB2312"/>
          <w:sz w:val="32"/>
          <w:szCs w:val="32"/>
        </w:rPr>
        <w:t>。</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b/>
          <w:sz w:val="32"/>
          <w:szCs w:val="32"/>
          <w:lang w:val="zh-CN"/>
        </w:rPr>
        <w:t>（三）项目资金申报相符性。</w:t>
      </w:r>
      <w:r>
        <w:rPr>
          <w:rFonts w:hint="eastAsia" w:ascii="仿宋_GB2312" w:hAnsi="宋体" w:eastAsia="仿宋_GB2312"/>
          <w:sz w:val="32"/>
          <w:szCs w:val="32"/>
          <w:lang w:val="zh-CN"/>
        </w:rPr>
        <w:t>项目申报内容与具体实施内容相符、申报目标合理可行。</w:t>
      </w:r>
    </w:p>
    <w:p>
      <w:pPr>
        <w:adjustRightInd w:val="0"/>
        <w:snapToGrid w:val="0"/>
        <w:spacing w:line="580" w:lineRule="exact"/>
        <w:ind w:firstLine="720"/>
        <w:rPr>
          <w:rFonts w:ascii="仿宋_GB2312" w:hAnsi="宋体" w:eastAsia="仿宋_GB2312"/>
          <w:b/>
          <w:sz w:val="32"/>
          <w:szCs w:val="32"/>
        </w:rPr>
      </w:pPr>
      <w:r>
        <w:rPr>
          <w:rFonts w:hint="eastAsia" w:ascii="仿宋_GB2312" w:hAnsi="宋体" w:eastAsia="仿宋_GB2312"/>
          <w:b/>
          <w:sz w:val="32"/>
          <w:szCs w:val="32"/>
        </w:rPr>
        <w:t>二、项目实施及管理情况</w:t>
      </w: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sz w:val="32"/>
          <w:szCs w:val="32"/>
          <w:lang w:val="zh-CN"/>
        </w:rPr>
        <w:tab/>
      </w:r>
      <w:r>
        <w:rPr>
          <w:rFonts w:hint="eastAsia" w:ascii="仿宋_GB2312" w:hAnsi="宋体" w:eastAsia="仿宋_GB2312"/>
          <w:b/>
          <w:sz w:val="32"/>
          <w:szCs w:val="32"/>
          <w:lang w:val="zh-CN"/>
        </w:rPr>
        <w:t>（一）资金计划、到位及使用情况。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w:t>
      </w:r>
      <w:r>
        <w:rPr>
          <w:rFonts w:hint="eastAsia" w:ascii="仿宋_GB2312" w:hAnsi="仿宋" w:eastAsia="仿宋_GB2312"/>
          <w:sz w:val="32"/>
          <w:szCs w:val="32"/>
          <w:lang w:val="zh-CN"/>
        </w:rPr>
        <w:t>截止2022年底，</w:t>
      </w:r>
      <w:r>
        <w:rPr>
          <w:rFonts w:hint="eastAsia" w:ascii="仿宋_GB2312" w:hAnsi="宋体" w:eastAsia="仿宋_GB2312"/>
          <w:sz w:val="32"/>
          <w:szCs w:val="32"/>
          <w:lang w:val="zh-CN"/>
        </w:rPr>
        <w:t>该项目各类资金及时到位。</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中共沐川县委执政纪要》《沐川年鉴》出版费预算12万元，实际支付11.86万元，主要用于编辑和出版费；离退休党支部书记、委员工作补贴预算19.92万元，实际支付18.84万元，主要用于离退休支部书记、委员补助；县级退休干部医疗补助预算30万元，实际支付22.98万元，主要用于县级退休干部医疗补助；老干部关爱慰问经费预算21.53万元，实际支付12.46万元，主要用于春节中秋国庆慰问老干部、老干部遗孀和县级领导联系老干部慰问费等；县级领导干部体检费预算7.4万元，实际支出4.11万元，主要用于县级领导干部体检费；党员教育培训经费预算10万元，实际支出6.85万元，主要用于全县党员干部培训；干部人才交流项目预算100万元，实际支出50.47万元，主要用于干部培训。所有项目资金按实际支出，项目实施按进度支付，支付依据合规合法，资金支付与预算相符。</w:t>
      </w: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（二）项目财务管理情况。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该项目严格执行财务管理制度、财务处理及时、会计核算规范。</w:t>
      </w: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（三）项目组织实施情况。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该项目由县委组织部实施，严格执行财务管理制度和监管责任。</w:t>
      </w: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b/>
          <w:sz w:val="32"/>
          <w:szCs w:val="32"/>
        </w:rPr>
        <w:t>三、项目绩效情况</w:t>
      </w:r>
      <w:r>
        <w:rPr>
          <w:rFonts w:hint="eastAsia" w:ascii="仿宋_GB2312" w:hAnsi="宋体" w:eastAsia="仿宋_GB2312"/>
          <w:b/>
          <w:sz w:val="32"/>
          <w:szCs w:val="32"/>
          <w:lang w:val="zh-CN"/>
        </w:rPr>
        <w:tab/>
      </w:r>
    </w:p>
    <w:p>
      <w:pPr>
        <w:adjustRightInd w:val="0"/>
        <w:snapToGrid w:val="0"/>
        <w:spacing w:line="580" w:lineRule="exact"/>
        <w:ind w:firstLine="720"/>
        <w:rPr>
          <w:rFonts w:ascii="仿宋_GB2312" w:eastAsia="仿宋_GB2312"/>
          <w:sz w:val="32"/>
          <w:szCs w:val="32"/>
        </w:rPr>
      </w:pPr>
      <w:r>
        <w:rPr>
          <w:rFonts w:hint="eastAsia" w:ascii="仿宋_GB2312" w:hAnsi="宋体" w:eastAsia="仿宋_GB2312"/>
          <w:b/>
          <w:sz w:val="32"/>
          <w:szCs w:val="32"/>
          <w:lang w:val="zh-CN"/>
        </w:rPr>
        <w:t>（一）项目完成情况。</w:t>
      </w:r>
      <w:r>
        <w:rPr>
          <w:rFonts w:hint="eastAsia" w:ascii="仿宋_GB2312" w:hAnsi="宋体" w:eastAsia="仿宋_GB2312"/>
          <w:sz w:val="32"/>
          <w:szCs w:val="32"/>
          <w:lang w:val="zh-CN"/>
        </w:rPr>
        <w:t>完成《中共沐川县委执政纪要》《沐川年鉴》出版；</w:t>
      </w:r>
      <w:r>
        <w:rPr>
          <w:rFonts w:hint="eastAsia" w:ascii="仿宋_GB2312" w:eastAsia="仿宋_GB2312"/>
          <w:sz w:val="32"/>
          <w:szCs w:val="32"/>
        </w:rPr>
        <w:t>按时组织老干部定期体检、医药费报销；春节中秋国庆慰问走访老干部及老干部遗孀266人次；及时完成离退休支部考核，按时兑现工作补贴；</w:t>
      </w:r>
      <w:r>
        <w:rPr>
          <w:rFonts w:ascii="Times New Roman" w:hAnsi="Times New Roman"/>
          <w:bCs/>
          <w:sz w:val="32"/>
          <w:szCs w:val="32"/>
        </w:rPr>
        <w:t>引进</w:t>
      </w:r>
      <w:r>
        <w:rPr>
          <w:rFonts w:ascii="Times New Roman" w:hAnsi="Times New Roman" w:eastAsia="仿宋_GB2312"/>
          <w:bCs/>
          <w:sz w:val="32"/>
          <w:szCs w:val="32"/>
        </w:rPr>
        <w:t>乡镇公务员2</w:t>
      </w:r>
      <w:r>
        <w:rPr>
          <w:rFonts w:ascii="Times New Roman" w:hAnsi="Times New Roman"/>
          <w:bCs/>
          <w:sz w:val="32"/>
          <w:szCs w:val="32"/>
        </w:rPr>
        <w:t>4</w:t>
      </w:r>
      <w:r>
        <w:rPr>
          <w:rFonts w:ascii="Times New Roman" w:hAnsi="Times New Roman" w:eastAsia="仿宋_GB2312"/>
          <w:bCs/>
          <w:sz w:val="32"/>
          <w:szCs w:val="32"/>
        </w:rPr>
        <w:t>名，政法系统公务员4名</w:t>
      </w:r>
      <w:r>
        <w:rPr>
          <w:rFonts w:ascii="Times New Roman" w:hAnsi="Times New Roman"/>
          <w:bCs/>
          <w:sz w:val="32"/>
          <w:szCs w:val="32"/>
        </w:rPr>
        <w:t>，</w:t>
      </w:r>
      <w:r>
        <w:rPr>
          <w:rFonts w:ascii="Times New Roman" w:hAnsi="Times New Roman" w:eastAsia="仿宋_GB2312"/>
          <w:bCs/>
          <w:sz w:val="32"/>
          <w:szCs w:val="32"/>
        </w:rPr>
        <w:t>服务基层选调生4名，紧缺专业选调生1名，调任公务员1名</w:t>
      </w:r>
      <w:r>
        <w:rPr>
          <w:rFonts w:hint="eastAsia" w:ascii="Times New Roman" w:hAnsi="Times New Roman" w:eastAsia="仿宋_GB2312"/>
          <w:bCs/>
          <w:sz w:val="32"/>
          <w:szCs w:val="32"/>
        </w:rPr>
        <w:t>；</w:t>
      </w:r>
      <w:r>
        <w:rPr>
          <w:rFonts w:ascii="Times New Roman" w:hAnsi="Times New Roman" w:eastAsia="仿宋_GB2312"/>
          <w:bCs/>
          <w:sz w:val="32"/>
          <w:szCs w:val="32"/>
        </w:rPr>
        <w:t>创新实施“沐兵沙场”干部培训淬炼成长工程，启动第一批“后备精英”选拔，通过竞演面试方式进行“面对面”考察识别，择优建立首批50名优秀年轻干部“精英营”</w:t>
      </w:r>
      <w:r>
        <w:rPr>
          <w:rFonts w:hint="eastAsia" w:ascii="Times New Roman" w:hAnsi="Times New Roman" w:eastAsia="仿宋_GB2312"/>
          <w:bCs/>
          <w:sz w:val="32"/>
          <w:szCs w:val="32"/>
        </w:rPr>
        <w:t>；</w:t>
      </w:r>
      <w:r>
        <w:rPr>
          <w:rFonts w:ascii="Times New Roman" w:hAnsi="Times New Roman" w:eastAsia="仿宋_GB2312"/>
          <w:sz w:val="32"/>
          <w:szCs w:val="32"/>
        </w:rPr>
        <w:t xml:space="preserve"> 实施“沐暨飞燕”东西部协作干部人才交流计划，</w:t>
      </w:r>
      <w:r>
        <w:rPr>
          <w:rFonts w:ascii="Times New Roman" w:hAnsi="Times New Roman"/>
          <w:sz w:val="32"/>
          <w:szCs w:val="32"/>
        </w:rPr>
        <w:t>先后</w:t>
      </w:r>
      <w:r>
        <w:rPr>
          <w:rFonts w:ascii="Times New Roman" w:hAnsi="Times New Roman" w:eastAsia="仿宋_GB2312"/>
          <w:sz w:val="32"/>
          <w:szCs w:val="32"/>
        </w:rPr>
        <w:t>选派</w:t>
      </w:r>
      <w:r>
        <w:rPr>
          <w:rFonts w:hint="eastAsia" w:ascii="Times New Roman" w:hAnsi="Times New Roman"/>
          <w:sz w:val="32"/>
          <w:szCs w:val="32"/>
        </w:rPr>
        <w:t>16</w:t>
      </w:r>
      <w:r>
        <w:rPr>
          <w:rFonts w:ascii="Times New Roman" w:hAnsi="Times New Roman" w:eastAsia="仿宋_GB2312"/>
          <w:sz w:val="32"/>
          <w:szCs w:val="32"/>
        </w:rPr>
        <w:t>名干部人才到诸暨开展“领题”跟岗学习，</w:t>
      </w:r>
      <w:r>
        <w:rPr>
          <w:rFonts w:ascii="Times New Roman" w:hAnsi="Times New Roman"/>
          <w:sz w:val="32"/>
          <w:szCs w:val="32"/>
        </w:rPr>
        <w:t>诸暨选派</w:t>
      </w:r>
      <w:r>
        <w:rPr>
          <w:rFonts w:hint="eastAsia" w:ascii="Times New Roman" w:hAnsi="Times New Roman"/>
          <w:sz w:val="32"/>
          <w:szCs w:val="32"/>
        </w:rPr>
        <w:t>4</w:t>
      </w:r>
      <w:r>
        <w:rPr>
          <w:rFonts w:ascii="Times New Roman" w:hAnsi="Times New Roman"/>
          <w:sz w:val="32"/>
          <w:szCs w:val="32"/>
        </w:rPr>
        <w:t>批</w:t>
      </w:r>
      <w:r>
        <w:rPr>
          <w:rFonts w:hint="eastAsia" w:ascii="Times New Roman" w:hAnsi="Times New Roman"/>
          <w:sz w:val="32"/>
          <w:szCs w:val="32"/>
        </w:rPr>
        <w:t>15</w:t>
      </w:r>
      <w:r>
        <w:rPr>
          <w:rFonts w:ascii="Times New Roman" w:hAnsi="Times New Roman"/>
          <w:sz w:val="32"/>
          <w:szCs w:val="32"/>
        </w:rPr>
        <w:t>名干部人才到沐川开展“订单”援助。</w:t>
      </w:r>
    </w:p>
    <w:p>
      <w:pPr>
        <w:adjustRightInd w:val="0"/>
        <w:snapToGrid w:val="0"/>
        <w:spacing w:line="58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（二）项目效益情况。</w:t>
      </w:r>
      <w:r>
        <w:rPr>
          <w:rFonts w:hint="eastAsia" w:ascii="仿宋_GB2312" w:hAnsi="仿宋_GB2312" w:eastAsia="仿宋_GB2312" w:cs="仿宋_GB2312"/>
          <w:sz w:val="32"/>
          <w:szCs w:val="32"/>
        </w:rPr>
        <w:t>通过项目实施，干部人才理论综合素质得到提高，老干部更加满意，乡镇领导班子整体功能全面优化提升；各项工作圆满完成目标任务，</w:t>
      </w:r>
      <w:r>
        <w:rPr>
          <w:rFonts w:hint="eastAsia" w:ascii="仿宋_GB2312" w:hAnsi="宋体" w:eastAsia="仿宋_GB2312"/>
          <w:sz w:val="32"/>
          <w:szCs w:val="32"/>
          <w:lang w:val="zh-CN"/>
        </w:rPr>
        <w:t>党员群众满意，社会满意。</w:t>
      </w:r>
    </w:p>
    <w:p>
      <w:pPr>
        <w:adjustRightInd w:val="0"/>
        <w:snapToGrid w:val="0"/>
        <w:spacing w:line="580" w:lineRule="exact"/>
        <w:ind w:firstLine="720"/>
        <w:rPr>
          <w:rFonts w:ascii="仿宋_GB2312" w:hAnsi="宋体" w:eastAsia="仿宋_GB2312"/>
          <w:b/>
          <w:sz w:val="32"/>
          <w:szCs w:val="32"/>
        </w:rPr>
      </w:pPr>
      <w:r>
        <w:rPr>
          <w:rFonts w:hint="eastAsia" w:ascii="仿宋_GB2312" w:hAnsi="宋体" w:eastAsia="仿宋_GB2312"/>
          <w:b/>
          <w:sz w:val="32"/>
          <w:szCs w:val="32"/>
        </w:rPr>
        <w:t>四、问题及建议</w:t>
      </w:r>
    </w:p>
    <w:p>
      <w:pPr>
        <w:spacing w:line="580" w:lineRule="exact"/>
        <w:ind w:firstLine="630" w:firstLineChars="196"/>
        <w:rPr>
          <w:rFonts w:ascii="仿宋_GB2312" w:hAnsi="宋体" w:eastAsia="仿宋_GB2312"/>
          <w:b/>
          <w:sz w:val="32"/>
          <w:szCs w:val="32"/>
          <w:lang w:val="zh-CN"/>
        </w:rPr>
      </w:pPr>
      <w:r>
        <w:rPr>
          <w:rFonts w:hint="eastAsia" w:ascii="仿宋_GB2312" w:hAnsi="宋体" w:eastAsia="仿宋_GB2312"/>
          <w:b/>
          <w:sz w:val="32"/>
          <w:szCs w:val="32"/>
          <w:lang w:val="zh-CN"/>
        </w:rPr>
        <w:t>无</w:t>
      </w:r>
    </w:p>
    <w:p>
      <w:pPr>
        <w:widowControl/>
        <w:adjustRightInd w:val="0"/>
        <w:snapToGrid w:val="0"/>
        <w:spacing w:line="600" w:lineRule="exact"/>
        <w:ind w:firstLine="720"/>
        <w:jc w:val="left"/>
        <w:rPr>
          <w:rFonts w:ascii="黑体" w:hAnsi="Cambria" w:eastAsia="黑体" w:cs="黑体"/>
          <w:kern w:val="44"/>
          <w:sz w:val="44"/>
          <w:szCs w:val="44"/>
        </w:rPr>
      </w:pPr>
    </w:p>
    <w:p>
      <w:pPr>
        <w:spacing w:line="600" w:lineRule="exact"/>
        <w:jc w:val="center"/>
        <w:rPr>
          <w:rFonts w:ascii="黑体" w:hAnsi="Cambria" w:eastAsia="黑体" w:cs="黑体"/>
          <w:kern w:val="44"/>
          <w:sz w:val="44"/>
          <w:szCs w:val="44"/>
        </w:rPr>
      </w:pPr>
      <w:r>
        <w:rPr>
          <w:rFonts w:hint="eastAsia" w:ascii="黑体" w:hAnsi="Cambria" w:eastAsia="黑体" w:cs="黑体"/>
          <w:sz w:val="44"/>
          <w:szCs w:val="44"/>
        </w:rPr>
        <w:t>第</w:t>
      </w:r>
      <w:r>
        <w:rPr>
          <w:rFonts w:hint="eastAsia" w:ascii="黑体" w:hAnsi="Cambria" w:eastAsia="黑体" w:cs="黑体"/>
          <w:kern w:val="44"/>
          <w:sz w:val="44"/>
          <w:szCs w:val="44"/>
        </w:rPr>
        <w:t>五部分</w:t>
      </w:r>
      <w:r>
        <w:rPr>
          <w:rFonts w:ascii="黑体" w:hAnsi="Cambria" w:eastAsia="黑体" w:cs="黑体"/>
          <w:kern w:val="44"/>
          <w:sz w:val="44"/>
          <w:szCs w:val="44"/>
        </w:rPr>
        <w:t xml:space="preserve"> </w:t>
      </w:r>
      <w:r>
        <w:rPr>
          <w:rFonts w:hint="eastAsia" w:ascii="黑体" w:hAnsi="Cambria" w:eastAsia="黑体" w:cs="黑体"/>
          <w:kern w:val="44"/>
          <w:sz w:val="44"/>
          <w:szCs w:val="44"/>
        </w:rPr>
        <w:t>附表</w:t>
      </w:r>
    </w:p>
    <w:p>
      <w:pPr>
        <w:spacing w:line="600" w:lineRule="exact"/>
        <w:rPr>
          <w:rFonts w:ascii="仿宋" w:hAnsi="Cambria" w:eastAsia="仿宋" w:cs="仿宋"/>
          <w:sz w:val="32"/>
          <w:szCs w:val="32"/>
        </w:rPr>
      </w:pPr>
      <w:r>
        <w:rPr>
          <w:rFonts w:hint="eastAsia" w:ascii="仿宋" w:hAnsi="Cambria" w:eastAsia="仿宋" w:cs="仿宋"/>
          <w:sz w:val="32"/>
          <w:szCs w:val="32"/>
        </w:rPr>
        <w:t>一、收入支出决算总表</w:t>
      </w:r>
    </w:p>
    <w:p>
      <w:pPr>
        <w:spacing w:line="600" w:lineRule="exact"/>
        <w:rPr>
          <w:rFonts w:ascii="仿宋" w:hAnsi="Cambria" w:eastAsia="仿宋" w:cs="仿宋"/>
          <w:sz w:val="32"/>
          <w:szCs w:val="32"/>
        </w:rPr>
      </w:pPr>
      <w:r>
        <w:rPr>
          <w:rFonts w:hint="eastAsia" w:ascii="仿宋" w:hAnsi="Cambria" w:eastAsia="仿宋" w:cs="仿宋"/>
          <w:sz w:val="32"/>
          <w:szCs w:val="32"/>
        </w:rPr>
        <w:t>二、收入决算表</w:t>
      </w:r>
    </w:p>
    <w:p>
      <w:pPr>
        <w:spacing w:line="600" w:lineRule="exact"/>
        <w:rPr>
          <w:rFonts w:ascii="仿宋" w:hAnsi="Cambria" w:eastAsia="仿宋" w:cs="仿宋"/>
          <w:sz w:val="32"/>
          <w:szCs w:val="32"/>
        </w:rPr>
      </w:pPr>
      <w:r>
        <w:rPr>
          <w:rFonts w:hint="eastAsia" w:ascii="仿宋" w:hAnsi="Cambria" w:eastAsia="仿宋" w:cs="仿宋"/>
          <w:sz w:val="32"/>
          <w:szCs w:val="32"/>
        </w:rPr>
        <w:t>三、支出决算表</w:t>
      </w:r>
    </w:p>
    <w:p>
      <w:pPr>
        <w:spacing w:line="600" w:lineRule="exact"/>
        <w:rPr>
          <w:rFonts w:ascii="仿宋" w:hAnsi="Cambria" w:eastAsia="仿宋" w:cs="仿宋"/>
          <w:sz w:val="32"/>
          <w:szCs w:val="32"/>
        </w:rPr>
      </w:pPr>
      <w:r>
        <w:rPr>
          <w:rFonts w:hint="eastAsia" w:ascii="仿宋" w:hAnsi="Cambria" w:eastAsia="仿宋" w:cs="仿宋"/>
          <w:sz w:val="32"/>
          <w:szCs w:val="32"/>
        </w:rPr>
        <w:t>四、财政拨款收入支出决算总表</w:t>
      </w:r>
    </w:p>
    <w:p>
      <w:pPr>
        <w:spacing w:line="600" w:lineRule="exact"/>
        <w:rPr>
          <w:rFonts w:ascii="仿宋" w:hAnsi="Cambria" w:eastAsia="仿宋" w:cs="仿宋"/>
          <w:sz w:val="32"/>
          <w:szCs w:val="32"/>
        </w:rPr>
      </w:pPr>
      <w:r>
        <w:rPr>
          <w:rFonts w:hint="eastAsia" w:ascii="仿宋" w:hAnsi="Cambria" w:eastAsia="仿宋" w:cs="仿宋"/>
          <w:sz w:val="32"/>
          <w:szCs w:val="32"/>
        </w:rPr>
        <w:t>五、财政拨款支出决算明细表</w:t>
      </w:r>
    </w:p>
    <w:p>
      <w:pPr>
        <w:spacing w:line="600" w:lineRule="exact"/>
        <w:rPr>
          <w:rFonts w:ascii="仿宋" w:hAnsi="Cambria" w:eastAsia="仿宋" w:cs="仿宋"/>
          <w:sz w:val="32"/>
          <w:szCs w:val="32"/>
        </w:rPr>
      </w:pPr>
      <w:r>
        <w:rPr>
          <w:rFonts w:hint="eastAsia" w:ascii="仿宋" w:hAnsi="Cambria" w:eastAsia="仿宋" w:cs="仿宋"/>
          <w:sz w:val="32"/>
          <w:szCs w:val="32"/>
        </w:rPr>
        <w:t>六、一般公共预算财政拨款支出决算表</w:t>
      </w:r>
    </w:p>
    <w:p>
      <w:pPr>
        <w:spacing w:line="600" w:lineRule="exact"/>
        <w:rPr>
          <w:rFonts w:ascii="仿宋" w:hAnsi="Cambria" w:eastAsia="仿宋" w:cs="仿宋"/>
          <w:sz w:val="32"/>
          <w:szCs w:val="32"/>
        </w:rPr>
      </w:pPr>
      <w:r>
        <w:rPr>
          <w:rFonts w:hint="eastAsia" w:ascii="仿宋" w:hAnsi="Cambria" w:eastAsia="仿宋" w:cs="仿宋"/>
          <w:sz w:val="32"/>
          <w:szCs w:val="32"/>
        </w:rPr>
        <w:t>七、一般公共预算财政拨款支出决算明细表</w:t>
      </w:r>
    </w:p>
    <w:p>
      <w:pPr>
        <w:spacing w:line="600" w:lineRule="exact"/>
        <w:rPr>
          <w:rFonts w:ascii="仿宋" w:hAnsi="Cambria" w:eastAsia="仿宋" w:cs="仿宋"/>
          <w:sz w:val="32"/>
          <w:szCs w:val="32"/>
        </w:rPr>
      </w:pPr>
      <w:r>
        <w:rPr>
          <w:rFonts w:hint="eastAsia" w:ascii="仿宋" w:hAnsi="Cambria" w:eastAsia="仿宋" w:cs="仿宋"/>
          <w:sz w:val="32"/>
          <w:szCs w:val="32"/>
        </w:rPr>
        <w:t>八、一般公共预算财政拨款基本支出决算表</w:t>
      </w:r>
    </w:p>
    <w:p>
      <w:pPr>
        <w:spacing w:line="600" w:lineRule="exact"/>
        <w:rPr>
          <w:rFonts w:ascii="仿宋" w:hAnsi="Cambria" w:eastAsia="仿宋" w:cs="仿宋"/>
          <w:sz w:val="32"/>
          <w:szCs w:val="32"/>
        </w:rPr>
      </w:pPr>
      <w:r>
        <w:rPr>
          <w:rFonts w:hint="eastAsia" w:ascii="仿宋" w:hAnsi="Cambria" w:eastAsia="仿宋" w:cs="仿宋"/>
          <w:sz w:val="32"/>
          <w:szCs w:val="32"/>
        </w:rPr>
        <w:t>九、一般公共预算财政拨款项目支出决算表</w:t>
      </w:r>
    </w:p>
    <w:p>
      <w:pPr>
        <w:spacing w:line="600" w:lineRule="exact"/>
        <w:rPr>
          <w:rFonts w:ascii="仿宋" w:hAnsi="Cambria" w:eastAsia="仿宋" w:cs="仿宋"/>
          <w:sz w:val="32"/>
          <w:szCs w:val="32"/>
        </w:rPr>
      </w:pPr>
      <w:r>
        <w:rPr>
          <w:rFonts w:hint="eastAsia" w:ascii="仿宋" w:hAnsi="Cambria" w:eastAsia="仿宋" w:cs="仿宋"/>
          <w:sz w:val="32"/>
          <w:szCs w:val="32"/>
        </w:rPr>
        <w:t>十、政府性基金预算财政拨款收入支出决算表</w:t>
      </w:r>
    </w:p>
    <w:p>
      <w:pPr>
        <w:spacing w:line="600" w:lineRule="exact"/>
        <w:rPr>
          <w:rFonts w:ascii="仿宋" w:hAnsi="Cambria" w:eastAsia="仿宋" w:cs="仿宋"/>
          <w:sz w:val="32"/>
          <w:szCs w:val="32"/>
        </w:rPr>
      </w:pPr>
      <w:r>
        <w:rPr>
          <w:rFonts w:hint="eastAsia" w:ascii="仿宋" w:hAnsi="Cambria" w:eastAsia="仿宋" w:cs="仿宋"/>
          <w:sz w:val="32"/>
          <w:szCs w:val="32"/>
        </w:rPr>
        <w:t>十一、国有资本经营预算财政拨款收入支出决算表</w:t>
      </w:r>
    </w:p>
    <w:p>
      <w:pPr>
        <w:spacing w:line="600" w:lineRule="exact"/>
        <w:rPr>
          <w:rFonts w:ascii="仿宋" w:hAnsi="Cambria" w:eastAsia="仿宋" w:cs="仿宋"/>
          <w:sz w:val="32"/>
          <w:szCs w:val="32"/>
        </w:rPr>
      </w:pPr>
      <w:r>
        <w:rPr>
          <w:rFonts w:hint="eastAsia" w:ascii="仿宋" w:hAnsi="Cambria" w:eastAsia="仿宋" w:cs="仿宋"/>
          <w:sz w:val="32"/>
          <w:szCs w:val="32"/>
        </w:rPr>
        <w:t>十二、国有资本经营预算财政拨款支出决算表</w:t>
      </w:r>
    </w:p>
    <w:p>
      <w:pPr>
        <w:spacing w:line="600" w:lineRule="exact"/>
        <w:rPr>
          <w:rFonts w:ascii="仿宋" w:hAnsi="Cambria" w:eastAsia="仿宋" w:cs="仿宋"/>
          <w:b/>
          <w:bCs/>
          <w:sz w:val="32"/>
          <w:szCs w:val="32"/>
        </w:rPr>
      </w:pPr>
      <w:r>
        <w:rPr>
          <w:rFonts w:hint="eastAsia" w:ascii="仿宋" w:hAnsi="Cambria" w:eastAsia="仿宋" w:cs="仿宋"/>
          <w:sz w:val="32"/>
          <w:szCs w:val="32"/>
        </w:rPr>
        <w:t>十三、财政拨款</w:t>
      </w:r>
      <w:r>
        <w:rPr>
          <w:rFonts w:ascii="仿宋" w:hAnsi="Cambria" w:eastAsia="仿宋" w:cs="仿宋"/>
          <w:sz w:val="32"/>
          <w:szCs w:val="32"/>
        </w:rPr>
        <w:t>“</w:t>
      </w:r>
      <w:r>
        <w:rPr>
          <w:rFonts w:hint="eastAsia" w:ascii="仿宋" w:hAnsi="Cambria" w:eastAsia="仿宋" w:cs="仿宋"/>
          <w:sz w:val="32"/>
          <w:szCs w:val="32"/>
        </w:rPr>
        <w:t>三公</w:t>
      </w:r>
      <w:r>
        <w:rPr>
          <w:rFonts w:ascii="仿宋" w:hAnsi="Cambria" w:eastAsia="仿宋" w:cs="仿宋"/>
          <w:sz w:val="32"/>
          <w:szCs w:val="32"/>
        </w:rPr>
        <w:t>”</w:t>
      </w:r>
      <w:r>
        <w:rPr>
          <w:rFonts w:hint="eastAsia" w:ascii="仿宋" w:hAnsi="Cambria" w:eastAsia="仿宋" w:cs="仿宋"/>
          <w:sz w:val="32"/>
          <w:szCs w:val="32"/>
        </w:rPr>
        <w:t>经费支出决算表</w:t>
      </w:r>
    </w:p>
    <w:p>
      <w:pPr>
        <w:ind w:firstLine="643" w:firstLineChars="200"/>
        <w:rPr>
          <w:rFonts w:ascii="楷体_GB2312" w:hAnsi="仿宋" w:eastAsia="楷体_GB2312"/>
          <w:b/>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方正仿宋简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Arial Unicode MS"/>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FC"/>
    <w:rsid w:val="0000125F"/>
    <w:rsid w:val="00001B26"/>
    <w:rsid w:val="00002ECA"/>
    <w:rsid w:val="00011046"/>
    <w:rsid w:val="0001148D"/>
    <w:rsid w:val="0001400A"/>
    <w:rsid w:val="00016571"/>
    <w:rsid w:val="0001728C"/>
    <w:rsid w:val="00026E1E"/>
    <w:rsid w:val="0003597B"/>
    <w:rsid w:val="0004429C"/>
    <w:rsid w:val="00046AD7"/>
    <w:rsid w:val="00051C98"/>
    <w:rsid w:val="0005234B"/>
    <w:rsid w:val="00052F8D"/>
    <w:rsid w:val="00055F4D"/>
    <w:rsid w:val="00055F72"/>
    <w:rsid w:val="00057140"/>
    <w:rsid w:val="000632C1"/>
    <w:rsid w:val="00065FBE"/>
    <w:rsid w:val="00076F03"/>
    <w:rsid w:val="00076F3E"/>
    <w:rsid w:val="000810B7"/>
    <w:rsid w:val="00085657"/>
    <w:rsid w:val="000917EB"/>
    <w:rsid w:val="0009227D"/>
    <w:rsid w:val="000A2994"/>
    <w:rsid w:val="000A2B84"/>
    <w:rsid w:val="000B05B7"/>
    <w:rsid w:val="000B1F2D"/>
    <w:rsid w:val="000B53B6"/>
    <w:rsid w:val="000C0D05"/>
    <w:rsid w:val="000C0FB7"/>
    <w:rsid w:val="000D4308"/>
    <w:rsid w:val="000E5E2D"/>
    <w:rsid w:val="000F3D0A"/>
    <w:rsid w:val="000F67AD"/>
    <w:rsid w:val="00112DBA"/>
    <w:rsid w:val="00122E50"/>
    <w:rsid w:val="001263C9"/>
    <w:rsid w:val="001277C3"/>
    <w:rsid w:val="0013110D"/>
    <w:rsid w:val="001410E9"/>
    <w:rsid w:val="001436F2"/>
    <w:rsid w:val="00144613"/>
    <w:rsid w:val="001479C0"/>
    <w:rsid w:val="00157C34"/>
    <w:rsid w:val="00160F9F"/>
    <w:rsid w:val="00166C24"/>
    <w:rsid w:val="00184084"/>
    <w:rsid w:val="00187B0C"/>
    <w:rsid w:val="00191FC3"/>
    <w:rsid w:val="00197F3C"/>
    <w:rsid w:val="001A05DD"/>
    <w:rsid w:val="001A6AFE"/>
    <w:rsid w:val="001B2518"/>
    <w:rsid w:val="001B37D9"/>
    <w:rsid w:val="001B4078"/>
    <w:rsid w:val="001B5D8B"/>
    <w:rsid w:val="001B7838"/>
    <w:rsid w:val="001C7163"/>
    <w:rsid w:val="001D0DDC"/>
    <w:rsid w:val="001D38CB"/>
    <w:rsid w:val="001D70BE"/>
    <w:rsid w:val="001D7944"/>
    <w:rsid w:val="001E30C5"/>
    <w:rsid w:val="001E70A0"/>
    <w:rsid w:val="001E7430"/>
    <w:rsid w:val="001F6125"/>
    <w:rsid w:val="00207A2C"/>
    <w:rsid w:val="00211052"/>
    <w:rsid w:val="0022747D"/>
    <w:rsid w:val="00227D71"/>
    <w:rsid w:val="00250AF3"/>
    <w:rsid w:val="00274C47"/>
    <w:rsid w:val="002755D0"/>
    <w:rsid w:val="002761AD"/>
    <w:rsid w:val="00282CF7"/>
    <w:rsid w:val="00286BAF"/>
    <w:rsid w:val="00291341"/>
    <w:rsid w:val="00296C90"/>
    <w:rsid w:val="002A50E7"/>
    <w:rsid w:val="002B3DDB"/>
    <w:rsid w:val="002D2321"/>
    <w:rsid w:val="002D49D9"/>
    <w:rsid w:val="002E22BD"/>
    <w:rsid w:val="002F1C3E"/>
    <w:rsid w:val="002F666E"/>
    <w:rsid w:val="00304C22"/>
    <w:rsid w:val="00311753"/>
    <w:rsid w:val="003118F5"/>
    <w:rsid w:val="003165B6"/>
    <w:rsid w:val="00320677"/>
    <w:rsid w:val="0032185D"/>
    <w:rsid w:val="00333A79"/>
    <w:rsid w:val="00350991"/>
    <w:rsid w:val="00355F9C"/>
    <w:rsid w:val="00357880"/>
    <w:rsid w:val="00361E60"/>
    <w:rsid w:val="00362BAD"/>
    <w:rsid w:val="00364AE2"/>
    <w:rsid w:val="0036647E"/>
    <w:rsid w:val="00367A7A"/>
    <w:rsid w:val="00373D19"/>
    <w:rsid w:val="00377CB5"/>
    <w:rsid w:val="0038017A"/>
    <w:rsid w:val="00395D37"/>
    <w:rsid w:val="00396C75"/>
    <w:rsid w:val="00397D0B"/>
    <w:rsid w:val="003B3D91"/>
    <w:rsid w:val="003C4437"/>
    <w:rsid w:val="003C5BA5"/>
    <w:rsid w:val="003D1414"/>
    <w:rsid w:val="003D72B6"/>
    <w:rsid w:val="003E4E61"/>
    <w:rsid w:val="003F19F0"/>
    <w:rsid w:val="003F20AB"/>
    <w:rsid w:val="003F2B41"/>
    <w:rsid w:val="003F6204"/>
    <w:rsid w:val="004215EF"/>
    <w:rsid w:val="0042484E"/>
    <w:rsid w:val="004272F3"/>
    <w:rsid w:val="00437D58"/>
    <w:rsid w:val="00441ECB"/>
    <w:rsid w:val="004427B5"/>
    <w:rsid w:val="004448B7"/>
    <w:rsid w:val="00453F6E"/>
    <w:rsid w:val="00460452"/>
    <w:rsid w:val="0046199E"/>
    <w:rsid w:val="00464321"/>
    <w:rsid w:val="004652D3"/>
    <w:rsid w:val="0047295F"/>
    <w:rsid w:val="00481649"/>
    <w:rsid w:val="00493006"/>
    <w:rsid w:val="00497AA6"/>
    <w:rsid w:val="004A28EB"/>
    <w:rsid w:val="004A66E5"/>
    <w:rsid w:val="004B1447"/>
    <w:rsid w:val="004B49C0"/>
    <w:rsid w:val="004C0642"/>
    <w:rsid w:val="004C2772"/>
    <w:rsid w:val="004D141F"/>
    <w:rsid w:val="004D18D7"/>
    <w:rsid w:val="004D60DF"/>
    <w:rsid w:val="004D78C1"/>
    <w:rsid w:val="00500F51"/>
    <w:rsid w:val="00503BC7"/>
    <w:rsid w:val="00503C4D"/>
    <w:rsid w:val="00505E79"/>
    <w:rsid w:val="0051583C"/>
    <w:rsid w:val="005172CE"/>
    <w:rsid w:val="00537E96"/>
    <w:rsid w:val="00550091"/>
    <w:rsid w:val="00552C9C"/>
    <w:rsid w:val="0059436A"/>
    <w:rsid w:val="005A1223"/>
    <w:rsid w:val="005C19F9"/>
    <w:rsid w:val="005C3D61"/>
    <w:rsid w:val="005C551A"/>
    <w:rsid w:val="005D193F"/>
    <w:rsid w:val="005F2583"/>
    <w:rsid w:val="006051FC"/>
    <w:rsid w:val="00606519"/>
    <w:rsid w:val="006209AD"/>
    <w:rsid w:val="006247C6"/>
    <w:rsid w:val="00632741"/>
    <w:rsid w:val="00634EBA"/>
    <w:rsid w:val="006356EB"/>
    <w:rsid w:val="006513F2"/>
    <w:rsid w:val="006633C1"/>
    <w:rsid w:val="00663CA6"/>
    <w:rsid w:val="00666E28"/>
    <w:rsid w:val="00670AF8"/>
    <w:rsid w:val="00675A74"/>
    <w:rsid w:val="00676692"/>
    <w:rsid w:val="00676DC3"/>
    <w:rsid w:val="00680439"/>
    <w:rsid w:val="00683350"/>
    <w:rsid w:val="006835BA"/>
    <w:rsid w:val="00683D09"/>
    <w:rsid w:val="006877AC"/>
    <w:rsid w:val="0069207A"/>
    <w:rsid w:val="006972D0"/>
    <w:rsid w:val="00697CCC"/>
    <w:rsid w:val="006A2422"/>
    <w:rsid w:val="006A69BC"/>
    <w:rsid w:val="006B0BE7"/>
    <w:rsid w:val="006B49F1"/>
    <w:rsid w:val="006B6349"/>
    <w:rsid w:val="006B6A1D"/>
    <w:rsid w:val="006C1F53"/>
    <w:rsid w:val="006C2D84"/>
    <w:rsid w:val="006D0AD1"/>
    <w:rsid w:val="006D28DE"/>
    <w:rsid w:val="006D3195"/>
    <w:rsid w:val="006D3C39"/>
    <w:rsid w:val="006E26BB"/>
    <w:rsid w:val="006E6ADE"/>
    <w:rsid w:val="006F06AD"/>
    <w:rsid w:val="007118B1"/>
    <w:rsid w:val="00712E50"/>
    <w:rsid w:val="0071540A"/>
    <w:rsid w:val="00734E0C"/>
    <w:rsid w:val="007350DA"/>
    <w:rsid w:val="00743680"/>
    <w:rsid w:val="00745100"/>
    <w:rsid w:val="00747CF1"/>
    <w:rsid w:val="0075401F"/>
    <w:rsid w:val="007632CD"/>
    <w:rsid w:val="00765BA5"/>
    <w:rsid w:val="00767C7A"/>
    <w:rsid w:val="007713DC"/>
    <w:rsid w:val="007725BA"/>
    <w:rsid w:val="00776454"/>
    <w:rsid w:val="0077646F"/>
    <w:rsid w:val="00781DA7"/>
    <w:rsid w:val="00782B94"/>
    <w:rsid w:val="00783574"/>
    <w:rsid w:val="0078522D"/>
    <w:rsid w:val="00794C98"/>
    <w:rsid w:val="00795439"/>
    <w:rsid w:val="007B27AD"/>
    <w:rsid w:val="007B37CA"/>
    <w:rsid w:val="007B3D67"/>
    <w:rsid w:val="007B6DDF"/>
    <w:rsid w:val="007C0708"/>
    <w:rsid w:val="007C144F"/>
    <w:rsid w:val="007C62E7"/>
    <w:rsid w:val="007C69C9"/>
    <w:rsid w:val="007D0C90"/>
    <w:rsid w:val="007D52AB"/>
    <w:rsid w:val="007D5B92"/>
    <w:rsid w:val="007D6BBD"/>
    <w:rsid w:val="007F0FA2"/>
    <w:rsid w:val="007F3825"/>
    <w:rsid w:val="007F47BE"/>
    <w:rsid w:val="007F6E0F"/>
    <w:rsid w:val="007F7709"/>
    <w:rsid w:val="008052D7"/>
    <w:rsid w:val="00807213"/>
    <w:rsid w:val="00811F7C"/>
    <w:rsid w:val="00812DC9"/>
    <w:rsid w:val="00812E1E"/>
    <w:rsid w:val="00813F24"/>
    <w:rsid w:val="00815D66"/>
    <w:rsid w:val="008179B3"/>
    <w:rsid w:val="008250A6"/>
    <w:rsid w:val="00841026"/>
    <w:rsid w:val="008441E8"/>
    <w:rsid w:val="008535D5"/>
    <w:rsid w:val="00857FED"/>
    <w:rsid w:val="008644EC"/>
    <w:rsid w:val="00864DC9"/>
    <w:rsid w:val="00867B6E"/>
    <w:rsid w:val="00871295"/>
    <w:rsid w:val="00886941"/>
    <w:rsid w:val="0088787F"/>
    <w:rsid w:val="00893D08"/>
    <w:rsid w:val="00895235"/>
    <w:rsid w:val="008B3D74"/>
    <w:rsid w:val="008B5B2F"/>
    <w:rsid w:val="008B7017"/>
    <w:rsid w:val="008C3ED9"/>
    <w:rsid w:val="008D07C3"/>
    <w:rsid w:val="008D2C33"/>
    <w:rsid w:val="008D3DE6"/>
    <w:rsid w:val="008E5464"/>
    <w:rsid w:val="008F1553"/>
    <w:rsid w:val="00901342"/>
    <w:rsid w:val="0091127A"/>
    <w:rsid w:val="00914D43"/>
    <w:rsid w:val="009242B9"/>
    <w:rsid w:val="00926B8D"/>
    <w:rsid w:val="00933103"/>
    <w:rsid w:val="00936C47"/>
    <w:rsid w:val="00940625"/>
    <w:rsid w:val="009516D4"/>
    <w:rsid w:val="00953E7C"/>
    <w:rsid w:val="00961DEA"/>
    <w:rsid w:val="00961EA8"/>
    <w:rsid w:val="009762E0"/>
    <w:rsid w:val="00977145"/>
    <w:rsid w:val="009857C4"/>
    <w:rsid w:val="009952B8"/>
    <w:rsid w:val="009B4A1D"/>
    <w:rsid w:val="009C4DAD"/>
    <w:rsid w:val="009C5B9F"/>
    <w:rsid w:val="009E7EFB"/>
    <w:rsid w:val="009F1277"/>
    <w:rsid w:val="009F6E5C"/>
    <w:rsid w:val="00A02F6A"/>
    <w:rsid w:val="00A046B9"/>
    <w:rsid w:val="00A0565D"/>
    <w:rsid w:val="00A22CFF"/>
    <w:rsid w:val="00A303E9"/>
    <w:rsid w:val="00A3052C"/>
    <w:rsid w:val="00A564C4"/>
    <w:rsid w:val="00A613B0"/>
    <w:rsid w:val="00A621F1"/>
    <w:rsid w:val="00A62816"/>
    <w:rsid w:val="00A64C1C"/>
    <w:rsid w:val="00A73EC4"/>
    <w:rsid w:val="00A76CDE"/>
    <w:rsid w:val="00A84817"/>
    <w:rsid w:val="00A90B85"/>
    <w:rsid w:val="00A92562"/>
    <w:rsid w:val="00A9388D"/>
    <w:rsid w:val="00A94426"/>
    <w:rsid w:val="00AA18B8"/>
    <w:rsid w:val="00AA7114"/>
    <w:rsid w:val="00AB5901"/>
    <w:rsid w:val="00AC3C20"/>
    <w:rsid w:val="00AE3772"/>
    <w:rsid w:val="00AE3FAC"/>
    <w:rsid w:val="00AE73B0"/>
    <w:rsid w:val="00B02391"/>
    <w:rsid w:val="00B07A00"/>
    <w:rsid w:val="00B22B0B"/>
    <w:rsid w:val="00B24734"/>
    <w:rsid w:val="00B318AA"/>
    <w:rsid w:val="00B32059"/>
    <w:rsid w:val="00B332B6"/>
    <w:rsid w:val="00B332C4"/>
    <w:rsid w:val="00B338ED"/>
    <w:rsid w:val="00B35E53"/>
    <w:rsid w:val="00B61BD7"/>
    <w:rsid w:val="00B676D6"/>
    <w:rsid w:val="00B80044"/>
    <w:rsid w:val="00B80F35"/>
    <w:rsid w:val="00B81EF8"/>
    <w:rsid w:val="00BA2DD1"/>
    <w:rsid w:val="00BA5679"/>
    <w:rsid w:val="00BB0CA2"/>
    <w:rsid w:val="00BB489D"/>
    <w:rsid w:val="00BB6DF4"/>
    <w:rsid w:val="00BC0044"/>
    <w:rsid w:val="00BC1BA8"/>
    <w:rsid w:val="00BD3657"/>
    <w:rsid w:val="00BD58BE"/>
    <w:rsid w:val="00BF0845"/>
    <w:rsid w:val="00BF1199"/>
    <w:rsid w:val="00BF6B01"/>
    <w:rsid w:val="00C04044"/>
    <w:rsid w:val="00C05A01"/>
    <w:rsid w:val="00C07514"/>
    <w:rsid w:val="00C11933"/>
    <w:rsid w:val="00C130EA"/>
    <w:rsid w:val="00C13B65"/>
    <w:rsid w:val="00C15463"/>
    <w:rsid w:val="00C234F2"/>
    <w:rsid w:val="00C32DF3"/>
    <w:rsid w:val="00C33AD9"/>
    <w:rsid w:val="00C437BD"/>
    <w:rsid w:val="00C45039"/>
    <w:rsid w:val="00C46974"/>
    <w:rsid w:val="00C5255F"/>
    <w:rsid w:val="00C55A9E"/>
    <w:rsid w:val="00C57015"/>
    <w:rsid w:val="00C634B7"/>
    <w:rsid w:val="00C86F8C"/>
    <w:rsid w:val="00CA3045"/>
    <w:rsid w:val="00CB527B"/>
    <w:rsid w:val="00CB5E01"/>
    <w:rsid w:val="00CB705F"/>
    <w:rsid w:val="00CC2D90"/>
    <w:rsid w:val="00CD07C0"/>
    <w:rsid w:val="00CE2315"/>
    <w:rsid w:val="00CE26B6"/>
    <w:rsid w:val="00CE4294"/>
    <w:rsid w:val="00CF23DA"/>
    <w:rsid w:val="00CF29A0"/>
    <w:rsid w:val="00CF6A75"/>
    <w:rsid w:val="00D0132D"/>
    <w:rsid w:val="00D01EC0"/>
    <w:rsid w:val="00D05309"/>
    <w:rsid w:val="00D07AE7"/>
    <w:rsid w:val="00D10106"/>
    <w:rsid w:val="00D11361"/>
    <w:rsid w:val="00D15FDB"/>
    <w:rsid w:val="00D17EFC"/>
    <w:rsid w:val="00D2409D"/>
    <w:rsid w:val="00D26293"/>
    <w:rsid w:val="00D266F0"/>
    <w:rsid w:val="00D27608"/>
    <w:rsid w:val="00D27920"/>
    <w:rsid w:val="00D321AE"/>
    <w:rsid w:val="00D32568"/>
    <w:rsid w:val="00D36CD6"/>
    <w:rsid w:val="00D37587"/>
    <w:rsid w:val="00D402C1"/>
    <w:rsid w:val="00D422DC"/>
    <w:rsid w:val="00D43320"/>
    <w:rsid w:val="00D44528"/>
    <w:rsid w:val="00D46B6C"/>
    <w:rsid w:val="00D63890"/>
    <w:rsid w:val="00D661A9"/>
    <w:rsid w:val="00D74623"/>
    <w:rsid w:val="00D80C9A"/>
    <w:rsid w:val="00D83476"/>
    <w:rsid w:val="00D96339"/>
    <w:rsid w:val="00DB64D8"/>
    <w:rsid w:val="00DC026E"/>
    <w:rsid w:val="00DD104B"/>
    <w:rsid w:val="00DE6DF5"/>
    <w:rsid w:val="00DF0641"/>
    <w:rsid w:val="00DF0927"/>
    <w:rsid w:val="00DF0B47"/>
    <w:rsid w:val="00DF1D48"/>
    <w:rsid w:val="00DF45E2"/>
    <w:rsid w:val="00E121F8"/>
    <w:rsid w:val="00E12CF0"/>
    <w:rsid w:val="00E22BD0"/>
    <w:rsid w:val="00E24056"/>
    <w:rsid w:val="00E24FF5"/>
    <w:rsid w:val="00E36777"/>
    <w:rsid w:val="00E40E0E"/>
    <w:rsid w:val="00E52B0C"/>
    <w:rsid w:val="00E560CF"/>
    <w:rsid w:val="00E56254"/>
    <w:rsid w:val="00E626DE"/>
    <w:rsid w:val="00E653B9"/>
    <w:rsid w:val="00E71E76"/>
    <w:rsid w:val="00E863E6"/>
    <w:rsid w:val="00E900B7"/>
    <w:rsid w:val="00E95D0E"/>
    <w:rsid w:val="00EA4C1C"/>
    <w:rsid w:val="00EA7909"/>
    <w:rsid w:val="00EB12A4"/>
    <w:rsid w:val="00EB429C"/>
    <w:rsid w:val="00EB4A53"/>
    <w:rsid w:val="00EC37FA"/>
    <w:rsid w:val="00EC4788"/>
    <w:rsid w:val="00EC5CD4"/>
    <w:rsid w:val="00ED10AF"/>
    <w:rsid w:val="00ED4D32"/>
    <w:rsid w:val="00ED68FA"/>
    <w:rsid w:val="00EE57A8"/>
    <w:rsid w:val="00EE6C14"/>
    <w:rsid w:val="00EF4664"/>
    <w:rsid w:val="00EF5524"/>
    <w:rsid w:val="00F00185"/>
    <w:rsid w:val="00F03B8D"/>
    <w:rsid w:val="00F05931"/>
    <w:rsid w:val="00F10E07"/>
    <w:rsid w:val="00F12517"/>
    <w:rsid w:val="00F20D40"/>
    <w:rsid w:val="00F210B4"/>
    <w:rsid w:val="00F273FB"/>
    <w:rsid w:val="00F275C3"/>
    <w:rsid w:val="00F36737"/>
    <w:rsid w:val="00F36B7D"/>
    <w:rsid w:val="00F41660"/>
    <w:rsid w:val="00F52687"/>
    <w:rsid w:val="00F54A9C"/>
    <w:rsid w:val="00F567A2"/>
    <w:rsid w:val="00F61D1E"/>
    <w:rsid w:val="00F64CF9"/>
    <w:rsid w:val="00F65393"/>
    <w:rsid w:val="00F700F9"/>
    <w:rsid w:val="00F75DE3"/>
    <w:rsid w:val="00F765E9"/>
    <w:rsid w:val="00F91196"/>
    <w:rsid w:val="00F95015"/>
    <w:rsid w:val="00FA05D1"/>
    <w:rsid w:val="00FA6D3F"/>
    <w:rsid w:val="00FD0BFD"/>
    <w:rsid w:val="00FD4722"/>
    <w:rsid w:val="00FE6B9F"/>
    <w:rsid w:val="00FF197C"/>
    <w:rsid w:val="00FF4562"/>
    <w:rsid w:val="00FF4A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qFormat="1" w:unhideWhenUsed="0" w:uiPriority="0"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5"/>
    <w:qFormat/>
    <w:locked/>
    <w:uiPriority w:val="99"/>
    <w:pPr>
      <w:autoSpaceDE w:val="0"/>
      <w:autoSpaceDN w:val="0"/>
      <w:adjustRightInd w:val="0"/>
      <w:jc w:val="left"/>
      <w:outlineLvl w:val="0"/>
    </w:pPr>
    <w:rPr>
      <w:rFonts w:ascii="方正小标宋简体" w:eastAsia="方正小标宋简体" w:hAnsiTheme="minorHAnsi" w:cstheme="minorBidi"/>
      <w:kern w:val="0"/>
      <w:sz w:val="24"/>
      <w:szCs w:val="24"/>
    </w:rPr>
  </w:style>
  <w:style w:type="paragraph" w:styleId="3">
    <w:name w:val="heading 2"/>
    <w:basedOn w:val="1"/>
    <w:next w:val="1"/>
    <w:link w:val="29"/>
    <w:semiHidden/>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99"/>
    <w:rPr>
      <w:rFonts w:ascii="等线 Light" w:hAnsi="等线 Light" w:eastAsia="黑体"/>
      <w:sz w:val="20"/>
      <w:szCs w:val="20"/>
    </w:rPr>
  </w:style>
  <w:style w:type="paragraph" w:styleId="5">
    <w:name w:val="annotation text"/>
    <w:basedOn w:val="1"/>
    <w:link w:val="18"/>
    <w:semiHidden/>
    <w:uiPriority w:val="99"/>
    <w:pPr>
      <w:jc w:val="left"/>
    </w:pPr>
  </w:style>
  <w:style w:type="paragraph" w:styleId="6">
    <w:name w:val="Plain Text"/>
    <w:basedOn w:val="1"/>
    <w:link w:val="24"/>
    <w:unhideWhenUsed/>
    <w:qFormat/>
    <w:uiPriority w:val="0"/>
    <w:rPr>
      <w:rFonts w:ascii="宋体" w:hAnsi="Courier New" w:eastAsia="仿宋_GB2312" w:cs="Courier New"/>
      <w:sz w:val="32"/>
      <w:szCs w:val="21"/>
    </w:rPr>
  </w:style>
  <w:style w:type="paragraph" w:styleId="7">
    <w:name w:val="Date"/>
    <w:basedOn w:val="1"/>
    <w:next w:val="1"/>
    <w:link w:val="26"/>
    <w:semiHidden/>
    <w:unhideWhenUsed/>
    <w:qFormat/>
    <w:uiPriority w:val="99"/>
    <w:pPr>
      <w:ind w:left="100" w:leftChars="2500"/>
    </w:pPr>
  </w:style>
  <w:style w:type="paragraph" w:styleId="8">
    <w:name w:val="Balloon Text"/>
    <w:basedOn w:val="1"/>
    <w:link w:val="20"/>
    <w:semiHidden/>
    <w:qFormat/>
    <w:uiPriority w:val="99"/>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19"/>
    <w:semiHidden/>
    <w:qFormat/>
    <w:uiPriority w:val="99"/>
    <w:rPr>
      <w:b/>
      <w:bCs/>
    </w:rPr>
  </w:style>
  <w:style w:type="character" w:styleId="15">
    <w:name w:val="Strong"/>
    <w:basedOn w:val="14"/>
    <w:qFormat/>
    <w:locked/>
    <w:uiPriority w:val="0"/>
    <w:rPr>
      <w:b/>
    </w:rPr>
  </w:style>
  <w:style w:type="character" w:styleId="16">
    <w:name w:val="page number"/>
    <w:basedOn w:val="14"/>
    <w:uiPriority w:val="99"/>
    <w:rPr>
      <w:rFonts w:cs="Times New Roman"/>
    </w:rPr>
  </w:style>
  <w:style w:type="character" w:styleId="17">
    <w:name w:val="annotation reference"/>
    <w:basedOn w:val="14"/>
    <w:semiHidden/>
    <w:uiPriority w:val="99"/>
    <w:rPr>
      <w:rFonts w:cs="Times New Roman"/>
      <w:sz w:val="21"/>
      <w:szCs w:val="21"/>
    </w:rPr>
  </w:style>
  <w:style w:type="character" w:customStyle="1" w:styleId="18">
    <w:name w:val="批注文字 Char"/>
    <w:basedOn w:val="14"/>
    <w:link w:val="5"/>
    <w:semiHidden/>
    <w:qFormat/>
    <w:locked/>
    <w:uiPriority w:val="99"/>
    <w:rPr>
      <w:rFonts w:cs="Times New Roman"/>
    </w:rPr>
  </w:style>
  <w:style w:type="character" w:customStyle="1" w:styleId="19">
    <w:name w:val="批注主题 Char"/>
    <w:basedOn w:val="18"/>
    <w:link w:val="12"/>
    <w:semiHidden/>
    <w:qFormat/>
    <w:locked/>
    <w:uiPriority w:val="99"/>
    <w:rPr>
      <w:rFonts w:cs="Times New Roman"/>
      <w:b/>
      <w:bCs/>
    </w:rPr>
  </w:style>
  <w:style w:type="character" w:customStyle="1" w:styleId="20">
    <w:name w:val="批注框文本 Char"/>
    <w:basedOn w:val="14"/>
    <w:link w:val="8"/>
    <w:semiHidden/>
    <w:qFormat/>
    <w:locked/>
    <w:uiPriority w:val="99"/>
    <w:rPr>
      <w:rFonts w:cs="Times New Roman"/>
      <w:sz w:val="18"/>
      <w:szCs w:val="18"/>
    </w:rPr>
  </w:style>
  <w:style w:type="character" w:customStyle="1" w:styleId="21">
    <w:name w:val="页眉 Char"/>
    <w:basedOn w:val="14"/>
    <w:link w:val="10"/>
    <w:semiHidden/>
    <w:qFormat/>
    <w:locked/>
    <w:uiPriority w:val="99"/>
    <w:rPr>
      <w:rFonts w:cs="Times New Roman"/>
      <w:sz w:val="18"/>
      <w:szCs w:val="18"/>
    </w:rPr>
  </w:style>
  <w:style w:type="character" w:customStyle="1" w:styleId="22">
    <w:name w:val="页脚 Char"/>
    <w:basedOn w:val="14"/>
    <w:link w:val="9"/>
    <w:semiHidden/>
    <w:qFormat/>
    <w:locked/>
    <w:uiPriority w:val="99"/>
    <w:rPr>
      <w:rFonts w:cs="Times New Roman"/>
      <w:sz w:val="18"/>
      <w:szCs w:val="18"/>
    </w:rPr>
  </w:style>
  <w:style w:type="paragraph" w:customStyle="1" w:styleId="23">
    <w:name w:val="Char Char Char"/>
    <w:basedOn w:val="1"/>
    <w:qFormat/>
    <w:uiPriority w:val="0"/>
    <w:rPr>
      <w:rFonts w:ascii="宋体" w:hAnsi="宋体" w:eastAsia="宋体" w:cs="Courier New"/>
      <w:sz w:val="32"/>
      <w:szCs w:val="32"/>
    </w:rPr>
  </w:style>
  <w:style w:type="character" w:customStyle="1" w:styleId="24">
    <w:name w:val="纯文本 Char"/>
    <w:basedOn w:val="14"/>
    <w:link w:val="6"/>
    <w:qFormat/>
    <w:uiPriority w:val="0"/>
    <w:rPr>
      <w:rFonts w:ascii="宋体" w:hAnsi="Courier New" w:eastAsia="仿宋_GB2312" w:cs="Courier New"/>
      <w:sz w:val="32"/>
      <w:szCs w:val="21"/>
    </w:rPr>
  </w:style>
  <w:style w:type="character" w:customStyle="1" w:styleId="25">
    <w:name w:val="标题 1 Char"/>
    <w:basedOn w:val="14"/>
    <w:link w:val="2"/>
    <w:qFormat/>
    <w:uiPriority w:val="9"/>
    <w:rPr>
      <w:rFonts w:ascii="方正小标宋简体" w:eastAsia="方正小标宋简体" w:hAnsiTheme="minorHAnsi" w:cstheme="minorBidi"/>
      <w:kern w:val="0"/>
      <w:sz w:val="24"/>
      <w:szCs w:val="24"/>
    </w:rPr>
  </w:style>
  <w:style w:type="character" w:customStyle="1" w:styleId="26">
    <w:name w:val="日期 Char"/>
    <w:basedOn w:val="14"/>
    <w:link w:val="7"/>
    <w:semiHidden/>
    <w:qFormat/>
    <w:uiPriority w:val="99"/>
  </w:style>
  <w:style w:type="paragraph" w:styleId="27">
    <w:name w:val="List Paragraph"/>
    <w:basedOn w:val="1"/>
    <w:qFormat/>
    <w:uiPriority w:val="34"/>
    <w:pPr>
      <w:ind w:firstLine="420" w:firstLineChars="200"/>
    </w:pPr>
  </w:style>
  <w:style w:type="paragraph" w:customStyle="1" w:styleId="28">
    <w:name w:val="Default"/>
    <w:qFormat/>
    <w:uiPriority w:val="99"/>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character" w:customStyle="1" w:styleId="29">
    <w:name w:val="标题 2 Char"/>
    <w:basedOn w:val="14"/>
    <w:link w:val="3"/>
    <w:semiHidden/>
    <w:qFormat/>
    <w:uiPriority w:val="0"/>
    <w:rPr>
      <w:rFonts w:asciiTheme="majorHAnsi" w:hAnsiTheme="majorHAnsi" w:eastAsiaTheme="majorEastAsia" w:cstheme="majorBidi"/>
      <w:b/>
      <w:bCs/>
      <w:sz w:val="32"/>
      <w:szCs w:val="32"/>
    </w:rPr>
  </w:style>
  <w:style w:type="character" w:customStyle="1" w:styleId="30">
    <w:name w:val="四号正文 Char"/>
    <w:link w:val="31"/>
    <w:qFormat/>
    <w:locked/>
    <w:uiPriority w:val="0"/>
    <w:rPr>
      <w:rFonts w:ascii="??" w:hAnsi="??"/>
      <w:color w:val="000000"/>
      <w:sz w:val="28"/>
      <w:szCs w:val="21"/>
    </w:rPr>
  </w:style>
  <w:style w:type="paragraph" w:customStyle="1" w:styleId="31">
    <w:name w:val="四号正文"/>
    <w:basedOn w:val="1"/>
    <w:link w:val="30"/>
    <w:qFormat/>
    <w:uiPriority w:val="0"/>
    <w:pPr>
      <w:spacing w:line="360" w:lineRule="auto"/>
    </w:pPr>
    <w:rPr>
      <w:rFonts w:ascii="??" w:hAnsi="??"/>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可执行指标执行情况表!$D$113:$D$114</c:f>
              <c:strCache>
                <c:ptCount val="2"/>
                <c:pt idx="0">
                  <c:v>2021年收、支总计</c:v>
                </c:pt>
                <c:pt idx="1">
                  <c:v>2022年收、支总计</c:v>
                </c:pt>
              </c:strCache>
            </c:strRef>
          </c:cat>
          <c:val>
            <c:numRef>
              <c:f>可执行指标执行情况表!$E$113:$E$114</c:f>
              <c:numCache>
                <c:formatCode>General</c:formatCode>
                <c:ptCount val="2"/>
                <c:pt idx="0">
                  <c:v>1016.24</c:v>
                </c:pt>
                <c:pt idx="1">
                  <c:v>941.66</c:v>
                </c:pt>
              </c:numCache>
            </c:numRef>
          </c:val>
        </c:ser>
        <c:dLbls>
          <c:showLegendKey val="0"/>
          <c:showVal val="0"/>
          <c:showCatName val="0"/>
          <c:showSerName val="0"/>
          <c:showPercent val="0"/>
          <c:showBubbleSize val="0"/>
        </c:dLbls>
        <c:gapWidth val="150"/>
        <c:axId val="76722176"/>
        <c:axId val="76723712"/>
      </c:barChart>
      <c:catAx>
        <c:axId val="767221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723712"/>
        <c:crosses val="autoZero"/>
        <c:auto val="1"/>
        <c:lblAlgn val="ctr"/>
        <c:lblOffset val="100"/>
        <c:noMultiLvlLbl val="0"/>
      </c:catAx>
      <c:valAx>
        <c:axId val="76723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7221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Sheet1!$F$56:$F$61</c:f>
              <c:strCache>
                <c:ptCount val="6"/>
                <c:pt idx="0">
                  <c:v>一般公共服务支出</c:v>
                </c:pt>
                <c:pt idx="1">
                  <c:v>社会保障和就业支出</c:v>
                </c:pt>
                <c:pt idx="2">
                  <c:v>卫生健康支出</c:v>
                </c:pt>
                <c:pt idx="3">
                  <c:v>农林水支出</c:v>
                </c:pt>
                <c:pt idx="4">
                  <c:v>住房保障支出</c:v>
                </c:pt>
                <c:pt idx="5">
                  <c:v>年初结转和结余</c:v>
                </c:pt>
              </c:strCache>
            </c:strRef>
          </c:cat>
          <c:val>
            <c:numRef>
              <c:f>Sheet1!$G$56:$G$61</c:f>
              <c:numCache>
                <c:formatCode>General</c:formatCode>
                <c:ptCount val="6"/>
                <c:pt idx="0">
                  <c:v>707.71</c:v>
                </c:pt>
                <c:pt idx="1">
                  <c:v>99.25</c:v>
                </c:pt>
                <c:pt idx="2">
                  <c:v>14.83</c:v>
                </c:pt>
                <c:pt idx="3">
                  <c:v>79.33</c:v>
                </c:pt>
                <c:pt idx="4">
                  <c:v>40.54</c:v>
                </c:pt>
                <c:pt idx="5">
                  <c:v>12.5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Sheet1!$F$77:$F$78</c:f>
              <c:strCache>
                <c:ptCount val="2"/>
                <c:pt idx="0">
                  <c:v>基本支出</c:v>
                </c:pt>
                <c:pt idx="1">
                  <c:v>项目支出</c:v>
                </c:pt>
              </c:strCache>
            </c:strRef>
          </c:cat>
          <c:val>
            <c:numRef>
              <c:f>Sheet1!$G$77:$G$78</c:f>
              <c:numCache>
                <c:formatCode>0%</c:formatCode>
                <c:ptCount val="2"/>
                <c:pt idx="0">
                  <c:v>0.61</c:v>
                </c:pt>
                <c:pt idx="1">
                  <c:v>0.39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invertIfNegative val="0"/>
          <c:dLbls>
            <c:delete val="1"/>
          </c:dLbls>
          <c:cat>
            <c:multiLvlStrRef>
              <c:f>Sheet1!$F$56:$G$57</c:f>
              <c:multiLvlStrCache>
                <c:ptCount val="2"/>
                <c:lvl>
                  <c:pt idx="0">
                    <c:v>财政拨款收入、支出</c:v>
                  </c:pt>
                  <c:pt idx="1">
                    <c:v>财政拨款收入、支出</c:v>
                  </c:pt>
                </c:lvl>
                <c:lvl>
                  <c:pt idx="0">
                    <c:v>2021年</c:v>
                  </c:pt>
                  <c:pt idx="1">
                    <c:v>2022年</c:v>
                  </c:pt>
                </c:lvl>
              </c:multiLvlStrCache>
            </c:multiLvlStrRef>
          </c:cat>
          <c:val>
            <c:numRef>
              <c:f>Sheet1!$H$56:$H$57</c:f>
              <c:numCache>
                <c:formatCode>General</c:formatCode>
                <c:ptCount val="2"/>
                <c:pt idx="0">
                  <c:v>1016.24</c:v>
                </c:pt>
                <c:pt idx="1">
                  <c:v>954.16</c:v>
                </c:pt>
              </c:numCache>
            </c:numRef>
          </c:val>
        </c:ser>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Sheet1!$F$56:$G$57</c:f>
              <c:multiLvlStrCache>
                <c:ptCount val="2"/>
                <c:lvl>
                  <c:pt idx="0">
                    <c:v>财政拨款收入、支出</c:v>
                  </c:pt>
                  <c:pt idx="1">
                    <c:v>财政拨款收入、支出</c:v>
                  </c:pt>
                </c:lvl>
                <c:lvl>
                  <c:pt idx="0">
                    <c:v>2021年</c:v>
                  </c:pt>
                  <c:pt idx="1">
                    <c:v>2022年</c:v>
                  </c:pt>
                </c:lvl>
              </c:multiLvlStrCache>
            </c:multiLvlStrRef>
          </c:cat>
          <c:val>
            <c:numRef>
              <c:f>Sheet1!$H$56:$H$57</c:f>
              <c:numCache>
                <c:formatCode>General</c:formatCode>
                <c:ptCount val="2"/>
                <c:pt idx="0">
                  <c:v>1016.24</c:v>
                </c:pt>
                <c:pt idx="1">
                  <c:v>954.16</c:v>
                </c:pt>
              </c:numCache>
            </c:numRef>
          </c:val>
        </c:ser>
        <c:dLbls>
          <c:showLegendKey val="0"/>
          <c:showVal val="0"/>
          <c:showCatName val="0"/>
          <c:showSerName val="0"/>
          <c:showPercent val="0"/>
          <c:showBubbleSize val="0"/>
        </c:dLbls>
        <c:gapWidth val="150"/>
        <c:axId val="83214336"/>
        <c:axId val="83215872"/>
      </c:barChart>
      <c:catAx>
        <c:axId val="832143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3215872"/>
        <c:crosses val="autoZero"/>
        <c:auto val="1"/>
        <c:lblAlgn val="ctr"/>
        <c:lblOffset val="100"/>
        <c:noMultiLvlLbl val="0"/>
      </c:catAx>
      <c:valAx>
        <c:axId val="832158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3214336"/>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Sheet1!$E$55:$F$56</c:f>
              <c:multiLvlStrCache>
                <c:ptCount val="2"/>
                <c:lvl>
                  <c:pt idx="0">
                    <c:v>一般公共预算财政拨款支出</c:v>
                  </c:pt>
                  <c:pt idx="1">
                    <c:v>一般公共预算财政拨款支出</c:v>
                  </c:pt>
                </c:lvl>
                <c:lvl>
                  <c:pt idx="0">
                    <c:v>2021年</c:v>
                  </c:pt>
                  <c:pt idx="1">
                    <c:v>2022年</c:v>
                  </c:pt>
                </c:lvl>
              </c:multiLvlStrCache>
            </c:multiLvlStrRef>
          </c:cat>
          <c:val>
            <c:numRef>
              <c:f>Sheet1!$G$55:$G$56</c:f>
              <c:numCache>
                <c:formatCode>General</c:formatCode>
                <c:ptCount val="2"/>
                <c:pt idx="0">
                  <c:v>1016.24</c:v>
                </c:pt>
                <c:pt idx="1">
                  <c:v>954.16</c:v>
                </c:pt>
              </c:numCache>
            </c:numRef>
          </c:val>
        </c:ser>
        <c:dLbls>
          <c:showLegendKey val="0"/>
          <c:showVal val="0"/>
          <c:showCatName val="0"/>
          <c:showSerName val="0"/>
          <c:showPercent val="0"/>
          <c:showBubbleSize val="0"/>
        </c:dLbls>
        <c:gapWidth val="150"/>
        <c:axId val="83797504"/>
        <c:axId val="83799040"/>
      </c:barChart>
      <c:catAx>
        <c:axId val="837975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3799040"/>
        <c:crosses val="autoZero"/>
        <c:auto val="1"/>
        <c:lblAlgn val="ctr"/>
        <c:lblOffset val="100"/>
        <c:noMultiLvlLbl val="0"/>
      </c:catAx>
      <c:valAx>
        <c:axId val="837990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37975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Sheet1!$F$55:$F$59</c:f>
              <c:strCache>
                <c:ptCount val="5"/>
                <c:pt idx="0">
                  <c:v>一般公共服务支出</c:v>
                </c:pt>
                <c:pt idx="1">
                  <c:v>社会保险和就业支出</c:v>
                </c:pt>
                <c:pt idx="2">
                  <c:v>卫生健康支出</c:v>
                </c:pt>
                <c:pt idx="3">
                  <c:v>农林水支出</c:v>
                </c:pt>
                <c:pt idx="4">
                  <c:v>住房保障支出</c:v>
                </c:pt>
              </c:strCache>
            </c:strRef>
          </c:cat>
          <c:val>
            <c:numRef>
              <c:f>Sheet1!$G$55:$G$59</c:f>
              <c:numCache>
                <c:formatCode>General</c:formatCode>
                <c:ptCount val="5"/>
                <c:pt idx="0">
                  <c:v>720.21</c:v>
                </c:pt>
                <c:pt idx="1">
                  <c:v>99.25</c:v>
                </c:pt>
                <c:pt idx="2">
                  <c:v>14.83</c:v>
                </c:pt>
                <c:pt idx="3">
                  <c:v>79.33</c:v>
                </c:pt>
                <c:pt idx="4">
                  <c:v>40.54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89A15-90E6-4DCB-A195-F8A81280B6A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12241</Words>
  <Characters>12933</Characters>
  <Lines>9</Lines>
  <Paragraphs>26</Paragraphs>
  <TotalTime>1</TotalTime>
  <ScaleCrop>false</ScaleCrop>
  <LinksUpToDate>false</LinksUpToDate>
  <CharactersWithSpaces>13013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2023-10-13T01:11:00Z</dcterms:created>
  <dc:creator>禹恒 宋</dc:creator>
  <cp:lastModifiedBy>WPS_1484572034</cp:lastModifiedBy>
  <dcterms:modified xsi:type="dcterms:W3CDTF">2024-12-19T02:15:27Z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BB853255271343F09CC527BCEE12FF65</vt:lpwstr>
  </property>
</Properties>
</file>