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77425"/>
      <w:bookmarkStart w:id="1" w:name="_Toc15396597"/>
      <w:bookmarkStart w:id="2" w:name="_Toc15377193"/>
      <w:bookmarkStart w:id="3" w:name="_Toc15396475"/>
      <w:bookmarkStart w:id="4" w:name="_Toc15378441"/>
      <w:bookmarkStart w:id="5" w:name="_Toc15306267"/>
    </w:p>
    <w:p>
      <w:pPr>
        <w:pStyle w:val="6"/>
        <w:spacing w:before="93"/>
      </w:pPr>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29371"/>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77426"/>
      <w:bookmarkStart w:id="8" w:name="_Toc25487"/>
      <w:bookmarkStart w:id="9" w:name="_Toc15396476"/>
      <w:bookmarkStart w:id="10" w:name="_Toc15396598"/>
      <w:bookmarkStart w:id="11" w:name="_Toc15378442"/>
      <w:bookmarkStart w:id="12" w:name="_Toc15377194"/>
      <w:r>
        <w:rPr>
          <w:rFonts w:hint="eastAsia" w:ascii="方正小标宋简体" w:hAnsi="方正小标宋简体" w:eastAsia="方正小标宋简体" w:cs="方正小标宋简体"/>
          <w:sz w:val="72"/>
          <w:szCs w:val="72"/>
        </w:rPr>
        <w:t>四川省</w:t>
      </w:r>
      <w:bookmarkEnd w:id="5"/>
      <w:bookmarkStart w:id="13" w:name="_Toc15306268"/>
      <w:r>
        <w:rPr>
          <w:rFonts w:hint="eastAsia" w:ascii="方正小标宋简体" w:hAnsi="方正小标宋简体" w:eastAsia="方正小标宋简体" w:cs="方正小标宋简体"/>
          <w:sz w:val="72"/>
          <w:szCs w:val="72"/>
          <w:lang w:val="en-US" w:eastAsia="zh-CN"/>
        </w:rPr>
        <w:t>沐川县融媒体中心</w:t>
      </w:r>
      <w:r>
        <w:rPr>
          <w:rFonts w:hint="eastAsia" w:ascii="方正小标宋简体" w:hAnsi="方正小标宋简体" w:eastAsia="方正小标宋简体" w:cs="方正小标宋简体"/>
          <w:sz w:val="72"/>
          <w:szCs w:val="72"/>
        </w:rPr>
        <w:t>部门决算</w:t>
      </w:r>
      <w:bookmarkEnd w:id="7"/>
      <w:bookmarkEnd w:id="8"/>
      <w:bookmarkEnd w:id="9"/>
      <w:bookmarkEnd w:id="10"/>
      <w:bookmarkEnd w:id="11"/>
      <w:bookmarkEnd w:id="12"/>
      <w:bookmarkEnd w:id="13"/>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pPr>
      <w:r>
        <w:rPr>
          <w:rFonts w:hint="eastAsia"/>
        </w:rPr>
        <w:t>公开时间：2023年</w:t>
      </w:r>
      <w:r>
        <w:rPr>
          <w:rFonts w:hint="eastAsia"/>
          <w:lang w:val="en-US" w:eastAsia="zh-CN"/>
        </w:rPr>
        <w:t>9</w:t>
      </w:r>
      <w:r>
        <w:rPr>
          <w:rFonts w:hint="eastAsia"/>
        </w:rPr>
        <w:t>月</w:t>
      </w:r>
      <w:r>
        <w:rPr>
          <w:rFonts w:hint="eastAsia"/>
          <w:lang w:val="en-US" w:eastAsia="zh-CN"/>
        </w:rPr>
        <w:t>20</w:t>
      </w:r>
      <w:r>
        <w:rPr>
          <w:rFonts w:hint="eastAsia"/>
        </w:rPr>
        <w:t>日</w:t>
      </w:r>
    </w:p>
    <w:p/>
    <w:sdt>
      <w:sdtPr>
        <w:rPr>
          <w:rFonts w:ascii="宋体" w:hAnsi="宋体" w:eastAsia="宋体" w:cs="Times New Roman"/>
          <w:kern w:val="2"/>
          <w:sz w:val="21"/>
          <w:szCs w:val="24"/>
          <w:lang w:val="en-US" w:eastAsia="zh-CN" w:bidi="ar-SA"/>
        </w:rPr>
        <w:id w:val="147469537"/>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fldChar w:fldCharType="begin"/>
          </w:r>
          <w:r>
            <w:instrText xml:space="preserve">TOC \o "1-2" \h \u </w:instrText>
          </w:r>
          <w:r>
            <w:fldChar w:fldCharType="separate"/>
          </w:r>
        </w:p>
        <w:p>
          <w:pPr>
            <w:pStyle w:val="13"/>
            <w:tabs>
              <w:tab w:val="right" w:leader="dot" w:pos="8306"/>
              <w:tab w:val="clear" w:pos="8296"/>
            </w:tabs>
          </w:pPr>
          <w:r>
            <w:fldChar w:fldCharType="begin"/>
          </w:r>
          <w:r>
            <w:instrText xml:space="preserve"> HYPERLINK \l _Toc30390 </w:instrText>
          </w:r>
          <w:r>
            <w:fldChar w:fldCharType="separate"/>
          </w:r>
          <w:r>
            <w:rPr>
              <w:rFonts w:hint="eastAsia" w:ascii="黑体" w:hAnsi="黑体" w:eastAsia="黑体"/>
            </w:rPr>
            <w:t xml:space="preserve">第一部分 </w:t>
          </w:r>
          <w:r>
            <w:rPr>
              <w:rFonts w:hint="eastAsia" w:ascii="黑体" w:hAnsi="黑体" w:eastAsia="黑体"/>
              <w:bCs w:val="0"/>
            </w:rPr>
            <w:t>部门概况</w:t>
          </w:r>
          <w:r>
            <w:tab/>
          </w:r>
          <w:r>
            <w:fldChar w:fldCharType="begin"/>
          </w:r>
          <w:r>
            <w:instrText xml:space="preserve"> PAGEREF _Toc30390 </w:instrText>
          </w:r>
          <w:r>
            <w:fldChar w:fldCharType="separate"/>
          </w:r>
          <w:r>
            <w:t>3</w:t>
          </w:r>
          <w:r>
            <w:fldChar w:fldCharType="end"/>
          </w:r>
          <w:r>
            <w:fldChar w:fldCharType="end"/>
          </w:r>
        </w:p>
        <w:p>
          <w:pPr>
            <w:pStyle w:val="15"/>
            <w:tabs>
              <w:tab w:val="right" w:leader="dot" w:pos="8306"/>
              <w:tab w:val="clear" w:pos="8296"/>
            </w:tabs>
          </w:pPr>
          <w:r>
            <w:fldChar w:fldCharType="begin"/>
          </w:r>
          <w:r>
            <w:instrText xml:space="preserve"> HYPERLINK \l _Toc11404 </w:instrText>
          </w:r>
          <w:r>
            <w:fldChar w:fldCharType="separate"/>
          </w:r>
          <w:r>
            <w:rPr>
              <w:rFonts w:hint="eastAsia" w:ascii="黑体" w:hAnsi="黑体" w:eastAsia="黑体"/>
            </w:rPr>
            <w:t>一、部门职责</w:t>
          </w:r>
          <w:r>
            <w:tab/>
          </w:r>
          <w:r>
            <w:fldChar w:fldCharType="begin"/>
          </w:r>
          <w:r>
            <w:instrText xml:space="preserve"> PAGEREF _Toc11404 </w:instrText>
          </w:r>
          <w:r>
            <w:fldChar w:fldCharType="separate"/>
          </w:r>
          <w:r>
            <w:t>3</w:t>
          </w:r>
          <w:r>
            <w:fldChar w:fldCharType="end"/>
          </w:r>
          <w:r>
            <w:fldChar w:fldCharType="end"/>
          </w:r>
        </w:p>
        <w:p>
          <w:pPr>
            <w:pStyle w:val="15"/>
            <w:tabs>
              <w:tab w:val="right" w:leader="dot" w:pos="8306"/>
              <w:tab w:val="clear" w:pos="8296"/>
            </w:tabs>
          </w:pPr>
          <w:r>
            <w:fldChar w:fldCharType="begin"/>
          </w:r>
          <w:r>
            <w:instrText xml:space="preserve"> HYPERLINK \l _Toc17276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_Toc17276 </w:instrText>
          </w:r>
          <w:r>
            <w:fldChar w:fldCharType="separate"/>
          </w:r>
          <w:r>
            <w:t>3</w:t>
          </w:r>
          <w:r>
            <w:fldChar w:fldCharType="end"/>
          </w:r>
          <w:r>
            <w:fldChar w:fldCharType="end"/>
          </w:r>
        </w:p>
        <w:p>
          <w:pPr>
            <w:pStyle w:val="13"/>
            <w:tabs>
              <w:tab w:val="right" w:leader="dot" w:pos="8306"/>
              <w:tab w:val="clear" w:pos="8296"/>
            </w:tabs>
          </w:pPr>
          <w:r>
            <w:fldChar w:fldCharType="begin"/>
          </w:r>
          <w:r>
            <w:instrText xml:space="preserve"> HYPERLINK \l _Toc20228 </w:instrText>
          </w:r>
          <w:r>
            <w:fldChar w:fldCharType="separate"/>
          </w:r>
          <w:r>
            <w:rPr>
              <w:rFonts w:hint="eastAsia" w:ascii="黑体" w:hAnsi="黑体" w:eastAsia="黑体"/>
            </w:rPr>
            <w:t>第二部分 2023年度</w:t>
          </w:r>
          <w:r>
            <w:rPr>
              <w:rFonts w:hint="eastAsia" w:ascii="黑体" w:hAnsi="黑体" w:eastAsia="黑体"/>
              <w:bCs/>
            </w:rPr>
            <w:t>部门决算情况说明</w:t>
          </w:r>
          <w:r>
            <w:tab/>
          </w:r>
          <w:r>
            <w:fldChar w:fldCharType="begin"/>
          </w:r>
          <w:r>
            <w:instrText xml:space="preserve"> PAGEREF _Toc20228 </w:instrText>
          </w:r>
          <w:r>
            <w:fldChar w:fldCharType="separate"/>
          </w:r>
          <w:r>
            <w:t>4</w:t>
          </w:r>
          <w:r>
            <w:fldChar w:fldCharType="end"/>
          </w:r>
          <w:r>
            <w:fldChar w:fldCharType="end"/>
          </w:r>
        </w:p>
        <w:p>
          <w:pPr>
            <w:pStyle w:val="15"/>
            <w:tabs>
              <w:tab w:val="right" w:leader="dot" w:pos="8306"/>
              <w:tab w:val="clear" w:pos="8296"/>
            </w:tabs>
          </w:pPr>
          <w:r>
            <w:fldChar w:fldCharType="begin"/>
          </w:r>
          <w:r>
            <w:instrText xml:space="preserve"> HYPERLINK \l _Toc3667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_Toc3667 </w:instrText>
          </w:r>
          <w:r>
            <w:fldChar w:fldCharType="separate"/>
          </w:r>
          <w:r>
            <w:t>4</w:t>
          </w:r>
          <w:r>
            <w:fldChar w:fldCharType="end"/>
          </w:r>
          <w:r>
            <w:fldChar w:fldCharType="end"/>
          </w:r>
        </w:p>
        <w:p>
          <w:pPr>
            <w:pStyle w:val="15"/>
            <w:tabs>
              <w:tab w:val="right" w:leader="dot" w:pos="8306"/>
              <w:tab w:val="clear" w:pos="8296"/>
            </w:tabs>
          </w:pPr>
          <w:r>
            <w:fldChar w:fldCharType="begin"/>
          </w:r>
          <w:r>
            <w:instrText xml:space="preserve"> HYPERLINK \l _Toc29150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_Toc29150 </w:instrText>
          </w:r>
          <w:r>
            <w:fldChar w:fldCharType="separate"/>
          </w:r>
          <w:r>
            <w:t>4</w:t>
          </w:r>
          <w:r>
            <w:fldChar w:fldCharType="end"/>
          </w:r>
          <w:r>
            <w:fldChar w:fldCharType="end"/>
          </w:r>
        </w:p>
        <w:p>
          <w:pPr>
            <w:pStyle w:val="15"/>
            <w:tabs>
              <w:tab w:val="right" w:leader="dot" w:pos="8306"/>
              <w:tab w:val="clear" w:pos="8296"/>
            </w:tabs>
          </w:pPr>
          <w:r>
            <w:fldChar w:fldCharType="begin"/>
          </w:r>
          <w:r>
            <w:instrText xml:space="preserve"> HYPERLINK \l _Toc19781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_Toc19781 </w:instrText>
          </w:r>
          <w:r>
            <w:fldChar w:fldCharType="separate"/>
          </w:r>
          <w:r>
            <w:t>5</w:t>
          </w:r>
          <w:r>
            <w:fldChar w:fldCharType="end"/>
          </w:r>
          <w:r>
            <w:fldChar w:fldCharType="end"/>
          </w:r>
        </w:p>
        <w:p>
          <w:pPr>
            <w:pStyle w:val="15"/>
            <w:tabs>
              <w:tab w:val="right" w:leader="dot" w:pos="8306"/>
              <w:tab w:val="clear" w:pos="8296"/>
            </w:tabs>
          </w:pPr>
          <w:r>
            <w:fldChar w:fldCharType="begin"/>
          </w:r>
          <w:r>
            <w:instrText xml:space="preserve"> HYPERLINK \l _Toc10663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_Toc10663 </w:instrText>
          </w:r>
          <w:r>
            <w:fldChar w:fldCharType="separate"/>
          </w:r>
          <w:r>
            <w:t>5</w:t>
          </w:r>
          <w:r>
            <w:fldChar w:fldCharType="end"/>
          </w:r>
          <w:r>
            <w:fldChar w:fldCharType="end"/>
          </w:r>
        </w:p>
        <w:p>
          <w:pPr>
            <w:pStyle w:val="15"/>
            <w:tabs>
              <w:tab w:val="right" w:leader="dot" w:pos="8306"/>
              <w:tab w:val="clear" w:pos="8296"/>
            </w:tabs>
          </w:pPr>
          <w:r>
            <w:fldChar w:fldCharType="begin"/>
          </w:r>
          <w:r>
            <w:instrText xml:space="preserve"> HYPERLINK \l _Toc1709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_Toc1709 </w:instrText>
          </w:r>
          <w:r>
            <w:fldChar w:fldCharType="separate"/>
          </w:r>
          <w:r>
            <w:t>6</w:t>
          </w:r>
          <w:r>
            <w:fldChar w:fldCharType="end"/>
          </w:r>
          <w:r>
            <w:fldChar w:fldCharType="end"/>
          </w:r>
        </w:p>
        <w:p>
          <w:pPr>
            <w:pStyle w:val="15"/>
            <w:tabs>
              <w:tab w:val="right" w:leader="dot" w:pos="8306"/>
              <w:tab w:val="clear" w:pos="8296"/>
            </w:tabs>
          </w:pPr>
          <w:r>
            <w:fldChar w:fldCharType="begin"/>
          </w:r>
          <w:r>
            <w:instrText xml:space="preserve"> HYPERLINK \l _Toc8009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_Toc8009 </w:instrText>
          </w:r>
          <w:r>
            <w:fldChar w:fldCharType="separate"/>
          </w:r>
          <w:r>
            <w:t>9</w:t>
          </w:r>
          <w:r>
            <w:fldChar w:fldCharType="end"/>
          </w:r>
          <w:r>
            <w:fldChar w:fldCharType="end"/>
          </w:r>
        </w:p>
        <w:p>
          <w:pPr>
            <w:pStyle w:val="15"/>
            <w:tabs>
              <w:tab w:val="right" w:leader="dot" w:pos="8306"/>
              <w:tab w:val="clear" w:pos="8296"/>
            </w:tabs>
          </w:pPr>
          <w:r>
            <w:fldChar w:fldCharType="begin"/>
          </w:r>
          <w:r>
            <w:instrText xml:space="preserve"> HYPERLINK \l _Toc29662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_Toc29662 </w:instrText>
          </w:r>
          <w:r>
            <w:fldChar w:fldCharType="separate"/>
          </w:r>
          <w:r>
            <w:t>9</w:t>
          </w:r>
          <w:r>
            <w:fldChar w:fldCharType="end"/>
          </w:r>
          <w:r>
            <w:fldChar w:fldCharType="end"/>
          </w:r>
        </w:p>
        <w:p>
          <w:pPr>
            <w:pStyle w:val="15"/>
            <w:tabs>
              <w:tab w:val="right" w:leader="dot" w:pos="8306"/>
              <w:tab w:val="clear" w:pos="8296"/>
            </w:tabs>
          </w:pPr>
          <w:r>
            <w:fldChar w:fldCharType="begin"/>
          </w:r>
          <w:r>
            <w:instrText xml:space="preserve"> HYPERLINK \l _Toc21136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_Toc21136 </w:instrText>
          </w:r>
          <w:r>
            <w:fldChar w:fldCharType="separate"/>
          </w:r>
          <w:r>
            <w:t>11</w:t>
          </w:r>
          <w:r>
            <w:fldChar w:fldCharType="end"/>
          </w:r>
          <w:r>
            <w:fldChar w:fldCharType="end"/>
          </w:r>
        </w:p>
        <w:p>
          <w:pPr>
            <w:pStyle w:val="15"/>
            <w:tabs>
              <w:tab w:val="right" w:leader="dot" w:pos="8306"/>
              <w:tab w:val="clear" w:pos="8296"/>
            </w:tabs>
          </w:pPr>
          <w:r>
            <w:fldChar w:fldCharType="begin"/>
          </w:r>
          <w:r>
            <w:instrText xml:space="preserve"> HYPERLINK \l _Toc14869 </w:instrText>
          </w:r>
          <w:r>
            <w:fldChar w:fldCharType="separate"/>
          </w:r>
          <w:r>
            <w:rPr>
              <w:rFonts w:hint="eastAsia" w:ascii="黑体" w:hAnsi="黑体" w:eastAsia="黑体"/>
            </w:rPr>
            <w:t>九、 国有资本经营预算支出决算情况说明</w:t>
          </w:r>
          <w:r>
            <w:tab/>
          </w:r>
          <w:r>
            <w:fldChar w:fldCharType="begin"/>
          </w:r>
          <w:r>
            <w:instrText xml:space="preserve"> PAGEREF _Toc14869 </w:instrText>
          </w:r>
          <w:r>
            <w:fldChar w:fldCharType="separate"/>
          </w:r>
          <w:r>
            <w:t>11</w:t>
          </w:r>
          <w:r>
            <w:fldChar w:fldCharType="end"/>
          </w:r>
          <w:r>
            <w:fldChar w:fldCharType="end"/>
          </w:r>
        </w:p>
        <w:p>
          <w:pPr>
            <w:pStyle w:val="15"/>
            <w:tabs>
              <w:tab w:val="right" w:leader="dot" w:pos="8306"/>
              <w:tab w:val="clear" w:pos="8296"/>
            </w:tabs>
          </w:pPr>
          <w:r>
            <w:fldChar w:fldCharType="begin"/>
          </w:r>
          <w:r>
            <w:instrText xml:space="preserve"> HYPERLINK \l _Toc28132 </w:instrText>
          </w:r>
          <w:r>
            <w:fldChar w:fldCharType="separate"/>
          </w:r>
          <w:r>
            <w:rPr>
              <w:rFonts w:hint="eastAsia" w:ascii="黑体" w:hAnsi="黑体" w:eastAsia="黑体"/>
            </w:rPr>
            <w:t>十、 其他重要事项的情况说明</w:t>
          </w:r>
          <w:r>
            <w:tab/>
          </w:r>
          <w:r>
            <w:fldChar w:fldCharType="begin"/>
          </w:r>
          <w:r>
            <w:instrText xml:space="preserve"> PAGEREF _Toc28132 </w:instrText>
          </w:r>
          <w:r>
            <w:fldChar w:fldCharType="separate"/>
          </w:r>
          <w:r>
            <w:t>11</w:t>
          </w:r>
          <w:r>
            <w:fldChar w:fldCharType="end"/>
          </w:r>
          <w:r>
            <w:fldChar w:fldCharType="end"/>
          </w:r>
        </w:p>
        <w:p>
          <w:pPr>
            <w:pStyle w:val="13"/>
            <w:tabs>
              <w:tab w:val="right" w:leader="dot" w:pos="8306"/>
              <w:tab w:val="clear" w:pos="8296"/>
            </w:tabs>
          </w:pPr>
          <w:r>
            <w:fldChar w:fldCharType="begin"/>
          </w:r>
          <w:r>
            <w:instrText xml:space="preserve"> HYPERLINK \l _Toc29648 </w:instrText>
          </w:r>
          <w:r>
            <w:fldChar w:fldCharType="separate"/>
          </w:r>
          <w:r>
            <w:rPr>
              <w:rFonts w:hint="eastAsia" w:ascii="黑体" w:hAnsi="黑体" w:eastAsia="黑体"/>
            </w:rPr>
            <w:t>第三部分 名词解释</w:t>
          </w:r>
          <w:r>
            <w:tab/>
          </w:r>
          <w:r>
            <w:fldChar w:fldCharType="begin"/>
          </w:r>
          <w:r>
            <w:instrText xml:space="preserve"> PAGEREF _Toc29648 </w:instrText>
          </w:r>
          <w:r>
            <w:fldChar w:fldCharType="separate"/>
          </w:r>
          <w:r>
            <w:t>13</w:t>
          </w:r>
          <w:r>
            <w:fldChar w:fldCharType="end"/>
          </w:r>
          <w:r>
            <w:fldChar w:fldCharType="end"/>
          </w:r>
        </w:p>
        <w:p>
          <w:pPr>
            <w:pStyle w:val="13"/>
            <w:tabs>
              <w:tab w:val="right" w:leader="dot" w:pos="8306"/>
              <w:tab w:val="clear" w:pos="8296"/>
            </w:tabs>
          </w:pPr>
          <w:r>
            <w:fldChar w:fldCharType="begin"/>
          </w:r>
          <w:r>
            <w:instrText xml:space="preserve"> HYPERLINK \l _Toc7349 </w:instrText>
          </w:r>
          <w:r>
            <w:fldChar w:fldCharType="separate"/>
          </w:r>
          <w:r>
            <w:rPr>
              <w:rFonts w:hint="eastAsia" w:ascii="黑体" w:hAnsi="黑体" w:eastAsia="黑体"/>
            </w:rPr>
            <w:t>第四部分 附件</w:t>
          </w:r>
          <w:r>
            <w:tab/>
          </w:r>
          <w:r>
            <w:fldChar w:fldCharType="begin"/>
          </w:r>
          <w:r>
            <w:instrText xml:space="preserve"> PAGEREF _Toc7349 </w:instrText>
          </w:r>
          <w:r>
            <w:fldChar w:fldCharType="separate"/>
          </w:r>
          <w:r>
            <w:t>15</w:t>
          </w:r>
          <w:r>
            <w:fldChar w:fldCharType="end"/>
          </w:r>
          <w:r>
            <w:fldChar w:fldCharType="end"/>
          </w:r>
        </w:p>
        <w:p>
          <w:pPr>
            <w:pStyle w:val="13"/>
            <w:tabs>
              <w:tab w:val="right" w:leader="dot" w:pos="8306"/>
              <w:tab w:val="clear" w:pos="8296"/>
            </w:tabs>
          </w:pPr>
          <w:r>
            <w:fldChar w:fldCharType="begin"/>
          </w:r>
          <w:r>
            <w:instrText xml:space="preserve"> HYPERLINK \l _Toc22013 </w:instrText>
          </w:r>
          <w:r>
            <w:fldChar w:fldCharType="separate"/>
          </w:r>
          <w:r>
            <w:rPr>
              <w:rFonts w:hint="eastAsia" w:ascii="黑体" w:hAnsi="黑体" w:eastAsia="黑体"/>
            </w:rPr>
            <w:t>第五部分 附表</w:t>
          </w:r>
          <w:r>
            <w:tab/>
          </w:r>
          <w:r>
            <w:fldChar w:fldCharType="begin"/>
          </w:r>
          <w:r>
            <w:instrText xml:space="preserve"> PAGEREF _Toc22013 </w:instrText>
          </w:r>
          <w:r>
            <w:fldChar w:fldCharType="separate"/>
          </w:r>
          <w:r>
            <w:t>30</w:t>
          </w:r>
          <w:r>
            <w:fldChar w:fldCharType="end"/>
          </w:r>
          <w:r>
            <w:fldChar w:fldCharType="end"/>
          </w:r>
        </w:p>
        <w:p>
          <w:r>
            <w:fldChar w:fldCharType="end"/>
          </w:r>
          <w:bookmarkStart w:id="70" w:name="_GoBack"/>
          <w:bookmarkEnd w:id="70"/>
        </w:p>
      </w:sdtContent>
    </w:sdt>
    <w:p>
      <w:pPr>
        <w:pStyle w:val="3"/>
        <w:jc w:val="center"/>
        <w:rPr>
          <w:rFonts w:hint="eastAsia" w:ascii="黑体" w:hAnsi="黑体" w:eastAsia="黑体"/>
          <w:b w:val="0"/>
        </w:rPr>
      </w:pPr>
      <w:bookmarkStart w:id="14" w:name="_Toc30390"/>
      <w:bookmarkStart w:id="15" w:name="_Toc15396599"/>
      <w:bookmarkStart w:id="16" w:name="_Toc15377196"/>
    </w:p>
    <w:p>
      <w:pPr>
        <w:pStyle w:val="3"/>
        <w:jc w:val="center"/>
        <w:rPr>
          <w:rFonts w:hint="eastAsia" w:ascii="黑体" w:hAnsi="黑体" w:eastAsia="黑体"/>
          <w:b w:val="0"/>
        </w:rPr>
      </w:pPr>
    </w:p>
    <w:p>
      <w:pPr>
        <w:pStyle w:val="3"/>
        <w:jc w:val="center"/>
        <w:rPr>
          <w:rStyle w:val="30"/>
          <w:rFonts w:ascii="黑体" w:hAnsi="黑体" w:eastAsia="黑体"/>
          <w:b/>
          <w:bCs w:val="0"/>
        </w:rPr>
      </w:pPr>
      <w:r>
        <w:rPr>
          <w:rFonts w:hint="eastAsia" w:ascii="黑体" w:hAnsi="黑体" w:eastAsia="黑体"/>
          <w:b w:val="0"/>
        </w:rPr>
        <w:t xml:space="preserve">第一部分 </w:t>
      </w:r>
      <w:r>
        <w:rPr>
          <w:rStyle w:val="30"/>
          <w:rFonts w:hint="eastAsia" w:ascii="黑体" w:hAnsi="黑体" w:eastAsia="黑体"/>
          <w:b w:val="0"/>
          <w:bCs w:val="0"/>
        </w:rPr>
        <w:t>部门概况</w:t>
      </w:r>
      <w:bookmarkEnd w:id="14"/>
      <w:bookmarkEnd w:id="15"/>
      <w:bookmarkEnd w:id="16"/>
    </w:p>
    <w:p>
      <w:pPr>
        <w:widowControl/>
        <w:jc w:val="left"/>
        <w:rPr>
          <w:rFonts w:ascii="黑体" w:eastAsia="黑体"/>
          <w:sz w:val="32"/>
          <w:szCs w:val="32"/>
        </w:rPr>
      </w:pPr>
    </w:p>
    <w:p>
      <w:pPr>
        <w:pStyle w:val="4"/>
        <w:numPr>
          <w:ilvl w:val="0"/>
          <w:numId w:val="1"/>
        </w:numPr>
        <w:rPr>
          <w:rFonts w:hint="eastAsia" w:ascii="黑体" w:hAnsi="黑体" w:eastAsia="黑体"/>
          <w:b w:val="0"/>
        </w:rPr>
      </w:pPr>
      <w:bookmarkStart w:id="17" w:name="_Toc11404"/>
      <w:r>
        <w:rPr>
          <w:rFonts w:hint="eastAsia" w:ascii="黑体" w:hAnsi="黑体" w:eastAsia="黑体"/>
          <w:b w:val="0"/>
        </w:rPr>
        <w:t>部门职责</w:t>
      </w:r>
      <w:bookmarkEnd w:id="17"/>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pPr>
      <w:r>
        <w:rPr>
          <w:rFonts w:hint="eastAsia" w:ascii="仿宋_GB2312" w:hAnsi="仿宋" w:eastAsia="仿宋_GB2312"/>
          <w:sz w:val="32"/>
          <w:szCs w:val="32"/>
        </w:rPr>
        <w:t>整合县内新闻媒体资源，实现一个平台融合，负责宣传策划、信息采集，编辑制作与刊播发布</w:t>
      </w:r>
      <w:r>
        <w:rPr>
          <w:rFonts w:hint="eastAsia" w:ascii="仿宋_GB2312" w:hAnsi="仿宋" w:eastAsia="仿宋_GB2312"/>
          <w:sz w:val="32"/>
          <w:szCs w:val="32"/>
          <w:lang w:val="en-US" w:eastAsia="zh-CN"/>
        </w:rPr>
        <w:t>;</w:t>
      </w:r>
      <w:r>
        <w:rPr>
          <w:rFonts w:hint="eastAsia" w:ascii="仿宋_GB2312" w:hAnsi="仿宋" w:eastAsia="仿宋_GB2312"/>
          <w:sz w:val="32"/>
          <w:szCs w:val="32"/>
        </w:rPr>
        <w:t>宣传效果监测与评价等工作</w:t>
      </w:r>
      <w:r>
        <w:rPr>
          <w:rFonts w:hint="eastAsia" w:ascii="仿宋_GB2312" w:hAnsi="仿宋" w:eastAsia="仿宋_GB2312"/>
          <w:sz w:val="32"/>
          <w:szCs w:val="32"/>
          <w:lang w:val="en-US" w:eastAsia="zh-CN"/>
        </w:rPr>
        <w:t>;</w:t>
      </w:r>
      <w:r>
        <w:rPr>
          <w:rFonts w:hint="eastAsia" w:ascii="仿宋_GB2312" w:hAnsi="仿宋" w:eastAsia="仿宋_GB2312"/>
          <w:sz w:val="32"/>
          <w:szCs w:val="32"/>
        </w:rPr>
        <w:t>策划和制作广播、电视、新闻媒体作品和提供应急广播节目内容</w:t>
      </w:r>
      <w:r>
        <w:rPr>
          <w:rFonts w:hint="eastAsia" w:ascii="仿宋_GB2312" w:hAnsi="仿宋" w:eastAsia="仿宋_GB2312"/>
          <w:sz w:val="32"/>
          <w:szCs w:val="32"/>
          <w:lang w:val="en-US" w:eastAsia="zh-CN"/>
        </w:rPr>
        <w:t>;</w:t>
      </w:r>
      <w:r>
        <w:rPr>
          <w:rFonts w:hint="eastAsia" w:ascii="仿宋_GB2312" w:hAnsi="仿宋" w:eastAsia="仿宋_GB2312"/>
          <w:sz w:val="32"/>
          <w:szCs w:val="32"/>
        </w:rPr>
        <w:t>负责网络舆情的相关工作</w:t>
      </w:r>
      <w:r>
        <w:rPr>
          <w:rFonts w:hint="eastAsia" w:ascii="仿宋_GB2312" w:hAnsi="仿宋" w:eastAsia="仿宋_GB2312"/>
          <w:sz w:val="32"/>
          <w:szCs w:val="32"/>
          <w:lang w:val="en-US" w:eastAsia="zh-CN"/>
        </w:rPr>
        <w:t>;</w:t>
      </w:r>
      <w:r>
        <w:rPr>
          <w:rFonts w:hint="eastAsia" w:ascii="仿宋_GB2312" w:hAnsi="仿宋" w:eastAsia="仿宋_GB2312"/>
          <w:sz w:val="32"/>
          <w:szCs w:val="32"/>
        </w:rPr>
        <w:t>指导乡镇部门政务新媒体、社会新媒体的业务工作。</w:t>
      </w:r>
    </w:p>
    <w:p>
      <w:pPr>
        <w:pStyle w:val="4"/>
        <w:rPr>
          <w:rStyle w:val="31"/>
          <w:b w:val="0"/>
          <w:bCs w:val="0"/>
        </w:rPr>
      </w:pPr>
      <w:bookmarkStart w:id="18" w:name="_Toc15396601"/>
      <w:bookmarkStart w:id="19" w:name="_Toc17276"/>
      <w:bookmarkStart w:id="20" w:name="_Toc15377200"/>
      <w:r>
        <w:rPr>
          <w:rFonts w:hint="eastAsia" w:ascii="黑体" w:eastAsia="黑体"/>
          <w:b w:val="0"/>
        </w:rPr>
        <w:t>二、</w:t>
      </w:r>
      <w:r>
        <w:rPr>
          <w:rFonts w:hint="eastAsia" w:ascii="黑体" w:hAnsi="黑体" w:eastAsia="黑体"/>
          <w:b w:val="0"/>
        </w:rPr>
        <w:t>机</w:t>
      </w:r>
      <w:r>
        <w:rPr>
          <w:rStyle w:val="31"/>
          <w:rFonts w:hint="eastAsia" w:ascii="黑体" w:hAnsi="黑体" w:eastAsia="黑体"/>
          <w:b w:val="0"/>
          <w:bCs w:val="0"/>
        </w:rPr>
        <w:t>构设置</w:t>
      </w:r>
      <w:bookmarkEnd w:id="18"/>
      <w:bookmarkEnd w:id="19"/>
      <w:bookmarkEnd w:id="20"/>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default" w:ascii="楷体_GB2312" w:hAnsi="仿宋" w:eastAsia="仿宋_GB2312"/>
          <w:b/>
          <w:sz w:val="32"/>
          <w:szCs w:val="32"/>
          <w:lang w:val="en-US" w:eastAsia="zh-CN"/>
        </w:rPr>
      </w:pPr>
      <w:r>
        <w:rPr>
          <w:rFonts w:hint="eastAsia" w:ascii="仿宋_GB2312" w:hAnsi="仿宋" w:eastAsia="仿宋_GB2312"/>
          <w:sz w:val="32"/>
          <w:szCs w:val="32"/>
          <w:lang w:eastAsia="zh-CN"/>
        </w:rPr>
        <w:t>无纳入</w:t>
      </w:r>
      <w:r>
        <w:rPr>
          <w:rFonts w:hint="eastAsia" w:ascii="仿宋_GB2312" w:hAnsi="仿宋" w:eastAsia="仿宋_GB2312"/>
          <w:sz w:val="32"/>
          <w:szCs w:val="32"/>
          <w:lang w:val="en-US" w:eastAsia="zh-CN"/>
        </w:rPr>
        <w:t>2023年度部门决算编制范围的</w:t>
      </w:r>
      <w:r>
        <w:rPr>
          <w:rFonts w:hint="eastAsia" w:ascii="仿宋_GB2312" w:hAnsi="仿宋" w:eastAsia="仿宋_GB2312"/>
          <w:sz w:val="32"/>
          <w:szCs w:val="32"/>
          <w:lang w:eastAsia="zh-CN"/>
        </w:rPr>
        <w:t>二级预算单位。</w:t>
      </w:r>
    </w:p>
    <w:p>
      <w:pPr>
        <w:pStyle w:val="6"/>
        <w:adjustRightInd w:val="0"/>
        <w:snapToGrid w:val="0"/>
        <w:spacing w:before="93" w:line="600" w:lineRule="exact"/>
        <w:ind w:firstLine="1120" w:firstLineChars="350"/>
        <w:rPr>
          <w:rFonts w:ascii="仿宋" w:hAnsi="仿宋" w:eastAsia="仿宋"/>
          <w:sz w:val="32"/>
          <w:szCs w:val="32"/>
        </w:rPr>
      </w:pP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30"/>
          <w:rFonts w:ascii="黑体" w:hAnsi="黑体" w:eastAsia="黑体"/>
          <w:b w:val="0"/>
          <w:bCs/>
        </w:rPr>
      </w:pPr>
      <w:bookmarkStart w:id="21" w:name="_Toc20228"/>
      <w:bookmarkStart w:id="22" w:name="_Toc15377204"/>
      <w:bookmarkStart w:id="23" w:name="_Toc15396602"/>
      <w:r>
        <w:rPr>
          <w:rFonts w:hint="eastAsia" w:ascii="黑体" w:hAnsi="黑体" w:eastAsia="黑体"/>
          <w:b w:val="0"/>
        </w:rPr>
        <w:t>第二部分 2023年度</w:t>
      </w:r>
      <w:r>
        <w:rPr>
          <w:rStyle w:val="30"/>
          <w:rFonts w:hint="eastAsia" w:ascii="黑体" w:hAnsi="黑体" w:eastAsia="黑体"/>
          <w:b w:val="0"/>
          <w:bCs/>
        </w:rPr>
        <w:t>部门决算情况说明</w:t>
      </w:r>
      <w:bookmarkEnd w:id="21"/>
      <w:bookmarkEnd w:id="22"/>
      <w:bookmarkEnd w:id="23"/>
    </w:p>
    <w:p/>
    <w:p>
      <w:pPr>
        <w:pStyle w:val="29"/>
        <w:numPr>
          <w:ilvl w:val="0"/>
          <w:numId w:val="2"/>
        </w:numPr>
        <w:spacing w:line="600" w:lineRule="exact"/>
        <w:ind w:firstLineChars="0"/>
        <w:outlineLvl w:val="1"/>
        <w:rPr>
          <w:rStyle w:val="31"/>
          <w:rFonts w:ascii="黑体" w:hAnsi="黑体" w:eastAsia="黑体"/>
          <w:b w:val="0"/>
        </w:rPr>
      </w:pPr>
      <w:bookmarkStart w:id="24" w:name="_Toc15377205"/>
      <w:bookmarkStart w:id="25" w:name="_Toc15396603"/>
      <w:bookmarkStart w:id="26" w:name="_Toc3667"/>
      <w:r>
        <w:rPr>
          <w:rFonts w:hint="eastAsia" w:ascii="黑体" w:hAnsi="黑体" w:eastAsia="黑体"/>
          <w:sz w:val="32"/>
          <w:szCs w:val="32"/>
        </w:rPr>
        <w:t>收</w:t>
      </w:r>
      <w:r>
        <w:rPr>
          <w:rStyle w:val="31"/>
          <w:rFonts w:hint="eastAsia" w:ascii="黑体" w:hAnsi="黑体" w:eastAsia="黑体"/>
          <w:b w:val="0"/>
        </w:rPr>
        <w:t>入支出决算总体情况说明</w:t>
      </w:r>
      <w:bookmarkEnd w:id="24"/>
      <w:bookmarkEnd w:id="25"/>
      <w:bookmarkEnd w:id="26"/>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default" w:ascii="仿宋_GB2312" w:hAnsi="仿宋" w:eastAsia="仿宋_GB2312"/>
          <w:sz w:val="32"/>
          <w:szCs w:val="32"/>
          <w:lang w:val="en-US" w:eastAsia="zh-CN"/>
        </w:rPr>
      </w:pPr>
      <w:r>
        <w:rPr>
          <w:rFonts w:hint="eastAsia" w:ascii="仿宋" w:hAnsi="仿宋" w:eastAsia="仿宋"/>
          <w:sz w:val="32"/>
          <w:szCs w:val="32"/>
        </w:rPr>
        <w:t>2023年度收、支总计均为</w:t>
      </w:r>
      <w:r>
        <w:rPr>
          <w:rFonts w:hint="eastAsia"/>
          <w:sz w:val="32"/>
          <w:szCs w:val="32"/>
        </w:rPr>
        <w:t>872.19</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与2022年度相比，收、支总计各增加</w:t>
      </w:r>
      <w:r>
        <w:rPr>
          <w:rFonts w:hint="eastAsia" w:ascii="仿宋" w:hAnsi="仿宋" w:eastAsia="仿宋"/>
          <w:sz w:val="32"/>
          <w:szCs w:val="32"/>
          <w:lang w:val="en-US" w:eastAsia="zh-CN"/>
        </w:rPr>
        <w:t>193.18</w:t>
      </w:r>
      <w:r>
        <w:rPr>
          <w:rFonts w:hint="eastAsia" w:ascii="仿宋" w:hAnsi="仿宋" w:eastAsia="仿宋"/>
          <w:sz w:val="32"/>
          <w:szCs w:val="32"/>
        </w:rPr>
        <w:t>万元，增长</w:t>
      </w:r>
      <w:r>
        <w:rPr>
          <w:rFonts w:hint="eastAsia" w:ascii="仿宋" w:hAnsi="仿宋" w:eastAsia="仿宋"/>
          <w:sz w:val="32"/>
          <w:szCs w:val="32"/>
          <w:lang w:val="en-US" w:eastAsia="zh-CN"/>
        </w:rPr>
        <w:t>28.45</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 w:eastAsia="仿宋_GB2312"/>
          <w:sz w:val="32"/>
          <w:szCs w:val="32"/>
          <w:lang w:val="en-US" w:eastAsia="zh-CN"/>
        </w:rPr>
        <w:t>申请使用一般债券资金用于支付2021年融媒体中心项目建设费用及2023年沐川县网络视听阵地建设服务采购项目费用。</w:t>
      </w:r>
    </w:p>
    <w:p>
      <w:pPr>
        <w:spacing w:line="600" w:lineRule="exact"/>
        <w:ind w:firstLine="420" w:firstLineChars="200"/>
        <w:rPr>
          <w:rFonts w:hint="eastAsia" w:ascii="仿宋" w:hAnsi="仿宋" w:eastAsia="仿宋"/>
          <w:sz w:val="32"/>
          <w:szCs w:val="32"/>
        </w:rPr>
      </w:pPr>
      <w:r>
        <w:drawing>
          <wp:anchor distT="0" distB="0" distL="114300" distR="114300" simplePos="0" relativeHeight="251659264" behindDoc="1" locked="0" layoutInCell="1" allowOverlap="1">
            <wp:simplePos x="0" y="0"/>
            <wp:positionH relativeFrom="column">
              <wp:posOffset>226695</wp:posOffset>
            </wp:positionH>
            <wp:positionV relativeFrom="paragraph">
              <wp:posOffset>36195</wp:posOffset>
            </wp:positionV>
            <wp:extent cx="5086350" cy="2619375"/>
            <wp:effectExtent l="4445" t="4445" r="14605" b="5080"/>
            <wp:wrapNone/>
            <wp:docPr id="92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_GB2312" w:eastAsia="仿宋_GB2312"/>
          <w:sz w:val="32"/>
          <w:szCs w:val="32"/>
        </w:rPr>
      </w:pPr>
    </w:p>
    <w:p>
      <w:pPr>
        <w:pStyle w:val="29"/>
        <w:numPr>
          <w:ilvl w:val="0"/>
          <w:numId w:val="2"/>
        </w:numPr>
        <w:spacing w:line="600" w:lineRule="exact"/>
        <w:ind w:firstLineChars="0"/>
        <w:outlineLvl w:val="1"/>
        <w:rPr>
          <w:rStyle w:val="31"/>
          <w:rFonts w:ascii="黑体" w:hAnsi="黑体" w:eastAsia="黑体"/>
          <w:b w:val="0"/>
        </w:rPr>
      </w:pPr>
      <w:bookmarkStart w:id="27" w:name="_Toc15396604"/>
      <w:bookmarkStart w:id="28" w:name="_Toc29150"/>
      <w:bookmarkStart w:id="29" w:name="_Toc15377206"/>
      <w:r>
        <w:rPr>
          <w:rFonts w:hint="eastAsia" w:ascii="黑体" w:hAnsi="黑体" w:eastAsia="黑体"/>
          <w:sz w:val="32"/>
          <w:szCs w:val="32"/>
        </w:rPr>
        <w:t>收</w:t>
      </w:r>
      <w:r>
        <w:rPr>
          <w:rStyle w:val="31"/>
          <w:rFonts w:hint="eastAsia" w:ascii="黑体" w:hAnsi="黑体" w:eastAsia="黑体"/>
          <w:b w:val="0"/>
        </w:rPr>
        <w:t>入决算情况说明</w:t>
      </w:r>
      <w:bookmarkEnd w:id="27"/>
      <w:bookmarkEnd w:id="28"/>
      <w:bookmarkEnd w:id="29"/>
    </w:p>
    <w:p>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2023年度本年收入合计872.19万元，其中：一般公共预算财政拨款收入</w:t>
      </w:r>
      <w:r>
        <w:rPr>
          <w:rFonts w:hint="eastAsia" w:ascii="仿宋" w:hAnsi="仿宋" w:eastAsia="仿宋"/>
          <w:sz w:val="32"/>
          <w:szCs w:val="32"/>
          <w:lang w:val="en-US" w:eastAsia="zh-CN"/>
        </w:rPr>
        <w:t>855</w:t>
      </w:r>
      <w:r>
        <w:rPr>
          <w:rFonts w:hint="eastAsia" w:ascii="仿宋" w:hAnsi="仿宋" w:eastAsia="仿宋"/>
          <w:sz w:val="32"/>
          <w:szCs w:val="32"/>
        </w:rPr>
        <w:t>.47万元，占9</w:t>
      </w:r>
      <w:r>
        <w:rPr>
          <w:rFonts w:hint="eastAsia" w:ascii="仿宋" w:hAnsi="仿宋" w:eastAsia="仿宋"/>
          <w:sz w:val="32"/>
          <w:szCs w:val="32"/>
          <w:lang w:val="en-US" w:eastAsia="zh-CN"/>
        </w:rPr>
        <w:t>8</w:t>
      </w:r>
      <w:r>
        <w:rPr>
          <w:rFonts w:hint="eastAsia" w:ascii="仿宋" w:hAnsi="仿宋" w:eastAsia="仿宋"/>
          <w:sz w:val="32"/>
          <w:szCs w:val="32"/>
        </w:rPr>
        <w:t>%；政府性基金预算财政拨款收入16.72万元，占2%；国有资本经营预算财政拨款收入0万元，占0%；上级补助收入0万元，占0%；事业收入0万元，占0%；经营收入0万元，占0%；附属单位上缴收入0万元，占0%；其他收入0万元，占0%。</w:t>
      </w:r>
    </w:p>
    <w:p>
      <w:pPr>
        <w:pStyle w:val="16"/>
        <w:rPr>
          <w:rFonts w:ascii="仿宋_GB2312" w:eastAsia="仿宋_GB2312"/>
          <w:sz w:val="32"/>
          <w:szCs w:val="32"/>
        </w:rPr>
      </w:pPr>
      <w:r>
        <w:drawing>
          <wp:inline distT="0" distB="0" distL="114300" distR="114300">
            <wp:extent cx="4772025" cy="2905125"/>
            <wp:effectExtent l="4445" t="4445" r="5080" b="5080"/>
            <wp:docPr id="2970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9"/>
        <w:numPr>
          <w:ilvl w:val="0"/>
          <w:numId w:val="2"/>
        </w:numPr>
        <w:spacing w:line="600" w:lineRule="exact"/>
        <w:ind w:firstLineChars="0"/>
        <w:outlineLvl w:val="1"/>
        <w:rPr>
          <w:rStyle w:val="31"/>
          <w:rFonts w:ascii="黑体" w:hAnsi="黑体" w:eastAsia="黑体"/>
          <w:b w:val="0"/>
        </w:rPr>
      </w:pPr>
      <w:bookmarkStart w:id="30" w:name="_Toc15377207"/>
      <w:bookmarkStart w:id="31" w:name="_Toc19781"/>
      <w:bookmarkStart w:id="32" w:name="_Toc15396605"/>
      <w:r>
        <w:rPr>
          <w:rFonts w:hint="eastAsia" w:ascii="黑体" w:hAnsi="黑体" w:eastAsia="黑体"/>
          <w:sz w:val="32"/>
          <w:szCs w:val="32"/>
        </w:rPr>
        <w:t>支</w:t>
      </w:r>
      <w:r>
        <w:rPr>
          <w:rStyle w:val="31"/>
          <w:rFonts w:hint="eastAsia" w:ascii="黑体" w:hAnsi="黑体" w:eastAsia="黑体"/>
          <w:b w:val="0"/>
        </w:rPr>
        <w:t>出决算情况说明</w:t>
      </w:r>
      <w:bookmarkEnd w:id="30"/>
      <w:bookmarkEnd w:id="31"/>
      <w:bookmarkEnd w:id="32"/>
    </w:p>
    <w:p>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2023年度本年支出合计872.19万元，其中：基本支出420.63万元，占48.2</w:t>
      </w:r>
      <w:r>
        <w:rPr>
          <w:rFonts w:hint="eastAsia" w:ascii="仿宋" w:hAnsi="仿宋" w:eastAsia="仿宋"/>
          <w:sz w:val="32"/>
          <w:szCs w:val="32"/>
          <w:lang w:val="en-US" w:eastAsia="zh-CN"/>
        </w:rPr>
        <w:t>3</w:t>
      </w:r>
      <w:r>
        <w:rPr>
          <w:rFonts w:hint="eastAsia" w:ascii="仿宋" w:hAnsi="仿宋" w:eastAsia="仿宋"/>
          <w:sz w:val="32"/>
          <w:szCs w:val="32"/>
        </w:rPr>
        <w:t>%；项目支出451.56万元，占51.77%；上缴上级支出0万元，占0%；经营支出0万元，占0%；对附属单位补助支出0万元，占0%。</w:t>
      </w:r>
    </w:p>
    <w:p>
      <w:pPr>
        <w:spacing w:line="600" w:lineRule="exact"/>
        <w:ind w:firstLine="640" w:firstLineChars="200"/>
        <w:outlineLvl w:val="1"/>
        <w:rPr>
          <w:rFonts w:hint="eastAsia" w:ascii="黑体" w:hAnsi="黑体" w:eastAsia="黑体"/>
          <w:sz w:val="32"/>
          <w:szCs w:val="32"/>
        </w:rPr>
      </w:pPr>
      <w:bookmarkStart w:id="33" w:name="_Toc15377208"/>
      <w:bookmarkStart w:id="34" w:name="_Toc10663"/>
      <w:bookmarkStart w:id="35" w:name="_Toc15396606"/>
    </w:p>
    <w:p>
      <w:pPr>
        <w:spacing w:line="600" w:lineRule="exact"/>
        <w:ind w:firstLine="420" w:firstLineChars="200"/>
        <w:outlineLvl w:val="1"/>
        <w:rPr>
          <w:rFonts w:hint="eastAsia" w:ascii="黑体" w:hAnsi="黑体" w:eastAsia="黑体"/>
          <w:sz w:val="32"/>
          <w:szCs w:val="32"/>
        </w:rPr>
      </w:pPr>
      <w:r>
        <w:drawing>
          <wp:anchor distT="0" distB="0" distL="114300" distR="114300" simplePos="0" relativeHeight="251660288" behindDoc="1" locked="0" layoutInCell="1" allowOverlap="1">
            <wp:simplePos x="0" y="0"/>
            <wp:positionH relativeFrom="column">
              <wp:posOffset>147320</wp:posOffset>
            </wp:positionH>
            <wp:positionV relativeFrom="paragraph">
              <wp:posOffset>42545</wp:posOffset>
            </wp:positionV>
            <wp:extent cx="4857750" cy="2905125"/>
            <wp:effectExtent l="4445" t="4445" r="14605" b="5080"/>
            <wp:wrapNone/>
            <wp:docPr id="3175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Style w:val="31"/>
          <w:rFonts w:ascii="黑体" w:hAnsi="黑体" w:eastAsia="黑体"/>
          <w:b w:val="0"/>
        </w:rPr>
      </w:pPr>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33"/>
      <w:bookmarkEnd w:id="34"/>
      <w:bookmarkEnd w:id="35"/>
    </w:p>
    <w:p>
      <w:pPr>
        <w:spacing w:line="600" w:lineRule="exact"/>
        <w:ind w:firstLine="640"/>
        <w:rPr>
          <w:rFonts w:ascii="仿宋" w:hAnsi="仿宋" w:eastAsia="仿宋"/>
          <w:sz w:val="32"/>
          <w:szCs w:val="32"/>
        </w:rPr>
      </w:pPr>
      <w:r>
        <w:rPr>
          <w:rFonts w:hint="eastAsia" w:ascii="仿宋" w:hAnsi="仿宋" w:eastAsia="仿宋"/>
          <w:sz w:val="32"/>
          <w:szCs w:val="32"/>
        </w:rPr>
        <w:t>2023年度财政拨款收、支总计均为</w:t>
      </w:r>
      <w:r>
        <w:rPr>
          <w:sz w:val="32"/>
          <w:szCs w:val="32"/>
        </w:rPr>
        <w:t>872.19</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193.18</w:t>
      </w:r>
      <w:r>
        <w:rPr>
          <w:rFonts w:hint="eastAsia" w:ascii="仿宋" w:hAnsi="仿宋" w:eastAsia="仿宋"/>
          <w:sz w:val="32"/>
          <w:szCs w:val="32"/>
        </w:rPr>
        <w:t>万元，增长</w:t>
      </w:r>
      <w:r>
        <w:rPr>
          <w:rFonts w:hint="eastAsia" w:ascii="仿宋" w:hAnsi="仿宋" w:eastAsia="仿宋"/>
          <w:sz w:val="32"/>
          <w:szCs w:val="32"/>
          <w:lang w:val="en-US" w:eastAsia="zh-CN"/>
        </w:rPr>
        <w:t>28.45</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 w:eastAsia="仿宋_GB2312"/>
          <w:sz w:val="32"/>
          <w:szCs w:val="32"/>
          <w:lang w:val="en-US" w:eastAsia="zh-CN"/>
        </w:rPr>
        <w:t>申请使用一般债券资金用于支付2021年融媒体中心项目建设费用及2023年沐川县网络视听阵地建设服务采购项目费用。</w:t>
      </w:r>
    </w:p>
    <w:p>
      <w:pPr>
        <w:spacing w:line="600" w:lineRule="exact"/>
        <w:outlineLvl w:val="1"/>
        <w:rPr>
          <w:rFonts w:hint="eastAsia" w:ascii="黑体" w:hAnsi="黑体" w:eastAsia="黑体"/>
          <w:sz w:val="32"/>
          <w:szCs w:val="32"/>
        </w:rPr>
      </w:pPr>
      <w:bookmarkStart w:id="36" w:name="_Toc15377209"/>
      <w:bookmarkStart w:id="37" w:name="_Toc15396607"/>
      <w:bookmarkStart w:id="38" w:name="_Toc1709"/>
      <w:r>
        <w:drawing>
          <wp:anchor distT="0" distB="0" distL="114300" distR="114300" simplePos="0" relativeHeight="251661312" behindDoc="1" locked="0" layoutInCell="1" allowOverlap="1">
            <wp:simplePos x="0" y="0"/>
            <wp:positionH relativeFrom="column">
              <wp:posOffset>204470</wp:posOffset>
            </wp:positionH>
            <wp:positionV relativeFrom="paragraph">
              <wp:posOffset>366395</wp:posOffset>
            </wp:positionV>
            <wp:extent cx="5269230" cy="2501900"/>
            <wp:effectExtent l="4445" t="4445" r="22225" b="8255"/>
            <wp:wrapNone/>
            <wp:docPr id="3278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pStyle w:val="16"/>
        <w:rPr>
          <w:rFonts w:hint="eastAsia" w:ascii="黑体" w:hAnsi="黑体" w:eastAsia="黑体"/>
          <w:sz w:val="32"/>
          <w:szCs w:val="32"/>
        </w:rPr>
      </w:pPr>
    </w:p>
    <w:p>
      <w:pPr>
        <w:pStyle w:val="16"/>
        <w:rPr>
          <w:rFonts w:hint="eastAsia" w:ascii="黑体" w:hAnsi="黑体" w:eastAsia="黑体"/>
          <w:sz w:val="32"/>
          <w:szCs w:val="32"/>
        </w:rPr>
      </w:pPr>
    </w:p>
    <w:p>
      <w:pPr>
        <w:pStyle w:val="16"/>
        <w:rPr>
          <w:rFonts w:hint="eastAsia" w:ascii="黑体" w:hAnsi="黑体" w:eastAsia="黑体"/>
          <w:sz w:val="32"/>
          <w:szCs w:val="32"/>
        </w:rPr>
      </w:pPr>
    </w:p>
    <w:p>
      <w:pPr>
        <w:spacing w:line="600" w:lineRule="exact"/>
        <w:ind w:firstLine="640" w:firstLineChars="200"/>
        <w:outlineLvl w:val="1"/>
        <w:rPr>
          <w:rStyle w:val="31"/>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36"/>
      <w:bookmarkEnd w:id="37"/>
      <w:bookmarkEnd w:id="38"/>
    </w:p>
    <w:p>
      <w:pPr>
        <w:spacing w:line="600" w:lineRule="exact"/>
        <w:ind w:firstLine="643" w:firstLineChars="200"/>
        <w:outlineLvl w:val="2"/>
        <w:rPr>
          <w:rFonts w:ascii="仿宋" w:hAnsi="仿宋" w:eastAsia="仿宋"/>
          <w:b/>
          <w:sz w:val="32"/>
          <w:szCs w:val="32"/>
        </w:rPr>
      </w:pPr>
      <w:bookmarkStart w:id="39" w:name="_Toc15377210"/>
      <w:r>
        <w:rPr>
          <w:rFonts w:hint="eastAsia" w:ascii="仿宋" w:hAnsi="仿宋" w:eastAsia="仿宋"/>
          <w:b/>
          <w:sz w:val="32"/>
          <w:szCs w:val="32"/>
        </w:rPr>
        <w:t>（一）一般公共预算财政拨款支出决算总体情况</w:t>
      </w:r>
      <w:bookmarkEnd w:id="39"/>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2023年度一般公共预算财政拨款支出</w:t>
      </w:r>
      <w:r>
        <w:rPr>
          <w:sz w:val="32"/>
          <w:szCs w:val="32"/>
        </w:rPr>
        <w:t>855.47</w:t>
      </w:r>
      <w:r>
        <w:rPr>
          <w:rFonts w:hint="eastAsia" w:ascii="仿宋" w:hAnsi="仿宋" w:eastAsia="仿宋"/>
          <w:sz w:val="32"/>
          <w:szCs w:val="32"/>
        </w:rPr>
        <w:t>万元，占本年支出合计的</w:t>
      </w:r>
      <w:r>
        <w:rPr>
          <w:sz w:val="32"/>
          <w:szCs w:val="32"/>
        </w:rPr>
        <w:t>98.08</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168.65</w:t>
      </w:r>
      <w:r>
        <w:rPr>
          <w:rFonts w:hint="eastAsia" w:ascii="仿宋" w:hAnsi="仿宋" w:eastAsia="仿宋"/>
          <w:sz w:val="32"/>
          <w:szCs w:val="32"/>
        </w:rPr>
        <w:t>万元，增长</w:t>
      </w:r>
      <w:r>
        <w:rPr>
          <w:rFonts w:hint="eastAsia" w:ascii="仿宋" w:hAnsi="仿宋" w:eastAsia="仿宋"/>
          <w:sz w:val="32"/>
          <w:szCs w:val="32"/>
          <w:lang w:val="en-US" w:eastAsia="zh-CN"/>
        </w:rPr>
        <w:t>30.29</w:t>
      </w:r>
      <w:r>
        <w:rPr>
          <w:rFonts w:ascii="仿宋" w:hAnsi="仿宋" w:eastAsia="仿宋"/>
          <w:sz w:val="32"/>
          <w:szCs w:val="32"/>
        </w:rPr>
        <w:t>%</w:t>
      </w:r>
      <w:r>
        <w:rPr>
          <w:rFonts w:hint="eastAsia" w:ascii="仿宋" w:hAnsi="仿宋" w:eastAsia="仿宋"/>
          <w:sz w:val="32"/>
          <w:szCs w:val="32"/>
        </w:rPr>
        <w:t>。主要变动原因是业务增加，收入增加</w:t>
      </w:r>
      <w:r>
        <w:rPr>
          <w:rFonts w:hint="eastAsia" w:ascii="仿宋" w:hAnsi="仿宋" w:eastAsia="仿宋"/>
          <w:sz w:val="32"/>
          <w:szCs w:val="32"/>
          <w:lang w:eastAsia="zh-CN"/>
        </w:rPr>
        <w:t>。</w:t>
      </w:r>
    </w:p>
    <w:p>
      <w:pPr>
        <w:spacing w:line="600" w:lineRule="exact"/>
        <w:ind w:firstLine="640" w:firstLineChars="200"/>
        <w:rPr>
          <w:rFonts w:ascii="仿宋" w:hAnsi="仿宋" w:eastAsia="仿宋"/>
          <w:sz w:val="32"/>
          <w:szCs w:val="32"/>
        </w:rPr>
      </w:pPr>
    </w:p>
    <w:p>
      <w:pPr>
        <w:pStyle w:val="16"/>
        <w:rPr>
          <w:rFonts w:ascii="仿宋" w:hAnsi="仿宋" w:eastAsia="仿宋"/>
          <w:sz w:val="32"/>
          <w:szCs w:val="32"/>
        </w:rPr>
      </w:pPr>
      <w:r>
        <w:drawing>
          <wp:inline distT="0" distB="0" distL="114300" distR="114300">
            <wp:extent cx="5272405" cy="2531110"/>
            <wp:effectExtent l="4445" t="4445" r="19050" b="17145"/>
            <wp:docPr id="3380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sz w:val="32"/>
          <w:szCs w:val="32"/>
        </w:rPr>
      </w:pPr>
      <w:bookmarkStart w:id="40" w:name="_Toc15377211"/>
      <w:r>
        <w:rPr>
          <w:rFonts w:hint="eastAsia" w:ascii="仿宋" w:hAnsi="仿宋" w:eastAsia="仿宋"/>
          <w:b/>
          <w:sz w:val="32"/>
          <w:szCs w:val="32"/>
        </w:rPr>
        <w:t>（二）一般公共预算财政拨款支出决算结构情况</w:t>
      </w:r>
      <w:bookmarkEnd w:id="40"/>
    </w:p>
    <w:p>
      <w:pPr>
        <w:spacing w:line="600" w:lineRule="exact"/>
        <w:ind w:firstLine="640"/>
        <w:rPr>
          <w:rFonts w:hint="eastAsia" w:ascii="仿宋" w:hAnsi="仿宋" w:eastAsia="仿宋"/>
          <w:sz w:val="32"/>
          <w:szCs w:val="32"/>
        </w:rPr>
      </w:pPr>
      <w:r>
        <w:rPr>
          <w:rFonts w:hint="eastAsia" w:ascii="仿宋" w:hAnsi="仿宋" w:eastAsia="仿宋"/>
          <w:sz w:val="32"/>
          <w:szCs w:val="32"/>
        </w:rPr>
        <w:t>2023年度一般公共预算财政拨款支出855.47万元，主要用于以下方面:文化旅游体育与传媒支出</w:t>
      </w:r>
      <w:r>
        <w:rPr>
          <w:rFonts w:hint="eastAsia" w:ascii="仿宋" w:hAnsi="仿宋" w:eastAsia="仿宋"/>
          <w:sz w:val="32"/>
          <w:szCs w:val="32"/>
          <w:lang w:val="en-US" w:eastAsia="zh-CN"/>
        </w:rPr>
        <w:t>545.45</w:t>
      </w:r>
      <w:r>
        <w:rPr>
          <w:rFonts w:hint="eastAsia" w:ascii="仿宋" w:hAnsi="仿宋" w:eastAsia="仿宋"/>
          <w:sz w:val="32"/>
          <w:szCs w:val="32"/>
        </w:rPr>
        <w:t>万元，占</w:t>
      </w:r>
      <w:r>
        <w:rPr>
          <w:rFonts w:hint="eastAsia" w:ascii="仿宋" w:hAnsi="仿宋" w:eastAsia="仿宋"/>
          <w:sz w:val="32"/>
          <w:szCs w:val="32"/>
          <w:lang w:val="en-US" w:eastAsia="zh-CN"/>
        </w:rPr>
        <w:t>63.76</w:t>
      </w:r>
      <w:r>
        <w:rPr>
          <w:rFonts w:hint="eastAsia" w:ascii="仿宋" w:hAnsi="仿宋" w:eastAsia="仿宋"/>
          <w:sz w:val="32"/>
          <w:szCs w:val="32"/>
        </w:rPr>
        <w:t>%；社会保障和就业支出</w:t>
      </w:r>
      <w:r>
        <w:rPr>
          <w:rFonts w:hint="eastAsia" w:ascii="仿宋" w:hAnsi="仿宋" w:eastAsia="仿宋"/>
          <w:sz w:val="32"/>
          <w:szCs w:val="32"/>
          <w:lang w:val="en-US" w:eastAsia="zh-CN"/>
        </w:rPr>
        <w:t>49.27</w:t>
      </w:r>
      <w:r>
        <w:rPr>
          <w:rFonts w:hint="eastAsia" w:ascii="仿宋" w:hAnsi="仿宋" w:eastAsia="仿宋"/>
          <w:sz w:val="32"/>
          <w:szCs w:val="32"/>
        </w:rPr>
        <w:t>万元，占</w:t>
      </w:r>
      <w:r>
        <w:rPr>
          <w:rFonts w:hint="eastAsia" w:ascii="仿宋" w:hAnsi="仿宋" w:eastAsia="仿宋"/>
          <w:sz w:val="32"/>
          <w:szCs w:val="32"/>
          <w:lang w:val="en-US" w:eastAsia="zh-CN"/>
        </w:rPr>
        <w:t>5.76</w:t>
      </w:r>
      <w:r>
        <w:rPr>
          <w:rFonts w:hint="eastAsia" w:ascii="仿宋" w:hAnsi="仿宋" w:eastAsia="仿宋"/>
          <w:sz w:val="32"/>
          <w:szCs w:val="32"/>
        </w:rPr>
        <w:t>%；卫生健康支出</w:t>
      </w:r>
      <w:r>
        <w:rPr>
          <w:rFonts w:hint="eastAsia" w:ascii="仿宋" w:hAnsi="仿宋" w:eastAsia="仿宋"/>
          <w:sz w:val="32"/>
          <w:szCs w:val="32"/>
          <w:lang w:val="en-US" w:eastAsia="zh-CN"/>
        </w:rPr>
        <w:t>16.6</w:t>
      </w:r>
      <w:r>
        <w:rPr>
          <w:rFonts w:hint="eastAsia" w:ascii="仿宋" w:hAnsi="仿宋" w:eastAsia="仿宋"/>
          <w:sz w:val="32"/>
          <w:szCs w:val="32"/>
        </w:rPr>
        <w:t>万元，占</w:t>
      </w:r>
      <w:r>
        <w:rPr>
          <w:rFonts w:hint="eastAsia" w:ascii="仿宋" w:hAnsi="仿宋" w:eastAsia="仿宋"/>
          <w:sz w:val="32"/>
          <w:szCs w:val="32"/>
          <w:lang w:val="en-US" w:eastAsia="zh-CN"/>
        </w:rPr>
        <w:t>1.94</w:t>
      </w:r>
      <w:r>
        <w:rPr>
          <w:rFonts w:hint="eastAsia" w:ascii="仿宋" w:hAnsi="仿宋" w:eastAsia="仿宋"/>
          <w:sz w:val="32"/>
          <w:szCs w:val="32"/>
        </w:rPr>
        <w:t>%；农林水支出</w:t>
      </w:r>
      <w:r>
        <w:rPr>
          <w:rFonts w:hint="eastAsia" w:ascii="仿宋" w:hAnsi="仿宋" w:eastAsia="仿宋"/>
          <w:sz w:val="32"/>
          <w:szCs w:val="32"/>
          <w:lang w:val="en-US" w:eastAsia="zh-CN"/>
        </w:rPr>
        <w:t>208.25万元，</w:t>
      </w:r>
      <w:r>
        <w:rPr>
          <w:rFonts w:hint="eastAsia" w:ascii="仿宋" w:hAnsi="仿宋" w:eastAsia="仿宋"/>
          <w:sz w:val="32"/>
          <w:szCs w:val="32"/>
        </w:rPr>
        <w:t>占</w:t>
      </w:r>
      <w:r>
        <w:rPr>
          <w:rFonts w:hint="eastAsia" w:ascii="仿宋" w:hAnsi="仿宋" w:eastAsia="仿宋"/>
          <w:sz w:val="32"/>
          <w:szCs w:val="32"/>
          <w:lang w:val="en-US" w:eastAsia="zh-CN"/>
        </w:rPr>
        <w:t>24.34</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住房保障支出</w:t>
      </w:r>
      <w:r>
        <w:rPr>
          <w:rFonts w:hint="eastAsia" w:ascii="仿宋" w:hAnsi="仿宋" w:eastAsia="仿宋"/>
          <w:sz w:val="32"/>
          <w:szCs w:val="32"/>
          <w:lang w:val="en-US" w:eastAsia="zh-CN"/>
        </w:rPr>
        <w:t>35.9</w:t>
      </w:r>
      <w:r>
        <w:rPr>
          <w:rFonts w:hint="eastAsia" w:ascii="仿宋" w:hAnsi="仿宋" w:eastAsia="仿宋"/>
          <w:sz w:val="32"/>
          <w:szCs w:val="32"/>
        </w:rPr>
        <w:t>万元，占</w:t>
      </w:r>
      <w:r>
        <w:rPr>
          <w:rFonts w:hint="eastAsia" w:ascii="仿宋" w:hAnsi="仿宋" w:eastAsia="仿宋"/>
          <w:sz w:val="32"/>
          <w:szCs w:val="32"/>
          <w:lang w:val="en-US" w:eastAsia="zh-CN"/>
        </w:rPr>
        <w:t>4.20</w:t>
      </w:r>
      <w:r>
        <w:rPr>
          <w:rFonts w:hint="eastAsia" w:ascii="仿宋" w:hAnsi="仿宋" w:eastAsia="仿宋"/>
          <w:sz w:val="32"/>
          <w:szCs w:val="32"/>
        </w:rPr>
        <w:t>%。</w:t>
      </w:r>
    </w:p>
    <w:p>
      <w:pPr>
        <w:pStyle w:val="16"/>
        <w:rPr>
          <w:rFonts w:hint="eastAsia" w:ascii="仿宋" w:hAnsi="仿宋" w:eastAsia="仿宋"/>
          <w:sz w:val="32"/>
          <w:szCs w:val="32"/>
        </w:rPr>
      </w:pPr>
      <w:r>
        <w:drawing>
          <wp:inline distT="0" distB="0" distL="114300" distR="114300">
            <wp:extent cx="5201285" cy="3257550"/>
            <wp:effectExtent l="4445" t="4445" r="13970" b="14605"/>
            <wp:docPr id="3482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41" w:name="_Toc15377212"/>
      <w:r>
        <w:rPr>
          <w:rFonts w:hint="eastAsia" w:ascii="仿宋" w:hAnsi="仿宋" w:eastAsia="仿宋"/>
          <w:b/>
          <w:sz w:val="32"/>
          <w:szCs w:val="32"/>
        </w:rPr>
        <w:t>（三）一般公共预算财政拨款支出决算具体情况</w:t>
      </w:r>
      <w:bookmarkEnd w:id="41"/>
    </w:p>
    <w:p>
      <w:pPr>
        <w:spacing w:line="600" w:lineRule="exact"/>
        <w:ind w:firstLine="643" w:firstLineChars="200"/>
        <w:outlineLvl w:val="2"/>
        <w:rPr>
          <w:rFonts w:ascii="仿宋" w:hAnsi="仿宋" w:eastAsia="仿宋"/>
          <w:sz w:val="32"/>
          <w:szCs w:val="32"/>
        </w:rPr>
      </w:pPr>
      <w:bookmarkStart w:id="42" w:name="_Toc15377444"/>
      <w:bookmarkStart w:id="43" w:name="_Toc15378460"/>
      <w:bookmarkStart w:id="44" w:name="_Toc15377213"/>
      <w:r>
        <w:rPr>
          <w:rFonts w:hint="eastAsia" w:ascii="仿宋" w:hAnsi="仿宋" w:eastAsia="仿宋"/>
          <w:b/>
          <w:sz w:val="32"/>
          <w:szCs w:val="32"/>
        </w:rPr>
        <w:t>2023年度一般公共预算支出决算数为</w:t>
      </w:r>
      <w:r>
        <w:rPr>
          <w:sz w:val="32"/>
          <w:szCs w:val="32"/>
        </w:rPr>
        <w:t>855.47</w:t>
      </w:r>
      <w:r>
        <w:rPr>
          <w:rFonts w:hint="eastAsia" w:ascii="仿宋" w:hAnsi="仿宋" w:eastAsia="仿宋"/>
          <w:sz w:val="32"/>
          <w:szCs w:val="32"/>
        </w:rPr>
        <w:t>，</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100</w:t>
      </w:r>
      <w:r>
        <w:rPr>
          <w:rStyle w:val="19"/>
          <w:rFonts w:ascii="仿宋" w:hAnsi="仿宋" w:eastAsia="仿宋"/>
          <w:bCs/>
          <w:sz w:val="32"/>
          <w:szCs w:val="32"/>
        </w:rPr>
        <w:t>%</w:t>
      </w:r>
      <w:r>
        <w:rPr>
          <w:rStyle w:val="19"/>
          <w:rFonts w:hint="eastAsia" w:ascii="仿宋" w:hAnsi="仿宋" w:eastAsia="仿宋"/>
          <w:bCs/>
          <w:sz w:val="32"/>
          <w:szCs w:val="32"/>
        </w:rPr>
        <w:t>。其中：</w:t>
      </w:r>
      <w:bookmarkEnd w:id="42"/>
      <w:bookmarkEnd w:id="43"/>
      <w:bookmarkEnd w:id="44"/>
    </w:p>
    <w:p>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lang w:val="en-US" w:eastAsia="zh-CN"/>
        </w:rPr>
        <w:t>1</w:t>
      </w:r>
      <w:r>
        <w:rPr>
          <w:rStyle w:val="19"/>
          <w:rFonts w:ascii="仿宋" w:hAnsi="仿宋" w:eastAsia="仿宋"/>
          <w:bCs/>
          <w:sz w:val="32"/>
          <w:szCs w:val="32"/>
        </w:rPr>
        <w:t>.</w:t>
      </w:r>
      <w:r>
        <w:rPr>
          <w:rStyle w:val="19"/>
          <w:rFonts w:hint="eastAsia" w:ascii="仿宋" w:hAnsi="仿宋" w:eastAsia="仿宋"/>
          <w:bCs/>
          <w:sz w:val="32"/>
          <w:szCs w:val="32"/>
        </w:rPr>
        <w:t>文化旅游体育与传媒（类）文化和旅游（款）其他文化和旅游支出（项）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6.8</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lang w:val="en-US" w:eastAsia="zh-CN"/>
        </w:rPr>
        <w:t>2</w:t>
      </w:r>
      <w:r>
        <w:rPr>
          <w:rStyle w:val="19"/>
          <w:rFonts w:ascii="仿宋" w:hAnsi="仿宋" w:eastAsia="仿宋"/>
          <w:bCs/>
          <w:sz w:val="32"/>
          <w:szCs w:val="32"/>
        </w:rPr>
        <w:t>.</w:t>
      </w:r>
      <w:r>
        <w:rPr>
          <w:rStyle w:val="19"/>
          <w:rFonts w:hint="eastAsia" w:ascii="仿宋" w:hAnsi="仿宋" w:eastAsia="仿宋"/>
          <w:bCs/>
          <w:sz w:val="32"/>
          <w:szCs w:val="32"/>
        </w:rPr>
        <w:t>文化旅游体育与传媒（类）新闻出版电影（款）新闻通讯（项）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15</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3</w:t>
      </w:r>
      <w:r>
        <w:rPr>
          <w:rStyle w:val="19"/>
          <w:rFonts w:ascii="仿宋" w:hAnsi="仿宋" w:eastAsia="仿宋"/>
          <w:bCs/>
          <w:sz w:val="32"/>
          <w:szCs w:val="32"/>
        </w:rPr>
        <w:t>.</w:t>
      </w:r>
      <w:r>
        <w:rPr>
          <w:rStyle w:val="19"/>
          <w:rFonts w:hint="eastAsia" w:ascii="仿宋" w:hAnsi="仿宋" w:eastAsia="仿宋"/>
          <w:bCs/>
          <w:sz w:val="32"/>
          <w:szCs w:val="32"/>
        </w:rPr>
        <w:t>文化旅游体育与传媒（类）广播电视（款）一般行政管理事务（项）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50</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4</w:t>
      </w:r>
      <w:r>
        <w:rPr>
          <w:rStyle w:val="19"/>
          <w:rFonts w:ascii="仿宋" w:hAnsi="仿宋" w:eastAsia="仿宋"/>
          <w:bCs/>
          <w:sz w:val="32"/>
          <w:szCs w:val="32"/>
        </w:rPr>
        <w:t>.</w:t>
      </w:r>
      <w:r>
        <w:rPr>
          <w:rStyle w:val="19"/>
          <w:rFonts w:hint="eastAsia" w:ascii="仿宋" w:hAnsi="仿宋" w:eastAsia="仿宋"/>
          <w:bCs/>
          <w:sz w:val="32"/>
          <w:szCs w:val="32"/>
        </w:rPr>
        <w:t>文化旅游体育与传媒（类）广播电视（款）广播电视事务（项）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329.87</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5</w:t>
      </w:r>
      <w:r>
        <w:rPr>
          <w:rStyle w:val="19"/>
          <w:rFonts w:ascii="仿宋" w:hAnsi="仿宋" w:eastAsia="仿宋"/>
          <w:bCs/>
          <w:sz w:val="32"/>
          <w:szCs w:val="32"/>
        </w:rPr>
        <w:t>.</w:t>
      </w:r>
      <w:r>
        <w:rPr>
          <w:rStyle w:val="19"/>
          <w:rFonts w:hint="eastAsia" w:ascii="仿宋" w:hAnsi="仿宋" w:eastAsia="仿宋"/>
          <w:bCs/>
          <w:sz w:val="32"/>
          <w:szCs w:val="32"/>
        </w:rPr>
        <w:t>文化旅游体育与传媒（类）广播电视（款）其他广播电视支出（项）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143.78</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0" w:firstLineChars="200"/>
        <w:rPr>
          <w:rStyle w:val="19"/>
          <w:rFonts w:hint="eastAsia" w:ascii="仿宋" w:hAnsi="仿宋" w:eastAsia="仿宋"/>
          <w:b w:val="0"/>
          <w:bCs/>
          <w:sz w:val="32"/>
          <w:szCs w:val="32"/>
        </w:rPr>
      </w:pPr>
      <w:r>
        <w:rPr>
          <w:rStyle w:val="19"/>
          <w:rFonts w:hint="eastAsia" w:ascii="仿宋" w:hAnsi="仿宋" w:eastAsia="仿宋"/>
          <w:b w:val="0"/>
          <w:bCs/>
          <w:sz w:val="32"/>
          <w:szCs w:val="32"/>
          <w:lang w:val="en-US" w:eastAsia="zh-CN"/>
        </w:rPr>
        <w:t>6.</w:t>
      </w:r>
      <w:r>
        <w:rPr>
          <w:rStyle w:val="19"/>
          <w:rFonts w:hint="eastAsia" w:ascii="仿宋" w:hAnsi="仿宋" w:eastAsia="仿宋"/>
          <w:bCs/>
          <w:sz w:val="32"/>
          <w:szCs w:val="32"/>
        </w:rPr>
        <w:t>社会保障和就业（类）行政事业单位养老支出（款）机关事业单位基本养老保险缴费支出（项）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43.49</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0" w:firstLineChars="200"/>
        <w:rPr>
          <w:rStyle w:val="19"/>
          <w:rFonts w:hint="eastAsia" w:ascii="仿宋" w:hAnsi="仿宋" w:eastAsia="仿宋"/>
          <w:b w:val="0"/>
          <w:bCs/>
          <w:sz w:val="32"/>
          <w:szCs w:val="32"/>
        </w:rPr>
      </w:pPr>
      <w:r>
        <w:rPr>
          <w:rStyle w:val="19"/>
          <w:rFonts w:hint="eastAsia" w:ascii="仿宋" w:hAnsi="仿宋" w:eastAsia="仿宋"/>
          <w:b w:val="0"/>
          <w:bCs/>
          <w:sz w:val="32"/>
          <w:szCs w:val="32"/>
          <w:lang w:val="en-US" w:eastAsia="zh-CN"/>
        </w:rPr>
        <w:t>7.</w:t>
      </w:r>
      <w:r>
        <w:rPr>
          <w:rStyle w:val="19"/>
          <w:rFonts w:hint="eastAsia" w:ascii="仿宋" w:hAnsi="仿宋" w:eastAsia="仿宋"/>
          <w:b/>
          <w:bCs/>
          <w:sz w:val="32"/>
          <w:szCs w:val="32"/>
        </w:rPr>
        <w:t>社会保障和就业（类）行政事业单位养老支出（款）机关事业单位职业年金缴费支出（项）</w:t>
      </w:r>
      <w:r>
        <w:rPr>
          <w:rStyle w:val="19"/>
          <w:rFonts w:ascii="仿宋" w:hAnsi="仿宋" w:eastAsia="仿宋"/>
          <w:b/>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0.58</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0" w:firstLineChars="200"/>
      </w:pPr>
      <w:r>
        <w:rPr>
          <w:rStyle w:val="19"/>
          <w:rFonts w:hint="eastAsia" w:ascii="仿宋" w:hAnsi="仿宋" w:eastAsia="仿宋"/>
          <w:b w:val="0"/>
          <w:bCs/>
          <w:sz w:val="32"/>
          <w:szCs w:val="32"/>
          <w:lang w:val="en-US" w:eastAsia="zh-CN"/>
        </w:rPr>
        <w:t>8.</w:t>
      </w:r>
      <w:r>
        <w:rPr>
          <w:rStyle w:val="19"/>
          <w:rFonts w:hint="eastAsia" w:ascii="仿宋" w:hAnsi="仿宋" w:eastAsia="仿宋"/>
          <w:b/>
          <w:bCs/>
          <w:sz w:val="32"/>
          <w:szCs w:val="32"/>
        </w:rPr>
        <w:t>社会保障和就业（类）其他社会保障和就业支出（款）其他社会保障和就业支出（项）</w:t>
      </w:r>
      <w:r>
        <w:rPr>
          <w:rStyle w:val="19"/>
          <w:rFonts w:ascii="仿宋" w:hAnsi="仿宋" w:eastAsia="仿宋"/>
          <w:b/>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5.20</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3" w:firstLineChars="200"/>
        <w:rPr>
          <w:rStyle w:val="19"/>
          <w:rFonts w:hint="eastAsia" w:ascii="仿宋" w:hAnsi="仿宋" w:eastAsia="仿宋"/>
          <w:b w:val="0"/>
          <w:bCs/>
          <w:sz w:val="32"/>
          <w:szCs w:val="32"/>
          <w:lang w:eastAsia="zh-CN"/>
        </w:rPr>
      </w:pPr>
      <w:r>
        <w:rPr>
          <w:rStyle w:val="19"/>
          <w:rFonts w:hint="eastAsia" w:ascii="仿宋" w:hAnsi="仿宋" w:eastAsia="仿宋"/>
          <w:bCs/>
          <w:sz w:val="32"/>
          <w:szCs w:val="32"/>
          <w:lang w:val="en-US" w:eastAsia="zh-CN"/>
        </w:rPr>
        <w:t>9</w:t>
      </w:r>
      <w:r>
        <w:rPr>
          <w:rStyle w:val="19"/>
          <w:rFonts w:ascii="仿宋" w:hAnsi="仿宋" w:eastAsia="仿宋"/>
          <w:bCs/>
          <w:sz w:val="32"/>
          <w:szCs w:val="32"/>
        </w:rPr>
        <w:t>.</w:t>
      </w:r>
      <w:r>
        <w:rPr>
          <w:rFonts w:hint="eastAsia" w:ascii="仿宋" w:hAnsi="仿宋" w:eastAsia="仿宋"/>
          <w:b/>
          <w:bCs/>
          <w:sz w:val="32"/>
          <w:szCs w:val="32"/>
        </w:rPr>
        <w:t>卫生健康</w:t>
      </w:r>
      <w:r>
        <w:rPr>
          <w:rStyle w:val="19"/>
          <w:rFonts w:hint="eastAsia" w:ascii="仿宋" w:hAnsi="仿宋" w:eastAsia="仿宋"/>
          <w:bCs/>
          <w:sz w:val="32"/>
          <w:szCs w:val="32"/>
        </w:rPr>
        <w:t>（类）行政事业单位医疗（款）事业单位医疗（项）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16.6</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lang w:eastAsia="zh-CN"/>
        </w:rPr>
        <w:t>。</w:t>
      </w:r>
    </w:p>
    <w:p>
      <w:pPr>
        <w:spacing w:line="600" w:lineRule="exact"/>
        <w:ind w:firstLine="643" w:firstLineChars="200"/>
        <w:rPr>
          <w:rStyle w:val="19"/>
          <w:rFonts w:hint="eastAsia" w:ascii="仿宋" w:hAnsi="仿宋" w:eastAsia="仿宋"/>
          <w:b w:val="0"/>
          <w:bCs/>
          <w:sz w:val="32"/>
          <w:szCs w:val="32"/>
          <w:lang w:eastAsia="zh-CN"/>
        </w:rPr>
      </w:pPr>
      <w:r>
        <w:rPr>
          <w:rStyle w:val="19"/>
          <w:rFonts w:hint="eastAsia" w:ascii="仿宋" w:hAnsi="仿宋" w:eastAsia="仿宋"/>
          <w:bCs/>
          <w:sz w:val="32"/>
          <w:szCs w:val="32"/>
          <w:lang w:val="en-US" w:eastAsia="zh-CN"/>
        </w:rPr>
        <w:t>10</w:t>
      </w:r>
      <w:r>
        <w:rPr>
          <w:rStyle w:val="19"/>
          <w:rFonts w:ascii="仿宋" w:hAnsi="仿宋" w:eastAsia="仿宋"/>
          <w:bCs/>
          <w:sz w:val="32"/>
          <w:szCs w:val="32"/>
        </w:rPr>
        <w:t>.</w:t>
      </w:r>
      <w:r>
        <w:rPr>
          <w:rStyle w:val="19"/>
          <w:rFonts w:hint="eastAsia" w:ascii="仿宋" w:hAnsi="仿宋" w:eastAsia="仿宋"/>
          <w:bCs/>
          <w:sz w:val="32"/>
          <w:szCs w:val="32"/>
        </w:rPr>
        <w:t>农林水</w:t>
      </w:r>
      <w:r>
        <w:rPr>
          <w:rStyle w:val="19"/>
          <w:rFonts w:hint="eastAsia" w:ascii="仿宋" w:hAnsi="仿宋" w:eastAsia="仿宋"/>
          <w:bCs/>
          <w:sz w:val="32"/>
          <w:szCs w:val="32"/>
          <w:lang w:eastAsia="zh-CN"/>
        </w:rPr>
        <w:t>支出</w:t>
      </w:r>
      <w:r>
        <w:rPr>
          <w:rStyle w:val="19"/>
          <w:rFonts w:hint="eastAsia" w:ascii="仿宋" w:hAnsi="仿宋" w:eastAsia="仿宋"/>
          <w:bCs/>
          <w:sz w:val="32"/>
          <w:szCs w:val="32"/>
        </w:rPr>
        <w:t>（类）农业农村（款）农产品加工与促销（项）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8</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lang w:eastAsia="zh-CN"/>
        </w:rPr>
        <w:t>。</w:t>
      </w:r>
    </w:p>
    <w:p>
      <w:pPr>
        <w:spacing w:line="600" w:lineRule="exact"/>
        <w:ind w:firstLine="643" w:firstLineChars="200"/>
        <w:rPr>
          <w:rStyle w:val="19"/>
          <w:rFonts w:hint="eastAsia" w:ascii="仿宋" w:hAnsi="仿宋" w:eastAsia="仿宋"/>
          <w:b w:val="0"/>
          <w:bCs/>
          <w:sz w:val="32"/>
          <w:szCs w:val="32"/>
          <w:lang w:eastAsia="zh-CN"/>
        </w:rPr>
      </w:pPr>
      <w:r>
        <w:rPr>
          <w:rStyle w:val="19"/>
          <w:rFonts w:hint="eastAsia" w:ascii="仿宋" w:hAnsi="仿宋" w:eastAsia="仿宋"/>
          <w:bCs/>
          <w:sz w:val="32"/>
          <w:szCs w:val="32"/>
          <w:lang w:val="en-US" w:eastAsia="zh-CN"/>
        </w:rPr>
        <w:t>11</w:t>
      </w:r>
      <w:r>
        <w:rPr>
          <w:rStyle w:val="19"/>
          <w:rFonts w:ascii="仿宋" w:hAnsi="仿宋" w:eastAsia="仿宋"/>
          <w:bCs/>
          <w:sz w:val="32"/>
          <w:szCs w:val="32"/>
        </w:rPr>
        <w:t>.</w:t>
      </w:r>
      <w:r>
        <w:rPr>
          <w:rStyle w:val="19"/>
          <w:rFonts w:hint="eastAsia" w:ascii="仿宋" w:hAnsi="仿宋" w:eastAsia="仿宋"/>
          <w:bCs/>
          <w:sz w:val="32"/>
          <w:szCs w:val="32"/>
        </w:rPr>
        <w:t>农林水</w:t>
      </w:r>
      <w:r>
        <w:rPr>
          <w:rStyle w:val="19"/>
          <w:rFonts w:hint="eastAsia" w:ascii="仿宋" w:hAnsi="仿宋" w:eastAsia="仿宋"/>
          <w:bCs/>
          <w:sz w:val="32"/>
          <w:szCs w:val="32"/>
          <w:lang w:eastAsia="zh-CN"/>
        </w:rPr>
        <w:t>支出</w:t>
      </w:r>
      <w:r>
        <w:rPr>
          <w:rStyle w:val="19"/>
          <w:rFonts w:hint="eastAsia" w:ascii="仿宋" w:hAnsi="仿宋" w:eastAsia="仿宋"/>
          <w:bCs/>
          <w:sz w:val="32"/>
          <w:szCs w:val="32"/>
        </w:rPr>
        <w:t>（类）巩固脱贫攻坚成果衔接乡村振兴（款）其他巩固脱贫攻坚成果衔接乡村振兴支出（项）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200.25</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lang w:eastAsia="zh-CN"/>
        </w:rPr>
        <w:t>。</w:t>
      </w:r>
    </w:p>
    <w:p>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lang w:val="en-US" w:eastAsia="zh-CN"/>
        </w:rPr>
        <w:t>12</w:t>
      </w:r>
      <w:r>
        <w:rPr>
          <w:rStyle w:val="19"/>
          <w:rFonts w:ascii="仿宋" w:hAnsi="仿宋" w:eastAsia="仿宋"/>
          <w:bCs/>
          <w:sz w:val="32"/>
          <w:szCs w:val="32"/>
        </w:rPr>
        <w:t>.</w:t>
      </w:r>
      <w:r>
        <w:rPr>
          <w:rStyle w:val="19"/>
          <w:rFonts w:hint="eastAsia" w:ascii="仿宋" w:hAnsi="仿宋" w:eastAsia="仿宋"/>
          <w:bCs/>
          <w:sz w:val="32"/>
          <w:szCs w:val="32"/>
        </w:rPr>
        <w:t>住房保障支出（类）住房改革支出（款）住房公积金（项）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35.9</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lang w:eastAsia="zh-CN"/>
        </w:rPr>
        <w:t>。</w:t>
      </w:r>
    </w:p>
    <w:p>
      <w:pPr>
        <w:tabs>
          <w:tab w:val="right" w:pos="8306"/>
        </w:tabs>
        <w:spacing w:line="600" w:lineRule="exact"/>
        <w:ind w:firstLine="640"/>
        <w:outlineLvl w:val="1"/>
        <w:rPr>
          <w:rStyle w:val="31"/>
        </w:rPr>
      </w:pPr>
      <w:bookmarkStart w:id="45" w:name="_Toc15377214"/>
      <w:bookmarkStart w:id="46" w:name="_Toc15396608"/>
      <w:bookmarkStart w:id="47" w:name="_Toc8009"/>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45"/>
      <w:bookmarkEnd w:id="46"/>
      <w:bookmarkEnd w:id="47"/>
      <w:r>
        <w:rPr>
          <w:rStyle w:val="31"/>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420.63</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rPr>
      </w:pPr>
      <w:r>
        <w:rPr>
          <w:rFonts w:hint="eastAsia" w:ascii="仿宋" w:hAnsi="仿宋" w:eastAsia="仿宋"/>
          <w:sz w:val="32"/>
          <w:szCs w:val="32"/>
        </w:rPr>
        <w:t>人员经费</w:t>
      </w:r>
      <w:r>
        <w:rPr>
          <w:sz w:val="32"/>
          <w:szCs w:val="32"/>
        </w:rPr>
        <w:t>389.35</w:t>
      </w:r>
      <w:r>
        <w:rPr>
          <w:rFonts w:hint="eastAsia" w:ascii="仿宋" w:hAnsi="仿宋" w:eastAsia="仿宋"/>
          <w:sz w:val="32"/>
          <w:szCs w:val="32"/>
        </w:rPr>
        <w:t>万元，主要包括：基本工资、津贴补贴、绩效工资、机关事业单位基本养老保险缴费、职业年金缴费、其他社会保障缴费、其他工资福利支出、生活补助、奖励金、住房公积金支出等。</w:t>
      </w:r>
    </w:p>
    <w:p>
      <w:pPr>
        <w:spacing w:line="600" w:lineRule="exact"/>
        <w:ind w:firstLine="645"/>
        <w:rPr>
          <w:rFonts w:ascii="仿宋" w:hAnsi="仿宋" w:eastAsia="仿宋"/>
          <w:b/>
          <w:sz w:val="32"/>
          <w:szCs w:val="32"/>
        </w:rPr>
      </w:pPr>
      <w:r>
        <w:rPr>
          <w:rFonts w:hint="eastAsia" w:ascii="仿宋" w:hAnsi="仿宋" w:eastAsia="仿宋"/>
          <w:sz w:val="32"/>
          <w:szCs w:val="32"/>
        </w:rPr>
        <w:t>公用经费</w:t>
      </w:r>
      <w:r>
        <w:rPr>
          <w:sz w:val="32"/>
          <w:szCs w:val="32"/>
        </w:rPr>
        <w:t>31.29</w:t>
      </w:r>
      <w:r>
        <w:rPr>
          <w:rFonts w:hint="eastAsia" w:ascii="仿宋" w:hAnsi="仿宋" w:eastAsia="仿宋"/>
          <w:sz w:val="32"/>
          <w:szCs w:val="32"/>
        </w:rPr>
        <w:t>万元，主要包括：办公费、印刷费、咨询费、水费、电费、邮电费、物业管理费、差旅费、维修（护）费、会议费、培训费、公务接待费、劳务费、委托业务费、工会经费、福利费、其他交通费</w:t>
      </w:r>
      <w:r>
        <w:rPr>
          <w:rFonts w:hint="eastAsia" w:ascii="仿宋" w:hAnsi="仿宋" w:eastAsia="仿宋"/>
          <w:sz w:val="32"/>
          <w:szCs w:val="32"/>
          <w:lang w:eastAsia="zh-CN"/>
        </w:rPr>
        <w:t>等</w:t>
      </w:r>
      <w:r>
        <w:rPr>
          <w:rFonts w:hint="eastAsia" w:ascii="仿宋" w:hAnsi="仿宋" w:eastAsia="仿宋"/>
          <w:sz w:val="32"/>
          <w:szCs w:val="32"/>
        </w:rPr>
        <w:t>。</w:t>
      </w:r>
    </w:p>
    <w:p>
      <w:pPr>
        <w:spacing w:line="600" w:lineRule="exact"/>
        <w:ind w:firstLine="640"/>
        <w:outlineLvl w:val="1"/>
        <w:rPr>
          <w:rStyle w:val="31"/>
          <w:rFonts w:ascii="黑体" w:hAnsi="黑体" w:eastAsia="黑体"/>
          <w:b w:val="0"/>
        </w:rPr>
      </w:pPr>
      <w:bookmarkStart w:id="48" w:name="_Toc29662"/>
      <w:bookmarkStart w:id="49" w:name="_Toc15396609"/>
      <w:bookmarkStart w:id="50" w:name="_Toc15377215"/>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48"/>
      <w:bookmarkEnd w:id="49"/>
      <w:bookmarkEnd w:id="50"/>
    </w:p>
    <w:p>
      <w:pPr>
        <w:spacing w:line="600" w:lineRule="exact"/>
        <w:ind w:firstLine="640"/>
        <w:outlineLvl w:val="2"/>
        <w:rPr>
          <w:rFonts w:ascii="仿宋" w:hAnsi="仿宋" w:eastAsia="仿宋"/>
          <w:b/>
          <w:sz w:val="32"/>
          <w:szCs w:val="32"/>
        </w:rPr>
      </w:pPr>
      <w:bookmarkStart w:id="51" w:name="_Toc15377216"/>
      <w:r>
        <w:rPr>
          <w:rFonts w:hint="eastAsia" w:ascii="仿宋" w:hAnsi="仿宋" w:eastAsia="仿宋"/>
          <w:b/>
          <w:sz w:val="32"/>
          <w:szCs w:val="32"/>
        </w:rPr>
        <w:t>（一）“三公”经费财政拨款支出决算总体情况说明</w:t>
      </w:r>
      <w:bookmarkEnd w:id="51"/>
    </w:p>
    <w:p>
      <w:pPr>
        <w:spacing w:line="600" w:lineRule="exact"/>
        <w:ind w:firstLine="640"/>
        <w:rPr>
          <w:rFonts w:ascii="仿宋" w:hAnsi="仿宋" w:eastAsia="仿宋"/>
          <w:b/>
          <w:sz w:val="32"/>
          <w:szCs w:val="32"/>
        </w:rPr>
      </w:pPr>
      <w:r>
        <w:rPr>
          <w:rFonts w:hint="eastAsia" w:ascii="仿宋" w:hAnsi="仿宋" w:eastAsia="仿宋"/>
          <w:sz w:val="32"/>
          <w:szCs w:val="32"/>
        </w:rPr>
        <w:t>2023年度“三公”经费财政拨款支出决算为</w:t>
      </w:r>
      <w:r>
        <w:rPr>
          <w:sz w:val="32"/>
          <w:szCs w:val="32"/>
        </w:rPr>
        <w:t>0.1</w:t>
      </w:r>
      <w:r>
        <w:rPr>
          <w:rFonts w:hint="eastAsia" w:ascii="仿宋" w:hAnsi="仿宋" w:eastAsia="仿宋"/>
          <w:sz w:val="32"/>
          <w:szCs w:val="32"/>
        </w:rPr>
        <w:t>万元，完成预算</w:t>
      </w:r>
      <w:r>
        <w:rPr>
          <w:sz w:val="32"/>
          <w:szCs w:val="32"/>
        </w:rPr>
        <w:t>100</w:t>
      </w:r>
      <w:r>
        <w:rPr>
          <w:rFonts w:ascii="仿宋" w:hAnsi="仿宋" w:eastAsia="仿宋"/>
          <w:sz w:val="32"/>
          <w:szCs w:val="32"/>
        </w:rPr>
        <w:t>%</w:t>
      </w:r>
      <w:r>
        <w:rPr>
          <w:rFonts w:hint="eastAsia" w:ascii="仿宋" w:hAnsi="仿宋" w:eastAsia="仿宋"/>
          <w:sz w:val="32"/>
          <w:szCs w:val="32"/>
        </w:rPr>
        <w:t>，较上年度减少</w:t>
      </w:r>
      <w:r>
        <w:rPr>
          <w:rFonts w:hint="eastAsia" w:ascii="仿宋" w:hAnsi="仿宋" w:eastAsia="仿宋"/>
          <w:sz w:val="32"/>
          <w:szCs w:val="32"/>
          <w:lang w:val="en-US" w:eastAsia="zh-CN"/>
        </w:rPr>
        <w:t>0.38</w:t>
      </w:r>
      <w:r>
        <w:rPr>
          <w:rFonts w:hint="eastAsia" w:ascii="仿宋" w:hAnsi="仿宋" w:eastAsia="仿宋"/>
          <w:sz w:val="32"/>
          <w:szCs w:val="32"/>
        </w:rPr>
        <w:t>万元，下降</w:t>
      </w:r>
      <w:r>
        <w:rPr>
          <w:rFonts w:hint="eastAsia" w:ascii="仿宋" w:hAnsi="仿宋" w:eastAsia="仿宋"/>
          <w:sz w:val="32"/>
          <w:szCs w:val="32"/>
          <w:lang w:val="en-US" w:eastAsia="zh-CN"/>
        </w:rPr>
        <w:t>78.57</w:t>
      </w:r>
      <w:r>
        <w:rPr>
          <w:rFonts w:hint="eastAsia" w:ascii="仿宋" w:hAnsi="仿宋" w:eastAsia="仿宋"/>
          <w:sz w:val="32"/>
          <w:szCs w:val="32"/>
        </w:rPr>
        <w:t>%。</w:t>
      </w:r>
      <w:r>
        <w:rPr>
          <w:rFonts w:hint="eastAsia" w:ascii="仿宋" w:hAnsi="仿宋" w:eastAsia="仿宋"/>
          <w:sz w:val="32"/>
          <w:szCs w:val="32"/>
          <w:lang w:eastAsia="zh-CN"/>
        </w:rPr>
        <w:t>下降的</w:t>
      </w:r>
      <w:r>
        <w:rPr>
          <w:rFonts w:hint="eastAsia" w:ascii="仿宋" w:hAnsi="仿宋" w:eastAsia="仿宋"/>
          <w:sz w:val="32"/>
          <w:szCs w:val="32"/>
        </w:rPr>
        <w:t>主要原因是厉行节约压减三公经费支出。</w:t>
      </w:r>
    </w:p>
    <w:p>
      <w:pPr>
        <w:spacing w:line="600" w:lineRule="exact"/>
        <w:ind w:firstLine="640"/>
        <w:outlineLvl w:val="2"/>
        <w:rPr>
          <w:rFonts w:ascii="仿宋" w:hAnsi="仿宋" w:eastAsia="仿宋"/>
          <w:b/>
          <w:sz w:val="32"/>
          <w:szCs w:val="32"/>
        </w:rPr>
      </w:pPr>
      <w:bookmarkStart w:id="52" w:name="_Toc15377217"/>
      <w:r>
        <w:rPr>
          <w:rFonts w:hint="eastAsia" w:ascii="仿宋" w:hAnsi="仿宋" w:eastAsia="仿宋"/>
          <w:b/>
          <w:sz w:val="32"/>
          <w:szCs w:val="32"/>
        </w:rPr>
        <w:t>（二）“三公”经费财政拨款支出决算具体情况说明</w:t>
      </w:r>
      <w:bookmarkEnd w:id="52"/>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；公务接待费支出决算</w:t>
      </w:r>
      <w:r>
        <w:rPr>
          <w:sz w:val="32"/>
          <w:szCs w:val="32"/>
        </w:rPr>
        <w:t>0.1</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_GB2312" w:eastAsia="仿宋_GB2312"/>
          <w:b/>
          <w:sz w:val="32"/>
          <w:szCs w:val="32"/>
        </w:rPr>
      </w:pPr>
      <w:r>
        <w:drawing>
          <wp:anchor distT="0" distB="0" distL="114300" distR="114300" simplePos="0" relativeHeight="251662336" behindDoc="1" locked="0" layoutInCell="1" allowOverlap="1">
            <wp:simplePos x="0" y="0"/>
            <wp:positionH relativeFrom="column">
              <wp:posOffset>29845</wp:posOffset>
            </wp:positionH>
            <wp:positionV relativeFrom="paragraph">
              <wp:posOffset>375920</wp:posOffset>
            </wp:positionV>
            <wp:extent cx="5038725" cy="2562225"/>
            <wp:effectExtent l="4445" t="4445" r="5080" b="5080"/>
            <wp:wrapNone/>
            <wp:docPr id="3585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ascii="仿宋_GB2312" w:eastAsia="仿宋_GB2312"/>
          <w:b/>
          <w:sz w:val="32"/>
          <w:szCs w:val="32"/>
        </w:rPr>
      </w:pPr>
    </w:p>
    <w:p>
      <w:pPr>
        <w:spacing w:line="600" w:lineRule="exact"/>
        <w:ind w:firstLine="640"/>
        <w:rPr>
          <w:rFonts w:ascii="仿宋_GB2312" w:eastAsia="仿宋_GB2312"/>
          <w:b/>
          <w:sz w:val="32"/>
          <w:szCs w:val="32"/>
        </w:rPr>
      </w:pPr>
    </w:p>
    <w:p>
      <w:pPr>
        <w:spacing w:line="600" w:lineRule="exact"/>
        <w:ind w:firstLine="640"/>
        <w:rPr>
          <w:rFonts w:ascii="仿宋_GB2312" w:eastAsia="仿宋_GB2312"/>
          <w:b/>
          <w:sz w:val="32"/>
          <w:szCs w:val="32"/>
        </w:rPr>
      </w:pPr>
    </w:p>
    <w:p>
      <w:pPr>
        <w:spacing w:line="600" w:lineRule="exact"/>
        <w:ind w:firstLine="640"/>
        <w:rPr>
          <w:rFonts w:ascii="仿宋_GB2312" w:eastAsia="仿宋_GB2312"/>
          <w:b/>
          <w:sz w:val="32"/>
          <w:szCs w:val="32"/>
        </w:rPr>
      </w:pPr>
    </w:p>
    <w:p>
      <w:pPr>
        <w:spacing w:line="600" w:lineRule="exact"/>
        <w:ind w:firstLine="640"/>
        <w:rPr>
          <w:rFonts w:ascii="仿宋_GB2312" w:eastAsia="仿宋_GB2312"/>
          <w:b/>
          <w:sz w:val="32"/>
          <w:szCs w:val="32"/>
        </w:rPr>
      </w:pPr>
    </w:p>
    <w:p>
      <w:pPr>
        <w:spacing w:line="600" w:lineRule="exact"/>
        <w:ind w:firstLine="640"/>
        <w:rPr>
          <w:rFonts w:ascii="仿宋_GB2312" w:eastAsia="仿宋_GB2312"/>
          <w:b/>
          <w:sz w:val="32"/>
          <w:szCs w:val="32"/>
        </w:rPr>
      </w:pPr>
    </w:p>
    <w:p>
      <w:pPr>
        <w:spacing w:line="600" w:lineRule="exact"/>
        <w:rPr>
          <w:rFonts w:ascii="仿宋_GB2312" w:eastAsia="仿宋_GB2312"/>
          <w:b/>
          <w:sz w:val="32"/>
          <w:szCs w:val="32"/>
        </w:rPr>
      </w:pP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w:t>
      </w: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sz w:val="32"/>
          <w:szCs w:val="32"/>
        </w:rPr>
        <w:t>0.1</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100%</w:t>
      </w:r>
      <w:r>
        <w:rPr>
          <w:rStyle w:val="19"/>
          <w:rFonts w:hint="eastAsia" w:ascii="仿宋" w:hAnsi="仿宋" w:eastAsia="仿宋"/>
          <w:b w:val="0"/>
          <w:bCs/>
          <w:sz w:val="32"/>
          <w:szCs w:val="32"/>
        </w:rPr>
        <w:t>。</w:t>
      </w:r>
      <w:r>
        <w:rPr>
          <w:rFonts w:hint="eastAsia" w:ascii="仿宋_GB2312" w:eastAsia="仿宋_GB2312"/>
          <w:sz w:val="32"/>
          <w:szCs w:val="32"/>
        </w:rPr>
        <w:t>公务接待费支出决算比2022年度减少</w:t>
      </w:r>
      <w:r>
        <w:rPr>
          <w:rFonts w:hint="eastAsia" w:ascii="仿宋_GB2312" w:eastAsia="仿宋_GB2312"/>
          <w:sz w:val="32"/>
          <w:szCs w:val="32"/>
          <w:lang w:val="en-US" w:eastAsia="zh-CN"/>
        </w:rPr>
        <w:t>0.38</w:t>
      </w:r>
      <w:r>
        <w:rPr>
          <w:rFonts w:hint="eastAsia" w:ascii="仿宋_GB2312" w:eastAsia="仿宋_GB2312"/>
          <w:sz w:val="32"/>
          <w:szCs w:val="32"/>
        </w:rPr>
        <w:t>万元，下降</w:t>
      </w:r>
      <w:r>
        <w:rPr>
          <w:rFonts w:hint="eastAsia" w:ascii="仿宋_GB2312" w:eastAsia="仿宋_GB2312"/>
          <w:sz w:val="32"/>
          <w:szCs w:val="32"/>
          <w:lang w:val="en-US" w:eastAsia="zh-CN"/>
        </w:rPr>
        <w:t>78.57</w:t>
      </w:r>
      <w:r>
        <w:rPr>
          <w:rFonts w:ascii="仿宋_GB2312" w:eastAsia="仿宋_GB2312"/>
          <w:sz w:val="32"/>
          <w:szCs w:val="32"/>
        </w:rPr>
        <w:t>%</w:t>
      </w:r>
      <w:r>
        <w:rPr>
          <w:rFonts w:hint="eastAsia" w:ascii="仿宋_GB2312" w:eastAsia="仿宋_GB2312"/>
          <w:sz w:val="32"/>
          <w:szCs w:val="32"/>
        </w:rPr>
        <w:t>。主要原因是厉行节约压减三公经费支出。</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0.1</w:t>
      </w:r>
      <w:r>
        <w:rPr>
          <w:rFonts w:hint="eastAsia" w:ascii="仿宋_GB2312" w:eastAsia="仿宋_GB2312"/>
          <w:sz w:val="32"/>
          <w:szCs w:val="32"/>
        </w:rPr>
        <w:t>万元，主要用于开展业务活动开支的用餐费等。</w:t>
      </w:r>
      <w:r>
        <w:rPr>
          <w:rFonts w:hint="eastAsia" w:ascii="仿宋_GB2312" w:eastAsia="仿宋_GB2312"/>
          <w:color w:val="000000"/>
          <w:sz w:val="32"/>
          <w:szCs w:val="32"/>
        </w:rPr>
        <w:t>国内公务接待</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val="en-US" w:eastAsia="zh-CN"/>
        </w:rPr>
        <w:t>省市新闻媒体3批次0.1万元</w:t>
      </w:r>
      <w:r>
        <w:rPr>
          <w:rFonts w:hint="eastAsia" w:ascii="仿宋_GB2312" w:eastAsia="仿宋_GB2312"/>
          <w:color w:val="000000"/>
          <w:sz w:val="32"/>
          <w:szCs w:val="32"/>
        </w:rPr>
        <w:t>。</w:t>
      </w:r>
    </w:p>
    <w:p>
      <w:pPr>
        <w:spacing w:line="600" w:lineRule="exact"/>
        <w:ind w:firstLine="640"/>
        <w:outlineLvl w:val="1"/>
        <w:rPr>
          <w:rStyle w:val="31"/>
          <w:rFonts w:ascii="黑体" w:hAnsi="黑体" w:eastAsia="黑体"/>
        </w:rPr>
      </w:pPr>
      <w:bookmarkStart w:id="53" w:name="_Toc15396610"/>
      <w:bookmarkStart w:id="54" w:name="_Toc15377218"/>
      <w:bookmarkStart w:id="55" w:name="_Toc21136"/>
      <w:r>
        <w:rPr>
          <w:rFonts w:hint="eastAsia" w:ascii="黑体" w:eastAsia="黑体"/>
          <w:sz w:val="32"/>
          <w:szCs w:val="32"/>
        </w:rPr>
        <w:t>八、</w:t>
      </w:r>
      <w:r>
        <w:rPr>
          <w:rStyle w:val="31"/>
          <w:rFonts w:hint="eastAsia" w:ascii="黑体" w:hAnsi="黑体" w:eastAsia="黑体"/>
          <w:b w:val="0"/>
        </w:rPr>
        <w:t>政府性基金预算支出决算情况说明</w:t>
      </w:r>
      <w:bookmarkEnd w:id="53"/>
      <w:bookmarkEnd w:id="54"/>
      <w:bookmarkEnd w:id="55"/>
    </w:p>
    <w:p>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16.72</w:t>
      </w:r>
      <w:r>
        <w:rPr>
          <w:rFonts w:hint="eastAsia" w:ascii="仿宋_GB2312" w:eastAsia="仿宋_GB2312"/>
          <w:sz w:val="32"/>
          <w:szCs w:val="32"/>
        </w:rPr>
        <w:t>万元。</w:t>
      </w:r>
    </w:p>
    <w:p>
      <w:pPr>
        <w:numPr>
          <w:ilvl w:val="0"/>
          <w:numId w:val="3"/>
        </w:numPr>
        <w:spacing w:line="600" w:lineRule="exact"/>
        <w:ind w:firstLine="640"/>
        <w:outlineLvl w:val="1"/>
        <w:rPr>
          <w:rStyle w:val="31"/>
          <w:rFonts w:ascii="黑体" w:hAnsi="黑体" w:eastAsia="黑体"/>
          <w:b w:val="0"/>
        </w:rPr>
      </w:pPr>
      <w:bookmarkStart w:id="56" w:name="_Toc15377219"/>
      <w:bookmarkStart w:id="57" w:name="_Toc14869"/>
      <w:bookmarkStart w:id="58" w:name="_Toc15396611"/>
      <w:r>
        <w:rPr>
          <w:rStyle w:val="31"/>
          <w:rFonts w:hint="eastAsia" w:ascii="黑体" w:hAnsi="黑体" w:eastAsia="黑体"/>
          <w:b w:val="0"/>
        </w:rPr>
        <w:t>国有资本经营预算支出决算情况说明</w:t>
      </w:r>
      <w:bookmarkEnd w:id="56"/>
      <w:bookmarkEnd w:id="57"/>
      <w:bookmarkEnd w:id="58"/>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31"/>
          <w:rFonts w:ascii="黑体" w:hAnsi="黑体" w:eastAsia="黑体"/>
          <w:b w:val="0"/>
        </w:rPr>
      </w:pPr>
      <w:bookmarkStart w:id="59" w:name="_Toc15396612"/>
      <w:bookmarkStart w:id="60" w:name="_Toc28132"/>
      <w:bookmarkStart w:id="61" w:name="_Toc15377221"/>
      <w:r>
        <w:rPr>
          <w:rStyle w:val="31"/>
          <w:rFonts w:hint="eastAsia" w:ascii="黑体" w:hAnsi="黑体" w:eastAsia="黑体"/>
          <w:b w:val="0"/>
        </w:rPr>
        <w:t>其他重要事项的情况说明</w:t>
      </w:r>
      <w:bookmarkEnd w:id="59"/>
      <w:bookmarkEnd w:id="60"/>
      <w:bookmarkEnd w:id="61"/>
    </w:p>
    <w:p>
      <w:pPr>
        <w:spacing w:line="600" w:lineRule="exact"/>
        <w:ind w:firstLine="643" w:firstLineChars="200"/>
        <w:outlineLvl w:val="2"/>
        <w:rPr>
          <w:rFonts w:ascii="仿宋" w:hAnsi="仿宋" w:eastAsia="仿宋"/>
          <w:sz w:val="32"/>
          <w:szCs w:val="32"/>
        </w:rPr>
      </w:pPr>
      <w:bookmarkStart w:id="62" w:name="_Toc15377222"/>
      <w:r>
        <w:rPr>
          <w:rFonts w:hint="eastAsia" w:ascii="仿宋" w:hAnsi="仿宋" w:eastAsia="仿宋"/>
          <w:b/>
          <w:sz w:val="32"/>
          <w:szCs w:val="32"/>
        </w:rPr>
        <w:t>（一）机关运行经费支出情况</w:t>
      </w:r>
      <w:bookmarkEnd w:id="62"/>
    </w:p>
    <w:p>
      <w:pPr>
        <w:spacing w:line="600" w:lineRule="exact"/>
        <w:ind w:firstLine="640" w:firstLineChars="200"/>
        <w:rPr>
          <w:rFonts w:ascii="仿宋" w:hAnsi="仿宋" w:eastAsia="仿宋"/>
          <w:b/>
          <w:sz w:val="32"/>
          <w:szCs w:val="32"/>
        </w:rPr>
      </w:pPr>
      <w:r>
        <w:rPr>
          <w:rFonts w:hint="eastAsia" w:ascii="仿宋_GB2312" w:eastAsia="仿宋_GB2312"/>
          <w:sz w:val="32"/>
          <w:szCs w:val="32"/>
        </w:rPr>
        <w:t>2023年度，</w:t>
      </w:r>
      <w:r>
        <w:rPr>
          <w:rFonts w:hint="eastAsia"/>
          <w:sz w:val="32"/>
          <w:szCs w:val="32"/>
        </w:rPr>
        <w:t>沐川县融媒体中心</w:t>
      </w:r>
      <w:r>
        <w:rPr>
          <w:rFonts w:hint="eastAsia" w:ascii="仿宋_GB2312" w:eastAsia="仿宋_GB2312"/>
          <w:sz w:val="32"/>
          <w:szCs w:val="32"/>
        </w:rPr>
        <w:t>机关运行经费支出</w:t>
      </w:r>
      <w:r>
        <w:rPr>
          <w:sz w:val="32"/>
          <w:szCs w:val="32"/>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3" w:name="_Toc15377223"/>
      <w:r>
        <w:rPr>
          <w:rFonts w:hint="eastAsia" w:ascii="仿宋" w:hAnsi="仿宋" w:eastAsia="仿宋"/>
          <w:b/>
          <w:sz w:val="32"/>
          <w:szCs w:val="32"/>
        </w:rPr>
        <w:t>（二）政府采购支出情况</w:t>
      </w:r>
      <w:bookmarkEnd w:id="63"/>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沐川县融媒体中心</w:t>
      </w:r>
      <w:r>
        <w:rPr>
          <w:rFonts w:hint="eastAsia" w:ascii="仿宋_GB2312" w:eastAsia="仿宋_GB2312"/>
          <w:sz w:val="32"/>
          <w:szCs w:val="32"/>
        </w:rPr>
        <w:t>政府采购支出总额</w:t>
      </w:r>
      <w:r>
        <w:rPr>
          <w:sz w:val="32"/>
          <w:szCs w:val="32"/>
        </w:rPr>
        <w:t>0</w:t>
      </w:r>
      <w:r>
        <w:rPr>
          <w:rFonts w:hint="eastAsia" w:ascii="仿宋_GB2312" w:eastAsia="仿宋_GB2312"/>
          <w:sz w:val="32"/>
          <w:szCs w:val="32"/>
        </w:rPr>
        <w:t>万元，其中：政府采购货物支出</w:t>
      </w:r>
      <w:r>
        <w:rPr>
          <w:sz w:val="32"/>
          <w:szCs w:val="32"/>
        </w:rPr>
        <w:t>0</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4" w:name="_Toc15377224"/>
      <w:r>
        <w:rPr>
          <w:rFonts w:hint="eastAsia" w:ascii="仿宋" w:hAnsi="仿宋" w:eastAsia="仿宋"/>
          <w:b/>
          <w:sz w:val="32"/>
          <w:szCs w:val="32"/>
        </w:rPr>
        <w:t>（三）国有资产占有使用情况</w:t>
      </w:r>
      <w:bookmarkEnd w:id="64"/>
    </w:p>
    <w:p>
      <w:pPr>
        <w:autoSpaceDE w:val="0"/>
        <w:autoSpaceDN w:val="0"/>
        <w:adjustRightInd w:val="0"/>
        <w:spacing w:line="6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sz w:val="32"/>
          <w:szCs w:val="32"/>
        </w:rPr>
        <w:t>沐川县融媒体中心</w:t>
      </w:r>
      <w:r>
        <w:rPr>
          <w:rFonts w:hint="eastAsia" w:ascii="仿宋_GB2312" w:eastAsia="仿宋_GB2312"/>
          <w:sz w:val="32"/>
          <w:szCs w:val="32"/>
        </w:rPr>
        <w:t>共有车辆</w:t>
      </w:r>
      <w:r>
        <w:rPr>
          <w:rFonts w:ascii="仿宋_GB2312" w:eastAsia="仿宋_GB2312"/>
          <w:sz w:val="32"/>
          <w:szCs w:val="32"/>
        </w:rPr>
        <w:t>0</w:t>
      </w:r>
      <w:r>
        <w:rPr>
          <w:rFonts w:hint="eastAsia" w:ascii="仿宋_GB2312" w:eastAsia="仿宋_GB2312"/>
          <w:sz w:val="32"/>
          <w:szCs w:val="32"/>
        </w:rPr>
        <w:t>辆</w:t>
      </w:r>
      <w:r>
        <w:rPr>
          <w:rFonts w:hint="eastAsia" w:ascii="仿宋_GB2312" w:eastAsia="仿宋_GB2312"/>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sz w:val="32"/>
          <w:szCs w:val="32"/>
          <w:lang w:eastAsia="zh-CN"/>
        </w:rPr>
        <w:t>乐山新闻网网络建设、乐山广播电视台合作、乐山日报宣传合作、电视台购片、“绿动沐川”脱贫攻坚信息化平台</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组织对202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年度一般公共预算全面开展绩效自评，形成</w:t>
      </w:r>
      <w:r>
        <w:rPr>
          <w:rFonts w:hint="eastAsia" w:ascii="仿宋_GB2312" w:hAnsi="仿宋_GB2312" w:eastAsia="仿宋_GB2312" w:cs="仿宋_GB2312"/>
          <w:color w:val="auto"/>
          <w:sz w:val="32"/>
          <w:szCs w:val="32"/>
          <w:highlight w:val="none"/>
          <w:lang w:eastAsia="zh-CN"/>
        </w:rPr>
        <w:t>融媒体中心</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_GB2312" w:hAnsi="仿宋_GB2312" w:eastAsia="仿宋_GB2312" w:cs="仿宋_GB2312"/>
          <w:color w:val="auto"/>
          <w:sz w:val="32"/>
          <w:szCs w:val="32"/>
          <w:highlight w:val="none"/>
          <w:lang w:eastAsia="zh-CN"/>
        </w:rPr>
        <w:t>乐山新闻网网络建设费</w:t>
      </w:r>
      <w:r>
        <w:rPr>
          <w:rFonts w:hint="eastAsia" w:ascii="仿宋_GB2312" w:hAnsi="仿宋_GB2312" w:eastAsia="仿宋_GB2312" w:cs="仿宋_GB2312"/>
          <w:color w:val="auto"/>
          <w:sz w:val="32"/>
          <w:szCs w:val="32"/>
          <w:highlight w:val="none"/>
        </w:rPr>
        <w:t>等专项预算项目绩效自评报告，其中，</w:t>
      </w:r>
      <w:r>
        <w:rPr>
          <w:rFonts w:hint="eastAsia" w:ascii="仿宋_GB2312" w:hAnsi="仿宋_GB2312" w:eastAsia="仿宋_GB2312" w:cs="仿宋_GB2312"/>
          <w:color w:val="auto"/>
          <w:sz w:val="32"/>
          <w:szCs w:val="32"/>
          <w:highlight w:val="none"/>
          <w:lang w:eastAsia="zh-CN"/>
        </w:rPr>
        <w:t>融媒体中心</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val="en-US" w:eastAsia="zh-CN"/>
        </w:rPr>
        <w:t>资金全部安排到位，所有资金按照财政分解下达计划支付到各服务对象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5个</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val="en-US" w:eastAsia="zh-CN"/>
        </w:rPr>
        <w:t>资金全部安排到位，所有资金按照财政分解下达计划支付到各服务对象</w:t>
      </w:r>
      <w:r>
        <w:rPr>
          <w:rFonts w:hint="eastAsia" w:ascii="仿宋_GB2312" w:hAnsi="仿宋_GB2312" w:eastAsia="仿宋_GB2312" w:cs="仿宋_GB2312"/>
          <w:color w:val="auto"/>
          <w:sz w:val="32"/>
          <w:szCs w:val="32"/>
          <w:highlight w:val="none"/>
        </w:rPr>
        <w:t>。</w:t>
      </w:r>
    </w:p>
    <w:p>
      <w:pPr>
        <w:widowControl/>
        <w:ind w:firstLine="643" w:firstLineChars="200"/>
        <w:jc w:val="left"/>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绩效自评报告详见附件。</w:t>
      </w:r>
    </w:p>
    <w:p>
      <w:pPr>
        <w:pStyle w:val="16"/>
        <w:rPr>
          <w:rFonts w:hint="eastAsia" w:ascii="仿宋_GB2312" w:hAnsi="仿宋_GB2312" w:eastAsia="仿宋_GB2312" w:cs="仿宋_GB2312"/>
          <w:b/>
          <w:bCs/>
          <w:color w:val="auto"/>
          <w:sz w:val="32"/>
          <w:szCs w:val="32"/>
          <w:highlight w:val="none"/>
        </w:rPr>
      </w:pPr>
    </w:p>
    <w:p>
      <w:pPr>
        <w:pStyle w:val="16"/>
        <w:rPr>
          <w:rFonts w:hint="eastAsia" w:ascii="仿宋_GB2312" w:hAnsi="仿宋_GB2312" w:eastAsia="仿宋_GB2312" w:cs="仿宋_GB2312"/>
          <w:b/>
          <w:bCs/>
          <w:color w:val="auto"/>
          <w:sz w:val="32"/>
          <w:szCs w:val="32"/>
          <w:highlight w:val="none"/>
        </w:rPr>
      </w:pPr>
    </w:p>
    <w:p>
      <w:pPr>
        <w:pStyle w:val="16"/>
        <w:rPr>
          <w:rFonts w:hint="eastAsia" w:ascii="仿宋_GB2312" w:hAnsi="仿宋_GB2312" w:eastAsia="仿宋_GB2312" w:cs="仿宋_GB2312"/>
          <w:b/>
          <w:bCs/>
          <w:color w:val="auto"/>
          <w:sz w:val="32"/>
          <w:szCs w:val="32"/>
          <w:highlight w:val="none"/>
        </w:rPr>
      </w:pPr>
    </w:p>
    <w:p>
      <w:pPr>
        <w:pStyle w:val="16"/>
        <w:rPr>
          <w:rFonts w:hint="eastAsia" w:ascii="仿宋_GB2312" w:hAnsi="仿宋_GB2312" w:eastAsia="仿宋_GB2312" w:cs="仿宋_GB2312"/>
          <w:b/>
          <w:bCs/>
          <w:color w:val="auto"/>
          <w:sz w:val="32"/>
          <w:szCs w:val="32"/>
          <w:highlight w:val="none"/>
        </w:rPr>
      </w:pPr>
    </w:p>
    <w:p>
      <w:pPr>
        <w:pStyle w:val="16"/>
        <w:rPr>
          <w:rFonts w:hint="eastAsia" w:ascii="仿宋_GB2312" w:hAnsi="仿宋_GB2312" w:eastAsia="仿宋_GB2312" w:cs="仿宋_GB2312"/>
          <w:b/>
          <w:bCs/>
          <w:color w:val="auto"/>
          <w:sz w:val="32"/>
          <w:szCs w:val="32"/>
          <w:highlight w:val="none"/>
        </w:rPr>
      </w:pPr>
    </w:p>
    <w:p>
      <w:pPr>
        <w:pStyle w:val="16"/>
        <w:rPr>
          <w:rFonts w:hint="eastAsia" w:ascii="仿宋_GB2312" w:hAnsi="仿宋_GB2312" w:eastAsia="仿宋_GB2312" w:cs="仿宋_GB2312"/>
          <w:b/>
          <w:bCs/>
          <w:color w:val="auto"/>
          <w:sz w:val="32"/>
          <w:szCs w:val="32"/>
          <w:highlight w:val="none"/>
        </w:rPr>
      </w:pPr>
    </w:p>
    <w:p>
      <w:pPr>
        <w:pStyle w:val="16"/>
        <w:rPr>
          <w:rFonts w:hint="eastAsia" w:ascii="仿宋_GB2312" w:hAnsi="仿宋_GB2312" w:eastAsia="仿宋_GB2312" w:cs="仿宋_GB2312"/>
          <w:b/>
          <w:bCs/>
          <w:color w:val="auto"/>
          <w:sz w:val="32"/>
          <w:szCs w:val="32"/>
          <w:highlight w:val="none"/>
        </w:rPr>
      </w:pPr>
    </w:p>
    <w:p>
      <w:pPr>
        <w:pStyle w:val="16"/>
        <w:rPr>
          <w:rFonts w:hint="eastAsia" w:ascii="仿宋_GB2312" w:hAnsi="仿宋_GB2312" w:eastAsia="仿宋_GB2312" w:cs="仿宋_GB2312"/>
          <w:b/>
          <w:bCs/>
          <w:color w:val="auto"/>
          <w:sz w:val="32"/>
          <w:szCs w:val="32"/>
          <w:highlight w:val="none"/>
        </w:rPr>
      </w:pPr>
    </w:p>
    <w:p>
      <w:pPr>
        <w:pStyle w:val="16"/>
        <w:rPr>
          <w:rFonts w:hint="eastAsia" w:ascii="仿宋_GB2312" w:hAnsi="仿宋_GB2312" w:eastAsia="仿宋_GB2312" w:cs="仿宋_GB2312"/>
          <w:b/>
          <w:bCs/>
          <w:color w:val="auto"/>
          <w:sz w:val="32"/>
          <w:szCs w:val="32"/>
          <w:highlight w:val="none"/>
        </w:rPr>
      </w:pPr>
    </w:p>
    <w:p>
      <w:pPr>
        <w:pStyle w:val="3"/>
        <w:jc w:val="center"/>
      </w:pPr>
      <w:bookmarkStart w:id="65" w:name="_Toc29648"/>
      <w:r>
        <w:rPr>
          <w:rFonts w:hint="eastAsia"/>
        </w:rPr>
        <w:t>第三部分 名词解释</w:t>
      </w:r>
      <w:bookmarkEnd w:id="65"/>
    </w:p>
    <w:p/>
    <w:p>
      <w:pPr>
        <w:pStyle w:val="28"/>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一般公共服务：指</w:t>
      </w:r>
      <w:r>
        <w:rPr>
          <w:rFonts w:hint="eastAsia" w:ascii="仿宋_GB2312" w:eastAsia="仿宋_GB2312"/>
          <w:color w:val="000000"/>
          <w:sz w:val="32"/>
          <w:szCs w:val="32"/>
          <w:lang w:eastAsia="zh-CN"/>
        </w:rPr>
        <w:t>政府提供一般公共服务的支出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auto"/>
          <w:sz w:val="32"/>
          <w:szCs w:val="32"/>
          <w:highlight w:val="none"/>
        </w:rPr>
        <w:t>文化</w:t>
      </w:r>
      <w:r>
        <w:rPr>
          <w:rFonts w:hint="eastAsia" w:ascii="仿宋_GB2312" w:eastAsia="仿宋_GB2312"/>
          <w:color w:val="auto"/>
          <w:sz w:val="32"/>
          <w:szCs w:val="32"/>
          <w:highlight w:val="none"/>
          <w:lang w:eastAsia="zh-CN"/>
        </w:rPr>
        <w:t>旅游</w:t>
      </w:r>
      <w:r>
        <w:rPr>
          <w:rFonts w:hint="eastAsia" w:ascii="仿宋_GB2312" w:eastAsia="仿宋_GB2312"/>
          <w:color w:val="auto"/>
          <w:sz w:val="32"/>
          <w:szCs w:val="32"/>
          <w:highlight w:val="none"/>
        </w:rPr>
        <w:t>体育与传媒</w:t>
      </w:r>
      <w:r>
        <w:rPr>
          <w:rFonts w:hint="eastAsia" w:ascii="仿宋_GB2312" w:eastAsia="仿宋_GB2312"/>
          <w:color w:val="000000"/>
          <w:sz w:val="32"/>
          <w:szCs w:val="32"/>
        </w:rPr>
        <w:t>：指</w:t>
      </w:r>
      <w:r>
        <w:rPr>
          <w:rFonts w:hint="eastAsia" w:ascii="仿宋_GB2312" w:eastAsia="仿宋_GB2312"/>
          <w:color w:val="000000"/>
          <w:sz w:val="32"/>
          <w:szCs w:val="32"/>
          <w:lang w:eastAsia="zh-CN"/>
        </w:rPr>
        <w:t>政府在文化、旅游、文物、体育、广播电视、电影、新闻出版等方面的支出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社会保障和就业：指</w:t>
      </w:r>
      <w:r>
        <w:rPr>
          <w:rFonts w:hint="eastAsia" w:ascii="仿宋_GB2312" w:eastAsia="仿宋_GB2312"/>
          <w:color w:val="000000"/>
          <w:sz w:val="32"/>
          <w:szCs w:val="32"/>
          <w:lang w:eastAsia="zh-CN"/>
        </w:rPr>
        <w:t>政府在社会保障与就业方面的支出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auto"/>
          <w:sz w:val="32"/>
          <w:szCs w:val="32"/>
          <w:highlight w:val="none"/>
          <w:lang w:eastAsia="zh-CN"/>
        </w:rPr>
        <w:t>卫生健康</w:t>
      </w:r>
      <w:r>
        <w:rPr>
          <w:rFonts w:hint="eastAsia" w:ascii="仿宋_GB2312" w:eastAsia="仿宋_GB2312"/>
          <w:color w:val="000000"/>
          <w:sz w:val="32"/>
          <w:szCs w:val="32"/>
        </w:rPr>
        <w:t>：指</w:t>
      </w:r>
      <w:r>
        <w:rPr>
          <w:rFonts w:hint="eastAsia" w:ascii="仿宋_GB2312" w:eastAsia="仿宋_GB2312"/>
          <w:color w:val="000000"/>
          <w:sz w:val="32"/>
          <w:szCs w:val="32"/>
          <w:lang w:eastAsia="zh-CN"/>
        </w:rPr>
        <w:t>政府在卫生健康方面的支出</w:t>
      </w:r>
      <w:r>
        <w:rPr>
          <w:rFonts w:hint="eastAsia" w:ascii="仿宋_GB2312" w:eastAsia="仿宋_GB2312"/>
          <w:color w:val="000000"/>
          <w:sz w:val="32"/>
          <w:szCs w:val="32"/>
        </w:rPr>
        <w:t>。</w:t>
      </w:r>
    </w:p>
    <w:p>
      <w:pPr>
        <w:ind w:firstLine="640" w:firstLineChars="200"/>
        <w:rPr>
          <w:rFonts w:ascii="仿宋" w:hAnsi="仿宋" w:eastAsia="仿宋"/>
          <w:b/>
          <w:color w:val="00000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eastAsia="仿宋_GB2312"/>
          <w:color w:val="000000"/>
          <w:sz w:val="32"/>
          <w:szCs w:val="32"/>
        </w:rPr>
        <w:t>住房保障：指</w:t>
      </w:r>
      <w:r>
        <w:rPr>
          <w:rFonts w:hint="eastAsia" w:ascii="仿宋_GB2312" w:eastAsia="仿宋_GB2312"/>
          <w:color w:val="000000"/>
          <w:sz w:val="32"/>
          <w:szCs w:val="32"/>
          <w:lang w:eastAsia="zh-CN"/>
        </w:rPr>
        <w:t>政府用于住房方面的支出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eastAsia="仿宋_GB2312"/>
          <w:sz w:val="32"/>
          <w:szCs w:val="32"/>
        </w:rPr>
      </w:pPr>
    </w:p>
    <w:p>
      <w:pPr>
        <w:ind w:firstLine="643" w:firstLineChars="200"/>
        <w:rPr>
          <w:rFonts w:ascii="仿宋" w:hAnsi="仿宋" w:eastAsia="仿宋"/>
          <w:b/>
          <w:sz w:val="32"/>
          <w:szCs w:val="32"/>
        </w:rPr>
      </w:pPr>
      <w:r>
        <w:rPr>
          <w:rFonts w:ascii="仿宋" w:hAnsi="仿宋" w:eastAsia="仿宋"/>
          <w:b/>
          <w:sz w:val="32"/>
          <w:szCs w:val="32"/>
        </w:rPr>
        <w:br w:type="page"/>
      </w:r>
    </w:p>
    <w:p>
      <w:pPr>
        <w:pStyle w:val="3"/>
        <w:jc w:val="center"/>
        <w:rPr>
          <w:rFonts w:ascii="黑体" w:hAnsi="黑体" w:eastAsia="黑体"/>
          <w:b w:val="0"/>
        </w:rPr>
      </w:pPr>
      <w:bookmarkStart w:id="66" w:name="_Toc7349"/>
      <w:r>
        <w:rPr>
          <w:rFonts w:hint="eastAsia" w:ascii="黑体" w:hAnsi="黑体" w:eastAsia="黑体"/>
          <w:b w:val="0"/>
        </w:rPr>
        <w:t>第四部分 附件</w:t>
      </w:r>
      <w:bookmarkEnd w:id="66"/>
    </w:p>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pPr>
        <w:jc w:val="center"/>
        <w:rPr>
          <w:rFonts w:ascii="方正小标宋简体" w:hAnsi="方正小标宋简体" w:eastAsia="方正小标宋简体"/>
          <w:sz w:val="44"/>
          <w:szCs w:val="44"/>
        </w:rPr>
      </w:pPr>
      <w:r>
        <w:rPr>
          <w:rFonts w:hint="eastAsia" w:ascii="方正小标宋简体" w:hAnsi="宋体" w:eastAsia="方正小标宋简体"/>
          <w:color w:val="000000"/>
          <w:kern w:val="0"/>
          <w:sz w:val="40"/>
          <w:szCs w:val="44"/>
          <w:lang w:val="zh-CN"/>
        </w:rPr>
        <w:t>沐川县融媒体中心</w:t>
      </w: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eastAsia" w:ascii="方正小标宋简体" w:hAnsi="宋体" w:eastAsia="方正小标宋简体"/>
          <w:color w:val="000000"/>
          <w:kern w:val="0"/>
          <w:sz w:val="40"/>
          <w:szCs w:val="44"/>
          <w:lang w:val="zh-CN"/>
        </w:rPr>
        <w:t>报告</w:t>
      </w:r>
    </w:p>
    <w:p/>
    <w:p>
      <w:pPr>
        <w:widowControl/>
        <w:adjustRightInd w:val="0"/>
        <w:snapToGrid w:val="0"/>
        <w:spacing w:line="580" w:lineRule="exact"/>
        <w:ind w:firstLine="640" w:firstLineChars="200"/>
        <w:contextualSpacing/>
        <w:jc w:val="left"/>
        <w:outlineLvl w:val="1"/>
        <w:rPr>
          <w:rFonts w:ascii="黑体" w:hAnsi="宋体" w:eastAsia="黑体" w:cs="宋体"/>
          <w:color w:val="000000"/>
          <w:kern w:val="0"/>
          <w:sz w:val="32"/>
          <w:szCs w:val="32"/>
          <w:shd w:val="clear" w:color="auto" w:fill="FFFFFF"/>
          <w:lang w:val="zh-CN"/>
        </w:rPr>
      </w:pPr>
      <w:bookmarkStart w:id="67" w:name="_Toc16965"/>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bookmarkEnd w:id="67"/>
    </w:p>
    <w:p>
      <w:pPr>
        <w:keepNext w:val="0"/>
        <w:keepLines w:val="0"/>
        <w:pageBreakBefore w:val="0"/>
        <w:widowControl/>
        <w:kinsoku/>
        <w:wordWrap/>
        <w:overflowPunct/>
        <w:topLinePunct w:val="0"/>
        <w:autoSpaceDE/>
        <w:autoSpaceDN/>
        <w:bidi w:val="0"/>
        <w:adjustRightInd w:val="0"/>
        <w:snapToGrid w:val="0"/>
        <w:spacing w:line="440" w:lineRule="exact"/>
        <w:ind w:firstLine="643" w:firstLineChars="200"/>
        <w:contextualSpacing/>
        <w:jc w:val="left"/>
        <w:textAlignment w:val="auto"/>
        <w:rPr>
          <w:rFonts w:hint="eastAsia"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（一）机构组成。</w:t>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沐川县融媒体中心是县委直属事业单位，公益一类，机构级别为正科级，归口县委宣传部管理。内设：办公室、总编室、新闻信息采集中心、编辑分发中心、网信室。</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643" w:firstLineChars="200"/>
        <w:contextualSpacing/>
        <w:jc w:val="left"/>
        <w:textAlignment w:val="auto"/>
        <w:rPr>
          <w:rFonts w:hint="eastAsia"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（二）机构职能和人员概况。</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Chars="200" w:firstLine="320" w:firstLineChars="100"/>
        <w:contextualSpacing/>
        <w:jc w:val="left"/>
        <w:textAlignment w:val="auto"/>
        <w:rPr>
          <w:rFonts w:hint="eastAsia" w:ascii="仿宋" w:hAnsi="仿宋" w:eastAsia="仿宋" w:cs="Times New Roman"/>
          <w:bCs/>
          <w:color w:val="000000"/>
          <w:sz w:val="32"/>
          <w:szCs w:val="32"/>
        </w:rPr>
      </w:pPr>
      <w:r>
        <w:rPr>
          <w:rFonts w:hint="eastAsia" w:ascii="仿宋" w:hAnsi="仿宋" w:eastAsia="仿宋" w:cs="Times New Roman"/>
          <w:bCs/>
          <w:color w:val="000000"/>
          <w:sz w:val="32"/>
          <w:szCs w:val="32"/>
        </w:rPr>
        <w:t>整合县内新闻媒体资源，实现一个平台融合，负责宣传</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 w:hAnsi="仿宋" w:eastAsia="仿宋" w:cs="Times New Roman"/>
          <w:bCs/>
          <w:color w:val="000000"/>
          <w:sz w:val="32"/>
          <w:szCs w:val="32"/>
        </w:rPr>
        <w:t>策划、信息采集，编辑制作与刊播发布。宣传效果监测与评价等工作。策划和制作广播、电视、新闻媒体作品和提供应急广播节目内容。负责网络舆情的相关工作。指导乡镇部门政务新媒体、社会新媒体的业务工作。</w:t>
      </w:r>
      <w:r>
        <w:rPr>
          <w:rFonts w:hint="eastAsia" w:ascii="仿宋_GB2312" w:hAnsi="宋体" w:eastAsia="仿宋_GB2312" w:cs="宋体"/>
          <w:color w:val="000000"/>
          <w:kern w:val="0"/>
          <w:sz w:val="32"/>
          <w:szCs w:val="32"/>
          <w:shd w:val="clear" w:color="auto" w:fill="FFFFFF"/>
          <w:lang w:val="en-US" w:eastAsia="zh-CN"/>
        </w:rPr>
        <w:t xml:space="preserve"> 沐川县融媒体中心编制总人数30人，其中：事业编制30人。在职人员总数28人，其中：事业28人。</w:t>
      </w:r>
    </w:p>
    <w:p>
      <w:pPr>
        <w:keepNext w:val="0"/>
        <w:keepLines w:val="0"/>
        <w:pageBreakBefore w:val="0"/>
        <w:widowControl/>
        <w:numPr>
          <w:ilvl w:val="0"/>
          <w:numId w:val="4"/>
        </w:numPr>
        <w:kinsoku/>
        <w:wordWrap/>
        <w:overflowPunct/>
        <w:topLinePunct w:val="0"/>
        <w:autoSpaceDE/>
        <w:autoSpaceDN/>
        <w:bidi w:val="0"/>
        <w:adjustRightInd w:val="0"/>
        <w:snapToGrid w:val="0"/>
        <w:spacing w:line="440" w:lineRule="exact"/>
        <w:ind w:firstLine="643" w:firstLineChars="200"/>
        <w:contextualSpacing/>
        <w:jc w:val="left"/>
        <w:textAlignment w:val="auto"/>
        <w:rPr>
          <w:rFonts w:hint="eastAsia" w:ascii="仿宋_GB2312" w:hAnsi="宋体" w:eastAsia="仿宋_GB2312" w:cs="宋体"/>
          <w:b/>
          <w:bCs/>
          <w:color w:val="000000"/>
          <w:kern w:val="0"/>
          <w:sz w:val="32"/>
          <w:szCs w:val="32"/>
          <w:shd w:val="clear" w:color="auto" w:fill="FFFFFF"/>
          <w:lang w:val="zh-CN" w:eastAsia="zh-CN"/>
        </w:rPr>
      </w:pPr>
      <w:r>
        <w:rPr>
          <w:rFonts w:hint="eastAsia" w:ascii="仿宋_GB2312" w:hAnsi="宋体" w:eastAsia="仿宋_GB2312" w:cs="宋体"/>
          <w:b/>
          <w:bCs/>
          <w:color w:val="000000"/>
          <w:kern w:val="0"/>
          <w:sz w:val="32"/>
          <w:szCs w:val="32"/>
          <w:shd w:val="clear" w:color="auto" w:fill="FFFFFF"/>
          <w:lang w:val="zh-CN" w:eastAsia="zh-CN"/>
        </w:rPr>
        <w:t>年度主要工作任务。</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全面加强党的建设、扎实做好主题宣传、着力强化对外</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eastAsia="zh-CN"/>
        </w:rPr>
        <w:t>宣传、加快推动媒体深度融合、建设全媒体人才队伍、</w:t>
      </w:r>
      <w:r>
        <w:rPr>
          <w:rFonts w:hint="default" w:ascii="仿宋_GB2312" w:hAnsi="宋体" w:eastAsia="仿宋_GB2312" w:cs="宋体"/>
          <w:color w:val="000000"/>
          <w:kern w:val="0"/>
          <w:sz w:val="32"/>
          <w:szCs w:val="32"/>
          <w:shd w:val="clear" w:color="auto" w:fill="FFFFFF"/>
          <w:lang w:val="en-US" w:eastAsia="zh-CN"/>
        </w:rPr>
        <w:t>切实做好安全播出</w:t>
      </w:r>
      <w:r>
        <w:rPr>
          <w:rFonts w:hint="eastAsia" w:ascii="仿宋_GB2312" w:hAnsi="宋体" w:eastAsia="仿宋_GB2312" w:cs="宋体"/>
          <w:color w:val="000000"/>
          <w:kern w:val="0"/>
          <w:sz w:val="32"/>
          <w:szCs w:val="32"/>
          <w:shd w:val="clear" w:color="auto" w:fill="FFFFFF"/>
          <w:lang w:val="en-US" w:eastAsia="zh-CN"/>
        </w:rPr>
        <w:t>、严格落实意识形态工作责任制、扎实做好联系帮扶、切实增强造血功能。</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643" w:firstLineChars="200"/>
        <w:contextualSpacing/>
        <w:jc w:val="left"/>
        <w:textAlignment w:val="auto"/>
        <w:rPr>
          <w:rFonts w:hint="eastAsia" w:ascii="仿宋_GB2312" w:hAnsi="宋体" w:eastAsia="仿宋_GB2312" w:cs="宋体"/>
          <w:b/>
          <w:bCs/>
          <w:color w:val="000000"/>
          <w:kern w:val="0"/>
          <w:sz w:val="32"/>
          <w:szCs w:val="32"/>
          <w:shd w:val="clear" w:color="auto" w:fill="FFFFFF"/>
          <w:lang w:val="zh-CN" w:eastAsia="zh-CN"/>
        </w:rPr>
      </w:pPr>
      <w:bookmarkStart w:id="68" w:name="_Toc13339"/>
      <w:r>
        <w:rPr>
          <w:rFonts w:hint="eastAsia" w:ascii="仿宋_GB2312" w:hAnsi="宋体" w:eastAsia="仿宋_GB2312" w:cs="宋体"/>
          <w:b/>
          <w:bCs/>
          <w:color w:val="000000"/>
          <w:kern w:val="0"/>
          <w:sz w:val="32"/>
          <w:szCs w:val="32"/>
          <w:shd w:val="clear" w:color="auto" w:fill="FFFFFF"/>
          <w:lang w:val="zh-CN" w:eastAsia="zh-CN"/>
        </w:rPr>
        <w:t>（四）部门整体支出绩效目标。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en-US" w:eastAsia="zh-CN"/>
        </w:rPr>
        <w:t>保障了融媒体中心及平台的正常运转，对对外宣传沐川、提升沐川形象起到了积极作用。</w:t>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contextualSpacing/>
        <w:jc w:val="left"/>
        <w:textAlignment w:val="auto"/>
        <w:outlineLvl w:val="1"/>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bookmarkEnd w:id="68"/>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1.部门总体收入情况</w:t>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部门总体收入872.19万元。</w:t>
      </w:r>
      <w:r>
        <w:rPr>
          <w:rFonts w:hint="eastAsia" w:ascii="仿宋_GB2312" w:hAnsi="宋体" w:eastAsia="仿宋_GB2312" w:cs="宋体"/>
          <w:color w:val="000000"/>
          <w:kern w:val="0"/>
          <w:sz w:val="32"/>
          <w:szCs w:val="32"/>
          <w:shd w:val="clear" w:color="auto" w:fill="FFFFFF"/>
          <w:lang w:val="en-US" w:eastAsia="zh-CN"/>
        </w:rPr>
        <w:t>其中：一般公共预算财政拨款</w:t>
      </w:r>
      <w:r>
        <w:rPr>
          <w:rFonts w:hint="eastAsia" w:ascii="仿宋" w:hAnsi="仿宋" w:eastAsia="仿宋"/>
          <w:sz w:val="32"/>
          <w:szCs w:val="32"/>
          <w:lang w:val="en-US" w:eastAsia="zh-CN"/>
        </w:rPr>
        <w:t>855</w:t>
      </w:r>
      <w:r>
        <w:rPr>
          <w:rFonts w:hint="eastAsia" w:ascii="仿宋" w:hAnsi="仿宋" w:eastAsia="仿宋"/>
          <w:sz w:val="32"/>
          <w:szCs w:val="32"/>
        </w:rPr>
        <w:t>.47</w:t>
      </w:r>
      <w:r>
        <w:rPr>
          <w:rFonts w:hint="eastAsia" w:ascii="仿宋_GB2312" w:hAnsi="宋体" w:eastAsia="仿宋_GB2312" w:cs="宋体"/>
          <w:color w:val="000000"/>
          <w:kern w:val="0"/>
          <w:sz w:val="32"/>
          <w:szCs w:val="32"/>
          <w:shd w:val="clear" w:color="auto" w:fill="FFFFFF"/>
          <w:lang w:val="en-US" w:eastAsia="zh-CN"/>
        </w:rPr>
        <w:t>万元、其他收入16.72万元。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2.部门总体支出情况</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部门总体支出872.19万元。</w:t>
      </w:r>
      <w:r>
        <w:rPr>
          <w:rFonts w:hint="eastAsia" w:ascii="仿宋_GB2312" w:hAnsi="宋体" w:eastAsia="仿宋_GB2312" w:cs="宋体"/>
          <w:color w:val="000000"/>
          <w:kern w:val="0"/>
          <w:sz w:val="32"/>
          <w:szCs w:val="32"/>
          <w:shd w:val="clear" w:color="auto" w:fill="FFFFFF"/>
          <w:lang w:val="en-US" w:eastAsia="zh-CN"/>
        </w:rPr>
        <w:t>其中：文化旅游体育与传媒支出545.45万元、社会保障和就业支出49.27万元、卫生健康支出16.6万元、住房保障支出35.9万元、农林水支出208.25万元，其他支出</w:t>
      </w:r>
      <w:r>
        <w:rPr>
          <w:rFonts w:hint="eastAsia" w:ascii="仿宋" w:hAnsi="仿宋" w:eastAsia="仿宋"/>
          <w:sz w:val="32"/>
          <w:szCs w:val="32"/>
        </w:rPr>
        <w:t>16.72万元</w:t>
      </w:r>
      <w:r>
        <w:rPr>
          <w:rFonts w:hint="eastAsia" w:ascii="仿宋_GB2312" w:hAnsi="宋体" w:eastAsia="仿宋_GB2312" w:cs="宋体"/>
          <w:color w:val="000000"/>
          <w:kern w:val="0"/>
          <w:sz w:val="32"/>
          <w:szCs w:val="32"/>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3.部门总体结转结余情况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部门总体无结转结余情况。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1.部门财政拨款收入情况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部门财政拨款收入</w:t>
      </w:r>
      <w:r>
        <w:rPr>
          <w:rFonts w:hint="eastAsia" w:ascii="仿宋_GB2312" w:hAnsi="宋体" w:eastAsia="仿宋_GB2312" w:cs="宋体"/>
          <w:color w:val="000000"/>
          <w:kern w:val="0"/>
          <w:sz w:val="32"/>
          <w:szCs w:val="32"/>
          <w:shd w:val="clear" w:color="auto" w:fill="FFFFFF"/>
          <w:lang w:val="en-US" w:eastAsia="zh-CN"/>
        </w:rPr>
        <w:t>872.19万元。其中：一般公共预算财政拨款855.47万元。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2.部门财政拨款支出情况</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部门财政拨款支出。</w:t>
      </w:r>
      <w:r>
        <w:rPr>
          <w:rFonts w:hint="eastAsia" w:ascii="仿宋_GB2312" w:hAnsi="宋体" w:eastAsia="仿宋_GB2312" w:cs="宋体"/>
          <w:color w:val="000000"/>
          <w:kern w:val="0"/>
          <w:sz w:val="32"/>
          <w:szCs w:val="32"/>
          <w:shd w:val="clear" w:color="auto" w:fill="FFFFFF"/>
          <w:lang w:val="en-US" w:eastAsia="zh-CN"/>
        </w:rPr>
        <w:t>其中：文化旅游体育与传媒支出545.45万元、社会保障和就业支出49.27万元、卫生健康支出16.6万元、住房保障支出35.9万元、农林水支出208.25万元，其他支出</w:t>
      </w:r>
      <w:r>
        <w:rPr>
          <w:rFonts w:hint="eastAsia" w:ascii="仿宋" w:hAnsi="仿宋" w:eastAsia="仿宋"/>
          <w:sz w:val="32"/>
          <w:szCs w:val="32"/>
        </w:rPr>
        <w:t>16.72万元</w:t>
      </w:r>
      <w:r>
        <w:rPr>
          <w:rFonts w:hint="eastAsia" w:ascii="仿宋_GB2312" w:hAnsi="宋体" w:eastAsia="仿宋_GB2312" w:cs="宋体"/>
          <w:color w:val="000000"/>
          <w:kern w:val="0"/>
          <w:sz w:val="32"/>
          <w:szCs w:val="32"/>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3.部门财政拨款结转结余情况</w:t>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部门财政拨款无结转结余情况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_GB2312" w:hAnsi="宋体" w:eastAsia="仿宋_GB2312" w:cs="宋体"/>
          <w:color w:val="000000"/>
          <w:kern w:val="0"/>
          <w:sz w:val="32"/>
          <w:szCs w:val="32"/>
          <w:shd w:val="clear" w:color="auto" w:fill="FFFFFF"/>
          <w:lang w:val="zh-CN"/>
        </w:rPr>
      </w:pPr>
      <w:r>
        <w:rPr>
          <w:rFonts w:hint="eastAsia" w:ascii="仿宋" w:hAnsi="仿宋" w:eastAsia="仿宋" w:cs="仿宋_GB2312"/>
          <w:sz w:val="32"/>
          <w:szCs w:val="32"/>
        </w:rPr>
        <w:t>按照县财政局</w:t>
      </w:r>
      <w:r>
        <w:rPr>
          <w:rFonts w:hint="eastAsia" w:ascii="仿宋" w:hAnsi="仿宋" w:eastAsia="仿宋" w:cs="仿宋_GB2312"/>
          <w:sz w:val="32"/>
          <w:szCs w:val="32"/>
          <w:lang w:eastAsia="zh-CN"/>
        </w:rPr>
        <w:t>202</w:t>
      </w:r>
      <w:r>
        <w:rPr>
          <w:rFonts w:hint="eastAsia" w:ascii="仿宋" w:hAnsi="仿宋" w:eastAsia="仿宋" w:cs="仿宋_GB2312"/>
          <w:sz w:val="32"/>
          <w:szCs w:val="32"/>
          <w:lang w:val="en-US" w:eastAsia="zh-CN"/>
        </w:rPr>
        <w:t>3</w:t>
      </w:r>
      <w:r>
        <w:rPr>
          <w:rFonts w:hint="eastAsia" w:ascii="仿宋" w:hAnsi="仿宋" w:eastAsia="仿宋" w:cs="仿宋_GB2312"/>
          <w:sz w:val="32"/>
          <w:szCs w:val="32"/>
          <w:lang w:eastAsia="zh-CN"/>
        </w:rPr>
        <w:t>年</w:t>
      </w:r>
      <w:r>
        <w:rPr>
          <w:rFonts w:hint="eastAsia" w:ascii="仿宋" w:hAnsi="仿宋" w:eastAsia="仿宋" w:cs="仿宋_GB2312"/>
          <w:sz w:val="32"/>
          <w:szCs w:val="32"/>
        </w:rPr>
        <w:t>部门预算编制通知要求，按时完成部门年初预算编制工作。在编制过程中，认真核实单位实际财政供养人数和单位实有编制情况，正确编制人员经费和公用经费等，做到尽量细化项目资金支出预算范围和科目，及时上报相关股室进行审核，对所编制的预算予以调整通过。</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_GB2312" w:hAnsi="宋体" w:eastAsia="仿宋_GB2312" w:cs="宋体"/>
          <w:color w:val="000000"/>
          <w:kern w:val="0"/>
          <w:sz w:val="32"/>
          <w:szCs w:val="32"/>
          <w:shd w:val="clear" w:color="auto" w:fill="FFFFFF"/>
          <w:lang w:val="zh-CN"/>
        </w:rPr>
      </w:pPr>
      <w:r>
        <w:rPr>
          <w:rFonts w:hint="eastAsia" w:ascii="仿宋" w:hAnsi="仿宋" w:eastAsia="仿宋" w:cs="仿宋_GB2312"/>
          <w:sz w:val="32"/>
          <w:szCs w:val="32"/>
        </w:rPr>
        <w:t>按照县财政局</w:t>
      </w:r>
      <w:r>
        <w:rPr>
          <w:rFonts w:hint="eastAsia" w:ascii="仿宋" w:hAnsi="仿宋" w:eastAsia="仿宋" w:cs="仿宋_GB2312"/>
          <w:sz w:val="32"/>
          <w:szCs w:val="32"/>
          <w:lang w:eastAsia="zh-CN"/>
        </w:rPr>
        <w:t>202</w:t>
      </w:r>
      <w:r>
        <w:rPr>
          <w:rFonts w:hint="eastAsia" w:ascii="仿宋" w:hAnsi="仿宋" w:eastAsia="仿宋" w:cs="仿宋_GB2312"/>
          <w:sz w:val="32"/>
          <w:szCs w:val="32"/>
          <w:lang w:val="en-US" w:eastAsia="zh-CN"/>
        </w:rPr>
        <w:t>3</w:t>
      </w:r>
      <w:r>
        <w:rPr>
          <w:rFonts w:hint="eastAsia" w:ascii="仿宋" w:hAnsi="仿宋" w:eastAsia="仿宋" w:cs="仿宋_GB2312"/>
          <w:sz w:val="32"/>
          <w:szCs w:val="32"/>
          <w:lang w:eastAsia="zh-CN"/>
        </w:rPr>
        <w:t>年</w:t>
      </w:r>
      <w:r>
        <w:rPr>
          <w:rFonts w:hint="eastAsia" w:ascii="仿宋" w:hAnsi="仿宋" w:eastAsia="仿宋" w:cs="仿宋_GB2312"/>
          <w:sz w:val="32"/>
          <w:szCs w:val="32"/>
        </w:rPr>
        <w:t>部门预算编制通知要求，按时完成部门年初预算编制工作。在编制过程中，认真核实单位</w:t>
      </w:r>
      <w:r>
        <w:rPr>
          <w:rFonts w:hint="eastAsia" w:ascii="仿宋" w:hAnsi="仿宋" w:eastAsia="仿宋" w:cs="仿宋_GB2312"/>
          <w:sz w:val="32"/>
          <w:szCs w:val="32"/>
          <w:lang w:eastAsia="zh-CN"/>
        </w:rPr>
        <w:t>运转项目</w:t>
      </w:r>
      <w:r>
        <w:rPr>
          <w:rFonts w:hint="eastAsia" w:ascii="仿宋" w:hAnsi="仿宋" w:eastAsia="仿宋" w:cs="仿宋_GB2312"/>
          <w:sz w:val="32"/>
          <w:szCs w:val="32"/>
        </w:rPr>
        <w:t>情况，做到尽量细化项目资金支出预算范围和科目，及时上报相关股室进行审核，对所编制的预算予以调整通过。</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 w:hAnsi="仿宋" w:eastAsia="仿宋" w:cs="仿宋_GB2312"/>
          <w:sz w:val="32"/>
          <w:szCs w:val="32"/>
        </w:rPr>
        <w:t>按照县财政局</w:t>
      </w:r>
      <w:r>
        <w:rPr>
          <w:rFonts w:hint="eastAsia" w:ascii="仿宋" w:hAnsi="仿宋" w:eastAsia="仿宋" w:cs="仿宋_GB2312"/>
          <w:sz w:val="32"/>
          <w:szCs w:val="32"/>
          <w:lang w:eastAsia="zh-CN"/>
        </w:rPr>
        <w:t>202</w:t>
      </w:r>
      <w:r>
        <w:rPr>
          <w:rFonts w:hint="eastAsia" w:ascii="仿宋" w:hAnsi="仿宋" w:eastAsia="仿宋" w:cs="仿宋_GB2312"/>
          <w:sz w:val="32"/>
          <w:szCs w:val="32"/>
          <w:lang w:val="en-US" w:eastAsia="zh-CN"/>
        </w:rPr>
        <w:t>3</w:t>
      </w:r>
      <w:r>
        <w:rPr>
          <w:rFonts w:hint="eastAsia" w:ascii="仿宋" w:hAnsi="仿宋" w:eastAsia="仿宋" w:cs="仿宋_GB2312"/>
          <w:sz w:val="32"/>
          <w:szCs w:val="32"/>
          <w:lang w:eastAsia="zh-CN"/>
        </w:rPr>
        <w:t>年</w:t>
      </w:r>
      <w:r>
        <w:rPr>
          <w:rFonts w:hint="eastAsia" w:ascii="仿宋" w:hAnsi="仿宋" w:eastAsia="仿宋" w:cs="仿宋_GB2312"/>
          <w:sz w:val="32"/>
          <w:szCs w:val="32"/>
        </w:rPr>
        <w:t>部门预算编制通知要求，按时完成部门年初预算编制工作。在编制过程中，认真核实单位</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特定目标类项目</w:t>
      </w:r>
      <w:r>
        <w:rPr>
          <w:rFonts w:hint="eastAsia" w:ascii="仿宋" w:hAnsi="仿宋" w:eastAsia="仿宋" w:cs="仿宋_GB2312"/>
          <w:sz w:val="32"/>
          <w:szCs w:val="32"/>
        </w:rPr>
        <w:t>情况，做到尽量细化项目资金支出预算范围和科目，及时上报相关股室进行审核，对所编制的预算予以调整通过。</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融媒体中心严格按照相关要求完成整体绩效目标任务，</w:t>
      </w:r>
      <w:r>
        <w:rPr>
          <w:rFonts w:hint="eastAsia" w:ascii="仿宋" w:hAnsi="仿宋" w:eastAsia="仿宋" w:cs="仿宋_GB2312"/>
          <w:sz w:val="32"/>
          <w:szCs w:val="32"/>
        </w:rPr>
        <w:t>完成了县委、县政府下达的各项业务目标任务。</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_GB2312" w:hAnsi="宋体" w:eastAsia="仿宋_GB2312" w:cs="宋体"/>
          <w:color w:val="000000"/>
          <w:kern w:val="0"/>
          <w:sz w:val="32"/>
          <w:szCs w:val="32"/>
          <w:shd w:val="clear" w:color="auto" w:fill="FFFFFF"/>
          <w:lang w:val="zh-CN"/>
        </w:rPr>
      </w:pPr>
      <w:r>
        <w:rPr>
          <w:rFonts w:hint="eastAsia" w:ascii="仿宋" w:hAnsi="仿宋" w:eastAsia="仿宋" w:cs="仿宋_GB2312"/>
          <w:sz w:val="32"/>
          <w:szCs w:val="32"/>
        </w:rPr>
        <w:t>县</w:t>
      </w:r>
      <w:r>
        <w:rPr>
          <w:rFonts w:hint="eastAsia" w:ascii="仿宋" w:hAnsi="仿宋" w:eastAsia="仿宋" w:cs="仿宋_GB2312"/>
          <w:sz w:val="32"/>
          <w:szCs w:val="32"/>
          <w:lang w:eastAsia="zh-CN"/>
        </w:rPr>
        <w:t>融媒体中心全年</w:t>
      </w:r>
      <w:r>
        <w:rPr>
          <w:rFonts w:hint="eastAsia" w:ascii="仿宋" w:hAnsi="仿宋" w:eastAsia="仿宋" w:cs="仿宋_GB2312"/>
          <w:sz w:val="32"/>
          <w:szCs w:val="32"/>
        </w:rPr>
        <w:t>认真履行好部门职能职责，全面保障了机关日常正常运转，圆满完成了县委、县政府下达的各项业务目标任务。</w:t>
      </w:r>
    </w:p>
    <w:p>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自评质量。</w:t>
      </w:r>
    </w:p>
    <w:p>
      <w:pPr>
        <w:keepNext w:val="0"/>
        <w:keepLines w:val="0"/>
        <w:pageBreakBefore w:val="0"/>
        <w:widowControl/>
        <w:kinsoku/>
        <w:wordWrap/>
        <w:overflowPunct/>
        <w:topLinePunct w:val="0"/>
        <w:autoSpaceDE/>
        <w:autoSpaceDN/>
        <w:bidi w:val="0"/>
        <w:adjustRightInd w:val="0"/>
        <w:snapToGrid w:val="0"/>
        <w:spacing w:line="560" w:lineRule="exact"/>
        <w:ind w:left="1059" w:leftChars="352" w:hanging="320" w:hangingChars="100"/>
        <w:contextualSpacing/>
        <w:jc w:val="left"/>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项目资金于2023年12月31日前全部支付完成；所有</w:t>
      </w:r>
    </w:p>
    <w:p>
      <w:pPr>
        <w:keepNext w:val="0"/>
        <w:keepLines w:val="0"/>
        <w:pageBreakBefore w:val="0"/>
        <w:widowControl/>
        <w:kinsoku/>
        <w:wordWrap/>
        <w:overflowPunct/>
        <w:topLinePunct w:val="0"/>
        <w:autoSpaceDE/>
        <w:autoSpaceDN/>
        <w:bidi w:val="0"/>
        <w:adjustRightInd w:val="0"/>
        <w:snapToGrid w:val="0"/>
        <w:spacing w:line="560" w:lineRule="exact"/>
        <w:contextualSpacing/>
        <w:jc w:val="left"/>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项目严格按照财政预算管理执行。</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仿宋" w:hAnsi="仿宋" w:eastAsia="仿宋" w:cs="仿宋_GB2312"/>
          <w:sz w:val="32"/>
          <w:szCs w:val="32"/>
        </w:rPr>
        <w:t>沐川县</w:t>
      </w:r>
      <w:r>
        <w:rPr>
          <w:rFonts w:hint="eastAsia" w:ascii="仿宋" w:hAnsi="仿宋" w:eastAsia="仿宋" w:cs="仿宋_GB2312"/>
          <w:sz w:val="32"/>
          <w:szCs w:val="32"/>
          <w:lang w:eastAsia="zh-CN"/>
        </w:rPr>
        <w:t>融媒体中心</w:t>
      </w:r>
      <w:r>
        <w:rPr>
          <w:rFonts w:hint="eastAsia" w:ascii="仿宋" w:hAnsi="仿宋" w:eastAsia="仿宋" w:cs="仿宋_GB2312"/>
          <w:sz w:val="32"/>
          <w:szCs w:val="32"/>
        </w:rPr>
        <w:t>财政预算支出，保障了</w:t>
      </w:r>
      <w:r>
        <w:rPr>
          <w:rFonts w:hint="eastAsia" w:ascii="仿宋" w:hAnsi="仿宋" w:eastAsia="仿宋" w:cs="仿宋_GB2312"/>
          <w:sz w:val="32"/>
          <w:szCs w:val="32"/>
          <w:lang w:eastAsia="zh-CN"/>
        </w:rPr>
        <w:t>融媒体中心</w:t>
      </w:r>
      <w:r>
        <w:rPr>
          <w:rFonts w:hint="eastAsia" w:ascii="仿宋" w:hAnsi="仿宋" w:eastAsia="仿宋" w:cs="仿宋_GB2312"/>
          <w:sz w:val="32"/>
          <w:szCs w:val="32"/>
        </w:rPr>
        <w:t>日常运转，为</w:t>
      </w:r>
      <w:r>
        <w:rPr>
          <w:rFonts w:hint="eastAsia" w:ascii="仿宋" w:hAnsi="仿宋" w:eastAsia="仿宋" w:cs="仿宋_GB2312"/>
          <w:sz w:val="32"/>
          <w:szCs w:val="32"/>
          <w:lang w:eastAsia="zh-CN"/>
        </w:rPr>
        <w:t>对外宣传沐川、提升沐川形象、丰富群众文化生活、加强网络舆情监测</w:t>
      </w:r>
      <w:r>
        <w:rPr>
          <w:rFonts w:hint="eastAsia" w:ascii="仿宋" w:hAnsi="仿宋" w:eastAsia="仿宋" w:cs="仿宋_GB2312"/>
          <w:sz w:val="32"/>
          <w:szCs w:val="32"/>
        </w:rPr>
        <w:t>提供了强有力的保障</w:t>
      </w:r>
      <w:r>
        <w:rPr>
          <w:rFonts w:hint="eastAsia" w:ascii="仿宋" w:hAnsi="仿宋" w:eastAsia="仿宋" w:cs="仿宋_GB2312"/>
          <w:sz w:val="32"/>
          <w:szCs w:val="32"/>
          <w:lang w:eastAsia="zh-CN"/>
        </w:rPr>
        <w:t>，</w:t>
      </w:r>
      <w:r>
        <w:rPr>
          <w:rFonts w:hint="eastAsia" w:ascii="仿宋" w:hAnsi="仿宋" w:eastAsia="仿宋" w:cs="仿宋_GB2312"/>
          <w:sz w:val="32"/>
          <w:szCs w:val="32"/>
        </w:rPr>
        <w:t>圆满完成了各项工作任务。</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（二）存在问题。</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仿宋" w:hAnsi="仿宋" w:eastAsia="仿宋" w:cs="仿宋_GB2312"/>
          <w:sz w:val="32"/>
          <w:szCs w:val="32"/>
          <w:lang w:eastAsia="zh-CN"/>
        </w:rPr>
        <w:t>在工作中，仍存在细节上的问题，工作不仔细，资金使用申报不及时，资料装档不完善规范、不及时。</w:t>
      </w:r>
    </w:p>
    <w:p>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改进建议。</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eastAsia="仿宋_GB2312"/>
          <w:sz w:val="32"/>
          <w:szCs w:val="32"/>
          <w:lang w:val="zh-CN"/>
        </w:rPr>
      </w:pPr>
      <w:r>
        <w:rPr>
          <w:rFonts w:hint="eastAsia" w:ascii="仿宋" w:hAnsi="仿宋" w:eastAsia="仿宋" w:cs="仿宋_GB2312"/>
          <w:b w:val="0"/>
          <w:bCs w:val="0"/>
          <w:kern w:val="2"/>
          <w:sz w:val="32"/>
          <w:szCs w:val="32"/>
          <w:lang w:val="en-US" w:eastAsia="zh-CN" w:bidi="ar-SA"/>
        </w:rPr>
        <w:t>一年来，中心高度重视绩效工作，力求全面客观评价公安工作绩效情况，将继续加大工作力度，在探索中总结提升，在实践中规范完善，加强绩效管理，不断提升工作绩效，进一步发挥工作职能作用，为我县外宣传工作作出更大贡献。</w:t>
      </w:r>
    </w:p>
    <w:p>
      <w:pPr>
        <w:ind w:firstLine="640" w:firstLineChars="200"/>
        <w:rPr>
          <w:rFonts w:hint="eastAsia" w:ascii="仿宋" w:hAnsi="仿宋" w:eastAsia="仿宋" w:cs="仿宋_GB2312"/>
          <w:b w:val="0"/>
          <w:bCs w:val="0"/>
          <w:kern w:val="2"/>
          <w:sz w:val="32"/>
          <w:szCs w:val="32"/>
          <w:lang w:val="zh-CN" w:eastAsia="zh-CN" w:bidi="ar-SA"/>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ind w:firstLine="640" w:firstLineChars="200"/>
        <w:rPr>
          <w:rFonts w:hint="eastAsia" w:ascii="仿宋" w:hAnsi="仿宋" w:eastAsia="仿宋" w:cs="仿宋_GB2312"/>
          <w:b w:val="0"/>
          <w:bCs w:val="0"/>
          <w:kern w:val="2"/>
          <w:sz w:val="32"/>
          <w:szCs w:val="32"/>
          <w:lang w:val="zh-CN" w:eastAsia="zh-CN" w:bidi="ar-SA"/>
        </w:rPr>
      </w:pPr>
      <w:r>
        <w:rPr>
          <w:rFonts w:hint="eastAsia" w:ascii="仿宋" w:hAnsi="仿宋" w:eastAsia="仿宋" w:cs="仿宋_GB2312"/>
          <w:b w:val="0"/>
          <w:bCs w:val="0"/>
          <w:kern w:val="2"/>
          <w:sz w:val="32"/>
          <w:szCs w:val="32"/>
          <w:lang w:val="en-US" w:eastAsia="zh-CN" w:bidi="ar-SA"/>
        </w:rPr>
        <w:t>部门</w:t>
      </w:r>
      <w:r>
        <w:rPr>
          <w:rFonts w:hint="eastAsia" w:ascii="仿宋" w:hAnsi="仿宋" w:eastAsia="仿宋" w:cs="仿宋_GB2312"/>
          <w:b w:val="0"/>
          <w:bCs w:val="0"/>
          <w:kern w:val="2"/>
          <w:sz w:val="32"/>
          <w:szCs w:val="32"/>
          <w:lang w:val="zh-CN" w:eastAsia="zh-CN" w:bidi="ar-SA"/>
        </w:rPr>
        <w:t>预算项目支出绩效自评报告（</w:t>
      </w:r>
      <w:r>
        <w:rPr>
          <w:rFonts w:hint="eastAsia" w:ascii="仿宋" w:hAnsi="仿宋" w:eastAsia="仿宋" w:cs="仿宋_GB2312"/>
          <w:b w:val="0"/>
          <w:bCs w:val="0"/>
          <w:kern w:val="2"/>
          <w:sz w:val="32"/>
          <w:szCs w:val="32"/>
          <w:lang w:val="en-US" w:eastAsia="zh-CN" w:bidi="ar-SA"/>
        </w:rPr>
        <w:t>2023年度</w:t>
      </w:r>
      <w:r>
        <w:rPr>
          <w:rFonts w:hint="eastAsia" w:ascii="仿宋" w:hAnsi="仿宋" w:eastAsia="仿宋" w:cs="仿宋_GB2312"/>
          <w:b w:val="0"/>
          <w:bCs w:val="0"/>
          <w:kern w:val="2"/>
          <w:sz w:val="32"/>
          <w:szCs w:val="32"/>
          <w:lang w:val="zh-CN" w:eastAsia="zh-CN" w:bidi="ar-SA"/>
        </w:rPr>
        <w:t>）</w:t>
      </w:r>
    </w:p>
    <w:p>
      <w:pPr>
        <w:keepNext w:val="0"/>
        <w:keepLines w:val="0"/>
        <w:pageBreakBefore w:val="0"/>
        <w:widowControl w:val="0"/>
        <w:kinsoku w:val="0"/>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pacing w:val="1"/>
          <w:sz w:val="36"/>
          <w:szCs w:val="36"/>
        </w:rPr>
      </w:pPr>
    </w:p>
    <w:p>
      <w:pPr>
        <w:keepNext w:val="0"/>
        <w:keepLines w:val="0"/>
        <w:pageBreakBefore w:val="0"/>
        <w:widowControl w:val="0"/>
        <w:kinsoku w:val="0"/>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pacing w:val="1"/>
          <w:sz w:val="36"/>
          <w:szCs w:val="36"/>
        </w:rPr>
      </w:pPr>
      <w:r>
        <w:rPr>
          <w:rFonts w:hint="default" w:ascii="Times New Roman" w:hAnsi="Times New Roman" w:eastAsia="方正小标宋简体" w:cs="Times New Roman"/>
          <w:spacing w:val="1"/>
          <w:sz w:val="36"/>
          <w:szCs w:val="36"/>
        </w:rPr>
        <w:t>沐川县</w:t>
      </w:r>
      <w:r>
        <w:rPr>
          <w:rFonts w:hint="eastAsia" w:ascii="Times New Roman" w:hAnsi="Times New Roman" w:eastAsia="方正小标宋简体" w:cs="Times New Roman"/>
          <w:spacing w:val="1"/>
          <w:sz w:val="36"/>
          <w:szCs w:val="36"/>
          <w:lang w:eastAsia="zh-CN"/>
        </w:rPr>
        <w:t>融媒体中心</w:t>
      </w:r>
      <w:r>
        <w:rPr>
          <w:rFonts w:hint="default" w:ascii="Times New Roman" w:hAnsi="Times New Roman" w:eastAsia="方正小标宋简体" w:cs="Times New Roman"/>
          <w:spacing w:val="1"/>
          <w:sz w:val="36"/>
          <w:szCs w:val="36"/>
        </w:rPr>
        <w:t>部门</w:t>
      </w:r>
    </w:p>
    <w:p>
      <w:pPr>
        <w:keepNext w:val="0"/>
        <w:keepLines w:val="0"/>
        <w:pageBreakBefore w:val="0"/>
        <w:widowControl w:val="0"/>
        <w:kinsoku w:val="0"/>
        <w:wordWrap/>
        <w:overflowPunct w:val="0"/>
        <w:topLinePunct w:val="0"/>
        <w:autoSpaceDE/>
        <w:autoSpaceDN/>
        <w:bidi w:val="0"/>
        <w:adjustRightInd/>
        <w:snapToGrid/>
        <w:spacing w:line="700" w:lineRule="exact"/>
        <w:jc w:val="center"/>
        <w:textAlignment w:val="auto"/>
        <w:rPr>
          <w:rFonts w:hint="eastAsia" w:ascii="Times New Roman" w:hAnsi="Times New Roman" w:eastAsia="方正小标宋简体" w:cs="Times New Roman"/>
          <w:spacing w:val="1"/>
          <w:sz w:val="36"/>
          <w:szCs w:val="36"/>
          <w:lang w:eastAsia="zh-CN"/>
        </w:rPr>
      </w:pPr>
      <w:r>
        <w:rPr>
          <w:rFonts w:hint="eastAsia" w:eastAsia="方正小标宋简体" w:cs="Times New Roman"/>
          <w:spacing w:val="1"/>
          <w:sz w:val="36"/>
          <w:szCs w:val="36"/>
          <w:lang w:eastAsia="zh-CN"/>
        </w:rPr>
        <w:t>预算项目</w:t>
      </w:r>
      <w:r>
        <w:rPr>
          <w:rFonts w:hint="default" w:ascii="Times New Roman" w:hAnsi="Times New Roman" w:eastAsia="方正小标宋简体" w:cs="Times New Roman"/>
          <w:spacing w:val="1"/>
          <w:sz w:val="36"/>
          <w:szCs w:val="36"/>
        </w:rPr>
        <w:t>支出绩效自评报告</w:t>
      </w:r>
      <w:r>
        <w:rPr>
          <w:rFonts w:hint="eastAsia" w:eastAsia="方正小标宋简体" w:cs="Times New Roman"/>
          <w:spacing w:val="1"/>
          <w:sz w:val="36"/>
          <w:szCs w:val="36"/>
          <w:lang w:eastAsia="zh-CN"/>
        </w:rPr>
        <w:t>（</w:t>
      </w:r>
      <w:r>
        <w:rPr>
          <w:rFonts w:hint="eastAsia" w:eastAsia="方正小标宋简体" w:cs="Times New Roman"/>
          <w:spacing w:val="1"/>
          <w:sz w:val="36"/>
          <w:szCs w:val="36"/>
          <w:lang w:val="en-US" w:eastAsia="zh-CN"/>
        </w:rPr>
        <w:t>2023年度</w:t>
      </w:r>
      <w:r>
        <w:rPr>
          <w:rFonts w:hint="eastAsia" w:eastAsia="方正小标宋简体" w:cs="Times New Roman"/>
          <w:spacing w:val="1"/>
          <w:sz w:val="36"/>
          <w:szCs w:val="36"/>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_GB2312"/>
          <w:b w:val="0"/>
          <w:bCs w:val="0"/>
          <w:kern w:val="2"/>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_GB2312"/>
          <w:b w:val="0"/>
          <w:bCs w:val="0"/>
          <w:kern w:val="2"/>
          <w:sz w:val="32"/>
          <w:szCs w:val="32"/>
          <w:lang w:val="en-US" w:eastAsia="zh-CN" w:bidi="ar-SA"/>
        </w:rPr>
      </w:pPr>
      <w:r>
        <w:rPr>
          <w:rFonts w:hint="default" w:ascii="黑体" w:hAnsi="宋体" w:eastAsia="黑体" w:cs="宋体"/>
          <w:color w:val="000000"/>
          <w:kern w:val="0"/>
          <w:sz w:val="32"/>
          <w:szCs w:val="32"/>
          <w:shd w:val="clear" w:color="auto" w:fill="FFFFFF"/>
          <w:lang w:val="en-US" w:eastAsia="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_GB2312"/>
          <w:b w:val="0"/>
          <w:bCs w:val="0"/>
          <w:kern w:val="2"/>
          <w:sz w:val="32"/>
          <w:szCs w:val="32"/>
          <w:lang w:val="en-US" w:eastAsia="zh-CN" w:bidi="ar-SA"/>
        </w:rPr>
      </w:pPr>
      <w:r>
        <w:rPr>
          <w:rFonts w:hint="default" w:ascii="Times New Roman" w:hAnsi="Times New Roman" w:eastAsia="楷体_GB2312" w:cs="Times New Roman"/>
          <w:sz w:val="32"/>
          <w:szCs w:val="32"/>
          <w:lang w:val="en-US" w:eastAsia="zh-CN"/>
        </w:rPr>
        <w:t>（一）绩效目标情况。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val="0"/>
          <w:bCs w:val="0"/>
          <w:kern w:val="2"/>
          <w:sz w:val="32"/>
          <w:szCs w:val="32"/>
          <w:lang w:val="en-US" w:eastAsia="zh-CN" w:bidi="ar-SA"/>
        </w:rPr>
        <w:t>融媒体中心2023年主要有乐山日报宣传合作经费、网络视听采编设备维修维护费、乐山新闻网网络建设费等11个项目，资金总额451.56万元。项目的实施，保障了融媒体中心及平台的正常运转，对对外宣传沐川、提升沐川形象起到了积极作用。</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_GB2312"/>
          <w:b w:val="0"/>
          <w:bCs w:val="0"/>
          <w:kern w:val="2"/>
          <w:sz w:val="32"/>
          <w:szCs w:val="32"/>
          <w:lang w:val="en-US" w:eastAsia="zh-CN" w:bidi="ar-SA"/>
        </w:rPr>
      </w:pPr>
      <w:r>
        <w:rPr>
          <w:rFonts w:hint="eastAsia"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val="en-US" w:eastAsia="zh-CN"/>
        </w:rPr>
        <w:t>资金安排情况。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_GB2312"/>
          <w:b w:val="0"/>
          <w:bCs w:val="0"/>
          <w:kern w:val="2"/>
          <w:sz w:val="32"/>
          <w:szCs w:val="32"/>
          <w:lang w:val="en-US" w:eastAsia="zh-CN" w:bidi="ar-SA"/>
        </w:rPr>
      </w:pPr>
      <w:r>
        <w:rPr>
          <w:rFonts w:hint="eastAsia" w:ascii="仿宋" w:hAnsi="仿宋" w:eastAsia="仿宋" w:cs="仿宋_GB2312"/>
          <w:b w:val="0"/>
          <w:bCs w:val="0"/>
          <w:kern w:val="2"/>
          <w:sz w:val="32"/>
          <w:szCs w:val="32"/>
          <w:lang w:val="en-US" w:eastAsia="zh-CN" w:bidi="ar-SA"/>
        </w:rPr>
        <w:t>融媒体中心11个项目于2023年12月31日前全部实施完成，资金全部安排到位；所有资金按照财政分解下达计划支付到各服务对象</w:t>
      </w:r>
      <w:r>
        <w:rPr>
          <w:rFonts w:hint="default" w:ascii="仿宋" w:hAnsi="仿宋" w:eastAsia="仿宋" w:cs="仿宋_GB2312"/>
          <w:b w:val="0"/>
          <w:bCs w:val="0"/>
          <w:kern w:val="2"/>
          <w:sz w:val="32"/>
          <w:szCs w:val="32"/>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黑体" w:hAnsi="宋体" w:eastAsia="黑体" w:cs="宋体"/>
          <w:color w:val="000000"/>
          <w:kern w:val="0"/>
          <w:sz w:val="32"/>
          <w:szCs w:val="32"/>
          <w:shd w:val="clear" w:color="auto" w:fill="FFFFFF"/>
          <w:lang w:val="en-US" w:eastAsia="zh-CN"/>
        </w:rPr>
      </w:pPr>
      <w:r>
        <w:rPr>
          <w:rFonts w:hint="default" w:ascii="黑体" w:hAnsi="宋体" w:eastAsia="黑体" w:cs="宋体"/>
          <w:color w:val="000000"/>
          <w:kern w:val="0"/>
          <w:sz w:val="32"/>
          <w:szCs w:val="32"/>
          <w:shd w:val="clear" w:color="auto" w:fill="FFFFFF"/>
          <w:lang w:val="en-US" w:eastAsia="zh-CN"/>
        </w:rPr>
        <w:t>二、绩效目标完成情况分析</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（一）预算执行进度情况分析。</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val="0"/>
          <w:bCs w:val="0"/>
          <w:kern w:val="2"/>
          <w:sz w:val="32"/>
          <w:szCs w:val="32"/>
          <w:lang w:val="en-US" w:eastAsia="zh-CN" w:bidi="ar-SA"/>
        </w:rPr>
        <w:t>融媒体中心11个项目资金于2023年12月31日前全部支付完成；所有项目严格按照财政预算管理执行。</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（二）总体绩效目标完成情况分析。</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val="0"/>
          <w:bCs w:val="0"/>
          <w:kern w:val="2"/>
          <w:sz w:val="32"/>
          <w:szCs w:val="32"/>
          <w:lang w:val="en-US" w:eastAsia="zh-CN" w:bidi="ar-SA"/>
        </w:rPr>
        <w:t>2023年12月31日前全部完成。</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_GB2312"/>
          <w:b w:val="0"/>
          <w:bCs w:val="0"/>
          <w:kern w:val="2"/>
          <w:sz w:val="32"/>
          <w:szCs w:val="32"/>
          <w:lang w:val="en-US" w:eastAsia="zh-CN" w:bidi="ar-SA"/>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val="en-US" w:eastAsia="zh-CN"/>
        </w:rPr>
        <w:t>）绩效指标完成情况分析。</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_GB2312"/>
          <w:b w:val="0"/>
          <w:bCs w:val="0"/>
          <w:kern w:val="2"/>
          <w:sz w:val="32"/>
          <w:szCs w:val="32"/>
          <w:lang w:val="en-US" w:eastAsia="zh-CN" w:bidi="ar-SA"/>
        </w:rPr>
      </w:pPr>
      <w:r>
        <w:rPr>
          <w:rFonts w:hint="eastAsia" w:ascii="仿宋" w:hAnsi="仿宋" w:eastAsia="仿宋" w:cs="仿宋_GB2312"/>
          <w:b w:val="0"/>
          <w:bCs w:val="0"/>
          <w:kern w:val="2"/>
          <w:sz w:val="32"/>
          <w:szCs w:val="32"/>
          <w:lang w:val="en-US" w:eastAsia="zh-CN" w:bidi="ar-SA"/>
        </w:rPr>
        <w:t>2023年12月31日前全部完成。</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val="en-US" w:eastAsia="zh-CN"/>
        </w:rPr>
        <w:t>）项目效益分析。</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_GB2312"/>
          <w:b w:val="0"/>
          <w:bCs w:val="0"/>
          <w:kern w:val="2"/>
          <w:sz w:val="32"/>
          <w:szCs w:val="32"/>
          <w:lang w:val="en-US" w:eastAsia="zh-CN" w:bidi="ar-SA"/>
        </w:rPr>
      </w:pPr>
      <w:r>
        <w:rPr>
          <w:rFonts w:hint="eastAsia" w:ascii="仿宋" w:hAnsi="仿宋" w:eastAsia="仿宋" w:cs="仿宋_GB2312"/>
          <w:b w:val="0"/>
          <w:bCs w:val="0"/>
          <w:kern w:val="2"/>
          <w:sz w:val="32"/>
          <w:szCs w:val="32"/>
          <w:lang w:val="en-US" w:eastAsia="zh-CN" w:bidi="ar-SA"/>
        </w:rPr>
        <w:t>2023年12月31日前全部完成。</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_GB2312"/>
          <w:b w:val="0"/>
          <w:bCs w:val="0"/>
          <w:kern w:val="2"/>
          <w:sz w:val="32"/>
          <w:szCs w:val="32"/>
          <w:lang w:val="en-US" w:eastAsia="zh-CN" w:bidi="ar-SA"/>
        </w:rPr>
      </w:pPr>
      <w:r>
        <w:rPr>
          <w:rFonts w:hint="default" w:ascii="黑体" w:hAnsi="宋体" w:eastAsia="黑体" w:cs="宋体"/>
          <w:color w:val="000000"/>
          <w:kern w:val="0"/>
          <w:sz w:val="32"/>
          <w:szCs w:val="32"/>
          <w:shd w:val="clear" w:color="auto" w:fill="FFFFFF"/>
          <w:lang w:val="en-US" w:eastAsia="zh-CN"/>
        </w:rPr>
        <w:t>三、偏离绩效目标的原因和下一步改进措施</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_GB2312"/>
          <w:b w:val="0"/>
          <w:bCs w:val="0"/>
          <w:kern w:val="2"/>
          <w:sz w:val="32"/>
          <w:szCs w:val="32"/>
          <w:lang w:val="en-US" w:eastAsia="zh-CN" w:bidi="ar-SA"/>
        </w:rPr>
      </w:pPr>
      <w:r>
        <w:rPr>
          <w:rFonts w:hint="default" w:ascii="仿宋" w:hAnsi="仿宋" w:eastAsia="仿宋" w:cs="仿宋_GB2312"/>
          <w:b w:val="0"/>
          <w:bCs w:val="0"/>
          <w:kern w:val="2"/>
          <w:sz w:val="32"/>
          <w:szCs w:val="32"/>
          <w:lang w:val="en-US" w:eastAsia="zh-CN" w:bidi="ar-SA"/>
        </w:rPr>
        <w:t>在工作中，仍存在细节上的问题，工作不仔细，资金使用申报不及时，资料装档不完善规范、不及时。一年来，中心高度重视绩效工作，力求全面客观评价融媒体中心工作绩效情况，将继续加大工作力度，在探索中总结提升，在实践中规范完善，加强绩效管理，不断提升工作绩效，进一步发挥工作职能作用，为我县对外宣传工作作出更大贡献。</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黑体" w:hAnsi="宋体" w:eastAsia="黑体" w:cs="宋体"/>
          <w:color w:val="000000"/>
          <w:kern w:val="0"/>
          <w:sz w:val="32"/>
          <w:szCs w:val="32"/>
          <w:shd w:val="clear" w:color="auto" w:fill="FFFFFF"/>
          <w:lang w:val="en-US" w:eastAsia="zh-CN"/>
        </w:rPr>
      </w:pPr>
      <w:r>
        <w:rPr>
          <w:rFonts w:hint="default" w:ascii="黑体" w:hAnsi="宋体" w:eastAsia="黑体" w:cs="宋体"/>
          <w:color w:val="000000"/>
          <w:kern w:val="0"/>
          <w:sz w:val="32"/>
          <w:szCs w:val="32"/>
          <w:shd w:val="clear" w:color="auto" w:fill="FFFFFF"/>
          <w:lang w:val="en-US" w:eastAsia="zh-CN"/>
        </w:rPr>
        <w:t>四、绩效自评结果拟应用和公开情况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_GB2312"/>
          <w:b w:val="0"/>
          <w:bCs w:val="0"/>
          <w:kern w:val="2"/>
          <w:sz w:val="32"/>
          <w:szCs w:val="32"/>
          <w:lang w:val="en-US" w:eastAsia="zh-CN" w:bidi="ar-SA"/>
        </w:rPr>
      </w:pPr>
      <w:r>
        <w:rPr>
          <w:rFonts w:hint="eastAsia" w:ascii="仿宋" w:hAnsi="仿宋" w:eastAsia="仿宋" w:cs="仿宋_GB2312"/>
          <w:b w:val="0"/>
          <w:bCs w:val="0"/>
          <w:kern w:val="2"/>
          <w:sz w:val="32"/>
          <w:szCs w:val="32"/>
          <w:lang w:val="en-US" w:eastAsia="zh-CN" w:bidi="ar-SA"/>
        </w:rPr>
        <w:t>绩效自评结果严格按财政要求执行</w:t>
      </w:r>
      <w:r>
        <w:rPr>
          <w:rFonts w:hint="default" w:ascii="仿宋" w:hAnsi="仿宋" w:eastAsia="仿宋" w:cs="仿宋_GB2312"/>
          <w:b w:val="0"/>
          <w:bCs w:val="0"/>
          <w:kern w:val="2"/>
          <w:sz w:val="32"/>
          <w:szCs w:val="32"/>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黑体" w:hAnsi="宋体" w:eastAsia="黑体" w:cs="宋体"/>
          <w:color w:val="000000"/>
          <w:kern w:val="0"/>
          <w:sz w:val="32"/>
          <w:szCs w:val="32"/>
          <w:shd w:val="clear" w:color="auto" w:fill="FFFFFF"/>
          <w:lang w:val="en-US" w:eastAsia="zh-CN"/>
        </w:rPr>
      </w:pPr>
      <w:r>
        <w:rPr>
          <w:rFonts w:hint="default" w:ascii="黑体" w:hAnsi="宋体" w:eastAsia="黑体" w:cs="宋体"/>
          <w:color w:val="000000"/>
          <w:kern w:val="0"/>
          <w:sz w:val="32"/>
          <w:szCs w:val="32"/>
          <w:shd w:val="clear" w:color="auto" w:fill="FFFFFF"/>
          <w:lang w:val="en-US" w:eastAsia="zh-CN"/>
        </w:rPr>
        <w:t>五、其他需要说明的问题</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val="0"/>
          <w:bCs w:val="0"/>
          <w:kern w:val="2"/>
          <w:sz w:val="32"/>
          <w:szCs w:val="32"/>
          <w:lang w:val="en-US" w:eastAsia="zh-CN" w:bidi="ar-SA"/>
        </w:rPr>
        <w:t>无。</w:t>
      </w:r>
    </w:p>
    <w:p>
      <w:pPr>
        <w:pStyle w:val="8"/>
        <w:ind w:left="0" w:leftChars="0" w:firstLine="0" w:firstLineChars="0"/>
        <w:rPr>
          <w:rFonts w:hint="eastAsia" w:ascii="仿宋" w:hAnsi="仿宋" w:eastAsia="仿宋" w:cs="仿宋_GB2312"/>
          <w:b w:val="0"/>
          <w:bCs w:val="0"/>
          <w:kern w:val="2"/>
          <w:sz w:val="32"/>
          <w:szCs w:val="32"/>
          <w:lang w:val="en-US" w:eastAsia="zh-CN" w:bidi="ar-SA"/>
        </w:rPr>
      </w:pPr>
    </w:p>
    <w:p>
      <w:pPr>
        <w:ind w:firstLine="640" w:firstLineChars="200"/>
        <w:rPr>
          <w:rFonts w:hint="eastAsia" w:ascii="仿宋" w:hAnsi="仿宋" w:eastAsia="仿宋" w:cs="仿宋_GB2312"/>
          <w:b w:val="0"/>
          <w:bCs w:val="0"/>
          <w:kern w:val="2"/>
          <w:sz w:val="32"/>
          <w:szCs w:val="32"/>
          <w:lang w:val="en-US" w:eastAsia="zh-CN" w:bidi="ar-SA"/>
        </w:rPr>
      </w:pPr>
    </w:p>
    <w:p>
      <w:pPr>
        <w:ind w:firstLine="640" w:firstLineChars="200"/>
        <w:rPr>
          <w:rFonts w:hint="eastAsia" w:ascii="仿宋" w:hAnsi="仿宋" w:eastAsia="仿宋" w:cs="仿宋_GB2312"/>
          <w:b w:val="0"/>
          <w:bCs w:val="0"/>
          <w:kern w:val="2"/>
          <w:sz w:val="32"/>
          <w:szCs w:val="32"/>
          <w:lang w:val="en-US" w:eastAsia="zh-CN" w:bidi="ar-SA"/>
        </w:rPr>
      </w:pPr>
    </w:p>
    <w:p>
      <w:pPr>
        <w:ind w:firstLine="640" w:firstLineChars="200"/>
        <w:rPr>
          <w:rFonts w:hint="eastAsia" w:ascii="仿宋" w:hAnsi="仿宋" w:eastAsia="仿宋" w:cs="仿宋_GB2312"/>
          <w:b w:val="0"/>
          <w:bCs w:val="0"/>
          <w:kern w:val="2"/>
          <w:sz w:val="32"/>
          <w:szCs w:val="32"/>
          <w:lang w:val="en-US" w:eastAsia="zh-CN" w:bidi="ar-SA"/>
        </w:rPr>
      </w:pPr>
    </w:p>
    <w:p>
      <w:pPr>
        <w:ind w:firstLine="640" w:firstLineChars="200"/>
        <w:rPr>
          <w:rFonts w:hint="eastAsia" w:ascii="仿宋" w:hAnsi="仿宋" w:eastAsia="仿宋" w:cs="仿宋_GB2312"/>
          <w:b w:val="0"/>
          <w:bCs w:val="0"/>
          <w:kern w:val="2"/>
          <w:sz w:val="32"/>
          <w:szCs w:val="32"/>
          <w:lang w:val="en-US" w:eastAsia="zh-CN" w:bidi="ar-SA"/>
        </w:rPr>
      </w:pPr>
    </w:p>
    <w:p>
      <w:pPr>
        <w:ind w:firstLine="640" w:firstLineChars="200"/>
        <w:rPr>
          <w:rFonts w:hint="eastAsia" w:ascii="仿宋" w:hAnsi="仿宋" w:eastAsia="仿宋" w:cs="仿宋_GB2312"/>
          <w:b w:val="0"/>
          <w:bCs w:val="0"/>
          <w:kern w:val="2"/>
          <w:sz w:val="32"/>
          <w:szCs w:val="32"/>
          <w:lang w:val="en-US" w:eastAsia="zh-CN" w:bidi="ar-SA"/>
        </w:rPr>
      </w:pPr>
    </w:p>
    <w:p>
      <w:pPr>
        <w:ind w:firstLine="640" w:firstLineChars="200"/>
        <w:rPr>
          <w:rFonts w:hint="eastAsia" w:ascii="仿宋" w:hAnsi="仿宋" w:eastAsia="仿宋" w:cs="仿宋_GB2312"/>
          <w:b w:val="0"/>
          <w:bCs w:val="0"/>
          <w:kern w:val="2"/>
          <w:sz w:val="32"/>
          <w:szCs w:val="32"/>
          <w:lang w:val="en-US" w:eastAsia="zh-CN" w:bidi="ar-SA"/>
        </w:rPr>
      </w:pPr>
    </w:p>
    <w:p>
      <w:pPr>
        <w:pStyle w:val="2"/>
        <w:rPr>
          <w:rFonts w:hint="eastAsia" w:ascii="仿宋" w:hAnsi="仿宋" w:eastAsia="仿宋" w:cs="仿宋_GB2312"/>
          <w:b w:val="0"/>
          <w:bCs w:val="0"/>
          <w:kern w:val="2"/>
          <w:sz w:val="32"/>
          <w:szCs w:val="32"/>
          <w:lang w:val="en-US" w:eastAsia="zh-CN" w:bidi="ar-SA"/>
        </w:rPr>
      </w:pPr>
    </w:p>
    <w:p>
      <w:pPr>
        <w:pStyle w:val="2"/>
        <w:rPr>
          <w:rFonts w:hint="eastAsia" w:ascii="仿宋" w:hAnsi="仿宋" w:eastAsia="仿宋" w:cs="仿宋_GB2312"/>
          <w:b w:val="0"/>
          <w:bCs w:val="0"/>
          <w:kern w:val="2"/>
          <w:sz w:val="32"/>
          <w:szCs w:val="32"/>
          <w:lang w:val="en-US" w:eastAsia="zh-CN" w:bidi="ar-SA"/>
        </w:rPr>
      </w:pPr>
    </w:p>
    <w:p>
      <w:pPr>
        <w:ind w:firstLine="640" w:firstLineChars="200"/>
        <w:rPr>
          <w:rFonts w:hint="eastAsia" w:ascii="仿宋" w:hAnsi="仿宋" w:eastAsia="仿宋" w:cs="仿宋_GB2312"/>
          <w:b w:val="0"/>
          <w:bCs w:val="0"/>
          <w:kern w:val="2"/>
          <w:sz w:val="32"/>
          <w:szCs w:val="32"/>
          <w:lang w:val="zh-CN" w:eastAsia="zh-CN" w:bidi="ar-SA"/>
        </w:rPr>
      </w:pPr>
      <w:r>
        <w:rPr>
          <w:rFonts w:hint="eastAsia" w:ascii="仿宋" w:hAnsi="仿宋" w:eastAsia="仿宋" w:cs="仿宋_GB2312"/>
          <w:b w:val="0"/>
          <w:bCs w:val="0"/>
          <w:kern w:val="2"/>
          <w:sz w:val="32"/>
          <w:szCs w:val="32"/>
          <w:lang w:val="en-US" w:eastAsia="zh-CN" w:bidi="ar-SA"/>
        </w:rPr>
        <w:t>部门</w:t>
      </w:r>
      <w:r>
        <w:rPr>
          <w:rFonts w:hint="eastAsia" w:ascii="仿宋" w:hAnsi="仿宋" w:eastAsia="仿宋" w:cs="仿宋_GB2312"/>
          <w:b w:val="0"/>
          <w:bCs w:val="0"/>
          <w:kern w:val="2"/>
          <w:sz w:val="32"/>
          <w:szCs w:val="32"/>
          <w:lang w:val="zh-CN" w:eastAsia="zh-CN" w:bidi="ar-SA"/>
        </w:rPr>
        <w:t>预算项目支出绩效自评表（2023年度）</w:t>
      </w:r>
    </w:p>
    <w:p>
      <w:pPr>
        <w:pStyle w:val="16"/>
        <w:rPr>
          <w:rFonts w:hint="eastAsia" w:eastAsia="宋体"/>
          <w:lang w:eastAsia="zh-CN"/>
        </w:rPr>
      </w:pPr>
      <w:r>
        <w:drawing>
          <wp:inline distT="0" distB="0" distL="114300" distR="114300">
            <wp:extent cx="5271135" cy="6693535"/>
            <wp:effectExtent l="0" t="0" r="5715" b="1206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3"/>
                    <a:stretch>
                      <a:fillRect/>
                    </a:stretch>
                  </pic:blipFill>
                  <pic:spPr>
                    <a:xfrm>
                      <a:off x="0" y="0"/>
                      <a:ext cx="5271135" cy="6693535"/>
                    </a:xfrm>
                    <a:prstGeom prst="rect">
                      <a:avLst/>
                    </a:prstGeom>
                    <a:noFill/>
                    <a:ln>
                      <a:noFill/>
                    </a:ln>
                  </pic:spPr>
                </pic:pic>
              </a:graphicData>
            </a:graphic>
          </wp:inline>
        </w:drawing>
      </w:r>
      <w:r>
        <w:drawing>
          <wp:inline distT="0" distB="0" distL="114300" distR="114300">
            <wp:extent cx="5273675" cy="6583045"/>
            <wp:effectExtent l="0" t="0" r="3175" b="825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4"/>
                    <a:stretch>
                      <a:fillRect/>
                    </a:stretch>
                  </pic:blipFill>
                  <pic:spPr>
                    <a:xfrm>
                      <a:off x="0" y="0"/>
                      <a:ext cx="5273675" cy="6583045"/>
                    </a:xfrm>
                    <a:prstGeom prst="rect">
                      <a:avLst/>
                    </a:prstGeom>
                    <a:noFill/>
                    <a:ln>
                      <a:noFill/>
                    </a:ln>
                  </pic:spPr>
                </pic:pic>
              </a:graphicData>
            </a:graphic>
          </wp:inline>
        </w:drawing>
      </w:r>
      <w:r>
        <w:drawing>
          <wp:inline distT="0" distB="0" distL="114300" distR="114300">
            <wp:extent cx="5273675" cy="6543040"/>
            <wp:effectExtent l="0" t="0" r="3175" b="1016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5"/>
                    <a:stretch>
                      <a:fillRect/>
                    </a:stretch>
                  </pic:blipFill>
                  <pic:spPr>
                    <a:xfrm>
                      <a:off x="0" y="0"/>
                      <a:ext cx="5273675" cy="6543040"/>
                    </a:xfrm>
                    <a:prstGeom prst="rect">
                      <a:avLst/>
                    </a:prstGeom>
                    <a:noFill/>
                    <a:ln>
                      <a:noFill/>
                    </a:ln>
                  </pic:spPr>
                </pic:pic>
              </a:graphicData>
            </a:graphic>
          </wp:inline>
        </w:drawing>
      </w:r>
      <w:r>
        <w:drawing>
          <wp:inline distT="0" distB="0" distL="114300" distR="114300">
            <wp:extent cx="5269230" cy="6586855"/>
            <wp:effectExtent l="0" t="0" r="7620" b="444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6"/>
                    <a:stretch>
                      <a:fillRect/>
                    </a:stretch>
                  </pic:blipFill>
                  <pic:spPr>
                    <a:xfrm>
                      <a:off x="0" y="0"/>
                      <a:ext cx="5269230" cy="6586855"/>
                    </a:xfrm>
                    <a:prstGeom prst="rect">
                      <a:avLst/>
                    </a:prstGeom>
                    <a:noFill/>
                    <a:ln>
                      <a:noFill/>
                    </a:ln>
                  </pic:spPr>
                </pic:pic>
              </a:graphicData>
            </a:graphic>
          </wp:inline>
        </w:drawing>
      </w:r>
      <w:r>
        <w:drawing>
          <wp:inline distT="0" distB="0" distL="114300" distR="114300">
            <wp:extent cx="5269865" cy="6680835"/>
            <wp:effectExtent l="0" t="0" r="6985" b="571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7"/>
                    <a:stretch>
                      <a:fillRect/>
                    </a:stretch>
                  </pic:blipFill>
                  <pic:spPr>
                    <a:xfrm>
                      <a:off x="0" y="0"/>
                      <a:ext cx="5269865" cy="6680835"/>
                    </a:xfrm>
                    <a:prstGeom prst="rect">
                      <a:avLst/>
                    </a:prstGeom>
                    <a:noFill/>
                    <a:ln>
                      <a:noFill/>
                    </a:ln>
                  </pic:spPr>
                </pic:pic>
              </a:graphicData>
            </a:graphic>
          </wp:inline>
        </w:drawing>
      </w:r>
      <w:r>
        <w:drawing>
          <wp:inline distT="0" distB="0" distL="114300" distR="114300">
            <wp:extent cx="5269230" cy="6596380"/>
            <wp:effectExtent l="0" t="0" r="7620" b="1397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8"/>
                    <a:stretch>
                      <a:fillRect/>
                    </a:stretch>
                  </pic:blipFill>
                  <pic:spPr>
                    <a:xfrm>
                      <a:off x="0" y="0"/>
                      <a:ext cx="5269230" cy="6596380"/>
                    </a:xfrm>
                    <a:prstGeom prst="rect">
                      <a:avLst/>
                    </a:prstGeom>
                    <a:noFill/>
                    <a:ln>
                      <a:noFill/>
                    </a:ln>
                  </pic:spPr>
                </pic:pic>
              </a:graphicData>
            </a:graphic>
          </wp:inline>
        </w:drawing>
      </w:r>
      <w:r>
        <w:drawing>
          <wp:inline distT="0" distB="0" distL="114300" distR="114300">
            <wp:extent cx="5272405" cy="6544945"/>
            <wp:effectExtent l="0" t="0" r="4445" b="825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9"/>
                    <a:stretch>
                      <a:fillRect/>
                    </a:stretch>
                  </pic:blipFill>
                  <pic:spPr>
                    <a:xfrm>
                      <a:off x="0" y="0"/>
                      <a:ext cx="5272405" cy="6544945"/>
                    </a:xfrm>
                    <a:prstGeom prst="rect">
                      <a:avLst/>
                    </a:prstGeom>
                    <a:noFill/>
                    <a:ln>
                      <a:noFill/>
                    </a:ln>
                  </pic:spPr>
                </pic:pic>
              </a:graphicData>
            </a:graphic>
          </wp:inline>
        </w:drawing>
      </w:r>
      <w:r>
        <w:drawing>
          <wp:inline distT="0" distB="0" distL="114300" distR="114300">
            <wp:extent cx="5273675" cy="6555740"/>
            <wp:effectExtent l="0" t="0" r="3175" b="1651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0"/>
                    <a:stretch>
                      <a:fillRect/>
                    </a:stretch>
                  </pic:blipFill>
                  <pic:spPr>
                    <a:xfrm>
                      <a:off x="0" y="0"/>
                      <a:ext cx="5273675" cy="6555740"/>
                    </a:xfrm>
                    <a:prstGeom prst="rect">
                      <a:avLst/>
                    </a:prstGeom>
                    <a:noFill/>
                    <a:ln>
                      <a:noFill/>
                    </a:ln>
                  </pic:spPr>
                </pic:pic>
              </a:graphicData>
            </a:graphic>
          </wp:inline>
        </w:drawing>
      </w:r>
    </w:p>
    <w:p>
      <w:pPr>
        <w:pStyle w:val="16"/>
      </w:pPr>
    </w:p>
    <w:p>
      <w:pPr>
        <w:pStyle w:val="16"/>
      </w:pPr>
    </w:p>
    <w:p>
      <w:pPr>
        <w:pStyle w:val="16"/>
      </w:pPr>
    </w:p>
    <w:p>
      <w:pPr>
        <w:pStyle w:val="16"/>
        <w:jc w:val="both"/>
      </w:pPr>
    </w:p>
    <w:p>
      <w:pPr>
        <w:pStyle w:val="16"/>
        <w:jc w:val="both"/>
      </w:pPr>
    </w:p>
    <w:p>
      <w:pPr>
        <w:pStyle w:val="3"/>
        <w:jc w:val="center"/>
        <w:rPr>
          <w:rFonts w:ascii="黑体" w:hAnsi="黑体" w:eastAsia="黑体"/>
        </w:rPr>
      </w:pPr>
      <w:bookmarkStart w:id="69" w:name="_Toc22013"/>
      <w:r>
        <w:rPr>
          <w:rFonts w:hint="eastAsia" w:ascii="黑体" w:hAnsi="黑体" w:eastAsia="黑体"/>
        </w:rPr>
        <w:t>第五部分 附表</w:t>
      </w:r>
      <w:bookmarkEnd w:id="69"/>
    </w:p>
    <w:p>
      <w:pPr>
        <w:rPr>
          <w:rFonts w:ascii="仿宋" w:hAnsi="仿宋" w:eastAsia="仿宋"/>
          <w:sz w:val="32"/>
          <w:szCs w:val="32"/>
        </w:rPr>
      </w:pPr>
      <w:r>
        <w:rPr>
          <w:rFonts w:hint="eastAsia" w:ascii="仿宋" w:hAnsi="仿宋" w:eastAsia="仿宋"/>
          <w:sz w:val="32"/>
          <w:szCs w:val="32"/>
        </w:rPr>
        <w:t>一、收入支出决算总表</w:t>
      </w:r>
    </w:p>
    <w:p>
      <w:pPr>
        <w:rPr>
          <w:rFonts w:ascii="仿宋" w:hAnsi="仿宋" w:eastAsia="仿宋"/>
          <w:sz w:val="32"/>
          <w:szCs w:val="32"/>
        </w:rPr>
      </w:pPr>
      <w:r>
        <w:rPr>
          <w:rFonts w:hint="eastAsia" w:ascii="仿宋" w:hAnsi="仿宋" w:eastAsia="仿宋"/>
          <w:sz w:val="32"/>
          <w:szCs w:val="32"/>
        </w:rPr>
        <w:t>二、收入决算表</w:t>
      </w:r>
    </w:p>
    <w:p>
      <w:pPr>
        <w:rPr>
          <w:rFonts w:ascii="仿宋" w:hAnsi="仿宋" w:eastAsia="仿宋"/>
          <w:sz w:val="32"/>
          <w:szCs w:val="32"/>
        </w:rPr>
      </w:pPr>
      <w:r>
        <w:rPr>
          <w:rFonts w:hint="eastAsia" w:ascii="仿宋" w:hAnsi="仿宋" w:eastAsia="仿宋"/>
          <w:sz w:val="32"/>
          <w:szCs w:val="32"/>
        </w:rPr>
        <w:t>三、支出决算表</w:t>
      </w:r>
    </w:p>
    <w:p>
      <w:pPr>
        <w:rPr>
          <w:rFonts w:ascii="仿宋" w:hAnsi="仿宋" w:eastAsia="仿宋"/>
          <w:sz w:val="32"/>
          <w:szCs w:val="32"/>
        </w:rPr>
      </w:pPr>
      <w:r>
        <w:rPr>
          <w:rFonts w:hint="eastAsia" w:ascii="仿宋" w:hAnsi="仿宋" w:eastAsia="仿宋"/>
          <w:sz w:val="32"/>
          <w:szCs w:val="32"/>
        </w:rPr>
        <w:t>四、财政拨款收入支出决算总表</w:t>
      </w:r>
    </w:p>
    <w:p>
      <w:pPr>
        <w:rPr>
          <w:rFonts w:ascii="仿宋" w:hAnsi="仿宋" w:eastAsia="仿宋"/>
          <w:sz w:val="32"/>
          <w:szCs w:val="32"/>
        </w:rPr>
      </w:pPr>
      <w:r>
        <w:rPr>
          <w:rFonts w:hint="eastAsia" w:ascii="仿宋" w:hAnsi="仿宋" w:eastAsia="仿宋"/>
          <w:sz w:val="32"/>
          <w:szCs w:val="32"/>
        </w:rPr>
        <w:t>五、财政拨款支出决算明细表</w:t>
      </w:r>
    </w:p>
    <w:p>
      <w:pPr>
        <w:rPr>
          <w:rFonts w:ascii="仿宋" w:hAnsi="仿宋" w:eastAsia="仿宋"/>
          <w:sz w:val="32"/>
          <w:szCs w:val="32"/>
        </w:rPr>
      </w:pPr>
      <w:r>
        <w:rPr>
          <w:rFonts w:hint="eastAsia" w:ascii="仿宋" w:hAnsi="仿宋" w:eastAsia="仿宋"/>
          <w:sz w:val="32"/>
          <w:szCs w:val="32"/>
        </w:rPr>
        <w:t>六、一般公共预算财政拨款支出决算表</w:t>
      </w:r>
    </w:p>
    <w:p>
      <w:pPr>
        <w:rPr>
          <w:rFonts w:ascii="仿宋" w:hAnsi="仿宋" w:eastAsia="仿宋"/>
          <w:sz w:val="32"/>
          <w:szCs w:val="32"/>
        </w:rPr>
      </w:pPr>
      <w:r>
        <w:rPr>
          <w:rFonts w:hint="eastAsia" w:ascii="仿宋" w:hAnsi="仿宋" w:eastAsia="仿宋"/>
          <w:sz w:val="32"/>
          <w:szCs w:val="32"/>
        </w:rPr>
        <w:t>七、一般公共预算财政拨款支出决算明细表</w:t>
      </w:r>
    </w:p>
    <w:p>
      <w:pPr>
        <w:rPr>
          <w:rFonts w:ascii="仿宋" w:hAnsi="仿宋" w:eastAsia="仿宋"/>
          <w:sz w:val="32"/>
          <w:szCs w:val="32"/>
        </w:rPr>
      </w:pPr>
      <w:r>
        <w:rPr>
          <w:rFonts w:hint="eastAsia" w:ascii="仿宋" w:hAnsi="仿宋" w:eastAsia="仿宋"/>
          <w:sz w:val="32"/>
          <w:szCs w:val="32"/>
        </w:rPr>
        <w:t>八、一般公共预算财政拨款基本支出决算表</w:t>
      </w:r>
    </w:p>
    <w:p>
      <w:pPr>
        <w:rPr>
          <w:rFonts w:ascii="仿宋" w:hAnsi="仿宋" w:eastAsia="仿宋"/>
          <w:sz w:val="32"/>
          <w:szCs w:val="32"/>
        </w:rPr>
      </w:pPr>
      <w:r>
        <w:rPr>
          <w:rFonts w:hint="eastAsia" w:ascii="仿宋" w:hAnsi="仿宋" w:eastAsia="仿宋"/>
          <w:sz w:val="32"/>
          <w:szCs w:val="32"/>
        </w:rPr>
        <w:t>九、一般公共预算财政拨款项目支出决算表</w:t>
      </w:r>
    </w:p>
    <w:p>
      <w:pPr>
        <w:rPr>
          <w:rFonts w:ascii="仿宋" w:hAnsi="仿宋" w:eastAsia="仿宋"/>
          <w:sz w:val="32"/>
          <w:szCs w:val="32"/>
        </w:rPr>
      </w:pPr>
      <w:r>
        <w:rPr>
          <w:rFonts w:hint="eastAsia" w:ascii="仿宋" w:hAnsi="仿宋" w:eastAsia="仿宋"/>
          <w:sz w:val="32"/>
          <w:szCs w:val="32"/>
        </w:rPr>
        <w:t>十、政府性基金预算财政拨款收入支出决算表</w:t>
      </w:r>
    </w:p>
    <w:p>
      <w:pPr>
        <w:rPr>
          <w:rFonts w:ascii="仿宋" w:hAnsi="仿宋" w:eastAsia="仿宋"/>
          <w:sz w:val="32"/>
          <w:szCs w:val="32"/>
        </w:rPr>
      </w:pPr>
      <w:r>
        <w:rPr>
          <w:rFonts w:hint="eastAsia" w:ascii="仿宋" w:hAnsi="仿宋" w:eastAsia="仿宋"/>
          <w:sz w:val="32"/>
          <w:szCs w:val="32"/>
        </w:rPr>
        <w:t>十一、国有资本经营预算财政拨款收入支出决算表</w:t>
      </w:r>
    </w:p>
    <w:p>
      <w:pPr>
        <w:rPr>
          <w:rFonts w:ascii="仿宋" w:hAnsi="仿宋" w:eastAsia="仿宋"/>
          <w:sz w:val="32"/>
          <w:szCs w:val="32"/>
        </w:rPr>
      </w:pPr>
      <w:r>
        <w:rPr>
          <w:rFonts w:hint="eastAsia" w:ascii="仿宋" w:hAnsi="仿宋" w:eastAsia="仿宋"/>
          <w:sz w:val="32"/>
          <w:szCs w:val="32"/>
        </w:rPr>
        <w:t>十二、国有资本经营预算财政拨款支出决算表</w:t>
      </w:r>
    </w:p>
    <w:p>
      <w:pPr>
        <w:rPr>
          <w:rFonts w:ascii="仿宋" w:hAnsi="仿宋" w:eastAsia="仿宋"/>
          <w:sz w:val="32"/>
          <w:szCs w:val="32"/>
        </w:rPr>
      </w:pPr>
      <w:r>
        <w:rPr>
          <w:rFonts w:hint="eastAsia" w:ascii="仿宋" w:hAnsi="仿宋" w:eastAsia="仿宋"/>
          <w:sz w:val="32"/>
          <w:szCs w:val="32"/>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23</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F5661483"/>
    <w:multiLevelType w:val="singleLevel"/>
    <w:tmpl w:val="F5661483"/>
    <w:lvl w:ilvl="0" w:tentative="0">
      <w:start w:val="3"/>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F1BFA2F"/>
    <w:multiLevelType w:val="singleLevel"/>
    <w:tmpl w:val="1F1BFA2F"/>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3OGMyZjVkMTA1N2VmODhlZTk4OWVhNGU3NDZlYTE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36F8141"/>
    <w:rsid w:val="03AE5AF6"/>
    <w:rsid w:val="060A39E3"/>
    <w:rsid w:val="066E0107"/>
    <w:rsid w:val="07750C02"/>
    <w:rsid w:val="07800221"/>
    <w:rsid w:val="07996F6E"/>
    <w:rsid w:val="07C40649"/>
    <w:rsid w:val="07DFD8BA"/>
    <w:rsid w:val="08BE5370"/>
    <w:rsid w:val="09884B63"/>
    <w:rsid w:val="0A2032A3"/>
    <w:rsid w:val="0A651F54"/>
    <w:rsid w:val="0BA84D24"/>
    <w:rsid w:val="0BAE5DEF"/>
    <w:rsid w:val="0D35B1ED"/>
    <w:rsid w:val="0E7ED1F5"/>
    <w:rsid w:val="0F98263C"/>
    <w:rsid w:val="101860EC"/>
    <w:rsid w:val="10C055FF"/>
    <w:rsid w:val="118107EC"/>
    <w:rsid w:val="13D50BC4"/>
    <w:rsid w:val="13F5616D"/>
    <w:rsid w:val="149F4D92"/>
    <w:rsid w:val="1609536C"/>
    <w:rsid w:val="16BB723D"/>
    <w:rsid w:val="17F9714D"/>
    <w:rsid w:val="18590F5D"/>
    <w:rsid w:val="1918F934"/>
    <w:rsid w:val="19205D5A"/>
    <w:rsid w:val="1BE8440E"/>
    <w:rsid w:val="1C511DFD"/>
    <w:rsid w:val="1D155CEE"/>
    <w:rsid w:val="1DFBC4B3"/>
    <w:rsid w:val="1E740ACF"/>
    <w:rsid w:val="1F19C781"/>
    <w:rsid w:val="1F33FCE5"/>
    <w:rsid w:val="1F7F7398"/>
    <w:rsid w:val="1FD2DB6F"/>
    <w:rsid w:val="1FF35744"/>
    <w:rsid w:val="1FF6BC77"/>
    <w:rsid w:val="1FF9236D"/>
    <w:rsid w:val="201347DA"/>
    <w:rsid w:val="21B46321"/>
    <w:rsid w:val="21FD6742"/>
    <w:rsid w:val="226E5C1B"/>
    <w:rsid w:val="228B1143"/>
    <w:rsid w:val="2333840E"/>
    <w:rsid w:val="23860B96"/>
    <w:rsid w:val="240371BF"/>
    <w:rsid w:val="246E5471"/>
    <w:rsid w:val="257C638F"/>
    <w:rsid w:val="273A3B97"/>
    <w:rsid w:val="29FD04D3"/>
    <w:rsid w:val="2BFF7BC6"/>
    <w:rsid w:val="2C8A61B5"/>
    <w:rsid w:val="2CD59C95"/>
    <w:rsid w:val="2DF04E50"/>
    <w:rsid w:val="2EFD05E5"/>
    <w:rsid w:val="2F040D46"/>
    <w:rsid w:val="2F4F95CE"/>
    <w:rsid w:val="2FACAFDD"/>
    <w:rsid w:val="2FAE5751"/>
    <w:rsid w:val="2FB1A395"/>
    <w:rsid w:val="2FCF0B76"/>
    <w:rsid w:val="2FD9A7D8"/>
    <w:rsid w:val="30226B4B"/>
    <w:rsid w:val="3052562F"/>
    <w:rsid w:val="30EB53B7"/>
    <w:rsid w:val="319F7F4E"/>
    <w:rsid w:val="326102F0"/>
    <w:rsid w:val="329B0704"/>
    <w:rsid w:val="3304709D"/>
    <w:rsid w:val="33095EE6"/>
    <w:rsid w:val="342F5521"/>
    <w:rsid w:val="34332CEF"/>
    <w:rsid w:val="347E1018"/>
    <w:rsid w:val="357155C0"/>
    <w:rsid w:val="35DD4E6A"/>
    <w:rsid w:val="36AA5135"/>
    <w:rsid w:val="36BA6509"/>
    <w:rsid w:val="36BE0DA7"/>
    <w:rsid w:val="376B6AA6"/>
    <w:rsid w:val="376D39B2"/>
    <w:rsid w:val="37967677"/>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6EC0A1"/>
    <w:rsid w:val="3CDB0824"/>
    <w:rsid w:val="3CEBA265"/>
    <w:rsid w:val="3D2F35CF"/>
    <w:rsid w:val="3D6A7F9F"/>
    <w:rsid w:val="3D7E7F4D"/>
    <w:rsid w:val="3D98207C"/>
    <w:rsid w:val="3D9CF30A"/>
    <w:rsid w:val="3DFF5A3E"/>
    <w:rsid w:val="3E78745D"/>
    <w:rsid w:val="3EEE77E9"/>
    <w:rsid w:val="3F394AF5"/>
    <w:rsid w:val="3FBE5714"/>
    <w:rsid w:val="3FDD8615"/>
    <w:rsid w:val="3FDFB2FF"/>
    <w:rsid w:val="3FF4CAE0"/>
    <w:rsid w:val="3FF75FAF"/>
    <w:rsid w:val="3FF7B227"/>
    <w:rsid w:val="42630502"/>
    <w:rsid w:val="44E268DA"/>
    <w:rsid w:val="457F4F6B"/>
    <w:rsid w:val="45FB75BC"/>
    <w:rsid w:val="4737FB58"/>
    <w:rsid w:val="47ECCB02"/>
    <w:rsid w:val="47FA6A3F"/>
    <w:rsid w:val="490D16BC"/>
    <w:rsid w:val="49AF356D"/>
    <w:rsid w:val="49D7AE48"/>
    <w:rsid w:val="4A3F6C7E"/>
    <w:rsid w:val="4A627F82"/>
    <w:rsid w:val="4B0E749A"/>
    <w:rsid w:val="4B4F25DA"/>
    <w:rsid w:val="4BBB4781"/>
    <w:rsid w:val="4BD709A5"/>
    <w:rsid w:val="4BDD9BFF"/>
    <w:rsid w:val="4BE068DB"/>
    <w:rsid w:val="4D577224"/>
    <w:rsid w:val="4DBF1CEB"/>
    <w:rsid w:val="4DBF6A6B"/>
    <w:rsid w:val="4DF6A672"/>
    <w:rsid w:val="4EAB630A"/>
    <w:rsid w:val="4ECE2238"/>
    <w:rsid w:val="4F33150C"/>
    <w:rsid w:val="4F79793A"/>
    <w:rsid w:val="4F7EA413"/>
    <w:rsid w:val="4FAB812F"/>
    <w:rsid w:val="4FE9BD67"/>
    <w:rsid w:val="4FEE4C07"/>
    <w:rsid w:val="4FFB052F"/>
    <w:rsid w:val="51957310"/>
    <w:rsid w:val="52CE2FB0"/>
    <w:rsid w:val="537E6D0A"/>
    <w:rsid w:val="53AB6B88"/>
    <w:rsid w:val="53F74C96"/>
    <w:rsid w:val="5583522D"/>
    <w:rsid w:val="56B539C6"/>
    <w:rsid w:val="56C87742"/>
    <w:rsid w:val="57BD3DD4"/>
    <w:rsid w:val="57F9CD1E"/>
    <w:rsid w:val="589D503F"/>
    <w:rsid w:val="5ABA77FD"/>
    <w:rsid w:val="5AF92295"/>
    <w:rsid w:val="5AF9D8E9"/>
    <w:rsid w:val="5BDD38BD"/>
    <w:rsid w:val="5BDD79E6"/>
    <w:rsid w:val="5BEFC772"/>
    <w:rsid w:val="5BFF5DFC"/>
    <w:rsid w:val="5CD71FC4"/>
    <w:rsid w:val="5D1F11B5"/>
    <w:rsid w:val="5D3647F9"/>
    <w:rsid w:val="5DA644D4"/>
    <w:rsid w:val="5DAE1B18"/>
    <w:rsid w:val="5DE7D9E5"/>
    <w:rsid w:val="5ECEC941"/>
    <w:rsid w:val="5EFF8FC6"/>
    <w:rsid w:val="5F5BA39A"/>
    <w:rsid w:val="5F5C5070"/>
    <w:rsid w:val="5F7D3B79"/>
    <w:rsid w:val="5F7F4610"/>
    <w:rsid w:val="5FBF9FF3"/>
    <w:rsid w:val="5FCD4E2C"/>
    <w:rsid w:val="5FE67ED7"/>
    <w:rsid w:val="5FEF394A"/>
    <w:rsid w:val="5FF67715"/>
    <w:rsid w:val="617E3C11"/>
    <w:rsid w:val="61CA71D5"/>
    <w:rsid w:val="627EE9EA"/>
    <w:rsid w:val="62D0393D"/>
    <w:rsid w:val="63B23AA5"/>
    <w:rsid w:val="63EC47BC"/>
    <w:rsid w:val="647F5392"/>
    <w:rsid w:val="64E322C4"/>
    <w:rsid w:val="65FB93B9"/>
    <w:rsid w:val="6633C463"/>
    <w:rsid w:val="66C76BCB"/>
    <w:rsid w:val="6716778B"/>
    <w:rsid w:val="67D55B77"/>
    <w:rsid w:val="67EE7F84"/>
    <w:rsid w:val="680A1FE4"/>
    <w:rsid w:val="686F5F53"/>
    <w:rsid w:val="6AFFCEAF"/>
    <w:rsid w:val="6B96E9E6"/>
    <w:rsid w:val="6BCE57B5"/>
    <w:rsid w:val="6BFEA4DB"/>
    <w:rsid w:val="6BFFB662"/>
    <w:rsid w:val="6C4A05C8"/>
    <w:rsid w:val="6CFF4FB8"/>
    <w:rsid w:val="6D6BD6E0"/>
    <w:rsid w:val="6D77E73C"/>
    <w:rsid w:val="6D9C0F27"/>
    <w:rsid w:val="6DBF5E93"/>
    <w:rsid w:val="6DFF077E"/>
    <w:rsid w:val="6E7E3605"/>
    <w:rsid w:val="6E7FDCC7"/>
    <w:rsid w:val="6ED6A62E"/>
    <w:rsid w:val="6EE00B15"/>
    <w:rsid w:val="6EE737B2"/>
    <w:rsid w:val="6EEB2329"/>
    <w:rsid w:val="6EECE67A"/>
    <w:rsid w:val="6F6F90A8"/>
    <w:rsid w:val="6F6FB3EB"/>
    <w:rsid w:val="6F8731EA"/>
    <w:rsid w:val="6F9A5A96"/>
    <w:rsid w:val="6FBC2ADD"/>
    <w:rsid w:val="6FD57C00"/>
    <w:rsid w:val="6FEFFFD8"/>
    <w:rsid w:val="6FF5CC65"/>
    <w:rsid w:val="6FFB47EC"/>
    <w:rsid w:val="6FFF034A"/>
    <w:rsid w:val="712A28F1"/>
    <w:rsid w:val="715C0E4B"/>
    <w:rsid w:val="71FFD401"/>
    <w:rsid w:val="72233669"/>
    <w:rsid w:val="72734D90"/>
    <w:rsid w:val="7332FE48"/>
    <w:rsid w:val="73AD73D5"/>
    <w:rsid w:val="73B6EB34"/>
    <w:rsid w:val="73FA497D"/>
    <w:rsid w:val="744731E5"/>
    <w:rsid w:val="74A65CA8"/>
    <w:rsid w:val="74B4028C"/>
    <w:rsid w:val="74BBD01D"/>
    <w:rsid w:val="74ED5379"/>
    <w:rsid w:val="74F43AA6"/>
    <w:rsid w:val="75DEEEC2"/>
    <w:rsid w:val="767F479D"/>
    <w:rsid w:val="76E3355F"/>
    <w:rsid w:val="76F742AF"/>
    <w:rsid w:val="76F7BE7D"/>
    <w:rsid w:val="76FB4FEE"/>
    <w:rsid w:val="76FF5125"/>
    <w:rsid w:val="773570D3"/>
    <w:rsid w:val="77597F31"/>
    <w:rsid w:val="77675E69"/>
    <w:rsid w:val="776F6FFA"/>
    <w:rsid w:val="7777A522"/>
    <w:rsid w:val="77858688"/>
    <w:rsid w:val="778769C8"/>
    <w:rsid w:val="77CB741A"/>
    <w:rsid w:val="77D7BE3A"/>
    <w:rsid w:val="77DC22F5"/>
    <w:rsid w:val="77E12332"/>
    <w:rsid w:val="794600D2"/>
    <w:rsid w:val="797E3A6C"/>
    <w:rsid w:val="79CF70E2"/>
    <w:rsid w:val="79D7FD79"/>
    <w:rsid w:val="79E75806"/>
    <w:rsid w:val="79EE5BA4"/>
    <w:rsid w:val="7A641148"/>
    <w:rsid w:val="7A6F8BF5"/>
    <w:rsid w:val="7A894339"/>
    <w:rsid w:val="7ACF82B5"/>
    <w:rsid w:val="7AFF28C9"/>
    <w:rsid w:val="7AFF72A0"/>
    <w:rsid w:val="7AFF7572"/>
    <w:rsid w:val="7B1D3764"/>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250AE3"/>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szCs w:val="24"/>
    </w:r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Title"/>
    <w:basedOn w:val="1"/>
    <w:qFormat/>
    <w:uiPriority w:val="99"/>
    <w:pPr>
      <w:spacing w:before="240" w:after="60"/>
      <w:jc w:val="center"/>
      <w:outlineLvl w:val="0"/>
    </w:pPr>
    <w:rPr>
      <w:rFonts w:ascii="Arial" w:hAnsi="Arial" w:cs="Arial"/>
      <w:b/>
      <w:bCs/>
      <w:sz w:val="32"/>
      <w:szCs w:val="32"/>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3"/>
    <w:qFormat/>
    <w:uiPriority w:val="9"/>
    <w:rPr>
      <w:rFonts w:ascii="Times New Roman" w:hAnsi="Times New Roman"/>
      <w:b/>
      <w:bCs/>
      <w:kern w:val="44"/>
      <w:sz w:val="44"/>
      <w:szCs w:val="44"/>
    </w:rPr>
  </w:style>
  <w:style w:type="character" w:customStyle="1" w:styleId="31">
    <w:name w:val="标题 2 字符"/>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10"/>
    <w:semiHidden/>
    <w:qFormat/>
    <w:uiPriority w:val="99"/>
    <w:rPr>
      <w:rFonts w:ascii="Times New Roman" w:hAnsi="Times New Roman"/>
      <w:kern w:val="2"/>
      <w:sz w:val="18"/>
      <w:szCs w:val="18"/>
    </w:rPr>
  </w:style>
  <w:style w:type="character" w:customStyle="1" w:styleId="34">
    <w:name w:val="标题 3 字符"/>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7792;&#24029;&#21439;&#34701;&#23186;&#20307;&#20013;&#24515;\&#38468;&#20214;2.5-&#20316;&#21442;&#32771;&#65306;&#39292;&#29366;&#65288;&#30452;&#26041;&#65289;&#22270;&#32472;&#21046;&#26041;&#2786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7792;&#24029;&#21439;&#34701;&#23186;&#20307;&#20013;&#24515;\&#38468;&#20214;2.5-&#20316;&#21442;&#32771;&#65306;&#39292;&#29366;&#65288;&#30452;&#26041;&#65289;&#22270;&#32472;&#21046;&#26041;&#2786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7792;&#24029;&#21439;&#34701;&#23186;&#20307;&#20013;&#24515;\&#38468;&#20214;2.5-&#20316;&#21442;&#32771;&#65306;&#39292;&#29366;&#65288;&#30452;&#26041;&#65289;&#22270;&#32472;&#21046;&#26041;&#2786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7792;&#24029;&#21439;&#34701;&#23186;&#20307;&#20013;&#24515;\&#38468;&#20214;2.5-&#20316;&#21442;&#32771;&#65306;&#39292;&#29366;&#65288;&#30452;&#26041;&#65289;&#22270;&#32472;&#21046;&#26041;&#2786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7792;&#24029;&#21439;&#34701;&#23186;&#20307;&#20013;&#24515;\&#38468;&#20214;2.5-&#20316;&#21442;&#32771;&#65306;&#39292;&#29366;&#65288;&#30452;&#26041;&#65289;&#22270;&#32472;&#21046;&#26041;&#2786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7792;&#24029;&#21439;&#34701;&#23186;&#20307;&#20013;&#24515;\&#38468;&#20214;2.5-&#20316;&#21442;&#32771;&#65306;&#39292;&#29366;&#65288;&#30452;&#26041;&#65289;&#22270;&#32472;&#21046;&#26041;&#2786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7792;&#24029;&#21439;&#34701;&#23186;&#20307;&#20013;&#24515;\&#38468;&#20214;2.5-&#20316;&#21442;&#32771;&#65306;&#39292;&#29366;&#65288;&#30452;&#26041;&#65289;&#22270;&#32472;&#21046;&#26041;&#2786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1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沐川县融媒体中心收、支决算总计变动情况</a:t>
            </a:r>
            <a:endParaRPr sz="1100"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2013201320132"/>
          <c:y val="0.0290909090909091"/>
        </c:manualLayout>
      </c:layout>
      <c:overlay val="0"/>
      <c:spPr>
        <a:noFill/>
        <a:ln w="3175">
          <a:noFill/>
        </a:ln>
      </c:spPr>
    </c:title>
    <c:autoTitleDeleted val="0"/>
    <c:plotArea>
      <c:layout/>
      <c:barChart>
        <c:barDir val="col"/>
        <c:grouping val="clustered"/>
        <c:varyColors val="0"/>
        <c:ser>
          <c:idx val="0"/>
          <c:order val="0"/>
          <c:tx>
            <c:strRef>
              <c:f>'[附件2.5-作参考：饼状（直方）图绘制方法.xls]收支决算总计变动情况-图1'!$A$4</c:f>
              <c:strCache>
                <c:ptCount val="1"/>
                <c:pt idx="0">
                  <c:v>沐川县财政局收、支决算总计变动情况</c:v>
                </c:pt>
              </c:strCache>
            </c:strRef>
          </c:tx>
          <c:spPr>
            <a:solidFill>
              <a:srgbClr val="9999FF">
                <a:alpha val="100000"/>
              </a:srgbClr>
            </a:solidFill>
            <a:ln w="12700">
              <a:solidFill>
                <a:srgbClr val="000000">
                  <a:alpha val="100000"/>
                </a:srgbClr>
              </a:solidFill>
              <a:prstDash val="solid"/>
            </a:ln>
          </c:spPr>
          <c:invertIfNegative val="0"/>
          <c:dLbls>
            <c:dLbl>
              <c:idx val="0"/>
              <c:layout>
                <c:manualLayout>
                  <c:x val="0.00176132013201321"/>
                  <c:y val="0.223000242424242"/>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968726072607265"/>
                  <c:y val="0.342968727272727"/>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'[附件2.5-作参考：饼状（直方）图绘制方法.xls]收支决算总计变动情况-图1'!$A$1:$B$1</c:f>
              <c:strCache>
                <c:ptCount val="2"/>
                <c:pt idx="0">
                  <c:v>2022年收支</c:v>
                </c:pt>
                <c:pt idx="1">
                  <c:v>2023年收支</c:v>
                </c:pt>
              </c:strCache>
            </c:strRef>
          </c:cat>
          <c:val>
            <c:numRef>
              <c:f>'[附件2.5-作参考：饼状（直方）图绘制方法.xls]收支决算总计变动情况-图1'!$A$2:$B$2</c:f>
              <c:numCache>
                <c:formatCode>General</c:formatCode>
                <c:ptCount val="2"/>
                <c:pt idx="0">
                  <c:v>679.01</c:v>
                </c:pt>
                <c:pt idx="1">
                  <c:v>872.19</c:v>
                </c:pt>
              </c:numCache>
            </c:numRef>
          </c:val>
        </c:ser>
        <c:dLbls>
          <c:showLegendKey val="0"/>
          <c:showVal val="0"/>
          <c:showCatName val="0"/>
          <c:showSerName val="0"/>
          <c:showPercent val="0"/>
          <c:showBubbleSize val="0"/>
        </c:dLbls>
        <c:gapWidth val="150"/>
        <c:overlap val="0"/>
        <c:axId val="869341299"/>
        <c:axId val="699337838"/>
      </c:barChart>
      <c:catAx>
        <c:axId val="869341299"/>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699337838"/>
        <c:crosses val="autoZero"/>
        <c:auto val="1"/>
        <c:lblAlgn val="ctr"/>
        <c:lblOffset val="100"/>
        <c:noMultiLvlLbl val="0"/>
      </c:catAx>
      <c:valAx>
        <c:axId val="699337838"/>
        <c:scaling>
          <c:orientation val="minMax"/>
        </c:scaling>
        <c:delete val="0"/>
        <c:axPos val="l"/>
        <c:majorGridlines>
          <c:spPr>
            <a:ln w="3175" cap="flat" cmpd="sng" algn="ctr">
              <a:solidFill>
                <a:srgbClr val="000000">
                  <a:alpha val="100000"/>
                </a:srgbClr>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869341299"/>
        <c:crosses val="autoZero"/>
        <c:crossBetween val="between"/>
      </c:valAx>
      <c:spPr>
        <a:solidFill>
          <a:srgbClr val="C0C0C0">
            <a:alpha val="100000"/>
          </a:srgbClr>
        </a:solidFill>
        <a:ln w="12700">
          <a:solidFill>
            <a:srgbClr val="808080">
              <a:alpha val="100000"/>
            </a:srgbClr>
          </a:solidFill>
          <a:prstDash val="solid"/>
        </a:ln>
      </c:spPr>
    </c:plotArea>
    <c:plotVisOnly val="1"/>
    <c:dispBlanksAs val="gap"/>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125"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沐川县融媒体中心2023年收入决算结构图</a:t>
            </a:r>
            <a:endParaRPr sz="1125"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manualLayout>
          <c:layoutTarget val="inner"/>
          <c:xMode val="edge"/>
          <c:yMode val="edge"/>
          <c:x val="0.17275"/>
          <c:y val="0.277"/>
          <c:w val="0.3375"/>
          <c:h val="0.56075"/>
        </c:manualLayout>
      </c:layout>
      <c:pieChart>
        <c:varyColors val="1"/>
        <c:ser>
          <c:idx val="0"/>
          <c:order val="0"/>
          <c:tx>
            <c:strRef>
              <c:f>'[附件2.5-作参考：饼状（直方）图绘制方法.xls]收入决算结构-图2-1'!$A$5</c:f>
              <c:strCache>
                <c:ptCount val="1"/>
                <c:pt idx="0">
                  <c:v>沐川县炭库小学2023年收入决算结构图</c:v>
                </c:pt>
              </c:strCache>
            </c:strRef>
          </c:tx>
          <c:spPr>
            <a:solidFill>
              <a:srgbClr val="9999FF">
                <a:alpha val="100000"/>
              </a:srgbClr>
            </a:solidFill>
            <a:ln w="12700">
              <a:solidFill>
                <a:srgbClr val="000000">
                  <a:alpha val="100000"/>
                </a:srgbClr>
              </a:solidFill>
              <a:prstDash val="solid"/>
            </a:ln>
          </c:spPr>
          <c:explosion val="0"/>
          <c:dPt>
            <c:idx val="0"/>
            <c:bubble3D val="0"/>
            <c:explosion val="0"/>
            <c:spPr>
              <a:solidFill>
                <a:srgbClr val="9999FF">
                  <a:alpha val="100000"/>
                </a:srgbClr>
              </a:solidFill>
              <a:ln w="3175">
                <a:solidFill>
                  <a:srgbClr val="000000">
                    <a:alpha val="100000"/>
                  </a:srgbClr>
                </a:solidFill>
                <a:prstDash val="solid"/>
              </a:ln>
            </c:spPr>
          </c:dPt>
          <c:dPt>
            <c:idx val="1"/>
            <c:bubble3D val="0"/>
            <c:explosion val="0"/>
            <c:spPr>
              <a:solidFill>
                <a:srgbClr val="993366">
                  <a:alpha val="100000"/>
                </a:srgbClr>
              </a:solidFill>
              <a:ln w="12700">
                <a:solidFill>
                  <a:srgbClr val="000000">
                    <a:alpha val="100000"/>
                  </a:srgbClr>
                </a:solidFill>
                <a:prstDash val="solid"/>
              </a:ln>
            </c:spPr>
          </c:dPt>
          <c:dPt>
            <c:idx val="2"/>
            <c:bubble3D val="0"/>
            <c:explosion val="0"/>
            <c:spPr>
              <a:solidFill>
                <a:srgbClr val="9999FF">
                  <a:alpha val="100000"/>
                </a:srgbClr>
              </a:solidFill>
              <a:ln w="12700">
                <a:solidFill>
                  <a:srgbClr val="000000">
                    <a:alpha val="100000"/>
                  </a:srgbClr>
                </a:solidFill>
                <a:prstDash val="solid"/>
              </a:ln>
            </c:spPr>
          </c:dPt>
          <c:dLbls>
            <c:numFmt formatCode="0%" sourceLinked="0"/>
            <c:spPr>
              <a:noFill/>
              <a:ln w="3175">
                <a:noFill/>
              </a:ln>
              <a:effectLst/>
            </c:spPr>
            <c:txPr>
              <a:bodyPr rot="0" spcFirstLastPara="0" vertOverflow="ellipsis" vert="horz" wrap="square" lIns="38100" tIns="19050" rIns="38100" bIns="19050" anchor="ctr" anchorCtr="1"/>
              <a:lstStyle/>
              <a:p>
                <a:pPr>
                  <a:defRPr lang="zh-CN" sz="92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'[附件2.5-作参考：饼状（直方）图绘制方法.xls]收入决算结构-图2-1'!$A$1:$C$1</c:f>
              <c:strCache>
                <c:ptCount val="3"/>
                <c:pt idx="0">
                  <c:v>一般公共预算财政拨款收入</c:v>
                </c:pt>
                <c:pt idx="1">
                  <c:v>政府性基金预算财政拨款</c:v>
                </c:pt>
                <c:pt idx="2">
                  <c:v>其他收入</c:v>
                </c:pt>
              </c:strCache>
            </c:strRef>
          </c:cat>
          <c:val>
            <c:numRef>
              <c:f>'[附件2.5-作参考：饼状（直方）图绘制方法.xls]收入决算结构-图2-1'!$A$2:$C$2</c:f>
              <c:numCache>
                <c:formatCode>General</c:formatCode>
                <c:ptCount val="3"/>
                <c:pt idx="0">
                  <c:v>725.47</c:v>
                </c:pt>
                <c:pt idx="1">
                  <c:v>16.7</c:v>
                </c:pt>
                <c:pt idx="2">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575"/>
          <c:y val="0.44025"/>
          <c:w val="0.41425"/>
          <c:h val="0.2435"/>
        </c:manualLayout>
      </c:layout>
      <c:overlay val="0"/>
      <c:spPr>
        <a:solidFill>
          <a:srgbClr val="FFFFFF">
            <a:alpha val="100000"/>
          </a:srgbClr>
        </a:solidFill>
        <a:ln w="3175">
          <a:noFill/>
        </a:ln>
      </c:spPr>
      <c:txPr>
        <a:bodyPr rot="0" spcFirstLastPara="0" vertOverflow="ellipsis" vert="horz" wrap="square" anchor="ctr" anchorCtr="1"/>
        <a:lstStyle/>
        <a:p>
          <a:pPr>
            <a:defRPr lang="zh-CN" sz="11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沐川县融媒体中心2023年支出决算结构图</a:t>
            </a:r>
            <a:endParaRPr sz="1200"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manualLayout>
          <c:layoutTarget val="inner"/>
          <c:xMode val="edge"/>
          <c:yMode val="edge"/>
          <c:x val="0.2575"/>
          <c:y val="0.277"/>
          <c:w val="0.33325"/>
          <c:h val="0.56425"/>
        </c:manualLayout>
      </c:layout>
      <c:pieChart>
        <c:varyColors val="1"/>
        <c:ser>
          <c:idx val="0"/>
          <c:order val="0"/>
          <c:tx>
            <c:strRef>
              <c:f>'[附件2.5-作参考：饼状（直方）图绘制方法.xls]支出决算结构-图3'!$A$9</c:f>
              <c:strCache>
                <c:ptCount val="1"/>
                <c:pt idx="0">
                  <c:v>沐川县炭库小学2023年支出决算结构图</c:v>
                </c:pt>
              </c:strCache>
            </c:strRef>
          </c:tx>
          <c:spPr>
            <a:solidFill>
              <a:srgbClr val="9999FF">
                <a:alpha val="100000"/>
              </a:srgbClr>
            </a:solidFill>
            <a:ln w="12700">
              <a:solidFill>
                <a:srgbClr val="000000">
                  <a:alpha val="100000"/>
                </a:srgbClr>
              </a:solidFill>
              <a:prstDash val="solid"/>
            </a:ln>
          </c:spPr>
          <c:explosion val="25"/>
          <c:dPt>
            <c:idx val="0"/>
            <c:bubble3D val="0"/>
            <c:explosion val="25"/>
            <c:spPr>
              <a:solidFill>
                <a:srgbClr val="9999FF">
                  <a:alpha val="100000"/>
                </a:srgbClr>
              </a:solidFill>
              <a:ln w="12700">
                <a:solidFill>
                  <a:srgbClr val="000000">
                    <a:alpha val="100000"/>
                  </a:srgbClr>
                </a:solidFill>
                <a:prstDash val="solid"/>
              </a:ln>
            </c:spPr>
          </c:dPt>
          <c:dPt>
            <c:idx val="1"/>
            <c:bubble3D val="0"/>
            <c:explosion val="25"/>
            <c:spPr>
              <a:solidFill>
                <a:srgbClr val="993366">
                  <a:alpha val="100000"/>
                </a:srgbClr>
              </a:solidFill>
              <a:ln w="12700">
                <a:solidFill>
                  <a:srgbClr val="000000">
                    <a:alpha val="100000"/>
                  </a:srgbClr>
                </a:solidFill>
                <a:prstDash val="solid"/>
              </a:ln>
            </c:spPr>
          </c:dPt>
          <c:dLbls>
            <c:dLbl>
              <c:idx val="0"/>
              <c:layout>
                <c:manualLayout>
                  <c:x val="-0.0647930200804459"/>
                  <c:y val="-0.0866123628442363"/>
                </c:manualLayout>
              </c:layout>
              <c:tx>
                <c:rich>
                  <a:bodyPr rot="0" spcFirstLastPara="0" vertOverflow="ellipsis" vert="horz" wrap="square" lIns="38100" tIns="19050" rIns="38100" bIns="19050" anchor="ctr" anchorCtr="1"/>
                  <a:lstStyle/>
                  <a:p>
                    <a:pPr defTabSz="914400">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sz="800" b="0" i="0" u="none" strike="noStrike" baseline="0">
                        <a:solidFill>
                          <a:srgbClr val="000000"/>
                        </a:solidFill>
                        <a:latin typeface="宋体" panose="02010600030101010101" charset="-122"/>
                        <a:ea typeface="宋体" panose="02010600030101010101" charset="-122"/>
                        <a:cs typeface="宋体" panose="02010600030101010101" charset="-122"/>
                      </a:rPr>
                      <a:t>48.23</a:t>
                    </a:r>
                    <a:r>
                      <a:rPr sz="800" b="0" i="0" u="none" strike="noStrike" baseline="0">
                        <a:solidFill>
                          <a:srgbClr val="000000"/>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00%" sourceLinked="0"/>
              <c:spPr>
                <a:noFill/>
                <a:ln w="3175">
                  <a:noFill/>
                </a:ln>
                <a:effectLst/>
              </c:spPr>
              <c:txPr>
                <a:bodyPr rot="0" spcFirstLastPara="0" vertOverflow="ellipsis" vert="horz" wrap="square" lIns="38100" tIns="19050" rIns="38100" bIns="19050"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sz="800" b="0" i="0" u="none" strike="noStrike" baseline="0">
                        <a:solidFill>
                          <a:srgbClr val="000000"/>
                        </a:solidFill>
                        <a:latin typeface="宋体" panose="02010600030101010101" charset="-122"/>
                        <a:ea typeface="宋体" panose="02010600030101010101" charset="-122"/>
                        <a:cs typeface="宋体" panose="02010600030101010101" charset="-122"/>
                      </a:rPr>
                      <a:t>51.77</a:t>
                    </a:r>
                    <a:r>
                      <a:rPr sz="800" b="0" i="0" u="none" strike="noStrike" baseline="0">
                        <a:solidFill>
                          <a:srgbClr val="000000"/>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00%" sourceLinked="0"/>
              <c:spPr>
                <a:noFill/>
                <a:ln w="3175">
                  <a:noFill/>
                </a:ln>
                <a:effectLst/>
              </c:spPr>
              <c:txPr>
                <a:bodyPr rot="0" spcFirstLastPara="0" vertOverflow="ellipsis" vert="horz" wrap="square" lIns="38100" tIns="19050" rIns="38100" bIns="19050"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w="3175">
                <a:noFill/>
              </a:ln>
              <a:effectLst/>
            </c:spPr>
            <c:txPr>
              <a:bodyPr rot="0" spcFirstLastPara="0" vertOverflow="ellipsis" vert="horz" wrap="square" lIns="38100" tIns="19050" rIns="38100" bIns="19050" anchor="ctr" anchorCtr="1"/>
              <a:lstStyle/>
              <a:p>
                <a:pPr>
                  <a:defRPr lang="zh-CN" sz="11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'[附件2.5-作参考：饼状（直方）图绘制方法.xls]支出决算结构-图3'!$A$1:$B$1</c:f>
              <c:strCache>
                <c:ptCount val="2"/>
                <c:pt idx="0">
                  <c:v>基本支出</c:v>
                </c:pt>
                <c:pt idx="1">
                  <c:v>项目支出</c:v>
                </c:pt>
              </c:strCache>
            </c:strRef>
          </c:cat>
          <c:val>
            <c:numRef>
              <c:f>'[附件2.5-作参考：饼状（直方）图绘制方法.xls]支出决算结构-图3'!$A$4:$B$4</c:f>
              <c:numCache>
                <c:formatCode>0.00%</c:formatCode>
                <c:ptCount val="2"/>
                <c:pt idx="0">
                  <c:v>0.4823</c:v>
                </c:pt>
                <c:pt idx="1">
                  <c:v>0.5177</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7905"/>
          <c:y val="0.456"/>
          <c:w val="0.1655"/>
          <c:h val="0.13525"/>
        </c:manualLayout>
      </c:layout>
      <c:overlay val="0"/>
      <c:spPr>
        <a:solidFill>
          <a:srgbClr val="FFFFFF">
            <a:alpha val="100000"/>
          </a:srgbClr>
        </a:solidFill>
        <a:ln w="3175">
          <a:noFill/>
        </a:ln>
      </c:spPr>
      <c:txPr>
        <a:bodyPr rot="0" spcFirstLastPara="0" vertOverflow="ellipsis" vert="horz" wrap="square" anchor="ctr" anchorCtr="1"/>
        <a:lstStyle/>
        <a:p>
          <a:pPr>
            <a:defRPr lang="zh-CN" sz="11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沐川县融媒体中心财政拨款收、支决算总计变动情况</a:t>
            </a:r>
          </a:p>
        </c:rich>
      </c:tx>
      <c:layout/>
      <c:overlay val="0"/>
      <c:spPr>
        <a:noFill/>
        <a:ln w="3175">
          <a:noFill/>
        </a:ln>
      </c:spPr>
    </c:title>
    <c:autoTitleDeleted val="0"/>
    <c:plotArea>
      <c:layout>
        <c:manualLayout>
          <c:layoutTarget val="inner"/>
          <c:xMode val="edge"/>
          <c:yMode val="edge"/>
          <c:x val="0.0637503012774162"/>
          <c:y val="0.0380710659898477"/>
          <c:w val="0.903109182935647"/>
          <c:h val="0.685786802030457"/>
        </c:manualLayout>
      </c:layout>
      <c:barChart>
        <c:barDir val="col"/>
        <c:grouping val="clustered"/>
        <c:varyColors val="0"/>
        <c:ser>
          <c:idx val="0"/>
          <c:order val="0"/>
          <c:tx>
            <c:strRef>
              <c:f>'[附件2.5-作参考：饼状（直方）图绘制方法.xls]财政拨款收支决算总计变动情况-图4'!$A$4</c:f>
              <c:strCache>
                <c:ptCount val="1"/>
                <c:pt idx="0">
                  <c:v>沐川县财政局财政拨款收、支决算总计变动情况</c:v>
                </c:pt>
              </c:strCache>
            </c:strRef>
          </c:tx>
          <c:spPr>
            <a:solidFill>
              <a:srgbClr val="9999FF">
                <a:alpha val="100000"/>
              </a:srgbClr>
            </a:solidFill>
            <a:ln w="12700">
              <a:solidFill>
                <a:srgbClr val="000000">
                  <a:alpha val="100000"/>
                </a:srgbClr>
              </a:solidFill>
              <a:prstDash val="solid"/>
            </a:ln>
          </c:spPr>
          <c:invertIfNegative val="0"/>
          <c:dLbls>
            <c:dLbl>
              <c:idx val="0"/>
              <c:layout>
                <c:manualLayout>
                  <c:x val="0.0017832134292566"/>
                  <c:y val="0.217210101010101"/>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98076738609113"/>
                  <c:y val="0.334063636363636"/>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'[附件2.5-作参考：饼状（直方）图绘制方法.xls]财政拨款收支决算总计变动情况-图4'!$A$1:$B$1</c:f>
              <c:strCache>
                <c:ptCount val="2"/>
                <c:pt idx="0">
                  <c:v>2022年财政拨款收支</c:v>
                </c:pt>
                <c:pt idx="1">
                  <c:v>2023年财政拨款收支</c:v>
                </c:pt>
              </c:strCache>
            </c:strRef>
          </c:cat>
          <c:val>
            <c:numRef>
              <c:f>'[附件2.5-作参考：饼状（直方）图绘制方法.xls]财政拨款收支决算总计变动情况-图4'!$A$2:$B$2</c:f>
              <c:numCache>
                <c:formatCode>General</c:formatCode>
                <c:ptCount val="2"/>
                <c:pt idx="0">
                  <c:v>679.01</c:v>
                </c:pt>
                <c:pt idx="1">
                  <c:v>872.19</c:v>
                </c:pt>
              </c:numCache>
            </c:numRef>
          </c:val>
        </c:ser>
        <c:dLbls>
          <c:showLegendKey val="0"/>
          <c:showVal val="0"/>
          <c:showCatName val="0"/>
          <c:showSerName val="0"/>
          <c:showPercent val="0"/>
          <c:showBubbleSize val="0"/>
        </c:dLbls>
        <c:gapWidth val="150"/>
        <c:overlap val="0"/>
        <c:axId val="751724278"/>
        <c:axId val="442847946"/>
      </c:barChart>
      <c:catAx>
        <c:axId val="751724278"/>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442847946"/>
        <c:crosses val="autoZero"/>
        <c:auto val="1"/>
        <c:lblAlgn val="ctr"/>
        <c:lblOffset val="100"/>
        <c:noMultiLvlLbl val="0"/>
      </c:catAx>
      <c:valAx>
        <c:axId val="442847946"/>
        <c:scaling>
          <c:orientation val="minMax"/>
        </c:scaling>
        <c:delete val="0"/>
        <c:axPos val="l"/>
        <c:majorGridlines>
          <c:spPr>
            <a:ln w="3175" cap="flat" cmpd="sng" algn="ctr">
              <a:solidFill>
                <a:srgbClr val="000000">
                  <a:alpha val="100000"/>
                </a:srgbClr>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751724278"/>
        <c:crosses val="autoZero"/>
        <c:crossBetween val="between"/>
      </c:valAx>
      <c:spPr>
        <a:solidFill>
          <a:srgbClr val="C0C0C0">
            <a:alpha val="100000"/>
          </a:srgbClr>
        </a:solidFill>
        <a:ln w="12700">
          <a:solidFill>
            <a:srgbClr val="808080">
              <a:alpha val="100000"/>
            </a:srgbClr>
          </a:solidFill>
          <a:prstDash val="solid"/>
        </a:ln>
      </c:spPr>
    </c:plotArea>
    <c:plotVisOnly val="1"/>
    <c:dispBlanksAs val="gap"/>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1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沐川县融媒体中心一般公共预算财政拨款支出决算变动情况</a:t>
            </a:r>
            <a:endParaRPr sz="1100"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151090909090909"/>
          <c:y val="0.025185895898297"/>
        </c:manualLayout>
      </c:layout>
      <c:overlay val="0"/>
      <c:spPr>
        <a:noFill/>
        <a:ln w="3175">
          <a:noFill/>
        </a:ln>
      </c:spPr>
    </c:title>
    <c:autoTitleDeleted val="0"/>
    <c:plotArea>
      <c:layout>
        <c:manualLayout>
          <c:layoutTarget val="inner"/>
          <c:xMode val="edge"/>
          <c:yMode val="edge"/>
          <c:x val="0.084"/>
          <c:y val="0.2285"/>
          <c:w val="0.832"/>
          <c:h val="0.68175"/>
        </c:manualLayout>
      </c:layout>
      <c:barChart>
        <c:barDir val="col"/>
        <c:grouping val="clustered"/>
        <c:varyColors val="0"/>
        <c:ser>
          <c:idx val="0"/>
          <c:order val="0"/>
          <c:spPr>
            <a:solidFill>
              <a:srgbClr val="9999FF">
                <a:alpha val="100000"/>
              </a:srgbClr>
            </a:solidFill>
            <a:ln w="12700">
              <a:solidFill>
                <a:srgbClr val="000000">
                  <a:alpha val="100000"/>
                </a:srgbClr>
              </a:solidFill>
              <a:prstDash val="solid"/>
            </a:ln>
          </c:spPr>
          <c:invertIfNegative val="0"/>
          <c:dLbls>
            <c:dLbl>
              <c:idx val="0"/>
              <c:layout>
                <c:manualLayout>
                  <c:x val="0"/>
                  <c:y val="0.2440665"/>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748799999999998"/>
                  <c:y val="0.3476925"/>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'[附件2.5-作参考：饼状（直方）图绘制方法.xls]一般公共预算财政拨款支出决算变动情况-图5'!$A$1:$B$1</c:f>
              <c:strCache>
                <c:ptCount val="2"/>
                <c:pt idx="0">
                  <c:v>2022年一般公共预算财政拨款支出</c:v>
                </c:pt>
                <c:pt idx="1">
                  <c:v>2023年一般公共预算财政拨款支出</c:v>
                </c:pt>
              </c:strCache>
            </c:strRef>
          </c:cat>
          <c:val>
            <c:numRef>
              <c:f>'[附件2.5-作参考：饼状（直方）图绘制方法.xls]一般公共预算财政拨款支出决算变动情况-图5'!$A$2:$B$2</c:f>
              <c:numCache>
                <c:formatCode>General</c:formatCode>
                <c:ptCount val="2"/>
                <c:pt idx="0">
                  <c:v>556.81</c:v>
                </c:pt>
                <c:pt idx="1" c:formatCode="#,##0.00">
                  <c:v>855.47</c:v>
                </c:pt>
              </c:numCache>
            </c:numRef>
          </c:val>
        </c:ser>
        <c:dLbls>
          <c:showLegendKey val="0"/>
          <c:showVal val="0"/>
          <c:showCatName val="0"/>
          <c:showSerName val="0"/>
          <c:showPercent val="0"/>
          <c:showBubbleSize val="0"/>
        </c:dLbls>
        <c:gapWidth val="150"/>
        <c:overlap val="0"/>
        <c:axId val="839180100"/>
        <c:axId val="880220956"/>
      </c:barChart>
      <c:catAx>
        <c:axId val="839180100"/>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880220956"/>
        <c:crosses val="autoZero"/>
        <c:auto val="1"/>
        <c:lblAlgn val="ctr"/>
        <c:lblOffset val="100"/>
        <c:noMultiLvlLbl val="0"/>
      </c:catAx>
      <c:valAx>
        <c:axId val="880220956"/>
        <c:scaling>
          <c:orientation val="minMax"/>
        </c:scaling>
        <c:delete val="0"/>
        <c:axPos val="l"/>
        <c:numFmt formatCode="General" sourceLinked="1"/>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839180100"/>
        <c:crosses val="autoZero"/>
        <c:crossBetween val="between"/>
      </c:valAx>
      <c:spPr>
        <a:noFill/>
        <a:ln w="3175">
          <a:noFill/>
        </a:ln>
      </c:spPr>
    </c:plotArea>
    <c:plotVisOnly val="1"/>
    <c:dispBlanksAs val="gap"/>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沐川县融媒体中心一般公共预算财政拨款支出决算结构图</a:t>
            </a:r>
            <a:endParaRPr sz="1200"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manualLayout>
          <c:x val="-0.009"/>
          <c:y val="-0.01025"/>
        </c:manualLayout>
      </c:layout>
      <c:overlay val="0"/>
      <c:spPr>
        <a:noFill/>
        <a:ln w="3175">
          <a:noFill/>
        </a:ln>
      </c:spPr>
    </c:title>
    <c:autoTitleDeleted val="0"/>
    <c:plotArea>
      <c:layout>
        <c:manualLayout>
          <c:layoutTarget val="inner"/>
          <c:xMode val="edge"/>
          <c:yMode val="edge"/>
          <c:x val="0.1005"/>
          <c:y val="0.24925"/>
          <c:w val="0.445"/>
          <c:h val="0.67875"/>
        </c:manualLayout>
      </c:layout>
      <c:pieChart>
        <c:varyColors val="1"/>
        <c:ser>
          <c:idx val="0"/>
          <c:order val="0"/>
          <c:tx>
            <c:strRef>
              <c:f>'[附件2.5-作参考：饼状（直方）图绘制方法.xls]一般公共预算财政拨款支出决算结构-图6'!$A$8</c:f>
              <c:strCache>
                <c:ptCount val="1"/>
                <c:pt idx="0">
                  <c:v>沐川县财政局一般公共预算财政拨款支出决算结构图</c:v>
                </c:pt>
              </c:strCache>
            </c:strRef>
          </c:tx>
          <c:spPr>
            <a:solidFill>
              <a:srgbClr val="9999FF">
                <a:alpha val="100000"/>
              </a:srgbClr>
            </a:solidFill>
            <a:ln w="12700">
              <a:solidFill>
                <a:srgbClr val="000000">
                  <a:alpha val="100000"/>
                </a:srgbClr>
              </a:solidFill>
              <a:prstDash val="solid"/>
            </a:ln>
          </c:spPr>
          <c:explosion val="0"/>
          <c:dPt>
            <c:idx val="0"/>
            <c:bubble3D val="0"/>
            <c:explosion val="0"/>
            <c:spPr>
              <a:solidFill>
                <a:srgbClr val="9999FF">
                  <a:alpha val="100000"/>
                </a:srgbClr>
              </a:solidFill>
              <a:ln w="3175">
                <a:solidFill>
                  <a:srgbClr val="000000">
                    <a:alpha val="100000"/>
                  </a:srgbClr>
                </a:solidFill>
                <a:prstDash val="solid"/>
              </a:ln>
            </c:spPr>
          </c:dPt>
          <c:dPt>
            <c:idx val="1"/>
            <c:bubble3D val="0"/>
            <c:explosion val="0"/>
            <c:spPr>
              <a:solidFill>
                <a:srgbClr val="993366">
                  <a:alpha val="100000"/>
                </a:srgbClr>
              </a:solidFill>
              <a:ln w="12700">
                <a:solidFill>
                  <a:srgbClr val="000000">
                    <a:alpha val="100000"/>
                  </a:srgbClr>
                </a:solidFill>
                <a:prstDash val="solid"/>
              </a:ln>
            </c:spPr>
          </c:dPt>
          <c:dPt>
            <c:idx val="2"/>
            <c:bubble3D val="0"/>
            <c:explosion val="0"/>
            <c:spPr>
              <a:solidFill>
                <a:srgbClr val="FFFFCC">
                  <a:alpha val="100000"/>
                </a:srgbClr>
              </a:solidFill>
              <a:ln w="12700">
                <a:solidFill>
                  <a:srgbClr val="000000">
                    <a:alpha val="100000"/>
                  </a:srgbClr>
                </a:solidFill>
                <a:prstDash val="solid"/>
              </a:ln>
            </c:spPr>
          </c:dPt>
          <c:dPt>
            <c:idx val="3"/>
            <c:bubble3D val="0"/>
            <c:explosion val="0"/>
            <c:spPr>
              <a:solidFill>
                <a:srgbClr val="CCFFFF">
                  <a:alpha val="100000"/>
                </a:srgbClr>
              </a:solidFill>
              <a:ln w="12700">
                <a:solidFill>
                  <a:srgbClr val="000000">
                    <a:alpha val="100000"/>
                  </a:srgbClr>
                </a:solidFill>
                <a:prstDash val="solid"/>
              </a:ln>
            </c:spPr>
          </c:dPt>
          <c:dPt>
            <c:idx val="4"/>
            <c:bubble3D val="0"/>
            <c:explosion val="0"/>
            <c:spPr>
              <a:solidFill>
                <a:srgbClr val="660066">
                  <a:alpha val="100000"/>
                </a:srgbClr>
              </a:solidFill>
              <a:ln w="12700">
                <a:solidFill>
                  <a:srgbClr val="000000">
                    <a:alpha val="100000"/>
                  </a:srgbClr>
                </a:solidFill>
                <a:prstDash val="solid"/>
              </a:ln>
            </c:spPr>
          </c:dPt>
          <c:dLbls>
            <c:dLbl>
              <c:idx val="0"/>
              <c:layout>
                <c:manualLayout>
                  <c:x val="-0.122825912977659"/>
                  <c:y val="-0.361740626182898"/>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92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w="3175">
                <a:noFill/>
              </a:ln>
              <a:effectLst/>
            </c:spPr>
            <c:txPr>
              <a:bodyPr rot="0" spcFirstLastPara="0" vertOverflow="ellipsis" vert="horz" wrap="square" lIns="38100" tIns="19050" rIns="38100" bIns="19050" anchor="ctr" anchorCtr="1"/>
              <a:lstStyle/>
              <a:p>
                <a:pPr>
                  <a:defRPr lang="zh-CN" sz="92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'[附件2.5-作参考：饼状（直方）图绘制方法.xls]一般公共预算财政拨款支出决算结构-图6'!$A$1:$E$1</c:f>
              <c:strCache>
                <c:ptCount val="5"/>
                <c:pt idx="0">
                  <c:v>2023年文化旅游体育与传媒支出</c:v>
                </c:pt>
                <c:pt idx="1">
                  <c:v>农林水支出</c:v>
                </c:pt>
                <c:pt idx="2">
                  <c:v>2023年社会保障和就业支出</c:v>
                </c:pt>
                <c:pt idx="3">
                  <c:v>2023年卫生健康支出</c:v>
                </c:pt>
                <c:pt idx="4">
                  <c:v>2023年住房保障支出</c:v>
                </c:pt>
              </c:strCache>
            </c:strRef>
          </c:cat>
          <c:val>
            <c:numRef>
              <c:f>'[附件2.5-作参考：饼状（直方）图绘制方法.xls]一般公共预算财政拨款支出决算结构-图6'!$A$2:$E$2</c:f>
              <c:numCache>
                <c:formatCode>General</c:formatCode>
                <c:ptCount val="5"/>
                <c:pt idx="0">
                  <c:v>545.45</c:v>
                </c:pt>
                <c:pt idx="1">
                  <c:v>208.25</c:v>
                </c:pt>
                <c:pt idx="2">
                  <c:v>49.27</c:v>
                </c:pt>
                <c:pt idx="3">
                  <c:v>16.6</c:v>
                </c:pt>
                <c:pt idx="4">
                  <c:v>35.9</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555"/>
          <c:y val="0.28825"/>
          <c:w val="0.344"/>
          <c:h val="0.5555"/>
        </c:manualLayout>
      </c:layout>
      <c:overlay val="0"/>
      <c:spPr>
        <a:solidFill>
          <a:srgbClr val="FFFFFF">
            <a:alpha val="100000"/>
          </a:srgbClr>
        </a:solidFill>
        <a:ln w="3175">
          <a:noFill/>
        </a:ln>
      </c:spPr>
      <c:txPr>
        <a:bodyPr rot="0" spcFirstLastPara="0" vertOverflow="ellipsis" vert="horz" wrap="square" anchor="ctr" anchorCtr="1"/>
        <a:lstStyle/>
        <a:p>
          <a:pPr>
            <a:defRPr lang="zh-CN" sz="112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沐川县融媒体中心2023年“三公”经费财政拨款支出结构图</a:t>
            </a:r>
            <a:endParaRPr sz="1200"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manualLayout>
          <c:layoutTarget val="inner"/>
          <c:xMode val="edge"/>
          <c:yMode val="edge"/>
          <c:x val="0.198140359168242"/>
          <c:y val="0.211471189591078"/>
          <c:w val="0.2635"/>
          <c:h val="0.527"/>
        </c:manualLayout>
      </c:layout>
      <c:pieChart>
        <c:varyColors val="1"/>
        <c:ser>
          <c:idx val="0"/>
          <c:order val="0"/>
          <c:tx>
            <c:strRef>
              <c:f>'[附件2.5-作参考：饼状（直方）图绘制方法.xls]三公经费财政拨款支出结构-图7'!$B$8</c:f>
              <c:strCache>
                <c:ptCount val="1"/>
                <c:pt idx="0">
                  <c:v>沐川县炭库小学2023年“三公”经费财政拨款支出结构图</c:v>
                </c:pt>
              </c:strCache>
            </c:strRef>
          </c:tx>
          <c:spPr>
            <a:solidFill>
              <a:srgbClr val="9999FF">
                <a:alpha val="100000"/>
              </a:srgbClr>
            </a:solidFill>
            <a:ln w="12700">
              <a:solidFill>
                <a:srgbClr val="000000">
                  <a:alpha val="100000"/>
                </a:srgbClr>
              </a:solidFill>
              <a:prstDash val="solid"/>
            </a:ln>
          </c:spPr>
          <c:explosion val="25"/>
          <c:dPt>
            <c:idx val="0"/>
            <c:bubble3D val="0"/>
            <c:explosion val="25"/>
            <c:spPr>
              <a:solidFill>
                <a:srgbClr val="9999FF">
                  <a:alpha val="100000"/>
                </a:srgbClr>
              </a:solidFill>
              <a:ln w="12700">
                <a:solidFill>
                  <a:srgbClr val="000000">
                    <a:alpha val="100000"/>
                  </a:srgbClr>
                </a:solidFill>
                <a:prstDash val="solid"/>
              </a:ln>
            </c:spPr>
          </c:dPt>
          <c:dPt>
            <c:idx val="1"/>
            <c:bubble3D val="0"/>
            <c:explosion val="25"/>
            <c:spPr>
              <a:solidFill>
                <a:srgbClr val="993366">
                  <a:alpha val="100000"/>
                </a:srgbClr>
              </a:solidFill>
              <a:ln w="12700">
                <a:solidFill>
                  <a:srgbClr val="000000">
                    <a:alpha val="100000"/>
                  </a:srgbClr>
                </a:solidFill>
                <a:prstDash val="solid"/>
              </a:ln>
            </c:spPr>
          </c:dPt>
          <c:dPt>
            <c:idx val="2"/>
            <c:bubble3D val="0"/>
            <c:explosion val="25"/>
            <c:spPr>
              <a:solidFill>
                <a:srgbClr val="FFFFCC">
                  <a:alpha val="100000"/>
                </a:srgbClr>
              </a:solidFill>
              <a:ln w="12700">
                <a:solidFill>
                  <a:srgbClr val="000000">
                    <a:alpha val="100000"/>
                  </a:srgbClr>
                </a:solidFill>
                <a:prstDash val="solid"/>
              </a:ln>
            </c:spPr>
          </c:dPt>
          <c:dLbls>
            <c:dLbl>
              <c:idx val="0"/>
              <c:layout/>
              <c:numFmt formatCode="0.00%" sourceLinked="0"/>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'[附件2.5-作参考：饼状（直方）图绘制方法.xls]三公经费财政拨款支出结构-图7'!$A$1:$C$1</c:f>
              <c:strCache>
                <c:ptCount val="3"/>
                <c:pt idx="0">
                  <c:v>因公出国（境）费支出</c:v>
                </c:pt>
                <c:pt idx="1">
                  <c:v>公务用车购置及运行维护费支出</c:v>
                </c:pt>
                <c:pt idx="2">
                  <c:v>公务接待费支出</c:v>
                </c:pt>
              </c:strCache>
            </c:strRef>
          </c:cat>
          <c:val>
            <c:numRef>
              <c:f>'[附件2.5-作参考：饼状（直方）图绘制方法.xls]三公经费财政拨款支出结构-图7'!$A$2:$C$2</c:f>
              <c:numCache>
                <c:formatCode>General</c:formatCode>
                <c:ptCount val="3"/>
                <c:pt idx="0">
                  <c:v>0</c:v>
                </c:pt>
                <c:pt idx="1">
                  <c:v>0</c:v>
                </c:pt>
                <c:pt idx="2">
                  <c:v>0.1</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516289224952741"/>
          <c:y val="0.611815055762082"/>
          <c:w val="0.3385"/>
          <c:h val="0.38075"/>
        </c:manualLayout>
      </c:layout>
      <c:overlay val="0"/>
      <c:spPr>
        <a:solidFill>
          <a:srgbClr val="FFFFFF">
            <a:alpha val="100000"/>
          </a:srgbClr>
        </a:solid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2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5771</Words>
  <Characters>6315</Characters>
  <Lines>72</Lines>
  <Paragraphs>20</Paragraphs>
  <TotalTime>0</TotalTime>
  <ScaleCrop>false</ScaleCrop>
  <LinksUpToDate>false</LinksUpToDate>
  <CharactersWithSpaces>6361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钟孟娟</cp:lastModifiedBy>
  <cp:lastPrinted>2023-08-03T10:35:00Z</cp:lastPrinted>
  <dcterms:modified xsi:type="dcterms:W3CDTF">2024-10-10T08:27:04Z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19EBA4CA037B41FDBB4F8DCC548EB5A2_12</vt:lpwstr>
  </property>
</Properties>
</file>