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8441"/>
      <w:bookmarkStart w:id="1" w:name="_Toc15396597"/>
      <w:bookmarkStart w:id="2" w:name="_Toc15377425"/>
      <w:bookmarkStart w:id="3" w:name="_Toc15377193"/>
      <w:bookmarkStart w:id="4" w:name="_Toc15396475"/>
      <w:bookmarkStart w:id="5" w:name="_Toc15306267"/>
    </w:p>
    <w:p>
      <w:pPr>
        <w:pStyle w:val="8"/>
        <w:spacing w:before="93"/>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29371"/>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96598"/>
      <w:bookmarkStart w:id="8" w:name="_Toc15377426"/>
      <w:bookmarkStart w:id="9" w:name="_Toc25487"/>
      <w:bookmarkStart w:id="10" w:name="_Toc15378442"/>
      <w:bookmarkStart w:id="11" w:name="_Toc15396476"/>
      <w:bookmarkStart w:id="12" w:name="_Toc15377194"/>
      <w:r>
        <w:rPr>
          <w:rFonts w:hint="eastAsia" w:ascii="方正小标宋简体" w:hAnsi="方正小标宋简体" w:eastAsia="方正小标宋简体" w:cs="方正小标宋简体"/>
          <w:sz w:val="72"/>
          <w:szCs w:val="72"/>
        </w:rPr>
        <w:t>四川省</w:t>
      </w:r>
      <w:bookmarkEnd w:id="5"/>
      <w:bookmarkStart w:id="13" w:name="_Toc15306268"/>
      <w:r>
        <w:rPr>
          <w:rFonts w:hint="eastAsia" w:ascii="方正小标宋简体" w:hAnsi="方正小标宋简体" w:eastAsia="方正小标宋简体" w:cs="方正小标宋简体"/>
          <w:sz w:val="72"/>
          <w:szCs w:val="72"/>
          <w:lang w:val="en-US" w:eastAsia="zh-CN"/>
        </w:rPr>
        <w:t>沐川县融媒体中心单位</w:t>
      </w:r>
      <w:r>
        <w:rPr>
          <w:rFonts w:hint="eastAsia" w:ascii="方正小标宋简体" w:hAnsi="方正小标宋简体" w:eastAsia="方正小标宋简体" w:cs="方正小标宋简体"/>
          <w:sz w:val="72"/>
          <w:szCs w:val="72"/>
        </w:rPr>
        <w:t>决算</w:t>
      </w:r>
      <w:bookmarkEnd w:id="7"/>
      <w:bookmarkEnd w:id="8"/>
      <w:bookmarkEnd w:id="9"/>
      <w:bookmarkEnd w:id="10"/>
      <w:bookmarkEnd w:id="11"/>
      <w:bookmarkEnd w:id="12"/>
      <w:bookmarkEnd w:id="13"/>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9</w:t>
      </w:r>
      <w:r>
        <w:rPr>
          <w:rFonts w:hint="eastAsia"/>
        </w:rPr>
        <w:t>月</w:t>
      </w:r>
      <w:bookmarkStart w:id="68" w:name="_GoBack"/>
      <w:bookmarkEnd w:id="68"/>
      <w:r>
        <w:rPr>
          <w:rFonts w:hint="eastAsia"/>
          <w:lang w:val="en-US" w:eastAsia="zh-CN"/>
        </w:rPr>
        <w:t>20</w:t>
      </w:r>
      <w:r>
        <w:rPr>
          <w:rFonts w:hint="eastAsia"/>
        </w:rPr>
        <w:t>日</w:t>
      </w:r>
    </w:p>
    <w:p/>
    <w:sdt>
      <w:sdtPr>
        <w:rPr>
          <w:rFonts w:ascii="宋体" w:hAnsi="宋体" w:eastAsia="宋体" w:cs="Times New Roman"/>
          <w:kern w:val="2"/>
          <w:sz w:val="21"/>
          <w:szCs w:val="24"/>
          <w:lang w:val="en-US" w:eastAsia="zh-CN" w:bidi="ar-SA"/>
        </w:rPr>
        <w:id w:val="147469537"/>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fldChar w:fldCharType="begin"/>
          </w:r>
          <w:r>
            <w:instrText xml:space="preserve">TOC \o "1-2" \h \u </w:instrText>
          </w:r>
          <w:r>
            <w:fldChar w:fldCharType="separate"/>
          </w:r>
        </w:p>
        <w:p>
          <w:pPr>
            <w:pStyle w:val="13"/>
            <w:tabs>
              <w:tab w:val="right" w:leader="dot" w:pos="8306"/>
              <w:tab w:val="clear" w:pos="8296"/>
            </w:tabs>
          </w:pPr>
          <w:r>
            <w:fldChar w:fldCharType="begin"/>
          </w:r>
          <w:r>
            <w:instrText xml:space="preserve"> HYPERLINK \l _Toc30390 </w:instrText>
          </w:r>
          <w: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_Toc30390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_Toc11404 </w:instrText>
          </w:r>
          <w:r>
            <w:fldChar w:fldCharType="separate"/>
          </w:r>
          <w:r>
            <w:rPr>
              <w:rFonts w:hint="eastAsia" w:ascii="黑体" w:hAnsi="黑体" w:eastAsia="黑体"/>
            </w:rPr>
            <w:t>一、部门职责</w:t>
          </w:r>
          <w:r>
            <w:tab/>
          </w:r>
          <w:r>
            <w:fldChar w:fldCharType="begin"/>
          </w:r>
          <w:r>
            <w:instrText xml:space="preserve"> PAGEREF _Toc11404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_Toc17276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_Toc17276 </w:instrText>
          </w:r>
          <w:r>
            <w:fldChar w:fldCharType="separate"/>
          </w:r>
          <w:r>
            <w:t>3</w:t>
          </w:r>
          <w:r>
            <w:fldChar w:fldCharType="end"/>
          </w:r>
          <w:r>
            <w:fldChar w:fldCharType="end"/>
          </w:r>
        </w:p>
        <w:p>
          <w:pPr>
            <w:pStyle w:val="13"/>
            <w:tabs>
              <w:tab w:val="right" w:leader="dot" w:pos="8306"/>
              <w:tab w:val="clear" w:pos="8296"/>
            </w:tabs>
          </w:pPr>
          <w:r>
            <w:fldChar w:fldCharType="begin"/>
          </w:r>
          <w:r>
            <w:instrText xml:space="preserve"> HYPERLINK \l _Toc20228 </w:instrText>
          </w:r>
          <w:r>
            <w:fldChar w:fldCharType="separate"/>
          </w:r>
          <w:r>
            <w:rPr>
              <w:rFonts w:hint="eastAsia" w:ascii="黑体" w:hAnsi="黑体" w:eastAsia="黑体"/>
            </w:rPr>
            <w:t>第二部分 2023年度</w:t>
          </w:r>
          <w:r>
            <w:rPr>
              <w:rFonts w:hint="eastAsia" w:ascii="黑体" w:hAnsi="黑体" w:eastAsia="黑体"/>
              <w:bCs/>
            </w:rPr>
            <w:t>部门决算情况说明</w:t>
          </w:r>
          <w:r>
            <w:tab/>
          </w:r>
          <w:r>
            <w:fldChar w:fldCharType="begin"/>
          </w:r>
          <w:r>
            <w:instrText xml:space="preserve"> PAGEREF _Toc20228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_Toc3667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_Toc3667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_Toc29150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_Toc29150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_Toc19781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_Toc19781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_Toc10663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_Toc10663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_Toc1709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_Toc1709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_Toc8009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_Toc8009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_Toc29662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_Toc29662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_Toc21136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_Toc21136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_Toc14869 </w:instrText>
          </w:r>
          <w:r>
            <w:fldChar w:fldCharType="separate"/>
          </w:r>
          <w:r>
            <w:rPr>
              <w:rFonts w:hint="eastAsia" w:ascii="黑体" w:hAnsi="黑体" w:eastAsia="黑体"/>
            </w:rPr>
            <w:t>九、 国有资本经营预算支出决算情况说明</w:t>
          </w:r>
          <w:r>
            <w:tab/>
          </w:r>
          <w:r>
            <w:fldChar w:fldCharType="begin"/>
          </w:r>
          <w:r>
            <w:instrText xml:space="preserve"> PAGEREF _Toc14869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_Toc28132 </w:instrText>
          </w:r>
          <w:r>
            <w:fldChar w:fldCharType="separate"/>
          </w:r>
          <w:r>
            <w:rPr>
              <w:rFonts w:hint="eastAsia" w:ascii="黑体" w:hAnsi="黑体" w:eastAsia="黑体"/>
            </w:rPr>
            <w:t>十、 其他重要事项的情况说明</w:t>
          </w:r>
          <w:r>
            <w:tab/>
          </w:r>
          <w:r>
            <w:fldChar w:fldCharType="begin"/>
          </w:r>
          <w:r>
            <w:instrText xml:space="preserve"> PAGEREF _Toc28132 </w:instrText>
          </w:r>
          <w:r>
            <w:fldChar w:fldCharType="separate"/>
          </w:r>
          <w:r>
            <w:t>11</w:t>
          </w:r>
          <w:r>
            <w:fldChar w:fldCharType="end"/>
          </w:r>
          <w:r>
            <w:fldChar w:fldCharType="end"/>
          </w:r>
        </w:p>
        <w:p>
          <w:pPr>
            <w:pStyle w:val="13"/>
            <w:tabs>
              <w:tab w:val="right" w:leader="dot" w:pos="8306"/>
              <w:tab w:val="clear" w:pos="8296"/>
            </w:tabs>
          </w:pPr>
          <w:r>
            <w:fldChar w:fldCharType="begin"/>
          </w:r>
          <w:r>
            <w:instrText xml:space="preserve"> HYPERLINK \l _Toc29648 </w:instrText>
          </w:r>
          <w:r>
            <w:fldChar w:fldCharType="separate"/>
          </w:r>
          <w:r>
            <w:rPr>
              <w:rFonts w:hint="eastAsia" w:ascii="黑体" w:hAnsi="黑体" w:eastAsia="黑体"/>
            </w:rPr>
            <w:t>第三部分 名词解释</w:t>
          </w:r>
          <w:r>
            <w:tab/>
          </w:r>
          <w:r>
            <w:fldChar w:fldCharType="begin"/>
          </w:r>
          <w:r>
            <w:instrText xml:space="preserve"> PAGEREF _Toc29648 </w:instrText>
          </w:r>
          <w:r>
            <w:fldChar w:fldCharType="separate"/>
          </w:r>
          <w:r>
            <w:t>13</w:t>
          </w:r>
          <w:r>
            <w:fldChar w:fldCharType="end"/>
          </w:r>
          <w:r>
            <w:fldChar w:fldCharType="end"/>
          </w:r>
        </w:p>
        <w:p>
          <w:pPr>
            <w:pStyle w:val="13"/>
            <w:tabs>
              <w:tab w:val="right" w:leader="dot" w:pos="8306"/>
              <w:tab w:val="clear" w:pos="8296"/>
            </w:tabs>
          </w:pPr>
          <w:r>
            <w:fldChar w:fldCharType="begin"/>
          </w:r>
          <w:r>
            <w:instrText xml:space="preserve"> HYPERLINK \l _Toc7349 </w:instrText>
          </w:r>
          <w:r>
            <w:fldChar w:fldCharType="separate"/>
          </w:r>
          <w:r>
            <w:rPr>
              <w:rFonts w:hint="eastAsia" w:ascii="黑体" w:hAnsi="黑体" w:eastAsia="黑体"/>
            </w:rPr>
            <w:t>第四部分 附件</w:t>
          </w:r>
          <w:r>
            <w:tab/>
          </w:r>
          <w:r>
            <w:fldChar w:fldCharType="begin"/>
          </w:r>
          <w:r>
            <w:instrText xml:space="preserve"> PAGEREF _Toc7349 </w:instrText>
          </w:r>
          <w:r>
            <w:fldChar w:fldCharType="separate"/>
          </w:r>
          <w:r>
            <w:t>15</w:t>
          </w:r>
          <w:r>
            <w:fldChar w:fldCharType="end"/>
          </w:r>
          <w:r>
            <w:fldChar w:fldCharType="end"/>
          </w:r>
        </w:p>
        <w:p>
          <w:pPr>
            <w:pStyle w:val="13"/>
            <w:tabs>
              <w:tab w:val="right" w:leader="dot" w:pos="8306"/>
              <w:tab w:val="clear" w:pos="8296"/>
            </w:tabs>
          </w:pPr>
          <w:r>
            <w:fldChar w:fldCharType="begin"/>
          </w:r>
          <w:r>
            <w:instrText xml:space="preserve"> HYPERLINK \l _Toc22013 </w:instrText>
          </w:r>
          <w:r>
            <w:fldChar w:fldCharType="separate"/>
          </w:r>
          <w:r>
            <w:rPr>
              <w:rFonts w:hint="eastAsia" w:ascii="黑体" w:hAnsi="黑体" w:eastAsia="黑体"/>
            </w:rPr>
            <w:t>第五部分 附表</w:t>
          </w:r>
          <w:r>
            <w:tab/>
          </w:r>
          <w:r>
            <w:fldChar w:fldCharType="begin"/>
          </w:r>
          <w:r>
            <w:instrText xml:space="preserve"> PAGEREF _Toc22013 </w:instrText>
          </w:r>
          <w:r>
            <w:fldChar w:fldCharType="separate"/>
          </w:r>
          <w:r>
            <w:t>24</w:t>
          </w:r>
          <w:r>
            <w:fldChar w:fldCharType="end"/>
          </w:r>
          <w:r>
            <w:fldChar w:fldCharType="end"/>
          </w:r>
        </w:p>
        <w:p>
          <w:r>
            <w:fldChar w:fldCharType="end"/>
          </w:r>
        </w:p>
      </w:sdtContent>
    </w:sdt>
    <w:p>
      <w:pPr>
        <w:pStyle w:val="5"/>
        <w:jc w:val="center"/>
        <w:rPr>
          <w:rFonts w:hint="eastAsia" w:ascii="黑体" w:hAnsi="黑体" w:eastAsia="黑体"/>
          <w:b w:val="0"/>
        </w:rPr>
      </w:pPr>
      <w:bookmarkStart w:id="14" w:name="_Toc15396599"/>
      <w:bookmarkStart w:id="15" w:name="_Toc30390"/>
      <w:bookmarkStart w:id="16" w:name="_Toc15377196"/>
    </w:p>
    <w:p>
      <w:pPr>
        <w:pStyle w:val="5"/>
        <w:jc w:val="center"/>
        <w:rPr>
          <w:rFonts w:hint="eastAsia" w:ascii="黑体" w:hAnsi="黑体" w:eastAsia="黑体"/>
          <w:b w:val="0"/>
        </w:rPr>
      </w:pPr>
    </w:p>
    <w:p>
      <w:pPr>
        <w:pStyle w:val="5"/>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4"/>
      <w:bookmarkEnd w:id="15"/>
      <w:bookmarkEnd w:id="16"/>
    </w:p>
    <w:p>
      <w:pPr>
        <w:widowControl/>
        <w:jc w:val="left"/>
        <w:rPr>
          <w:rFonts w:ascii="黑体" w:eastAsia="黑体"/>
          <w:sz w:val="32"/>
          <w:szCs w:val="32"/>
        </w:rPr>
      </w:pPr>
    </w:p>
    <w:p>
      <w:pPr>
        <w:pStyle w:val="6"/>
        <w:numPr>
          <w:ilvl w:val="0"/>
          <w:numId w:val="1"/>
        </w:numPr>
        <w:rPr>
          <w:rFonts w:hint="eastAsia" w:ascii="黑体" w:hAnsi="黑体" w:eastAsia="黑体"/>
          <w:b w:val="0"/>
        </w:rPr>
      </w:pPr>
      <w:bookmarkStart w:id="17" w:name="_Toc11404"/>
      <w:r>
        <w:rPr>
          <w:rFonts w:hint="eastAsia" w:ascii="黑体" w:hAnsi="黑体" w:eastAsia="黑体"/>
          <w:b w:val="0"/>
        </w:rPr>
        <w:t>部门职责</w:t>
      </w:r>
      <w:bookmarkEnd w:id="17"/>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pPr>
      <w:r>
        <w:rPr>
          <w:rFonts w:hint="eastAsia" w:ascii="仿宋_GB2312" w:hAnsi="仿宋" w:eastAsia="仿宋_GB2312"/>
          <w:sz w:val="32"/>
          <w:szCs w:val="32"/>
        </w:rPr>
        <w:t>整合县内新闻媒体资源，实现一个平台融合，负责宣传策划、信息采集，编辑制作与刊播发布</w:t>
      </w:r>
      <w:r>
        <w:rPr>
          <w:rFonts w:hint="eastAsia" w:ascii="仿宋_GB2312" w:hAnsi="仿宋" w:eastAsia="仿宋_GB2312"/>
          <w:sz w:val="32"/>
          <w:szCs w:val="32"/>
          <w:lang w:val="en-US" w:eastAsia="zh-CN"/>
        </w:rPr>
        <w:t>;</w:t>
      </w:r>
      <w:r>
        <w:rPr>
          <w:rFonts w:hint="eastAsia" w:ascii="仿宋_GB2312" w:hAnsi="仿宋" w:eastAsia="仿宋_GB2312"/>
          <w:sz w:val="32"/>
          <w:szCs w:val="32"/>
        </w:rPr>
        <w:t>宣传效果监测与评价等工作</w:t>
      </w:r>
      <w:r>
        <w:rPr>
          <w:rFonts w:hint="eastAsia" w:ascii="仿宋_GB2312" w:hAnsi="仿宋" w:eastAsia="仿宋_GB2312"/>
          <w:sz w:val="32"/>
          <w:szCs w:val="32"/>
          <w:lang w:val="en-US" w:eastAsia="zh-CN"/>
        </w:rPr>
        <w:t>;</w:t>
      </w:r>
      <w:r>
        <w:rPr>
          <w:rFonts w:hint="eastAsia" w:ascii="仿宋_GB2312" w:hAnsi="仿宋" w:eastAsia="仿宋_GB2312"/>
          <w:sz w:val="32"/>
          <w:szCs w:val="32"/>
        </w:rPr>
        <w:t>策划和制作广播、电视、新闻媒体作品和提供应急广播节目内容</w:t>
      </w:r>
      <w:r>
        <w:rPr>
          <w:rFonts w:hint="eastAsia" w:ascii="仿宋_GB2312" w:hAnsi="仿宋" w:eastAsia="仿宋_GB2312"/>
          <w:sz w:val="32"/>
          <w:szCs w:val="32"/>
          <w:lang w:val="en-US" w:eastAsia="zh-CN"/>
        </w:rPr>
        <w:t>;</w:t>
      </w:r>
      <w:r>
        <w:rPr>
          <w:rFonts w:hint="eastAsia" w:ascii="仿宋_GB2312" w:hAnsi="仿宋" w:eastAsia="仿宋_GB2312"/>
          <w:sz w:val="32"/>
          <w:szCs w:val="32"/>
        </w:rPr>
        <w:t>负责网络舆情的相关工作</w:t>
      </w:r>
      <w:r>
        <w:rPr>
          <w:rFonts w:hint="eastAsia" w:ascii="仿宋_GB2312" w:hAnsi="仿宋" w:eastAsia="仿宋_GB2312"/>
          <w:sz w:val="32"/>
          <w:szCs w:val="32"/>
          <w:lang w:val="en-US" w:eastAsia="zh-CN"/>
        </w:rPr>
        <w:t>;</w:t>
      </w:r>
      <w:r>
        <w:rPr>
          <w:rFonts w:hint="eastAsia" w:ascii="仿宋_GB2312" w:hAnsi="仿宋" w:eastAsia="仿宋_GB2312"/>
          <w:sz w:val="32"/>
          <w:szCs w:val="32"/>
        </w:rPr>
        <w:t>指导乡镇部门政务新媒体、社会新媒体的业务工作。</w:t>
      </w:r>
    </w:p>
    <w:p>
      <w:pPr>
        <w:pStyle w:val="6"/>
        <w:rPr>
          <w:rStyle w:val="30"/>
          <w:b w:val="0"/>
          <w:bCs w:val="0"/>
        </w:rPr>
      </w:pPr>
      <w:bookmarkStart w:id="18" w:name="_Toc15396601"/>
      <w:bookmarkStart w:id="19" w:name="_Toc15377200"/>
      <w:bookmarkStart w:id="20" w:name="_Toc17276"/>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8"/>
      <w:bookmarkEnd w:id="19"/>
      <w:bookmarkEnd w:id="20"/>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default" w:ascii="楷体_GB2312" w:hAnsi="仿宋" w:eastAsia="仿宋_GB2312"/>
          <w:b/>
          <w:sz w:val="32"/>
          <w:szCs w:val="32"/>
          <w:lang w:val="en-US" w:eastAsia="zh-CN"/>
        </w:rPr>
      </w:pPr>
      <w:r>
        <w:rPr>
          <w:rFonts w:hint="eastAsia" w:ascii="仿宋_GB2312" w:hAnsi="仿宋" w:eastAsia="仿宋_GB2312"/>
          <w:sz w:val="32"/>
          <w:szCs w:val="32"/>
          <w:lang w:eastAsia="zh-CN"/>
        </w:rPr>
        <w:t>无纳入</w:t>
      </w:r>
      <w:r>
        <w:rPr>
          <w:rFonts w:hint="eastAsia" w:ascii="仿宋_GB2312" w:hAnsi="仿宋" w:eastAsia="仿宋_GB2312"/>
          <w:sz w:val="32"/>
          <w:szCs w:val="32"/>
          <w:lang w:val="en-US" w:eastAsia="zh-CN"/>
        </w:rPr>
        <w:t>2023年度部门决算编制范围的</w:t>
      </w:r>
      <w:r>
        <w:rPr>
          <w:rFonts w:hint="eastAsia" w:ascii="仿宋_GB2312" w:hAnsi="仿宋" w:eastAsia="仿宋_GB2312"/>
          <w:sz w:val="32"/>
          <w:szCs w:val="32"/>
          <w:lang w:eastAsia="zh-CN"/>
        </w:rPr>
        <w:t>二级预算单位。</w:t>
      </w:r>
    </w:p>
    <w:p>
      <w:pPr>
        <w:pStyle w:val="8"/>
        <w:adjustRightInd w:val="0"/>
        <w:snapToGrid w:val="0"/>
        <w:spacing w:before="93" w:line="600" w:lineRule="exact"/>
        <w:ind w:firstLine="1120" w:firstLineChars="350"/>
        <w:rPr>
          <w:rFonts w:ascii="仿宋" w:hAnsi="仿宋" w:eastAsia="仿宋"/>
          <w:sz w:val="32"/>
          <w:szCs w:val="32"/>
        </w:rPr>
      </w:pPr>
    </w:p>
    <w:p>
      <w:pPr>
        <w:widowControl/>
        <w:jc w:val="left"/>
        <w:rPr>
          <w:rFonts w:ascii="仿宋" w:hAnsi="仿宋" w:eastAsia="仿宋"/>
          <w:kern w:val="0"/>
          <w:sz w:val="32"/>
          <w:szCs w:val="32"/>
        </w:rPr>
      </w:pPr>
      <w:r>
        <w:rPr>
          <w:rFonts w:ascii="仿宋" w:hAnsi="仿宋" w:eastAsia="仿宋"/>
          <w:sz w:val="32"/>
          <w:szCs w:val="32"/>
        </w:rPr>
        <w:br w:type="page"/>
      </w:r>
    </w:p>
    <w:p>
      <w:pPr>
        <w:pStyle w:val="5"/>
        <w:ind w:right="440"/>
        <w:jc w:val="center"/>
        <w:rPr>
          <w:rStyle w:val="29"/>
          <w:rFonts w:ascii="黑体" w:hAnsi="黑体" w:eastAsia="黑体"/>
          <w:b w:val="0"/>
          <w:bCs/>
        </w:rPr>
      </w:pPr>
      <w:bookmarkStart w:id="21" w:name="_Toc15396602"/>
      <w:bookmarkStart w:id="22" w:name="_Toc20228"/>
      <w:bookmarkStart w:id="23" w:name="_Toc15377204"/>
      <w:r>
        <w:rPr>
          <w:rFonts w:hint="eastAsia" w:ascii="黑体" w:hAnsi="黑体" w:eastAsia="黑体"/>
          <w:b w:val="0"/>
        </w:rPr>
        <w:t>第二部分 2023年度</w:t>
      </w:r>
      <w:r>
        <w:rPr>
          <w:rStyle w:val="29"/>
          <w:rFonts w:hint="eastAsia" w:ascii="黑体" w:hAnsi="黑体" w:eastAsia="黑体"/>
          <w:b w:val="0"/>
          <w:bCs/>
        </w:rPr>
        <w:t>部门决算情况说明</w:t>
      </w:r>
      <w:bookmarkEnd w:id="21"/>
      <w:bookmarkEnd w:id="22"/>
      <w:bookmarkEnd w:id="23"/>
    </w:p>
    <w:p/>
    <w:p>
      <w:pPr>
        <w:pStyle w:val="28"/>
        <w:numPr>
          <w:ilvl w:val="0"/>
          <w:numId w:val="2"/>
        </w:numPr>
        <w:spacing w:line="600" w:lineRule="exact"/>
        <w:ind w:firstLineChars="0"/>
        <w:outlineLvl w:val="1"/>
        <w:rPr>
          <w:rStyle w:val="30"/>
          <w:rFonts w:ascii="黑体" w:hAnsi="黑体" w:eastAsia="黑体"/>
          <w:b w:val="0"/>
        </w:rPr>
      </w:pPr>
      <w:bookmarkStart w:id="24" w:name="_Toc3667"/>
      <w:bookmarkStart w:id="25" w:name="_Toc15377205"/>
      <w:bookmarkStart w:id="26"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24"/>
      <w:bookmarkEnd w:id="25"/>
      <w:bookmarkEnd w:id="26"/>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default" w:ascii="仿宋_GB2312" w:hAnsi="仿宋" w:eastAsia="仿宋_GB2312"/>
          <w:sz w:val="32"/>
          <w:szCs w:val="32"/>
          <w:lang w:val="en-US" w:eastAsia="zh-CN"/>
        </w:rPr>
      </w:pPr>
      <w:r>
        <w:rPr>
          <w:rFonts w:hint="eastAsia" w:ascii="仿宋" w:hAnsi="仿宋" w:eastAsia="仿宋"/>
          <w:sz w:val="32"/>
          <w:szCs w:val="32"/>
        </w:rPr>
        <w:t>2023年度收、支总计均为</w:t>
      </w:r>
      <w:r>
        <w:rPr>
          <w:rFonts w:hint="eastAsia"/>
          <w:sz w:val="32"/>
          <w:szCs w:val="32"/>
        </w:rPr>
        <w:t>872.19</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193.18</w:t>
      </w:r>
      <w:r>
        <w:rPr>
          <w:rFonts w:hint="eastAsia" w:ascii="仿宋" w:hAnsi="仿宋" w:eastAsia="仿宋"/>
          <w:sz w:val="32"/>
          <w:szCs w:val="32"/>
        </w:rPr>
        <w:t>万元，增长</w:t>
      </w:r>
      <w:r>
        <w:rPr>
          <w:rFonts w:hint="eastAsia" w:ascii="仿宋" w:hAnsi="仿宋" w:eastAsia="仿宋"/>
          <w:sz w:val="32"/>
          <w:szCs w:val="32"/>
          <w:lang w:val="en-US" w:eastAsia="zh-CN"/>
        </w:rPr>
        <w:t>28.45</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lang w:val="en-US" w:eastAsia="zh-CN"/>
        </w:rPr>
        <w:t>申请使用一般债券资金用于支付2021年融媒体中心项目建设费用及2023年沐川县网络视听阵地建设服务采购项目费用。</w:t>
      </w:r>
    </w:p>
    <w:p>
      <w:pPr>
        <w:spacing w:line="600" w:lineRule="exact"/>
        <w:ind w:firstLine="420" w:firstLineChars="200"/>
        <w:rPr>
          <w:rFonts w:hint="eastAsia" w:ascii="仿宋" w:hAnsi="仿宋" w:eastAsia="仿宋"/>
          <w:sz w:val="32"/>
          <w:szCs w:val="32"/>
        </w:rPr>
      </w:pPr>
      <w:r>
        <w:drawing>
          <wp:anchor distT="0" distB="0" distL="114300" distR="114300" simplePos="0" relativeHeight="251659264" behindDoc="1" locked="0" layoutInCell="1" allowOverlap="1">
            <wp:simplePos x="0" y="0"/>
            <wp:positionH relativeFrom="column">
              <wp:posOffset>226695</wp:posOffset>
            </wp:positionH>
            <wp:positionV relativeFrom="paragraph">
              <wp:posOffset>36195</wp:posOffset>
            </wp:positionV>
            <wp:extent cx="5086350" cy="2619375"/>
            <wp:effectExtent l="4445" t="4445" r="14605" b="5080"/>
            <wp:wrapNone/>
            <wp:docPr id="92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27" w:name="_Toc15396604"/>
      <w:bookmarkStart w:id="28" w:name="_Toc29150"/>
      <w:bookmarkStart w:id="29" w:name="_Toc15377206"/>
      <w:r>
        <w:rPr>
          <w:rFonts w:hint="eastAsia" w:ascii="黑体" w:hAnsi="黑体" w:eastAsia="黑体"/>
          <w:sz w:val="32"/>
          <w:szCs w:val="32"/>
        </w:rPr>
        <w:t>收</w:t>
      </w:r>
      <w:r>
        <w:rPr>
          <w:rStyle w:val="30"/>
          <w:rFonts w:hint="eastAsia" w:ascii="黑体" w:hAnsi="黑体" w:eastAsia="黑体"/>
          <w:b w:val="0"/>
        </w:rPr>
        <w:t>入决算情况说明</w:t>
      </w:r>
      <w:bookmarkEnd w:id="27"/>
      <w:bookmarkEnd w:id="28"/>
      <w:bookmarkEnd w:id="29"/>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2023年度本年收入合计872.19万元，其中：一般公共预算财政拨款收入</w:t>
      </w:r>
      <w:r>
        <w:rPr>
          <w:rFonts w:hint="eastAsia" w:ascii="仿宋" w:hAnsi="仿宋" w:eastAsia="仿宋"/>
          <w:sz w:val="32"/>
          <w:szCs w:val="32"/>
          <w:lang w:val="en-US" w:eastAsia="zh-CN"/>
        </w:rPr>
        <w:t>855</w:t>
      </w:r>
      <w:r>
        <w:rPr>
          <w:rFonts w:hint="eastAsia" w:ascii="仿宋" w:hAnsi="仿宋" w:eastAsia="仿宋"/>
          <w:sz w:val="32"/>
          <w:szCs w:val="32"/>
        </w:rPr>
        <w:t>.47万元，占9</w:t>
      </w:r>
      <w:r>
        <w:rPr>
          <w:rFonts w:hint="eastAsia" w:ascii="仿宋" w:hAnsi="仿宋" w:eastAsia="仿宋"/>
          <w:sz w:val="32"/>
          <w:szCs w:val="32"/>
          <w:lang w:val="en-US" w:eastAsia="zh-CN"/>
        </w:rPr>
        <w:t>8</w:t>
      </w:r>
      <w:r>
        <w:rPr>
          <w:rFonts w:hint="eastAsia" w:ascii="仿宋" w:hAnsi="仿宋" w:eastAsia="仿宋"/>
          <w:sz w:val="32"/>
          <w:szCs w:val="32"/>
        </w:rPr>
        <w:t>%；政府性基金预算财政拨款收入16.72万元，占2%；国有资本经营预算财政拨款收入0万元，占0%；上级补助收入0万元，占0%；事业收入0万元，占0%；经营收入0万元，占0%；附属单位上缴收入0万元，占0%；其他收入0万元，占0%。</w:t>
      </w:r>
    </w:p>
    <w:p>
      <w:pPr>
        <w:pStyle w:val="15"/>
        <w:rPr>
          <w:rFonts w:ascii="仿宋_GB2312" w:eastAsia="仿宋_GB2312"/>
          <w:sz w:val="32"/>
          <w:szCs w:val="32"/>
        </w:rPr>
      </w:pPr>
      <w:r>
        <w:drawing>
          <wp:inline distT="0" distB="0" distL="114300" distR="114300">
            <wp:extent cx="4772025" cy="2905125"/>
            <wp:effectExtent l="4445" t="4445" r="5080" b="5080"/>
            <wp:docPr id="2970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8"/>
        <w:numPr>
          <w:ilvl w:val="0"/>
          <w:numId w:val="2"/>
        </w:numPr>
        <w:spacing w:line="600" w:lineRule="exact"/>
        <w:ind w:firstLineChars="0"/>
        <w:outlineLvl w:val="1"/>
        <w:rPr>
          <w:rStyle w:val="30"/>
          <w:rFonts w:ascii="黑体" w:hAnsi="黑体" w:eastAsia="黑体"/>
          <w:b w:val="0"/>
        </w:rPr>
      </w:pPr>
      <w:bookmarkStart w:id="30" w:name="_Toc15377207"/>
      <w:bookmarkStart w:id="31" w:name="_Toc15396605"/>
      <w:bookmarkStart w:id="32" w:name="_Toc19781"/>
      <w:r>
        <w:rPr>
          <w:rFonts w:hint="eastAsia" w:ascii="黑体" w:hAnsi="黑体" w:eastAsia="黑体"/>
          <w:sz w:val="32"/>
          <w:szCs w:val="32"/>
        </w:rPr>
        <w:t>支</w:t>
      </w:r>
      <w:r>
        <w:rPr>
          <w:rStyle w:val="30"/>
          <w:rFonts w:hint="eastAsia" w:ascii="黑体" w:hAnsi="黑体" w:eastAsia="黑体"/>
          <w:b w:val="0"/>
        </w:rPr>
        <w:t>出决算情况说明</w:t>
      </w:r>
      <w:bookmarkEnd w:id="30"/>
      <w:bookmarkEnd w:id="31"/>
      <w:bookmarkEnd w:id="32"/>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2023年度本年支出合计872.19万元，其中：基本支出420.63万元，占48.2</w:t>
      </w:r>
      <w:r>
        <w:rPr>
          <w:rFonts w:hint="eastAsia" w:ascii="仿宋" w:hAnsi="仿宋" w:eastAsia="仿宋"/>
          <w:sz w:val="32"/>
          <w:szCs w:val="32"/>
          <w:lang w:val="en-US" w:eastAsia="zh-CN"/>
        </w:rPr>
        <w:t>3</w:t>
      </w:r>
      <w:r>
        <w:rPr>
          <w:rFonts w:hint="eastAsia" w:ascii="仿宋" w:hAnsi="仿宋" w:eastAsia="仿宋"/>
          <w:sz w:val="32"/>
          <w:szCs w:val="32"/>
        </w:rPr>
        <w:t>%；项目支出451.56万元，占51.77%；上缴上级支出0万元，占0%；经营支出0万元，占0%；对附属单位补助支出0万元，占0%。</w:t>
      </w:r>
    </w:p>
    <w:p>
      <w:pPr>
        <w:spacing w:line="600" w:lineRule="exact"/>
        <w:ind w:firstLine="640" w:firstLineChars="200"/>
        <w:outlineLvl w:val="1"/>
        <w:rPr>
          <w:rFonts w:hint="eastAsia" w:ascii="黑体" w:hAnsi="黑体" w:eastAsia="黑体"/>
          <w:sz w:val="32"/>
          <w:szCs w:val="32"/>
        </w:rPr>
      </w:pPr>
      <w:bookmarkStart w:id="33" w:name="_Toc15377208"/>
      <w:bookmarkStart w:id="34" w:name="_Toc15396606"/>
      <w:bookmarkStart w:id="35" w:name="_Toc10663"/>
    </w:p>
    <w:p>
      <w:pPr>
        <w:spacing w:line="600" w:lineRule="exact"/>
        <w:ind w:firstLine="420" w:firstLineChars="200"/>
        <w:outlineLvl w:val="1"/>
        <w:rPr>
          <w:rFonts w:hint="eastAsia" w:ascii="黑体" w:hAnsi="黑体" w:eastAsia="黑体"/>
          <w:sz w:val="32"/>
          <w:szCs w:val="32"/>
        </w:rPr>
      </w:pPr>
      <w:r>
        <w:drawing>
          <wp:anchor distT="0" distB="0" distL="114300" distR="114300" simplePos="0" relativeHeight="251660288" behindDoc="1" locked="0" layoutInCell="1" allowOverlap="1">
            <wp:simplePos x="0" y="0"/>
            <wp:positionH relativeFrom="column">
              <wp:posOffset>147320</wp:posOffset>
            </wp:positionH>
            <wp:positionV relativeFrom="paragraph">
              <wp:posOffset>42545</wp:posOffset>
            </wp:positionV>
            <wp:extent cx="4857750" cy="2905125"/>
            <wp:effectExtent l="4445" t="4445" r="14605" b="5080"/>
            <wp:wrapNone/>
            <wp:docPr id="3175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30"/>
          <w:rFonts w:ascii="黑体" w:hAnsi="黑体" w:eastAsia="黑体"/>
          <w:b w:val="0"/>
        </w:rPr>
      </w:pPr>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3"/>
      <w:bookmarkEnd w:id="34"/>
      <w:bookmarkEnd w:id="35"/>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sz w:val="32"/>
          <w:szCs w:val="32"/>
        </w:rPr>
        <w:t>872.19</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193.18</w:t>
      </w:r>
      <w:r>
        <w:rPr>
          <w:rFonts w:hint="eastAsia" w:ascii="仿宋" w:hAnsi="仿宋" w:eastAsia="仿宋"/>
          <w:sz w:val="32"/>
          <w:szCs w:val="32"/>
        </w:rPr>
        <w:t>万元，增长</w:t>
      </w:r>
      <w:r>
        <w:rPr>
          <w:rFonts w:hint="eastAsia" w:ascii="仿宋" w:hAnsi="仿宋" w:eastAsia="仿宋"/>
          <w:sz w:val="32"/>
          <w:szCs w:val="32"/>
          <w:lang w:val="en-US" w:eastAsia="zh-CN"/>
        </w:rPr>
        <w:t>28.45</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lang w:val="en-US" w:eastAsia="zh-CN"/>
        </w:rPr>
        <w:t>申请使用一般债券资金用于支付2021年融媒体中心项目建设费用及2023年沐川县网络视听阵地建设服务采购项目费用。</w:t>
      </w:r>
    </w:p>
    <w:p>
      <w:pPr>
        <w:spacing w:line="600" w:lineRule="exact"/>
        <w:outlineLvl w:val="1"/>
        <w:rPr>
          <w:rFonts w:hint="eastAsia" w:ascii="黑体" w:hAnsi="黑体" w:eastAsia="黑体"/>
          <w:sz w:val="32"/>
          <w:szCs w:val="32"/>
        </w:rPr>
      </w:pPr>
      <w:bookmarkStart w:id="36" w:name="_Toc15396607"/>
      <w:bookmarkStart w:id="37" w:name="_Toc1709"/>
      <w:bookmarkStart w:id="38" w:name="_Toc15377209"/>
      <w:r>
        <w:drawing>
          <wp:anchor distT="0" distB="0" distL="114300" distR="114300" simplePos="0" relativeHeight="251661312" behindDoc="1" locked="0" layoutInCell="1" allowOverlap="1">
            <wp:simplePos x="0" y="0"/>
            <wp:positionH relativeFrom="column">
              <wp:posOffset>204470</wp:posOffset>
            </wp:positionH>
            <wp:positionV relativeFrom="paragraph">
              <wp:posOffset>366395</wp:posOffset>
            </wp:positionV>
            <wp:extent cx="5269230" cy="2501900"/>
            <wp:effectExtent l="4445" t="4445" r="22225" b="8255"/>
            <wp:wrapNone/>
            <wp:docPr id="3278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pStyle w:val="15"/>
        <w:rPr>
          <w:rFonts w:hint="eastAsia" w:ascii="黑体" w:hAnsi="黑体" w:eastAsia="黑体"/>
          <w:sz w:val="32"/>
          <w:szCs w:val="32"/>
        </w:rPr>
      </w:pPr>
    </w:p>
    <w:p>
      <w:pPr>
        <w:pStyle w:val="15"/>
        <w:rPr>
          <w:rFonts w:hint="eastAsia" w:ascii="黑体" w:hAnsi="黑体" w:eastAsia="黑体"/>
          <w:sz w:val="32"/>
          <w:szCs w:val="32"/>
        </w:rPr>
      </w:pPr>
    </w:p>
    <w:p>
      <w:pPr>
        <w:pStyle w:val="15"/>
        <w:rPr>
          <w:rFonts w:hint="eastAsia" w:ascii="黑体" w:hAnsi="黑体" w:eastAsia="黑体"/>
          <w:sz w:val="32"/>
          <w:szCs w:val="32"/>
        </w:rPr>
      </w:pPr>
    </w:p>
    <w:p>
      <w:pPr>
        <w:spacing w:line="600" w:lineRule="exact"/>
        <w:ind w:firstLine="640" w:firstLineChars="200"/>
        <w:outlineLvl w:val="1"/>
        <w:rPr>
          <w:rStyle w:val="30"/>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6"/>
      <w:bookmarkEnd w:id="37"/>
      <w:bookmarkEnd w:id="38"/>
    </w:p>
    <w:p>
      <w:pPr>
        <w:spacing w:line="600" w:lineRule="exact"/>
        <w:ind w:firstLine="643" w:firstLineChars="200"/>
        <w:outlineLvl w:val="2"/>
        <w:rPr>
          <w:rFonts w:ascii="仿宋" w:hAnsi="仿宋" w:eastAsia="仿宋"/>
          <w:b/>
          <w:sz w:val="32"/>
          <w:szCs w:val="32"/>
        </w:rPr>
      </w:pPr>
      <w:bookmarkStart w:id="39" w:name="_Toc15377210"/>
      <w:r>
        <w:rPr>
          <w:rFonts w:hint="eastAsia" w:ascii="仿宋" w:hAnsi="仿宋" w:eastAsia="仿宋"/>
          <w:b/>
          <w:sz w:val="32"/>
          <w:szCs w:val="32"/>
        </w:rPr>
        <w:t>（一）一般公共预算财政拨款支出决算总体情况</w:t>
      </w:r>
      <w:bookmarkEnd w:id="39"/>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sz w:val="32"/>
          <w:szCs w:val="32"/>
        </w:rPr>
        <w:t>855.47</w:t>
      </w:r>
      <w:r>
        <w:rPr>
          <w:rFonts w:hint="eastAsia" w:ascii="仿宋" w:hAnsi="仿宋" w:eastAsia="仿宋"/>
          <w:sz w:val="32"/>
          <w:szCs w:val="32"/>
        </w:rPr>
        <w:t>万元，占本年支出合计的</w:t>
      </w:r>
      <w:r>
        <w:rPr>
          <w:sz w:val="32"/>
          <w:szCs w:val="32"/>
        </w:rPr>
        <w:t>98.08</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168.65</w:t>
      </w:r>
      <w:r>
        <w:rPr>
          <w:rFonts w:hint="eastAsia" w:ascii="仿宋" w:hAnsi="仿宋" w:eastAsia="仿宋"/>
          <w:sz w:val="32"/>
          <w:szCs w:val="32"/>
        </w:rPr>
        <w:t>万元，增长</w:t>
      </w:r>
      <w:r>
        <w:rPr>
          <w:rFonts w:hint="eastAsia" w:ascii="仿宋" w:hAnsi="仿宋" w:eastAsia="仿宋"/>
          <w:sz w:val="32"/>
          <w:szCs w:val="32"/>
          <w:lang w:val="en-US" w:eastAsia="zh-CN"/>
        </w:rPr>
        <w:t>30.29</w:t>
      </w:r>
      <w:r>
        <w:rPr>
          <w:rFonts w:ascii="仿宋" w:hAnsi="仿宋" w:eastAsia="仿宋"/>
          <w:sz w:val="32"/>
          <w:szCs w:val="32"/>
        </w:rPr>
        <w:t>%</w:t>
      </w:r>
      <w:r>
        <w:rPr>
          <w:rFonts w:hint="eastAsia" w:ascii="仿宋" w:hAnsi="仿宋" w:eastAsia="仿宋"/>
          <w:sz w:val="32"/>
          <w:szCs w:val="32"/>
        </w:rPr>
        <w:t>。主要变动原因是业务增加，收入增加</w:t>
      </w:r>
      <w:r>
        <w:rPr>
          <w:rFonts w:hint="eastAsia" w:ascii="仿宋" w:hAnsi="仿宋" w:eastAsia="仿宋"/>
          <w:sz w:val="32"/>
          <w:szCs w:val="32"/>
          <w:lang w:eastAsia="zh-CN"/>
        </w:rPr>
        <w:t>。</w:t>
      </w:r>
    </w:p>
    <w:p>
      <w:pPr>
        <w:spacing w:line="600" w:lineRule="exact"/>
        <w:ind w:firstLine="640" w:firstLineChars="200"/>
        <w:rPr>
          <w:rFonts w:ascii="仿宋" w:hAnsi="仿宋" w:eastAsia="仿宋"/>
          <w:sz w:val="32"/>
          <w:szCs w:val="32"/>
        </w:rPr>
      </w:pPr>
    </w:p>
    <w:p>
      <w:pPr>
        <w:pStyle w:val="15"/>
        <w:rPr>
          <w:rFonts w:ascii="仿宋" w:hAnsi="仿宋" w:eastAsia="仿宋"/>
          <w:sz w:val="32"/>
          <w:szCs w:val="32"/>
        </w:rPr>
      </w:pPr>
      <w:r>
        <w:drawing>
          <wp:inline distT="0" distB="0" distL="114300" distR="114300">
            <wp:extent cx="5272405" cy="2531110"/>
            <wp:effectExtent l="4445" t="4445" r="19050" b="17145"/>
            <wp:docPr id="338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40" w:name="_Toc15377211"/>
      <w:r>
        <w:rPr>
          <w:rFonts w:hint="eastAsia" w:ascii="仿宋" w:hAnsi="仿宋" w:eastAsia="仿宋"/>
          <w:b/>
          <w:sz w:val="32"/>
          <w:szCs w:val="32"/>
        </w:rPr>
        <w:t>（二）一般公共预算财政拨款支出决算结构情况</w:t>
      </w:r>
      <w:bookmarkEnd w:id="40"/>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2023年度一般公共预算财政拨款支出855.47万元，主要用于以下方面:文化旅游体育与传媒支出</w:t>
      </w:r>
      <w:r>
        <w:rPr>
          <w:rFonts w:hint="eastAsia" w:ascii="仿宋" w:hAnsi="仿宋" w:eastAsia="仿宋"/>
          <w:sz w:val="32"/>
          <w:szCs w:val="32"/>
          <w:lang w:val="en-US" w:eastAsia="zh-CN"/>
        </w:rPr>
        <w:t>545.45</w:t>
      </w:r>
      <w:r>
        <w:rPr>
          <w:rFonts w:hint="eastAsia" w:ascii="仿宋" w:hAnsi="仿宋" w:eastAsia="仿宋"/>
          <w:sz w:val="32"/>
          <w:szCs w:val="32"/>
        </w:rPr>
        <w:t>万元，占</w:t>
      </w:r>
      <w:r>
        <w:rPr>
          <w:rFonts w:hint="eastAsia" w:ascii="仿宋" w:hAnsi="仿宋" w:eastAsia="仿宋"/>
          <w:sz w:val="32"/>
          <w:szCs w:val="32"/>
          <w:lang w:val="en-US" w:eastAsia="zh-CN"/>
        </w:rPr>
        <w:t>63.76</w:t>
      </w:r>
      <w:r>
        <w:rPr>
          <w:rFonts w:hint="eastAsia" w:ascii="仿宋" w:hAnsi="仿宋" w:eastAsia="仿宋"/>
          <w:sz w:val="32"/>
          <w:szCs w:val="32"/>
        </w:rPr>
        <w:t>%；社会保障和就业支出</w:t>
      </w:r>
      <w:r>
        <w:rPr>
          <w:rFonts w:hint="eastAsia" w:ascii="仿宋" w:hAnsi="仿宋" w:eastAsia="仿宋"/>
          <w:sz w:val="32"/>
          <w:szCs w:val="32"/>
          <w:lang w:val="en-US" w:eastAsia="zh-CN"/>
        </w:rPr>
        <w:t>49.27</w:t>
      </w:r>
      <w:r>
        <w:rPr>
          <w:rFonts w:hint="eastAsia" w:ascii="仿宋" w:hAnsi="仿宋" w:eastAsia="仿宋"/>
          <w:sz w:val="32"/>
          <w:szCs w:val="32"/>
        </w:rPr>
        <w:t>万元，占</w:t>
      </w:r>
      <w:r>
        <w:rPr>
          <w:rFonts w:hint="eastAsia" w:ascii="仿宋" w:hAnsi="仿宋" w:eastAsia="仿宋"/>
          <w:sz w:val="32"/>
          <w:szCs w:val="32"/>
          <w:lang w:val="en-US" w:eastAsia="zh-CN"/>
        </w:rPr>
        <w:t>5.76</w:t>
      </w:r>
      <w:r>
        <w:rPr>
          <w:rFonts w:hint="eastAsia" w:ascii="仿宋" w:hAnsi="仿宋" w:eastAsia="仿宋"/>
          <w:sz w:val="32"/>
          <w:szCs w:val="32"/>
        </w:rPr>
        <w:t>%；卫生健康支出</w:t>
      </w:r>
      <w:r>
        <w:rPr>
          <w:rFonts w:hint="eastAsia" w:ascii="仿宋" w:hAnsi="仿宋" w:eastAsia="仿宋"/>
          <w:sz w:val="32"/>
          <w:szCs w:val="32"/>
          <w:lang w:val="en-US" w:eastAsia="zh-CN"/>
        </w:rPr>
        <w:t>16.6</w:t>
      </w:r>
      <w:r>
        <w:rPr>
          <w:rFonts w:hint="eastAsia" w:ascii="仿宋" w:hAnsi="仿宋" w:eastAsia="仿宋"/>
          <w:sz w:val="32"/>
          <w:szCs w:val="32"/>
        </w:rPr>
        <w:t>万元，占</w:t>
      </w:r>
      <w:r>
        <w:rPr>
          <w:rFonts w:hint="eastAsia" w:ascii="仿宋" w:hAnsi="仿宋" w:eastAsia="仿宋"/>
          <w:sz w:val="32"/>
          <w:szCs w:val="32"/>
          <w:lang w:val="en-US" w:eastAsia="zh-CN"/>
        </w:rPr>
        <w:t>1.94</w:t>
      </w:r>
      <w:r>
        <w:rPr>
          <w:rFonts w:hint="eastAsia" w:ascii="仿宋" w:hAnsi="仿宋" w:eastAsia="仿宋"/>
          <w:sz w:val="32"/>
          <w:szCs w:val="32"/>
        </w:rPr>
        <w:t>%；农林水支出</w:t>
      </w:r>
      <w:r>
        <w:rPr>
          <w:rFonts w:hint="eastAsia" w:ascii="仿宋" w:hAnsi="仿宋" w:eastAsia="仿宋"/>
          <w:sz w:val="32"/>
          <w:szCs w:val="32"/>
          <w:lang w:val="en-US" w:eastAsia="zh-CN"/>
        </w:rPr>
        <w:t>208.25万元，</w:t>
      </w:r>
      <w:r>
        <w:rPr>
          <w:rFonts w:hint="eastAsia" w:ascii="仿宋" w:hAnsi="仿宋" w:eastAsia="仿宋"/>
          <w:sz w:val="32"/>
          <w:szCs w:val="32"/>
        </w:rPr>
        <w:t>占</w:t>
      </w:r>
      <w:r>
        <w:rPr>
          <w:rFonts w:hint="eastAsia" w:ascii="仿宋" w:hAnsi="仿宋" w:eastAsia="仿宋"/>
          <w:sz w:val="32"/>
          <w:szCs w:val="32"/>
          <w:lang w:val="en-US" w:eastAsia="zh-CN"/>
        </w:rPr>
        <w:t>24.34</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住房保障支出</w:t>
      </w:r>
      <w:r>
        <w:rPr>
          <w:rFonts w:hint="eastAsia" w:ascii="仿宋" w:hAnsi="仿宋" w:eastAsia="仿宋"/>
          <w:sz w:val="32"/>
          <w:szCs w:val="32"/>
          <w:lang w:val="en-US" w:eastAsia="zh-CN"/>
        </w:rPr>
        <w:t>35.9</w:t>
      </w:r>
      <w:r>
        <w:rPr>
          <w:rFonts w:hint="eastAsia" w:ascii="仿宋" w:hAnsi="仿宋" w:eastAsia="仿宋"/>
          <w:sz w:val="32"/>
          <w:szCs w:val="32"/>
        </w:rPr>
        <w:t>万元，占</w:t>
      </w:r>
      <w:r>
        <w:rPr>
          <w:rFonts w:hint="eastAsia" w:ascii="仿宋" w:hAnsi="仿宋" w:eastAsia="仿宋"/>
          <w:sz w:val="32"/>
          <w:szCs w:val="32"/>
          <w:lang w:val="en-US" w:eastAsia="zh-CN"/>
        </w:rPr>
        <w:t>4.20</w:t>
      </w:r>
      <w:r>
        <w:rPr>
          <w:rFonts w:hint="eastAsia" w:ascii="仿宋" w:hAnsi="仿宋" w:eastAsia="仿宋"/>
          <w:sz w:val="32"/>
          <w:szCs w:val="32"/>
        </w:rPr>
        <w:t>%。</w:t>
      </w:r>
    </w:p>
    <w:p>
      <w:pPr>
        <w:pStyle w:val="15"/>
        <w:rPr>
          <w:rFonts w:hint="eastAsia" w:ascii="仿宋" w:hAnsi="仿宋" w:eastAsia="仿宋"/>
          <w:sz w:val="32"/>
          <w:szCs w:val="32"/>
        </w:rPr>
      </w:pPr>
      <w:r>
        <w:drawing>
          <wp:inline distT="0" distB="0" distL="114300" distR="114300">
            <wp:extent cx="5201285" cy="3257550"/>
            <wp:effectExtent l="4445" t="4445" r="13970" b="14605"/>
            <wp:docPr id="348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41" w:name="_Toc15377212"/>
      <w:r>
        <w:rPr>
          <w:rFonts w:hint="eastAsia" w:ascii="仿宋" w:hAnsi="仿宋" w:eastAsia="仿宋"/>
          <w:b/>
          <w:sz w:val="32"/>
          <w:szCs w:val="32"/>
        </w:rPr>
        <w:t>（三）一般公共预算财政拨款支出决算具体情况</w:t>
      </w:r>
      <w:bookmarkEnd w:id="41"/>
    </w:p>
    <w:p>
      <w:pPr>
        <w:spacing w:line="600" w:lineRule="exact"/>
        <w:ind w:firstLine="643" w:firstLineChars="200"/>
        <w:outlineLvl w:val="2"/>
        <w:rPr>
          <w:rFonts w:ascii="仿宋" w:hAnsi="仿宋" w:eastAsia="仿宋"/>
          <w:sz w:val="32"/>
          <w:szCs w:val="32"/>
        </w:rPr>
      </w:pPr>
      <w:bookmarkStart w:id="42" w:name="_Toc15377444"/>
      <w:bookmarkStart w:id="43" w:name="_Toc15378460"/>
      <w:bookmarkStart w:id="44" w:name="_Toc15377213"/>
      <w:r>
        <w:rPr>
          <w:rFonts w:hint="eastAsia" w:ascii="仿宋" w:hAnsi="仿宋" w:eastAsia="仿宋"/>
          <w:b/>
          <w:sz w:val="32"/>
          <w:szCs w:val="32"/>
        </w:rPr>
        <w:t>2023年度一般公共预算支出决算数为</w:t>
      </w:r>
      <w:r>
        <w:rPr>
          <w:sz w:val="32"/>
          <w:szCs w:val="32"/>
        </w:rPr>
        <w:t>855.47</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42"/>
      <w:bookmarkEnd w:id="43"/>
      <w:bookmarkEnd w:id="44"/>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1</w:t>
      </w:r>
      <w:r>
        <w:rPr>
          <w:rStyle w:val="18"/>
          <w:rFonts w:ascii="仿宋" w:hAnsi="仿宋" w:eastAsia="仿宋"/>
          <w:bCs/>
          <w:sz w:val="32"/>
          <w:szCs w:val="32"/>
        </w:rPr>
        <w:t>.</w:t>
      </w:r>
      <w:r>
        <w:rPr>
          <w:rStyle w:val="18"/>
          <w:rFonts w:hint="eastAsia" w:ascii="仿宋" w:hAnsi="仿宋" w:eastAsia="仿宋"/>
          <w:bCs/>
          <w:sz w:val="32"/>
          <w:szCs w:val="32"/>
        </w:rPr>
        <w:t>文化旅游体育与传媒（类）文化和旅游（款）其他文化和旅游支出（项）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2</w:t>
      </w:r>
      <w:r>
        <w:rPr>
          <w:rStyle w:val="18"/>
          <w:rFonts w:ascii="仿宋" w:hAnsi="仿宋" w:eastAsia="仿宋"/>
          <w:bCs/>
          <w:sz w:val="32"/>
          <w:szCs w:val="32"/>
        </w:rPr>
        <w:t>.</w:t>
      </w:r>
      <w:r>
        <w:rPr>
          <w:rStyle w:val="18"/>
          <w:rFonts w:hint="eastAsia" w:ascii="仿宋" w:hAnsi="仿宋" w:eastAsia="仿宋"/>
          <w:bCs/>
          <w:sz w:val="32"/>
          <w:szCs w:val="32"/>
        </w:rPr>
        <w:t>文化旅游体育与传媒（类）新闻出版电影（款）新闻通讯（项）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文化旅游体育与传媒（类）广播电视（款）一般行政管理事务（项）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Style w:val="18"/>
          <w:rFonts w:hint="eastAsia" w:ascii="仿宋" w:hAnsi="仿宋" w:eastAsia="仿宋"/>
          <w:bCs/>
          <w:sz w:val="32"/>
          <w:szCs w:val="32"/>
        </w:rPr>
        <w:t>文化旅游体育与传媒（类）广播电视（款）广播电视事务（项）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329.87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Style w:val="18"/>
          <w:rFonts w:hint="eastAsia" w:ascii="仿宋" w:hAnsi="仿宋" w:eastAsia="仿宋"/>
          <w:bCs/>
          <w:sz w:val="32"/>
          <w:szCs w:val="32"/>
        </w:rPr>
        <w:t>文化旅游体育与传媒（类）广播电视（款）其他广播电视支出（项）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143.78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hint="eastAsia" w:ascii="仿宋" w:hAnsi="仿宋" w:eastAsia="仿宋"/>
          <w:b w:val="0"/>
          <w:bCs/>
          <w:sz w:val="32"/>
          <w:szCs w:val="32"/>
        </w:rPr>
      </w:pPr>
      <w:r>
        <w:rPr>
          <w:rStyle w:val="18"/>
          <w:rFonts w:hint="eastAsia" w:ascii="仿宋" w:hAnsi="仿宋" w:eastAsia="仿宋"/>
          <w:b w:val="0"/>
          <w:bCs/>
          <w:sz w:val="32"/>
          <w:szCs w:val="32"/>
          <w:lang w:val="en-US" w:eastAsia="zh-CN"/>
        </w:rPr>
        <w:t>6.</w:t>
      </w:r>
      <w:r>
        <w:rPr>
          <w:rStyle w:val="18"/>
          <w:rFonts w:hint="eastAsia" w:ascii="仿宋" w:hAnsi="仿宋" w:eastAsia="仿宋"/>
          <w:bCs/>
          <w:sz w:val="32"/>
          <w:szCs w:val="32"/>
        </w:rPr>
        <w:t>社会保障和就业（类）行政事业单位养老支出（款）机关事业单位基本养老保险缴费支出（项）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43.49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hint="eastAsia" w:ascii="仿宋" w:hAnsi="仿宋" w:eastAsia="仿宋"/>
          <w:b w:val="0"/>
          <w:bCs/>
          <w:sz w:val="32"/>
          <w:szCs w:val="32"/>
        </w:rPr>
      </w:pPr>
      <w:r>
        <w:rPr>
          <w:rStyle w:val="18"/>
          <w:rFonts w:hint="eastAsia" w:ascii="仿宋" w:hAnsi="仿宋" w:eastAsia="仿宋"/>
          <w:b w:val="0"/>
          <w:bCs/>
          <w:sz w:val="32"/>
          <w:szCs w:val="32"/>
          <w:lang w:val="en-US" w:eastAsia="zh-CN"/>
        </w:rPr>
        <w:t>7.</w:t>
      </w:r>
      <w:r>
        <w:rPr>
          <w:rStyle w:val="18"/>
          <w:rFonts w:hint="eastAsia" w:ascii="仿宋" w:hAnsi="仿宋" w:eastAsia="仿宋"/>
          <w:b/>
          <w:bCs/>
          <w:sz w:val="32"/>
          <w:szCs w:val="32"/>
        </w:rPr>
        <w:t>社会保障和就业（类）行政事业单位养老支出（款）机关事业单位职业年金缴费支出（项）</w:t>
      </w:r>
      <w:r>
        <w:rPr>
          <w:rStyle w:val="18"/>
          <w:rFonts w:ascii="仿宋" w:hAnsi="仿宋" w:eastAsia="仿宋"/>
          <w:b/>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0.58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pPr>
      <w:r>
        <w:rPr>
          <w:rStyle w:val="18"/>
          <w:rFonts w:hint="eastAsia" w:ascii="仿宋" w:hAnsi="仿宋" w:eastAsia="仿宋"/>
          <w:b w:val="0"/>
          <w:bCs/>
          <w:sz w:val="32"/>
          <w:szCs w:val="32"/>
          <w:lang w:val="en-US" w:eastAsia="zh-CN"/>
        </w:rPr>
        <w:t>8.</w:t>
      </w:r>
      <w:r>
        <w:rPr>
          <w:rStyle w:val="18"/>
          <w:rFonts w:hint="eastAsia" w:ascii="仿宋" w:hAnsi="仿宋" w:eastAsia="仿宋"/>
          <w:b/>
          <w:bCs/>
          <w:sz w:val="32"/>
          <w:szCs w:val="32"/>
        </w:rPr>
        <w:t>社会保障和就业（类）其他社会保障和就业支出（款）其他社会保障和就业支出（项）</w:t>
      </w:r>
      <w:r>
        <w:rPr>
          <w:rStyle w:val="18"/>
          <w:rFonts w:ascii="仿宋" w:hAnsi="仿宋" w:eastAsia="仿宋"/>
          <w:b/>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5.20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Style w:val="18"/>
          <w:rFonts w:hint="eastAsia" w:ascii="仿宋" w:hAnsi="仿宋" w:eastAsia="仿宋"/>
          <w:b w:val="0"/>
          <w:bCs/>
          <w:sz w:val="32"/>
          <w:szCs w:val="32"/>
          <w:lang w:eastAsia="zh-CN"/>
        </w:rPr>
      </w:pPr>
      <w:r>
        <w:rPr>
          <w:rStyle w:val="18"/>
          <w:rFonts w:hint="eastAsia" w:ascii="仿宋" w:hAnsi="仿宋" w:eastAsia="仿宋"/>
          <w:bCs/>
          <w:sz w:val="32"/>
          <w:szCs w:val="32"/>
          <w:lang w:val="en-US" w:eastAsia="zh-CN"/>
        </w:rPr>
        <w:t>9</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（类）行政事业单位医疗（款）事业单位医疗（项）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16.6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p>
    <w:p>
      <w:pPr>
        <w:spacing w:line="600" w:lineRule="exact"/>
        <w:ind w:firstLine="643" w:firstLineChars="200"/>
        <w:rPr>
          <w:rStyle w:val="18"/>
          <w:rFonts w:hint="eastAsia" w:ascii="仿宋" w:hAnsi="仿宋" w:eastAsia="仿宋"/>
          <w:b w:val="0"/>
          <w:bCs/>
          <w:sz w:val="32"/>
          <w:szCs w:val="32"/>
          <w:lang w:eastAsia="zh-CN"/>
        </w:rPr>
      </w:pPr>
      <w:r>
        <w:rPr>
          <w:rStyle w:val="18"/>
          <w:rFonts w:hint="eastAsia" w:ascii="仿宋" w:hAnsi="仿宋" w:eastAsia="仿宋"/>
          <w:bCs/>
          <w:sz w:val="32"/>
          <w:szCs w:val="32"/>
          <w:lang w:val="en-US" w:eastAsia="zh-CN"/>
        </w:rPr>
        <w:t>10</w:t>
      </w:r>
      <w:r>
        <w:rPr>
          <w:rStyle w:val="18"/>
          <w:rFonts w:ascii="仿宋" w:hAnsi="仿宋" w:eastAsia="仿宋"/>
          <w:bCs/>
          <w:sz w:val="32"/>
          <w:szCs w:val="32"/>
        </w:rPr>
        <w:t>.</w:t>
      </w:r>
      <w:r>
        <w:rPr>
          <w:rStyle w:val="18"/>
          <w:rFonts w:hint="eastAsia" w:ascii="仿宋" w:hAnsi="仿宋" w:eastAsia="仿宋"/>
          <w:bCs/>
          <w:sz w:val="32"/>
          <w:szCs w:val="32"/>
        </w:rPr>
        <w:t>农林水</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（类）农业农村（款）农产品加工与促销（项）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p>
    <w:p>
      <w:pPr>
        <w:spacing w:line="600" w:lineRule="exact"/>
        <w:ind w:firstLine="643" w:firstLineChars="200"/>
        <w:rPr>
          <w:rStyle w:val="18"/>
          <w:rFonts w:hint="eastAsia" w:ascii="仿宋" w:hAnsi="仿宋" w:eastAsia="仿宋"/>
          <w:b w:val="0"/>
          <w:bCs/>
          <w:sz w:val="32"/>
          <w:szCs w:val="32"/>
          <w:lang w:eastAsia="zh-CN"/>
        </w:rPr>
      </w:pPr>
      <w:r>
        <w:rPr>
          <w:rStyle w:val="18"/>
          <w:rFonts w:hint="eastAsia" w:ascii="仿宋" w:hAnsi="仿宋" w:eastAsia="仿宋"/>
          <w:bCs/>
          <w:sz w:val="32"/>
          <w:szCs w:val="32"/>
          <w:lang w:val="en-US" w:eastAsia="zh-CN"/>
        </w:rPr>
        <w:t>11</w:t>
      </w:r>
      <w:r>
        <w:rPr>
          <w:rStyle w:val="18"/>
          <w:rFonts w:ascii="仿宋" w:hAnsi="仿宋" w:eastAsia="仿宋"/>
          <w:bCs/>
          <w:sz w:val="32"/>
          <w:szCs w:val="32"/>
        </w:rPr>
        <w:t>.</w:t>
      </w:r>
      <w:r>
        <w:rPr>
          <w:rStyle w:val="18"/>
          <w:rFonts w:hint="eastAsia" w:ascii="仿宋" w:hAnsi="仿宋" w:eastAsia="仿宋"/>
          <w:bCs/>
          <w:sz w:val="32"/>
          <w:szCs w:val="32"/>
        </w:rPr>
        <w:t>农林水</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（类）巩固脱贫攻坚成果衔接乡村振兴（款）其他巩固脱贫攻坚成果衔接乡村振兴支出（项）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200.25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12</w:t>
      </w:r>
      <w:r>
        <w:rPr>
          <w:rStyle w:val="18"/>
          <w:rFonts w:ascii="仿宋" w:hAnsi="仿宋" w:eastAsia="仿宋"/>
          <w:bCs/>
          <w:sz w:val="32"/>
          <w:szCs w:val="32"/>
        </w:rPr>
        <w:t>.</w:t>
      </w:r>
      <w:r>
        <w:rPr>
          <w:rStyle w:val="18"/>
          <w:rFonts w:hint="eastAsia" w:ascii="仿宋" w:hAnsi="仿宋" w:eastAsia="仿宋"/>
          <w:bCs/>
          <w:sz w:val="32"/>
          <w:szCs w:val="32"/>
        </w:rPr>
        <w:t>住房保障支出（类）住房改革支出（款）住房公积金（项）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35.9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p>
    <w:p>
      <w:pPr>
        <w:tabs>
          <w:tab w:val="right" w:pos="8306"/>
        </w:tabs>
        <w:spacing w:line="600" w:lineRule="exact"/>
        <w:ind w:firstLine="640"/>
        <w:outlineLvl w:val="1"/>
        <w:rPr>
          <w:rStyle w:val="30"/>
        </w:rPr>
      </w:pPr>
      <w:bookmarkStart w:id="45" w:name="_Toc15377214"/>
      <w:bookmarkStart w:id="46" w:name="_Toc15396608"/>
      <w:bookmarkStart w:id="47" w:name="_Toc8009"/>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45"/>
      <w:bookmarkEnd w:id="46"/>
      <w:bookmarkEnd w:id="47"/>
      <w:r>
        <w:rPr>
          <w:rStyle w:val="30"/>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420.63</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rPr>
      </w:pPr>
      <w:r>
        <w:rPr>
          <w:rFonts w:hint="eastAsia" w:ascii="仿宋" w:hAnsi="仿宋" w:eastAsia="仿宋"/>
          <w:sz w:val="32"/>
          <w:szCs w:val="32"/>
        </w:rPr>
        <w:t>人员经费</w:t>
      </w:r>
      <w:r>
        <w:rPr>
          <w:sz w:val="32"/>
          <w:szCs w:val="32"/>
        </w:rPr>
        <w:t>389.35</w:t>
      </w:r>
      <w:r>
        <w:rPr>
          <w:rFonts w:hint="eastAsia" w:ascii="仿宋" w:hAnsi="仿宋" w:eastAsia="仿宋"/>
          <w:sz w:val="32"/>
          <w:szCs w:val="32"/>
        </w:rPr>
        <w:t>万元，主要包括：基本工资、津贴补贴、绩效工资、机关事业单位基本养老保险缴费、职业年金缴费、其他社会保障缴费、其他工资福利支出、生活补助、奖励金、住房公积金支出等。</w:t>
      </w:r>
    </w:p>
    <w:p>
      <w:pPr>
        <w:spacing w:line="600" w:lineRule="exact"/>
        <w:ind w:firstLine="645"/>
        <w:rPr>
          <w:rFonts w:ascii="仿宋" w:hAnsi="仿宋" w:eastAsia="仿宋"/>
          <w:b/>
          <w:sz w:val="32"/>
          <w:szCs w:val="32"/>
        </w:rPr>
      </w:pPr>
      <w:r>
        <w:rPr>
          <w:rFonts w:hint="eastAsia" w:ascii="仿宋" w:hAnsi="仿宋" w:eastAsia="仿宋"/>
          <w:sz w:val="32"/>
          <w:szCs w:val="32"/>
        </w:rPr>
        <w:t>公用经费</w:t>
      </w:r>
      <w:r>
        <w:rPr>
          <w:sz w:val="32"/>
          <w:szCs w:val="32"/>
        </w:rPr>
        <w:t>31.29</w:t>
      </w:r>
      <w:r>
        <w:rPr>
          <w:rFonts w:hint="eastAsia" w:ascii="仿宋" w:hAnsi="仿宋" w:eastAsia="仿宋"/>
          <w:sz w:val="32"/>
          <w:szCs w:val="32"/>
        </w:rPr>
        <w:t>万元，主要包括：办公费、印刷费、咨询费、水费、电费、邮电费、物业管理费、差旅费、维修（护）费、会议费、培训费、公务接待费、劳务费、委托业务费、工会经费、福利费、其他交通费</w:t>
      </w:r>
      <w:r>
        <w:rPr>
          <w:rFonts w:hint="eastAsia" w:ascii="仿宋" w:hAnsi="仿宋" w:eastAsia="仿宋"/>
          <w:sz w:val="32"/>
          <w:szCs w:val="32"/>
          <w:lang w:eastAsia="zh-CN"/>
        </w:rPr>
        <w:t>等</w:t>
      </w:r>
      <w:r>
        <w:rPr>
          <w:rFonts w:hint="eastAsia" w:ascii="仿宋" w:hAnsi="仿宋" w:eastAsia="仿宋"/>
          <w:sz w:val="32"/>
          <w:szCs w:val="32"/>
        </w:rPr>
        <w:t>。</w:t>
      </w:r>
    </w:p>
    <w:p>
      <w:pPr>
        <w:spacing w:line="600" w:lineRule="exact"/>
        <w:ind w:firstLine="640"/>
        <w:outlineLvl w:val="1"/>
        <w:rPr>
          <w:rStyle w:val="30"/>
          <w:rFonts w:ascii="黑体" w:hAnsi="黑体" w:eastAsia="黑体"/>
          <w:b w:val="0"/>
        </w:rPr>
      </w:pPr>
      <w:bookmarkStart w:id="48" w:name="_Toc29662"/>
      <w:bookmarkStart w:id="49" w:name="_Toc15377215"/>
      <w:bookmarkStart w:id="50"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48"/>
      <w:bookmarkEnd w:id="49"/>
      <w:bookmarkEnd w:id="50"/>
    </w:p>
    <w:p>
      <w:pPr>
        <w:spacing w:line="600" w:lineRule="exact"/>
        <w:ind w:firstLine="640"/>
        <w:outlineLvl w:val="2"/>
        <w:rPr>
          <w:rFonts w:ascii="仿宋" w:hAnsi="仿宋" w:eastAsia="仿宋"/>
          <w:b/>
          <w:sz w:val="32"/>
          <w:szCs w:val="32"/>
        </w:rPr>
      </w:pPr>
      <w:bookmarkStart w:id="51" w:name="_Toc15377216"/>
      <w:r>
        <w:rPr>
          <w:rFonts w:hint="eastAsia" w:ascii="仿宋" w:hAnsi="仿宋" w:eastAsia="仿宋"/>
          <w:b/>
          <w:sz w:val="32"/>
          <w:szCs w:val="32"/>
        </w:rPr>
        <w:t>（一）“三公”经费财政拨款支出决算总体情况说明</w:t>
      </w:r>
      <w:bookmarkEnd w:id="51"/>
    </w:p>
    <w:p>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sz w:val="32"/>
          <w:szCs w:val="32"/>
        </w:rPr>
        <w:t>0.1</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0.38</w:t>
      </w:r>
      <w:r>
        <w:rPr>
          <w:rFonts w:hint="eastAsia" w:ascii="仿宋" w:hAnsi="仿宋" w:eastAsia="仿宋"/>
          <w:sz w:val="32"/>
          <w:szCs w:val="32"/>
        </w:rPr>
        <w:t>万元，下降</w:t>
      </w:r>
      <w:r>
        <w:rPr>
          <w:rFonts w:hint="eastAsia" w:ascii="仿宋" w:hAnsi="仿宋" w:eastAsia="仿宋"/>
          <w:sz w:val="32"/>
          <w:szCs w:val="32"/>
          <w:lang w:val="en-US" w:eastAsia="zh-CN"/>
        </w:rPr>
        <w:t>78.57</w:t>
      </w:r>
      <w:r>
        <w:rPr>
          <w:rFonts w:hint="eastAsia" w:ascii="仿宋" w:hAnsi="仿宋" w:eastAsia="仿宋"/>
          <w:sz w:val="32"/>
          <w:szCs w:val="32"/>
        </w:rPr>
        <w:t>%。</w:t>
      </w:r>
      <w:r>
        <w:rPr>
          <w:rFonts w:hint="eastAsia" w:ascii="仿宋" w:hAnsi="仿宋" w:eastAsia="仿宋"/>
          <w:sz w:val="32"/>
          <w:szCs w:val="32"/>
          <w:lang w:eastAsia="zh-CN"/>
        </w:rPr>
        <w:t>下降的</w:t>
      </w:r>
      <w:r>
        <w:rPr>
          <w:rFonts w:hint="eastAsia" w:ascii="仿宋" w:hAnsi="仿宋" w:eastAsia="仿宋"/>
          <w:sz w:val="32"/>
          <w:szCs w:val="32"/>
        </w:rPr>
        <w:t>主要原因是厉行节约压减三公经费支出。</w:t>
      </w:r>
    </w:p>
    <w:p>
      <w:pPr>
        <w:spacing w:line="600" w:lineRule="exact"/>
        <w:ind w:firstLine="640"/>
        <w:outlineLvl w:val="2"/>
        <w:rPr>
          <w:rFonts w:ascii="仿宋" w:hAnsi="仿宋" w:eastAsia="仿宋"/>
          <w:b/>
          <w:sz w:val="32"/>
          <w:szCs w:val="32"/>
        </w:rPr>
      </w:pPr>
      <w:bookmarkStart w:id="52" w:name="_Toc15377217"/>
      <w:r>
        <w:rPr>
          <w:rFonts w:hint="eastAsia" w:ascii="仿宋" w:hAnsi="仿宋" w:eastAsia="仿宋"/>
          <w:b/>
          <w:sz w:val="32"/>
          <w:szCs w:val="32"/>
        </w:rPr>
        <w:t>（二）“三公”经费财政拨款支出决算具体情况说明</w:t>
      </w:r>
      <w:bookmarkEnd w:id="52"/>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0.1</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drawing>
          <wp:anchor distT="0" distB="0" distL="114300" distR="114300" simplePos="0" relativeHeight="251662336" behindDoc="1" locked="0" layoutInCell="1" allowOverlap="1">
            <wp:simplePos x="0" y="0"/>
            <wp:positionH relativeFrom="column">
              <wp:posOffset>29845</wp:posOffset>
            </wp:positionH>
            <wp:positionV relativeFrom="paragraph">
              <wp:posOffset>375920</wp:posOffset>
            </wp:positionV>
            <wp:extent cx="5038725" cy="2562225"/>
            <wp:effectExtent l="4445" t="4445" r="5080" b="5080"/>
            <wp:wrapNone/>
            <wp:docPr id="358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rPr>
          <w:rFonts w:ascii="仿宋_GB2312" w:eastAsia="仿宋_GB2312"/>
          <w:b/>
          <w:sz w:val="32"/>
          <w:szCs w:val="32"/>
        </w:rPr>
      </w:pP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0.1</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0.38</w:t>
      </w:r>
      <w:r>
        <w:rPr>
          <w:rFonts w:hint="eastAsia" w:ascii="仿宋_GB2312" w:eastAsia="仿宋_GB2312"/>
          <w:sz w:val="32"/>
          <w:szCs w:val="32"/>
        </w:rPr>
        <w:t>万元，下降</w:t>
      </w:r>
      <w:r>
        <w:rPr>
          <w:rFonts w:hint="eastAsia" w:ascii="仿宋_GB2312" w:eastAsia="仿宋_GB2312"/>
          <w:sz w:val="32"/>
          <w:szCs w:val="32"/>
          <w:lang w:val="en-US" w:eastAsia="zh-CN"/>
        </w:rPr>
        <w:t>78.57</w:t>
      </w:r>
      <w:r>
        <w:rPr>
          <w:rFonts w:ascii="仿宋_GB2312" w:eastAsia="仿宋_GB2312"/>
          <w:sz w:val="32"/>
          <w:szCs w:val="32"/>
        </w:rPr>
        <w:t>%</w:t>
      </w:r>
      <w:r>
        <w:rPr>
          <w:rFonts w:hint="eastAsia" w:ascii="仿宋_GB2312" w:eastAsia="仿宋_GB2312"/>
          <w:sz w:val="32"/>
          <w:szCs w:val="32"/>
        </w:rPr>
        <w:t>。主要原因是厉行节约压减三公经费支出。</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0.1</w:t>
      </w:r>
      <w:r>
        <w:rPr>
          <w:rFonts w:hint="eastAsia" w:ascii="仿宋_GB2312" w:eastAsia="仿宋_GB2312"/>
          <w:sz w:val="32"/>
          <w:szCs w:val="32"/>
        </w:rPr>
        <w:t>万元，主要用于开展业务活动开支的用餐费等。</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省市新闻媒体3批次0.1万元</w:t>
      </w:r>
      <w:r>
        <w:rPr>
          <w:rFonts w:hint="eastAsia" w:ascii="仿宋_GB2312" w:eastAsia="仿宋_GB2312"/>
          <w:color w:val="000000"/>
          <w:sz w:val="32"/>
          <w:szCs w:val="32"/>
        </w:rPr>
        <w:t>。</w:t>
      </w:r>
    </w:p>
    <w:p>
      <w:pPr>
        <w:spacing w:line="600" w:lineRule="exact"/>
        <w:ind w:firstLine="640"/>
        <w:outlineLvl w:val="1"/>
        <w:rPr>
          <w:rStyle w:val="30"/>
          <w:rFonts w:ascii="黑体" w:hAnsi="黑体" w:eastAsia="黑体"/>
        </w:rPr>
      </w:pPr>
      <w:bookmarkStart w:id="53" w:name="_Toc15377218"/>
      <w:bookmarkStart w:id="54" w:name="_Toc15396610"/>
      <w:bookmarkStart w:id="55" w:name="_Toc21136"/>
      <w:r>
        <w:rPr>
          <w:rFonts w:hint="eastAsia" w:ascii="黑体" w:eastAsia="黑体"/>
          <w:sz w:val="32"/>
          <w:szCs w:val="32"/>
        </w:rPr>
        <w:t>八、</w:t>
      </w:r>
      <w:r>
        <w:rPr>
          <w:rStyle w:val="30"/>
          <w:rFonts w:hint="eastAsia" w:ascii="黑体" w:hAnsi="黑体" w:eastAsia="黑体"/>
          <w:b w:val="0"/>
        </w:rPr>
        <w:t>政府性基金预算支出决算情况说明</w:t>
      </w:r>
      <w:bookmarkEnd w:id="53"/>
      <w:bookmarkEnd w:id="54"/>
      <w:bookmarkEnd w:id="55"/>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16.72</w:t>
      </w:r>
      <w:r>
        <w:rPr>
          <w:rFonts w:hint="eastAsia" w:ascii="仿宋_GB2312" w:eastAsia="仿宋_GB2312"/>
          <w:sz w:val="32"/>
          <w:szCs w:val="32"/>
        </w:rPr>
        <w:t>万元。</w:t>
      </w:r>
    </w:p>
    <w:p>
      <w:pPr>
        <w:numPr>
          <w:ilvl w:val="0"/>
          <w:numId w:val="3"/>
        </w:numPr>
        <w:spacing w:line="600" w:lineRule="exact"/>
        <w:ind w:firstLine="640"/>
        <w:outlineLvl w:val="1"/>
        <w:rPr>
          <w:rStyle w:val="30"/>
          <w:rFonts w:ascii="黑体" w:hAnsi="黑体" w:eastAsia="黑体"/>
          <w:b w:val="0"/>
        </w:rPr>
      </w:pPr>
      <w:bookmarkStart w:id="56" w:name="_Toc15396611"/>
      <w:bookmarkStart w:id="57" w:name="_Toc14869"/>
      <w:bookmarkStart w:id="58" w:name="_Toc15377219"/>
      <w:r>
        <w:rPr>
          <w:rStyle w:val="30"/>
          <w:rFonts w:hint="eastAsia" w:ascii="黑体" w:hAnsi="黑体" w:eastAsia="黑体"/>
          <w:b w:val="0"/>
        </w:rPr>
        <w:t>国有资本经营预算支出决算情况说明</w:t>
      </w:r>
      <w:bookmarkEnd w:id="56"/>
      <w:bookmarkEnd w:id="57"/>
      <w:bookmarkEnd w:id="58"/>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0"/>
          <w:rFonts w:ascii="黑体" w:hAnsi="黑体" w:eastAsia="黑体"/>
          <w:b w:val="0"/>
        </w:rPr>
      </w:pPr>
      <w:bookmarkStart w:id="59" w:name="_Toc15377221"/>
      <w:bookmarkStart w:id="60" w:name="_Toc28132"/>
      <w:bookmarkStart w:id="61" w:name="_Toc15396612"/>
      <w:r>
        <w:rPr>
          <w:rStyle w:val="30"/>
          <w:rFonts w:hint="eastAsia" w:ascii="黑体" w:hAnsi="黑体" w:eastAsia="黑体"/>
          <w:b w:val="0"/>
        </w:rPr>
        <w:t>其他重要事项的情况说明</w:t>
      </w:r>
      <w:bookmarkEnd w:id="59"/>
      <w:bookmarkEnd w:id="60"/>
      <w:bookmarkEnd w:id="61"/>
    </w:p>
    <w:p>
      <w:pPr>
        <w:spacing w:line="600" w:lineRule="exact"/>
        <w:ind w:firstLine="643" w:firstLineChars="200"/>
        <w:outlineLvl w:val="2"/>
        <w:rPr>
          <w:rFonts w:ascii="仿宋" w:hAnsi="仿宋" w:eastAsia="仿宋"/>
          <w:sz w:val="32"/>
          <w:szCs w:val="32"/>
        </w:rPr>
      </w:pPr>
      <w:bookmarkStart w:id="62" w:name="_Toc15377222"/>
      <w:r>
        <w:rPr>
          <w:rFonts w:hint="eastAsia" w:ascii="仿宋" w:hAnsi="仿宋" w:eastAsia="仿宋"/>
          <w:b/>
          <w:sz w:val="32"/>
          <w:szCs w:val="32"/>
        </w:rPr>
        <w:t>（一）机关运行经费支出情况</w:t>
      </w:r>
      <w:bookmarkEnd w:id="62"/>
    </w:p>
    <w:p>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w:t>
      </w:r>
      <w:r>
        <w:rPr>
          <w:rFonts w:hint="eastAsia"/>
          <w:sz w:val="32"/>
          <w:szCs w:val="32"/>
        </w:rPr>
        <w:t>沐川县融媒体中心</w:t>
      </w:r>
      <w:r>
        <w:rPr>
          <w:rFonts w:hint="eastAsia" w:ascii="仿宋_GB2312" w:eastAsia="仿宋_GB2312"/>
          <w:sz w:val="32"/>
          <w:szCs w:val="32"/>
        </w:rPr>
        <w:t>机关运行经费支出</w:t>
      </w:r>
      <w:r>
        <w:rPr>
          <w:sz w:val="32"/>
          <w:szCs w:val="32"/>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3" w:name="_Toc15377223"/>
      <w:r>
        <w:rPr>
          <w:rFonts w:hint="eastAsia" w:ascii="仿宋" w:hAnsi="仿宋" w:eastAsia="仿宋"/>
          <w:b/>
          <w:sz w:val="32"/>
          <w:szCs w:val="32"/>
        </w:rPr>
        <w:t>（二）政府采购支出情况</w:t>
      </w:r>
      <w:bookmarkEnd w:id="63"/>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沐川县融媒体中心</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4" w:name="_Toc15377224"/>
      <w:r>
        <w:rPr>
          <w:rFonts w:hint="eastAsia" w:ascii="仿宋" w:hAnsi="仿宋" w:eastAsia="仿宋"/>
          <w:b/>
          <w:sz w:val="32"/>
          <w:szCs w:val="32"/>
        </w:rPr>
        <w:t>（三）国有资产占有使用情况</w:t>
      </w:r>
      <w:bookmarkEnd w:id="64"/>
    </w:p>
    <w:p>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沐川县融媒体中心</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w:t>
      </w:r>
      <w:r>
        <w:rPr>
          <w:rFonts w:hint="eastAsia" w:ascii="仿宋_GB2312" w:eastAsia="仿宋_GB2312"/>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sz w:val="32"/>
          <w:szCs w:val="32"/>
          <w:lang w:eastAsia="zh-CN"/>
        </w:rPr>
        <w:t>乐山新闻网网络建设、乐山广播电视台合作、乐山日报宣传合作、电视台购片、“绿动沐川”脱贫攻坚信息化平台</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年度一般公共预算全面开展绩效自评，形成</w:t>
      </w:r>
      <w:r>
        <w:rPr>
          <w:rFonts w:hint="eastAsia" w:ascii="仿宋_GB2312" w:hAnsi="仿宋_GB2312" w:eastAsia="仿宋_GB2312" w:cs="仿宋_GB2312"/>
          <w:color w:val="auto"/>
          <w:sz w:val="32"/>
          <w:szCs w:val="32"/>
          <w:highlight w:val="none"/>
          <w:lang w:eastAsia="zh-CN"/>
        </w:rPr>
        <w:t>融媒体中心</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乐山新闻网网络建设费</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eastAsia="zh-CN"/>
        </w:rPr>
        <w:t>融媒体中心</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资金全部安排到位，所有资金按照财政分解下达计划支付到各服务对象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5个</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资金全部安排到位，所有资金按照财政分解下达计划支付到各服务对象</w:t>
      </w:r>
      <w:r>
        <w:rPr>
          <w:rFonts w:hint="eastAsia" w:ascii="仿宋_GB2312" w:hAnsi="仿宋_GB2312" w:eastAsia="仿宋_GB2312" w:cs="仿宋_GB2312"/>
          <w:color w:val="auto"/>
          <w:sz w:val="32"/>
          <w:szCs w:val="32"/>
          <w:highlight w:val="none"/>
        </w:rPr>
        <w:t>。</w:t>
      </w:r>
    </w:p>
    <w:p>
      <w:pPr>
        <w:widowControl/>
        <w:ind w:firstLine="643" w:firstLineChars="200"/>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绩效自评报告详见附件。</w:t>
      </w:r>
    </w:p>
    <w:p>
      <w:pPr>
        <w:pStyle w:val="15"/>
        <w:rPr>
          <w:rFonts w:hint="eastAsia" w:ascii="仿宋_GB2312" w:hAnsi="仿宋_GB2312" w:eastAsia="仿宋_GB2312" w:cs="仿宋_GB2312"/>
          <w:b/>
          <w:bCs/>
          <w:color w:val="auto"/>
          <w:sz w:val="32"/>
          <w:szCs w:val="32"/>
          <w:highlight w:val="none"/>
        </w:rPr>
      </w:pPr>
    </w:p>
    <w:p>
      <w:pPr>
        <w:pStyle w:val="15"/>
        <w:rPr>
          <w:rFonts w:hint="eastAsia" w:ascii="仿宋_GB2312" w:hAnsi="仿宋_GB2312" w:eastAsia="仿宋_GB2312" w:cs="仿宋_GB2312"/>
          <w:b/>
          <w:bCs/>
          <w:color w:val="auto"/>
          <w:sz w:val="32"/>
          <w:szCs w:val="32"/>
          <w:highlight w:val="none"/>
        </w:rPr>
      </w:pPr>
    </w:p>
    <w:p>
      <w:pPr>
        <w:pStyle w:val="15"/>
        <w:rPr>
          <w:rFonts w:hint="eastAsia" w:ascii="仿宋_GB2312" w:hAnsi="仿宋_GB2312" w:eastAsia="仿宋_GB2312" w:cs="仿宋_GB2312"/>
          <w:b/>
          <w:bCs/>
          <w:color w:val="auto"/>
          <w:sz w:val="32"/>
          <w:szCs w:val="32"/>
          <w:highlight w:val="none"/>
        </w:rPr>
      </w:pPr>
    </w:p>
    <w:p>
      <w:pPr>
        <w:pStyle w:val="15"/>
        <w:rPr>
          <w:rFonts w:hint="eastAsia" w:ascii="仿宋_GB2312" w:hAnsi="仿宋_GB2312" w:eastAsia="仿宋_GB2312" w:cs="仿宋_GB2312"/>
          <w:b/>
          <w:bCs/>
          <w:color w:val="auto"/>
          <w:sz w:val="32"/>
          <w:szCs w:val="32"/>
          <w:highlight w:val="none"/>
        </w:rPr>
      </w:pPr>
    </w:p>
    <w:p>
      <w:pPr>
        <w:pStyle w:val="15"/>
        <w:rPr>
          <w:rFonts w:hint="eastAsia" w:ascii="仿宋_GB2312" w:hAnsi="仿宋_GB2312" w:eastAsia="仿宋_GB2312" w:cs="仿宋_GB2312"/>
          <w:b/>
          <w:bCs/>
          <w:color w:val="auto"/>
          <w:sz w:val="32"/>
          <w:szCs w:val="32"/>
          <w:highlight w:val="none"/>
        </w:rPr>
      </w:pPr>
    </w:p>
    <w:p>
      <w:pPr>
        <w:pStyle w:val="15"/>
        <w:rPr>
          <w:rFonts w:hint="eastAsia" w:ascii="仿宋_GB2312" w:hAnsi="仿宋_GB2312" w:eastAsia="仿宋_GB2312" w:cs="仿宋_GB2312"/>
          <w:b/>
          <w:bCs/>
          <w:color w:val="auto"/>
          <w:sz w:val="32"/>
          <w:szCs w:val="32"/>
          <w:highlight w:val="none"/>
        </w:rPr>
      </w:pPr>
    </w:p>
    <w:p>
      <w:pPr>
        <w:pStyle w:val="15"/>
        <w:rPr>
          <w:rFonts w:hint="eastAsia" w:ascii="仿宋_GB2312" w:hAnsi="仿宋_GB2312" w:eastAsia="仿宋_GB2312" w:cs="仿宋_GB2312"/>
          <w:b/>
          <w:bCs/>
          <w:color w:val="auto"/>
          <w:sz w:val="32"/>
          <w:szCs w:val="32"/>
          <w:highlight w:val="none"/>
        </w:rPr>
      </w:pPr>
    </w:p>
    <w:p>
      <w:pPr>
        <w:pStyle w:val="15"/>
        <w:rPr>
          <w:rFonts w:hint="eastAsia" w:ascii="仿宋_GB2312" w:hAnsi="仿宋_GB2312" w:eastAsia="仿宋_GB2312" w:cs="仿宋_GB2312"/>
          <w:b/>
          <w:bCs/>
          <w:color w:val="auto"/>
          <w:sz w:val="32"/>
          <w:szCs w:val="32"/>
          <w:highlight w:val="none"/>
        </w:rPr>
      </w:pPr>
    </w:p>
    <w:p>
      <w:pPr>
        <w:pStyle w:val="15"/>
        <w:rPr>
          <w:rFonts w:hint="eastAsia" w:ascii="仿宋_GB2312" w:hAnsi="仿宋_GB2312" w:eastAsia="仿宋_GB2312" w:cs="仿宋_GB2312"/>
          <w:b/>
          <w:bCs/>
          <w:color w:val="auto"/>
          <w:sz w:val="32"/>
          <w:szCs w:val="32"/>
          <w:highlight w:val="none"/>
        </w:rPr>
      </w:pPr>
    </w:p>
    <w:p>
      <w:pPr>
        <w:pStyle w:val="5"/>
        <w:jc w:val="center"/>
      </w:pPr>
      <w:bookmarkStart w:id="65" w:name="_Toc29648"/>
      <w:r>
        <w:rPr>
          <w:rFonts w:hint="eastAsia"/>
        </w:rPr>
        <w:t>第三部分 名词解释</w:t>
      </w:r>
      <w:bookmarkEnd w:id="65"/>
    </w:p>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一般公共服务：指</w:t>
      </w:r>
      <w:r>
        <w:rPr>
          <w:rFonts w:hint="eastAsia" w:ascii="仿宋_GB2312" w:eastAsia="仿宋_GB2312"/>
          <w:color w:val="000000"/>
          <w:sz w:val="32"/>
          <w:szCs w:val="32"/>
          <w:lang w:eastAsia="zh-CN"/>
        </w:rPr>
        <w:t>政府提供一般公共服务的支出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政府在文化、旅游、文物、体育、广播电视、电影、新闻出版等方面的支出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社会保障和就业：指</w:t>
      </w:r>
      <w:r>
        <w:rPr>
          <w:rFonts w:hint="eastAsia" w:ascii="仿宋_GB2312" w:eastAsia="仿宋_GB2312"/>
          <w:color w:val="000000"/>
          <w:sz w:val="32"/>
          <w:szCs w:val="32"/>
          <w:lang w:eastAsia="zh-CN"/>
        </w:rPr>
        <w:t>政府在社会保障与就业方面的支出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auto"/>
          <w:sz w:val="32"/>
          <w:szCs w:val="32"/>
          <w:highlight w:val="none"/>
          <w:lang w:eastAsia="zh-CN"/>
        </w:rPr>
        <w:t>卫生健康</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政府在卫生健康方面的支出</w:t>
      </w:r>
      <w:r>
        <w:rPr>
          <w:rFonts w:hint="eastAsia" w:ascii="仿宋_GB2312" w:eastAsia="仿宋_GB2312"/>
          <w:color w:val="000000"/>
          <w:sz w:val="32"/>
          <w:szCs w:val="32"/>
        </w:rPr>
        <w:t>。</w:t>
      </w:r>
    </w:p>
    <w:p>
      <w:pPr>
        <w:ind w:firstLine="640" w:firstLineChars="200"/>
        <w:rPr>
          <w:rFonts w:ascii="仿宋" w:hAnsi="仿宋" w:eastAsia="仿宋"/>
          <w:b/>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住房保障：指</w:t>
      </w:r>
      <w:r>
        <w:rPr>
          <w:rFonts w:hint="eastAsia" w:ascii="仿宋_GB2312" w:eastAsia="仿宋_GB2312"/>
          <w:color w:val="000000"/>
          <w:sz w:val="32"/>
          <w:szCs w:val="32"/>
          <w:lang w:eastAsia="zh-CN"/>
        </w:rPr>
        <w:t>政府用于住房方面的支出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sz w:val="32"/>
          <w:szCs w:val="32"/>
        </w:rPr>
      </w:pPr>
    </w:p>
    <w:p>
      <w:pPr>
        <w:ind w:firstLine="643" w:firstLineChars="200"/>
        <w:rPr>
          <w:rFonts w:ascii="仿宋" w:hAnsi="仿宋" w:eastAsia="仿宋"/>
          <w:b/>
          <w:sz w:val="32"/>
          <w:szCs w:val="32"/>
        </w:rPr>
      </w:pPr>
      <w:r>
        <w:rPr>
          <w:rFonts w:ascii="仿宋" w:hAnsi="仿宋" w:eastAsia="仿宋"/>
          <w:b/>
          <w:sz w:val="32"/>
          <w:szCs w:val="32"/>
        </w:rPr>
        <w:br w:type="page"/>
      </w:r>
    </w:p>
    <w:p>
      <w:pPr>
        <w:pStyle w:val="5"/>
        <w:jc w:val="center"/>
        <w:rPr>
          <w:rFonts w:ascii="黑体" w:hAnsi="黑体" w:eastAsia="黑体"/>
          <w:b w:val="0"/>
        </w:rPr>
      </w:pPr>
      <w:bookmarkStart w:id="66" w:name="_Toc7349"/>
      <w:r>
        <w:rPr>
          <w:rFonts w:hint="eastAsia" w:ascii="黑体" w:hAnsi="黑体" w:eastAsia="黑体"/>
          <w:b w:val="0"/>
        </w:rPr>
        <w:t>第四部分 附件</w:t>
      </w:r>
      <w:bookmarkEnd w:id="66"/>
    </w:p>
    <w:p>
      <w:pPr>
        <w:ind w:firstLine="640" w:firstLineChars="200"/>
        <w:jc w:val="center"/>
        <w:rPr>
          <w:rFonts w:hint="eastAsia" w:ascii="仿宋" w:hAnsi="仿宋" w:eastAsia="仿宋" w:cs="仿宋_GB2312"/>
          <w:b w:val="0"/>
          <w:bCs w:val="0"/>
          <w:kern w:val="2"/>
          <w:sz w:val="32"/>
          <w:szCs w:val="32"/>
          <w:lang w:val="zh-CN" w:eastAsia="zh-CN" w:bidi="ar-SA"/>
        </w:rPr>
      </w:pPr>
      <w:r>
        <w:rPr>
          <w:rFonts w:hint="eastAsia" w:ascii="仿宋" w:hAnsi="仿宋" w:eastAsia="仿宋" w:cs="仿宋_GB2312"/>
          <w:b w:val="0"/>
          <w:bCs w:val="0"/>
          <w:kern w:val="2"/>
          <w:sz w:val="32"/>
          <w:szCs w:val="32"/>
          <w:lang w:val="en-US" w:eastAsia="zh-CN" w:bidi="ar-SA"/>
        </w:rPr>
        <w:t>部门</w:t>
      </w:r>
      <w:r>
        <w:rPr>
          <w:rFonts w:hint="eastAsia" w:ascii="仿宋" w:hAnsi="仿宋" w:eastAsia="仿宋" w:cs="仿宋_GB2312"/>
          <w:b w:val="0"/>
          <w:bCs w:val="0"/>
          <w:kern w:val="2"/>
          <w:sz w:val="32"/>
          <w:szCs w:val="32"/>
          <w:lang w:val="zh-CN" w:eastAsia="zh-CN" w:bidi="ar-SA"/>
        </w:rPr>
        <w:t>预算项目支出绩效自评表（2023年度）</w:t>
      </w:r>
    </w:p>
    <w:p>
      <w:pPr>
        <w:pStyle w:val="2"/>
        <w:rPr>
          <w:rFonts w:hint="eastAsia" w:ascii="仿宋" w:hAnsi="仿宋" w:eastAsia="仿宋" w:cs="仿宋_GB2312"/>
          <w:b w:val="0"/>
          <w:bCs w:val="0"/>
          <w:kern w:val="2"/>
          <w:sz w:val="32"/>
          <w:szCs w:val="32"/>
          <w:lang w:val="zh-CN" w:eastAsia="zh-CN" w:bidi="ar-SA"/>
        </w:rPr>
      </w:pPr>
    </w:p>
    <w:p>
      <w:pPr>
        <w:pStyle w:val="3"/>
        <w:rPr>
          <w:rFonts w:hint="eastAsia" w:ascii="仿宋" w:hAnsi="仿宋" w:eastAsia="仿宋" w:cs="仿宋_GB2312"/>
          <w:b w:val="0"/>
          <w:bCs w:val="0"/>
          <w:kern w:val="2"/>
          <w:sz w:val="32"/>
          <w:szCs w:val="32"/>
          <w:lang w:val="zh-CN" w:eastAsia="zh-CN" w:bidi="ar-SA"/>
        </w:rPr>
      </w:pPr>
    </w:p>
    <w:p>
      <w:pPr>
        <w:pStyle w:val="3"/>
        <w:rPr>
          <w:rFonts w:hint="eastAsia" w:ascii="仿宋" w:hAnsi="仿宋" w:eastAsia="仿宋" w:cs="仿宋_GB2312"/>
          <w:b w:val="0"/>
          <w:bCs w:val="0"/>
          <w:kern w:val="2"/>
          <w:sz w:val="32"/>
          <w:szCs w:val="32"/>
          <w:lang w:val="zh-CN" w:eastAsia="zh-CN" w:bidi="ar-SA"/>
        </w:rPr>
      </w:pPr>
    </w:p>
    <w:p>
      <w:pPr>
        <w:pStyle w:val="3"/>
        <w:rPr>
          <w:rFonts w:hint="eastAsia" w:ascii="仿宋" w:hAnsi="仿宋" w:eastAsia="仿宋" w:cs="仿宋_GB2312"/>
          <w:b w:val="0"/>
          <w:bCs w:val="0"/>
          <w:kern w:val="2"/>
          <w:sz w:val="32"/>
          <w:szCs w:val="32"/>
          <w:lang w:val="zh-CN" w:eastAsia="zh-CN" w:bidi="ar-SA"/>
        </w:rPr>
      </w:pPr>
    </w:p>
    <w:p>
      <w:pPr>
        <w:pStyle w:val="3"/>
        <w:rPr>
          <w:rFonts w:hint="eastAsia" w:ascii="仿宋" w:hAnsi="仿宋" w:eastAsia="仿宋" w:cs="仿宋_GB2312"/>
          <w:b w:val="0"/>
          <w:bCs w:val="0"/>
          <w:kern w:val="2"/>
          <w:sz w:val="32"/>
          <w:szCs w:val="32"/>
          <w:lang w:val="zh-CN" w:eastAsia="zh-CN" w:bidi="ar-SA"/>
        </w:rPr>
      </w:pPr>
    </w:p>
    <w:p>
      <w:pPr>
        <w:pStyle w:val="3"/>
        <w:rPr>
          <w:rFonts w:hint="eastAsia" w:ascii="仿宋" w:hAnsi="仿宋" w:eastAsia="仿宋" w:cs="仿宋_GB2312"/>
          <w:b w:val="0"/>
          <w:bCs w:val="0"/>
          <w:kern w:val="2"/>
          <w:sz w:val="32"/>
          <w:szCs w:val="32"/>
          <w:lang w:val="zh-CN" w:eastAsia="zh-CN" w:bidi="ar-SA"/>
        </w:rPr>
      </w:pPr>
    </w:p>
    <w:p>
      <w:pPr>
        <w:pStyle w:val="15"/>
        <w:rPr>
          <w:rFonts w:hint="eastAsia" w:eastAsia="宋体"/>
          <w:lang w:eastAsia="zh-CN"/>
        </w:rPr>
      </w:pPr>
      <w:r>
        <w:drawing>
          <wp:inline distT="0" distB="0" distL="114300" distR="114300">
            <wp:extent cx="5271135" cy="6693535"/>
            <wp:effectExtent l="0" t="0" r="5715" b="1206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a:off x="0" y="0"/>
                      <a:ext cx="5271135" cy="6693535"/>
                    </a:xfrm>
                    <a:prstGeom prst="rect">
                      <a:avLst/>
                    </a:prstGeom>
                    <a:noFill/>
                    <a:ln>
                      <a:noFill/>
                    </a:ln>
                  </pic:spPr>
                </pic:pic>
              </a:graphicData>
            </a:graphic>
          </wp:inline>
        </w:drawing>
      </w:r>
      <w:r>
        <w:drawing>
          <wp:inline distT="0" distB="0" distL="114300" distR="114300">
            <wp:extent cx="5273675" cy="6583045"/>
            <wp:effectExtent l="0" t="0" r="3175" b="825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a:stretch>
                      <a:fillRect/>
                    </a:stretch>
                  </pic:blipFill>
                  <pic:spPr>
                    <a:xfrm>
                      <a:off x="0" y="0"/>
                      <a:ext cx="5273675" cy="6583045"/>
                    </a:xfrm>
                    <a:prstGeom prst="rect">
                      <a:avLst/>
                    </a:prstGeom>
                    <a:noFill/>
                    <a:ln>
                      <a:noFill/>
                    </a:ln>
                  </pic:spPr>
                </pic:pic>
              </a:graphicData>
            </a:graphic>
          </wp:inline>
        </w:drawing>
      </w:r>
      <w:r>
        <w:drawing>
          <wp:inline distT="0" distB="0" distL="114300" distR="114300">
            <wp:extent cx="5273675" cy="6543040"/>
            <wp:effectExtent l="0" t="0" r="3175" b="1016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a:stretch>
                      <a:fillRect/>
                    </a:stretch>
                  </pic:blipFill>
                  <pic:spPr>
                    <a:xfrm>
                      <a:off x="0" y="0"/>
                      <a:ext cx="5273675" cy="6543040"/>
                    </a:xfrm>
                    <a:prstGeom prst="rect">
                      <a:avLst/>
                    </a:prstGeom>
                    <a:noFill/>
                    <a:ln>
                      <a:noFill/>
                    </a:ln>
                  </pic:spPr>
                </pic:pic>
              </a:graphicData>
            </a:graphic>
          </wp:inline>
        </w:drawing>
      </w:r>
      <w:r>
        <w:drawing>
          <wp:inline distT="0" distB="0" distL="114300" distR="114300">
            <wp:extent cx="5269230" cy="6586855"/>
            <wp:effectExtent l="0" t="0" r="7620" b="444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6"/>
                    <a:stretch>
                      <a:fillRect/>
                    </a:stretch>
                  </pic:blipFill>
                  <pic:spPr>
                    <a:xfrm>
                      <a:off x="0" y="0"/>
                      <a:ext cx="5269230" cy="6586855"/>
                    </a:xfrm>
                    <a:prstGeom prst="rect">
                      <a:avLst/>
                    </a:prstGeom>
                    <a:noFill/>
                    <a:ln>
                      <a:noFill/>
                    </a:ln>
                  </pic:spPr>
                </pic:pic>
              </a:graphicData>
            </a:graphic>
          </wp:inline>
        </w:drawing>
      </w:r>
      <w:r>
        <w:drawing>
          <wp:inline distT="0" distB="0" distL="114300" distR="114300">
            <wp:extent cx="5269865" cy="6680835"/>
            <wp:effectExtent l="0" t="0" r="6985" b="571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7"/>
                    <a:stretch>
                      <a:fillRect/>
                    </a:stretch>
                  </pic:blipFill>
                  <pic:spPr>
                    <a:xfrm>
                      <a:off x="0" y="0"/>
                      <a:ext cx="5269865" cy="6680835"/>
                    </a:xfrm>
                    <a:prstGeom prst="rect">
                      <a:avLst/>
                    </a:prstGeom>
                    <a:noFill/>
                    <a:ln>
                      <a:noFill/>
                    </a:ln>
                  </pic:spPr>
                </pic:pic>
              </a:graphicData>
            </a:graphic>
          </wp:inline>
        </w:drawing>
      </w:r>
      <w:r>
        <w:drawing>
          <wp:inline distT="0" distB="0" distL="114300" distR="114300">
            <wp:extent cx="5269230" cy="6596380"/>
            <wp:effectExtent l="0" t="0" r="7620" b="139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8"/>
                    <a:stretch>
                      <a:fillRect/>
                    </a:stretch>
                  </pic:blipFill>
                  <pic:spPr>
                    <a:xfrm>
                      <a:off x="0" y="0"/>
                      <a:ext cx="5269230" cy="6596380"/>
                    </a:xfrm>
                    <a:prstGeom prst="rect">
                      <a:avLst/>
                    </a:prstGeom>
                    <a:noFill/>
                    <a:ln>
                      <a:noFill/>
                    </a:ln>
                  </pic:spPr>
                </pic:pic>
              </a:graphicData>
            </a:graphic>
          </wp:inline>
        </w:drawing>
      </w:r>
      <w:r>
        <w:drawing>
          <wp:inline distT="0" distB="0" distL="114300" distR="114300">
            <wp:extent cx="5272405" cy="6544945"/>
            <wp:effectExtent l="0" t="0" r="4445" b="825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9"/>
                    <a:stretch>
                      <a:fillRect/>
                    </a:stretch>
                  </pic:blipFill>
                  <pic:spPr>
                    <a:xfrm>
                      <a:off x="0" y="0"/>
                      <a:ext cx="5272405" cy="6544945"/>
                    </a:xfrm>
                    <a:prstGeom prst="rect">
                      <a:avLst/>
                    </a:prstGeom>
                    <a:noFill/>
                    <a:ln>
                      <a:noFill/>
                    </a:ln>
                  </pic:spPr>
                </pic:pic>
              </a:graphicData>
            </a:graphic>
          </wp:inline>
        </w:drawing>
      </w:r>
      <w:r>
        <w:drawing>
          <wp:inline distT="0" distB="0" distL="114300" distR="114300">
            <wp:extent cx="5273675" cy="6555740"/>
            <wp:effectExtent l="0" t="0" r="3175" b="1651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0"/>
                    <a:stretch>
                      <a:fillRect/>
                    </a:stretch>
                  </pic:blipFill>
                  <pic:spPr>
                    <a:xfrm>
                      <a:off x="0" y="0"/>
                      <a:ext cx="5273675" cy="6555740"/>
                    </a:xfrm>
                    <a:prstGeom prst="rect">
                      <a:avLst/>
                    </a:prstGeom>
                    <a:noFill/>
                    <a:ln>
                      <a:noFill/>
                    </a:ln>
                  </pic:spPr>
                </pic:pic>
              </a:graphicData>
            </a:graphic>
          </wp:inline>
        </w:drawing>
      </w:r>
    </w:p>
    <w:p>
      <w:pPr>
        <w:pStyle w:val="15"/>
      </w:pPr>
    </w:p>
    <w:p>
      <w:pPr>
        <w:pStyle w:val="15"/>
      </w:pPr>
    </w:p>
    <w:p>
      <w:pPr>
        <w:pStyle w:val="15"/>
      </w:pPr>
    </w:p>
    <w:p>
      <w:pPr>
        <w:pStyle w:val="15"/>
        <w:jc w:val="both"/>
      </w:pPr>
    </w:p>
    <w:p>
      <w:pPr>
        <w:pStyle w:val="15"/>
        <w:jc w:val="both"/>
      </w:pPr>
    </w:p>
    <w:p>
      <w:pPr>
        <w:pStyle w:val="5"/>
        <w:jc w:val="center"/>
        <w:rPr>
          <w:rFonts w:ascii="黑体" w:hAnsi="黑体" w:eastAsia="黑体"/>
        </w:rPr>
      </w:pPr>
      <w:bookmarkStart w:id="67" w:name="_Toc22013"/>
      <w:r>
        <w:rPr>
          <w:rFonts w:hint="eastAsia" w:ascii="黑体" w:hAnsi="黑体" w:eastAsia="黑体"/>
        </w:rPr>
        <w:t>第五部分 附表</w:t>
      </w:r>
      <w:bookmarkEnd w:id="67"/>
    </w:p>
    <w:p>
      <w:pPr>
        <w:rPr>
          <w:rFonts w:ascii="仿宋" w:hAnsi="仿宋" w:eastAsia="仿宋"/>
          <w:sz w:val="32"/>
          <w:szCs w:val="32"/>
        </w:rPr>
      </w:pPr>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二、收入决算表</w:t>
      </w:r>
    </w:p>
    <w:p>
      <w:pPr>
        <w:rPr>
          <w:rFonts w:ascii="仿宋" w:hAnsi="仿宋" w:eastAsia="仿宋"/>
          <w:sz w:val="32"/>
          <w:szCs w:val="32"/>
        </w:rPr>
      </w:pPr>
      <w:r>
        <w:rPr>
          <w:rFonts w:hint="eastAsia" w:ascii="仿宋" w:hAnsi="仿宋" w:eastAsia="仿宋"/>
          <w:sz w:val="32"/>
          <w:szCs w:val="32"/>
        </w:rPr>
        <w:t>三、支出决算表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十、政府性基金预算财政拨款收入支出决算表</w:t>
      </w:r>
    </w:p>
    <w:p>
      <w:pPr>
        <w:rPr>
          <w:rFonts w:ascii="仿宋" w:hAnsi="仿宋" w:eastAsia="仿宋"/>
          <w:sz w:val="32"/>
          <w:szCs w:val="32"/>
        </w:rPr>
      </w:pPr>
      <w:r>
        <w:rPr>
          <w:rFonts w:hint="eastAsia" w:ascii="仿宋" w:hAnsi="仿宋" w:eastAsia="仿宋"/>
          <w:sz w:val="32"/>
          <w:szCs w:val="32"/>
        </w:rPr>
        <w:t>十一、国有资本经营预算财政拨款收入支出决算表</w:t>
      </w:r>
    </w:p>
    <w:p>
      <w:pPr>
        <w:rPr>
          <w:rFonts w:ascii="仿宋" w:hAnsi="仿宋" w:eastAsia="仿宋"/>
          <w:sz w:val="32"/>
          <w:szCs w:val="32"/>
        </w:rPr>
      </w:pPr>
      <w:r>
        <w:rPr>
          <w:rFonts w:hint="eastAsia" w:ascii="仿宋" w:hAnsi="仿宋" w:eastAsia="仿宋"/>
          <w:sz w:val="32"/>
          <w:szCs w:val="32"/>
        </w:rPr>
        <w:t>十二、国有资本经营预算财政拨款支出决算表</w:t>
      </w:r>
    </w:p>
    <w:p>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F1BFA2F"/>
    <w:multiLevelType w:val="singleLevel"/>
    <w:tmpl w:val="1F1BFA2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wNjBkN2VlYWUyYjNlZTkwYTZhMmRhZTRkMzAzZmE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3AE5AF6"/>
    <w:rsid w:val="060A39E3"/>
    <w:rsid w:val="066E0107"/>
    <w:rsid w:val="07750C02"/>
    <w:rsid w:val="07800221"/>
    <w:rsid w:val="07996F6E"/>
    <w:rsid w:val="07C40649"/>
    <w:rsid w:val="07DFD8BA"/>
    <w:rsid w:val="09884B63"/>
    <w:rsid w:val="0A2032A3"/>
    <w:rsid w:val="0A651F54"/>
    <w:rsid w:val="0BA84D24"/>
    <w:rsid w:val="0BAE5DEF"/>
    <w:rsid w:val="0D35B1ED"/>
    <w:rsid w:val="0E7ED1F5"/>
    <w:rsid w:val="0F98263C"/>
    <w:rsid w:val="101860EC"/>
    <w:rsid w:val="10C055FF"/>
    <w:rsid w:val="118107EC"/>
    <w:rsid w:val="13D50BC4"/>
    <w:rsid w:val="13F5616D"/>
    <w:rsid w:val="1609536C"/>
    <w:rsid w:val="16BB723D"/>
    <w:rsid w:val="17F9714D"/>
    <w:rsid w:val="18590F5D"/>
    <w:rsid w:val="1918F934"/>
    <w:rsid w:val="19205D5A"/>
    <w:rsid w:val="1BE8440E"/>
    <w:rsid w:val="1C511DFD"/>
    <w:rsid w:val="1D155CEE"/>
    <w:rsid w:val="1DF97F8E"/>
    <w:rsid w:val="1DFBC4B3"/>
    <w:rsid w:val="1E740ACF"/>
    <w:rsid w:val="1F19C781"/>
    <w:rsid w:val="1F33FCE5"/>
    <w:rsid w:val="1F7F7398"/>
    <w:rsid w:val="1FD2DB6F"/>
    <w:rsid w:val="1FF35744"/>
    <w:rsid w:val="1FF6BC77"/>
    <w:rsid w:val="1FF9236D"/>
    <w:rsid w:val="201347DA"/>
    <w:rsid w:val="21B46321"/>
    <w:rsid w:val="21FD6742"/>
    <w:rsid w:val="228B1143"/>
    <w:rsid w:val="2333840E"/>
    <w:rsid w:val="23860B96"/>
    <w:rsid w:val="240371BF"/>
    <w:rsid w:val="246E5471"/>
    <w:rsid w:val="257C638F"/>
    <w:rsid w:val="273A3B97"/>
    <w:rsid w:val="29FD04D3"/>
    <w:rsid w:val="2BFF7BC6"/>
    <w:rsid w:val="2C8A61B5"/>
    <w:rsid w:val="2CD59C95"/>
    <w:rsid w:val="2DF04E50"/>
    <w:rsid w:val="2EFD05E5"/>
    <w:rsid w:val="2F040D46"/>
    <w:rsid w:val="2F4F95CE"/>
    <w:rsid w:val="2FACAFDD"/>
    <w:rsid w:val="2FAE5751"/>
    <w:rsid w:val="2FB1A395"/>
    <w:rsid w:val="2FCF0B76"/>
    <w:rsid w:val="2FD9A7D8"/>
    <w:rsid w:val="30226B4B"/>
    <w:rsid w:val="3052562F"/>
    <w:rsid w:val="30EB53B7"/>
    <w:rsid w:val="319F7F4E"/>
    <w:rsid w:val="326102F0"/>
    <w:rsid w:val="329B0704"/>
    <w:rsid w:val="3304709D"/>
    <w:rsid w:val="342F5521"/>
    <w:rsid w:val="34332CEF"/>
    <w:rsid w:val="347E1018"/>
    <w:rsid w:val="357155C0"/>
    <w:rsid w:val="35DD4E6A"/>
    <w:rsid w:val="36AA5135"/>
    <w:rsid w:val="36BA6509"/>
    <w:rsid w:val="36BE0DA7"/>
    <w:rsid w:val="376B6AA6"/>
    <w:rsid w:val="376D39B2"/>
    <w:rsid w:val="37967677"/>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2F35CF"/>
    <w:rsid w:val="3D6A7F9F"/>
    <w:rsid w:val="3D7E7F4D"/>
    <w:rsid w:val="3D98207C"/>
    <w:rsid w:val="3D9CF30A"/>
    <w:rsid w:val="3DFF5A3E"/>
    <w:rsid w:val="3E78745D"/>
    <w:rsid w:val="3EEE77E9"/>
    <w:rsid w:val="3F394AF5"/>
    <w:rsid w:val="3FBE5714"/>
    <w:rsid w:val="3FDD8615"/>
    <w:rsid w:val="3FDFB2FF"/>
    <w:rsid w:val="3FF4CAE0"/>
    <w:rsid w:val="3FF75FAF"/>
    <w:rsid w:val="3FF7B227"/>
    <w:rsid w:val="42630502"/>
    <w:rsid w:val="44E268DA"/>
    <w:rsid w:val="457F4F6B"/>
    <w:rsid w:val="45FB75BC"/>
    <w:rsid w:val="4737FB58"/>
    <w:rsid w:val="47ECCB02"/>
    <w:rsid w:val="47FA6A3F"/>
    <w:rsid w:val="490D16BC"/>
    <w:rsid w:val="49AF356D"/>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33150C"/>
    <w:rsid w:val="4F79793A"/>
    <w:rsid w:val="4F7EA413"/>
    <w:rsid w:val="4FAB812F"/>
    <w:rsid w:val="4FE9BD67"/>
    <w:rsid w:val="4FEE4C07"/>
    <w:rsid w:val="4FFB052F"/>
    <w:rsid w:val="51957310"/>
    <w:rsid w:val="52CE2FB0"/>
    <w:rsid w:val="537E6D0A"/>
    <w:rsid w:val="53AB6B88"/>
    <w:rsid w:val="53F74C96"/>
    <w:rsid w:val="5583522D"/>
    <w:rsid w:val="56B539C6"/>
    <w:rsid w:val="56C87742"/>
    <w:rsid w:val="57BD3DD4"/>
    <w:rsid w:val="57F9CD1E"/>
    <w:rsid w:val="589D503F"/>
    <w:rsid w:val="5ABA77FD"/>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5C5070"/>
    <w:rsid w:val="5F7D3B79"/>
    <w:rsid w:val="5F7F4610"/>
    <w:rsid w:val="5FBF9FF3"/>
    <w:rsid w:val="5FCD4E2C"/>
    <w:rsid w:val="5FE67ED7"/>
    <w:rsid w:val="5FEF394A"/>
    <w:rsid w:val="5FF67715"/>
    <w:rsid w:val="617E3C11"/>
    <w:rsid w:val="61CA71D5"/>
    <w:rsid w:val="627EE9EA"/>
    <w:rsid w:val="62D0393D"/>
    <w:rsid w:val="63B23AA5"/>
    <w:rsid w:val="63EC47BC"/>
    <w:rsid w:val="647F5392"/>
    <w:rsid w:val="64E322C4"/>
    <w:rsid w:val="65FB93B9"/>
    <w:rsid w:val="6633C463"/>
    <w:rsid w:val="66C76BCB"/>
    <w:rsid w:val="6716778B"/>
    <w:rsid w:val="67D55B77"/>
    <w:rsid w:val="67EE7F84"/>
    <w:rsid w:val="680A1FE4"/>
    <w:rsid w:val="686F5F53"/>
    <w:rsid w:val="6AFFCEAF"/>
    <w:rsid w:val="6B96E9E6"/>
    <w:rsid w:val="6BCE57B5"/>
    <w:rsid w:val="6BFEA4DB"/>
    <w:rsid w:val="6BFFB662"/>
    <w:rsid w:val="6C4A05C8"/>
    <w:rsid w:val="6CFF4FB8"/>
    <w:rsid w:val="6D6BD6E0"/>
    <w:rsid w:val="6D77E73C"/>
    <w:rsid w:val="6D9C0F27"/>
    <w:rsid w:val="6DBF5E93"/>
    <w:rsid w:val="6DFF077E"/>
    <w:rsid w:val="6E7E3605"/>
    <w:rsid w:val="6E7FDCC7"/>
    <w:rsid w:val="6ED6A62E"/>
    <w:rsid w:val="6EE00B15"/>
    <w:rsid w:val="6EE737B2"/>
    <w:rsid w:val="6EEB2329"/>
    <w:rsid w:val="6EECE67A"/>
    <w:rsid w:val="6F6F90A8"/>
    <w:rsid w:val="6F6FB3EB"/>
    <w:rsid w:val="6F8731EA"/>
    <w:rsid w:val="6F9A5A96"/>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A65CA8"/>
    <w:rsid w:val="74B4028C"/>
    <w:rsid w:val="74BBD01D"/>
    <w:rsid w:val="74ED5379"/>
    <w:rsid w:val="74F43AA6"/>
    <w:rsid w:val="75DEEEC2"/>
    <w:rsid w:val="767F479D"/>
    <w:rsid w:val="76E3355F"/>
    <w:rsid w:val="76F742AF"/>
    <w:rsid w:val="76F7BE7D"/>
    <w:rsid w:val="76FB4FEE"/>
    <w:rsid w:val="76FF5125"/>
    <w:rsid w:val="773570D3"/>
    <w:rsid w:val="77597F31"/>
    <w:rsid w:val="77675E69"/>
    <w:rsid w:val="776F6FFA"/>
    <w:rsid w:val="7777A522"/>
    <w:rsid w:val="77858688"/>
    <w:rsid w:val="778769C8"/>
    <w:rsid w:val="77CB741A"/>
    <w:rsid w:val="77D7BE3A"/>
    <w:rsid w:val="77DC22F5"/>
    <w:rsid w:val="77E12332"/>
    <w:rsid w:val="794600D2"/>
    <w:rsid w:val="797E3A6C"/>
    <w:rsid w:val="79CF70E2"/>
    <w:rsid w:val="79D7FD79"/>
    <w:rsid w:val="79E75806"/>
    <w:rsid w:val="79EE5BA4"/>
    <w:rsid w:val="7A641148"/>
    <w:rsid w:val="7A6F8BF5"/>
    <w:rsid w:val="7A894339"/>
    <w:rsid w:val="7ACF82B5"/>
    <w:rsid w:val="7AFF28C9"/>
    <w:rsid w:val="7AFF72A0"/>
    <w:rsid w:val="7AFF7572"/>
    <w:rsid w:val="7B1D3764"/>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Title"/>
    <w:basedOn w:val="1"/>
    <w:qFormat/>
    <w:uiPriority w:val="99"/>
    <w:pPr>
      <w:spacing w:before="240" w:after="60"/>
      <w:jc w:val="center"/>
      <w:outlineLvl w:val="0"/>
    </w:pPr>
    <w:rPr>
      <w:rFonts w:ascii="Arial" w:hAnsi="Arial" w:cs="Arial"/>
      <w:b/>
      <w:bCs/>
      <w:sz w:val="32"/>
      <w:szCs w:val="32"/>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qFormat/>
    <w:uiPriority w:val="9"/>
    <w:rPr>
      <w:rFonts w:ascii="Times New Roman" w:hAnsi="Times New Roman"/>
      <w:b/>
      <w:bCs/>
      <w:kern w:val="44"/>
      <w:sz w:val="44"/>
      <w:szCs w:val="44"/>
    </w:rPr>
  </w:style>
  <w:style w:type="character" w:customStyle="1" w:styleId="30">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7792;&#24029;&#21439;&#34701;&#23186;&#20307;&#20013;&#24515;\&#38468;&#20214;2.5-&#20316;&#21442;&#32771;&#65306;&#39292;&#29366;&#65288;&#30452;&#26041;&#65289;&#22270;&#32472;&#21046;&#26041;&#2786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沐川县融媒体中心收、支决算总计变动情况</a:t>
            </a:r>
            <a:endParaRPr sz="11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2013201320132"/>
          <c:y val="0.0290909090909091"/>
        </c:manualLayout>
      </c:layout>
      <c:overlay val="0"/>
      <c:spPr>
        <a:noFill/>
        <a:ln w="3175">
          <a:noFill/>
        </a:ln>
      </c:spPr>
    </c:title>
    <c:autoTitleDeleted val="0"/>
    <c:plotArea>
      <c:layout/>
      <c:barChart>
        <c:barDir val="col"/>
        <c:grouping val="clustered"/>
        <c:varyColors val="0"/>
        <c:ser>
          <c:idx val="0"/>
          <c:order val="0"/>
          <c:tx>
            <c:strRef>
              <c:f>'[附件2.5-作参考：饼状（直方）图绘制方法.xls]收支决算总计变动情况-图1'!$A$4</c:f>
              <c:strCache>
                <c:ptCount val="1"/>
                <c:pt idx="0">
                  <c:v>沐川县财政局收、支决算总计变动情况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0.00176132013201321"/>
                  <c:y val="0.223000242424242"/>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68726072607265"/>
                  <c:y val="0.342968727272727"/>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'[附件2.5-作参考：饼状（直方）图绘制方法.xls]收支决算总计变动情况-图1'!$A$1:$B$1</c:f>
              <c:strCache>
                <c:ptCount val="2"/>
                <c:pt idx="0">
                  <c:v>2022年收支</c:v>
                </c:pt>
                <c:pt idx="1">
                  <c:v>2023年收支</c:v>
                </c:pt>
              </c:strCache>
            </c:strRef>
          </c:cat>
          <c:val>
            <c:numRef>
              <c:f>'[附件2.5-作参考：饼状（直方）图绘制方法.xls]收支决算总计变动情况-图1'!$A$2:$B$2</c:f>
              <c:numCache>
                <c:formatCode>General</c:formatCode>
                <c:ptCount val="2"/>
                <c:pt idx="0">
                  <c:v>679.01</c:v>
                </c:pt>
                <c:pt idx="1">
                  <c:v>872.19</c:v>
                </c:pt>
              </c:numCache>
            </c:numRef>
          </c:val>
        </c:ser>
        <c:dLbls>
          <c:showLegendKey val="0"/>
          <c:showVal val="0"/>
          <c:showCatName val="0"/>
          <c:showSerName val="0"/>
          <c:showPercent val="0"/>
          <c:showBubbleSize val="0"/>
        </c:dLbls>
        <c:gapWidth val="150"/>
        <c:overlap val="0"/>
        <c:axId val="869341299"/>
        <c:axId val="699337838"/>
      </c:barChart>
      <c:catAx>
        <c:axId val="869341299"/>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99337838"/>
        <c:crosses val="autoZero"/>
        <c:auto val="1"/>
        <c:lblAlgn val="ctr"/>
        <c:lblOffset val="100"/>
        <c:noMultiLvlLbl val="0"/>
      </c:catAx>
      <c:valAx>
        <c:axId val="699337838"/>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869341299"/>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25"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沐川县融媒体中心2023年收入决算结构图</a:t>
            </a:r>
            <a:endParaRPr sz="1125"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manualLayout>
          <c:layoutTarget val="inner"/>
          <c:xMode val="edge"/>
          <c:yMode val="edge"/>
          <c:x val="0.17275"/>
          <c:y val="0.277"/>
          <c:w val="0.3375"/>
          <c:h val="0.56075"/>
        </c:manualLayout>
      </c:layout>
      <c:pieChart>
        <c:varyColors val="1"/>
        <c:ser>
          <c:idx val="0"/>
          <c:order val="0"/>
          <c:tx>
            <c:strRef>
              <c:f>'[附件2.5-作参考：饼状（直方）图绘制方法.xls]收入决算结构-图2-1'!$A$5</c:f>
              <c:strCache>
                <c:ptCount val="1"/>
                <c:pt idx="0">
                  <c:v>沐川县炭库小学2023年收入决算结构图</c:v>
                </c:pt>
              </c:strCache>
            </c:strRef>
          </c:tx>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3175">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9999FF">
                  <a:alpha val="100000"/>
                </a:srgbClr>
              </a:solidFill>
              <a:ln w="12700">
                <a:solidFill>
                  <a:srgbClr val="000000">
                    <a:alpha val="100000"/>
                  </a:srgbClr>
                </a:solidFill>
                <a:prstDash val="solid"/>
              </a:ln>
            </c:spPr>
          </c:dPt>
          <c:dLbls>
            <c:numFmt formatCode="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'[附件2.5-作参考：饼状（直方）图绘制方法.xls]收入决算结构-图2-1'!$A$1:$C$1</c:f>
              <c:strCache>
                <c:ptCount val="3"/>
                <c:pt idx="0">
                  <c:v>一般公共预算财政拨款收入</c:v>
                </c:pt>
                <c:pt idx="1">
                  <c:v>政府性基金预算财政拨款</c:v>
                </c:pt>
                <c:pt idx="2">
                  <c:v>其他收入</c:v>
                </c:pt>
              </c:strCache>
            </c:strRef>
          </c:cat>
          <c:val>
            <c:numRef>
              <c:f>'[附件2.5-作参考：饼状（直方）图绘制方法.xls]收入决算结构-图2-1'!$A$2:$C$2</c:f>
              <c:numCache>
                <c:formatCode>General</c:formatCode>
                <c:ptCount val="3"/>
                <c:pt idx="0">
                  <c:v>725.47</c:v>
                </c:pt>
                <c:pt idx="1">
                  <c:v>16.7</c:v>
                </c:pt>
                <c:pt idx="2">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575"/>
          <c:y val="0.44025"/>
          <c:w val="0.41425"/>
          <c:h val="0.2435"/>
        </c:manualLayout>
      </c:layout>
      <c:overlay val="0"/>
      <c:spPr>
        <a:solidFill>
          <a:srgbClr val="FFFFFF">
            <a:alpha val="100000"/>
          </a:srgbClr>
        </a:solidFill>
        <a:ln w="3175">
          <a:noFill/>
        </a:ln>
      </c:spPr>
      <c:txPr>
        <a:bodyPr rot="0" spcFirstLastPara="0" vertOverflow="ellipsis" vert="horz" wrap="square"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沐川县融媒体中心2023年支出决算结构图</a:t>
            </a:r>
            <a:endParaRPr sz="12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manualLayout>
          <c:layoutTarget val="inner"/>
          <c:xMode val="edge"/>
          <c:yMode val="edge"/>
          <c:x val="0.2575"/>
          <c:y val="0.277"/>
          <c:w val="0.33325"/>
          <c:h val="0.56425"/>
        </c:manualLayout>
      </c:layout>
      <c:pieChart>
        <c:varyColors val="1"/>
        <c:ser>
          <c:idx val="0"/>
          <c:order val="0"/>
          <c:tx>
            <c:strRef>
              <c:f>'[附件2.5-作参考：饼状（直方）图绘制方法.xls]支出决算结构-图3'!$A$9</c:f>
              <c:strCache>
                <c:ptCount val="1"/>
                <c:pt idx="0">
                  <c:v>沐川县炭库小学2023年支出决算结构图</c:v>
                </c:pt>
              </c:strCache>
            </c:strRef>
          </c:tx>
          <c:spPr>
            <a:solidFill>
              <a:srgbClr val="9999FF">
                <a:alpha val="100000"/>
              </a:srgbClr>
            </a:solidFill>
            <a:ln w="12700">
              <a:solidFill>
                <a:srgbClr val="000000">
                  <a:alpha val="100000"/>
                </a:srgbClr>
              </a:solidFill>
              <a:prstDash val="solid"/>
            </a:ln>
          </c:spPr>
          <c:explosion val="25"/>
          <c:dPt>
            <c:idx val="0"/>
            <c:bubble3D val="0"/>
            <c:explosion val="25"/>
            <c:spPr>
              <a:solidFill>
                <a:srgbClr val="9999FF">
                  <a:alpha val="100000"/>
                </a:srgbClr>
              </a:solidFill>
              <a:ln w="12700">
                <a:solidFill>
                  <a:srgbClr val="000000">
                    <a:alpha val="100000"/>
                  </a:srgbClr>
                </a:solidFill>
                <a:prstDash val="solid"/>
              </a:ln>
            </c:spPr>
          </c:dPt>
          <c:dPt>
            <c:idx val="1"/>
            <c:bubble3D val="0"/>
            <c:explosion val="25"/>
            <c:spPr>
              <a:solidFill>
                <a:srgbClr val="993366">
                  <a:alpha val="100000"/>
                </a:srgbClr>
              </a:solidFill>
              <a:ln w="12700">
                <a:solidFill>
                  <a:srgbClr val="000000">
                    <a:alpha val="100000"/>
                  </a:srgbClr>
                </a:solidFill>
                <a:prstDash val="solid"/>
              </a:ln>
            </c:spPr>
          </c:dPt>
          <c:dLbls>
            <c:dLbl>
              <c:idx val="0"/>
              <c:layout>
                <c:manualLayout>
                  <c:x val="-0.0647930200804459"/>
                  <c:y val="-0.0866123628442363"/>
                </c:manualLayout>
              </c:layout>
              <c:tx>
                <c:rich>
                  <a:bodyPr rot="0" spcFirstLastPara="0" vertOverflow="ellipsis" vert="horz" wrap="square" lIns="38100" tIns="19050" rIns="38100" bIns="19050"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sz="800" b="0" i="0" u="none" strike="noStrike" baseline="0">
                        <a:solidFill>
                          <a:srgbClr val="000000"/>
                        </a:solidFill>
                        <a:latin typeface="宋体" panose="02010600030101010101" charset="-122"/>
                        <a:ea typeface="宋体" panose="02010600030101010101" charset="-122"/>
                        <a:cs typeface="宋体" panose="02010600030101010101" charset="-122"/>
                      </a:rPr>
                      <a:t>48.23</a:t>
                    </a:r>
                    <a:r>
                      <a:rPr sz="8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w="3175">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sz="800" b="0" i="0" u="none" strike="noStrike" baseline="0">
                        <a:solidFill>
                          <a:srgbClr val="000000"/>
                        </a:solidFill>
                        <a:latin typeface="宋体" panose="02010600030101010101" charset="-122"/>
                        <a:ea typeface="宋体" panose="02010600030101010101" charset="-122"/>
                        <a:cs typeface="宋体" panose="02010600030101010101" charset="-122"/>
                      </a:rPr>
                      <a:t>51.77</a:t>
                    </a:r>
                    <a:r>
                      <a:rPr sz="8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w="3175">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'[附件2.5-作参考：饼状（直方）图绘制方法.xls]支出决算结构-图3'!$A$1:$B$1</c:f>
              <c:strCache>
                <c:ptCount val="2"/>
                <c:pt idx="0">
                  <c:v>基本支出</c:v>
                </c:pt>
                <c:pt idx="1">
                  <c:v>项目支出</c:v>
                </c:pt>
              </c:strCache>
            </c:strRef>
          </c:cat>
          <c:val>
            <c:numRef>
              <c:f>'[附件2.5-作参考：饼状（直方）图绘制方法.xls]支出决算结构-图3'!$A$4:$B$4</c:f>
              <c:numCache>
                <c:formatCode>0.00%</c:formatCode>
                <c:ptCount val="2"/>
                <c:pt idx="0">
                  <c:v>0.4823</c:v>
                </c:pt>
                <c:pt idx="1">
                  <c:v>0.5177</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905"/>
          <c:y val="0.456"/>
          <c:w val="0.1655"/>
          <c:h val="0.13525"/>
        </c:manualLayout>
      </c:layout>
      <c:overlay val="0"/>
      <c:spPr>
        <a:solidFill>
          <a:srgbClr val="FFFFFF">
            <a:alpha val="100000"/>
          </a:srgbClr>
        </a:solidFill>
        <a:ln w="3175">
          <a:noFill/>
        </a:ln>
      </c:spPr>
      <c:txPr>
        <a:bodyPr rot="0" spcFirstLastPara="0" vertOverflow="ellipsis" vert="horz" wrap="square"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沐川县融媒体中心财政拨款收、支决算总计变动情况</a:t>
            </a:r>
          </a:p>
        </c:rich>
      </c:tx>
      <c:layout/>
      <c:overlay val="0"/>
      <c:spPr>
        <a:noFill/>
        <a:ln w="3175">
          <a:noFill/>
        </a:ln>
      </c:spPr>
    </c:title>
    <c:autoTitleDeleted val="0"/>
    <c:plotArea>
      <c:layout>
        <c:manualLayout>
          <c:layoutTarget val="inner"/>
          <c:xMode val="edge"/>
          <c:yMode val="edge"/>
          <c:x val="0.0637503012774162"/>
          <c:y val="0.0380710659898477"/>
          <c:w val="0.903109182935647"/>
          <c:h val="0.685786802030457"/>
        </c:manualLayout>
      </c:layout>
      <c:barChart>
        <c:barDir val="col"/>
        <c:grouping val="clustered"/>
        <c:varyColors val="0"/>
        <c:ser>
          <c:idx val="0"/>
          <c:order val="0"/>
          <c:tx>
            <c:strRef>
              <c:f>'[附件2.5-作参考：饼状（直方）图绘制方法.xls]财政拨款收支决算总计变动情况-图4'!$A$4</c:f>
              <c:strCache>
                <c:ptCount val="1"/>
                <c:pt idx="0">
                  <c:v>沐川县财政局财政拨款收、支决算总计变动情况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0.0017832134292566"/>
                  <c:y val="0.217210101010101"/>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8076738609113"/>
                  <c:y val="0.334063636363636"/>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'[附件2.5-作参考：饼状（直方）图绘制方法.xls]财政拨款收支决算总计变动情况-图4'!$A$1:$B$1</c:f>
              <c:strCache>
                <c:ptCount val="2"/>
                <c:pt idx="0">
                  <c:v>2022年财政拨款收支</c:v>
                </c:pt>
                <c:pt idx="1">
                  <c:v>2023年财政拨款收支</c:v>
                </c:pt>
              </c:strCache>
            </c:strRef>
          </c:cat>
          <c:val>
            <c:numRef>
              <c:f>'[附件2.5-作参考：饼状（直方）图绘制方法.xls]财政拨款收支决算总计变动情况-图4'!$A$2:$B$2</c:f>
              <c:numCache>
                <c:formatCode>General</c:formatCode>
                <c:ptCount val="2"/>
                <c:pt idx="0">
                  <c:v>679.01</c:v>
                </c:pt>
                <c:pt idx="1">
                  <c:v>872.19</c:v>
                </c:pt>
              </c:numCache>
            </c:numRef>
          </c:val>
        </c:ser>
        <c:dLbls>
          <c:showLegendKey val="0"/>
          <c:showVal val="0"/>
          <c:showCatName val="0"/>
          <c:showSerName val="0"/>
          <c:showPercent val="0"/>
          <c:showBubbleSize val="0"/>
        </c:dLbls>
        <c:gapWidth val="150"/>
        <c:overlap val="0"/>
        <c:axId val="751724278"/>
        <c:axId val="442847946"/>
      </c:barChart>
      <c:catAx>
        <c:axId val="751724278"/>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442847946"/>
        <c:crosses val="autoZero"/>
        <c:auto val="1"/>
        <c:lblAlgn val="ctr"/>
        <c:lblOffset val="100"/>
        <c:noMultiLvlLbl val="0"/>
      </c:catAx>
      <c:valAx>
        <c:axId val="442847946"/>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51724278"/>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沐川县融媒体中心一般公共预算财政拨款支出决算变动情况</a:t>
            </a:r>
            <a:endParaRPr sz="11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51090909090909"/>
          <c:y val="0.025185895898297"/>
        </c:manualLayout>
      </c:layout>
      <c:overlay val="0"/>
      <c:spPr>
        <a:noFill/>
        <a:ln w="3175">
          <a:noFill/>
        </a:ln>
      </c:spPr>
    </c:title>
    <c:autoTitleDeleted val="0"/>
    <c:plotArea>
      <c:layout>
        <c:manualLayout>
          <c:layoutTarget val="inner"/>
          <c:xMode val="edge"/>
          <c:yMode val="edge"/>
          <c:x val="0.084"/>
          <c:y val="0.2285"/>
          <c:w val="0.832"/>
          <c:h val="0.68175"/>
        </c:manualLayout>
      </c:layout>
      <c:barChart>
        <c:barDir val="col"/>
        <c:grouping val="clustered"/>
        <c:varyColors val="0"/>
        <c:ser>
          <c:idx val="0"/>
          <c:order val="0"/>
          <c:spPr>
            <a:solidFill>
              <a:srgbClr val="9999FF">
                <a:alpha val="100000"/>
              </a:srgbClr>
            </a:solidFill>
            <a:ln w="12700">
              <a:solidFill>
                <a:srgbClr val="000000">
                  <a:alpha val="100000"/>
                </a:srgbClr>
              </a:solidFill>
              <a:prstDash val="solid"/>
            </a:ln>
          </c:spPr>
          <c:invertIfNegative val="0"/>
          <c:dLbls>
            <c:dLbl>
              <c:idx val="0"/>
              <c:layout>
                <c:manualLayout>
                  <c:x val="0"/>
                  <c:y val="0.2440665"/>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48799999999998"/>
                  <c:y val="0.3476925"/>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'[附件2.5-作参考：饼状（直方）图绘制方法.xls]一般公共预算财政拨款支出决算变动情况-图5'!$A$1:$B$1</c:f>
              <c:strCache>
                <c:ptCount val="2"/>
                <c:pt idx="0">
                  <c:v>2022年一般公共预算财政拨款支出</c:v>
                </c:pt>
                <c:pt idx="1">
                  <c:v>2023年一般公共预算财政拨款支出</c:v>
                </c:pt>
              </c:strCache>
            </c:strRef>
          </c:cat>
          <c:val>
            <c:numRef>
              <c:f>'[附件2.5-作参考：饼状（直方）图绘制方法.xls]一般公共预算财政拨款支出决算变动情况-图5'!$A$2:$B$2</c:f>
              <c:numCache>
                <c:formatCode>General</c:formatCode>
                <c:ptCount val="2"/>
                <c:pt idx="0">
                  <c:v>556.81</c:v>
                </c:pt>
                <c:pt idx="1" c:formatCode="#,##0.00">
                  <c:v>855.47</c:v>
                </c:pt>
              </c:numCache>
            </c:numRef>
          </c:val>
        </c:ser>
        <c:dLbls>
          <c:showLegendKey val="0"/>
          <c:showVal val="0"/>
          <c:showCatName val="0"/>
          <c:showSerName val="0"/>
          <c:showPercent val="0"/>
          <c:showBubbleSize val="0"/>
        </c:dLbls>
        <c:gapWidth val="150"/>
        <c:overlap val="0"/>
        <c:axId val="839180100"/>
        <c:axId val="880220956"/>
      </c:barChart>
      <c:catAx>
        <c:axId val="839180100"/>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880220956"/>
        <c:crosses val="autoZero"/>
        <c:auto val="1"/>
        <c:lblAlgn val="ctr"/>
        <c:lblOffset val="100"/>
        <c:noMultiLvlLbl val="0"/>
      </c:catAx>
      <c:valAx>
        <c:axId val="880220956"/>
        <c:scaling>
          <c:orientation val="minMax"/>
        </c:scaling>
        <c:delete val="0"/>
        <c:axPos val="l"/>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839180100"/>
        <c:crosses val="autoZero"/>
        <c:crossBetween val="between"/>
      </c:valAx>
      <c:spPr>
        <a:noFill/>
        <a:ln w="3175">
          <a:noFill/>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沐川县融媒体中心一般公共预算财政拨款支出决算结构图</a:t>
            </a:r>
            <a:endParaRPr sz="12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 val="-0.009"/>
          <c:y val="-0.01025"/>
        </c:manualLayout>
      </c:layout>
      <c:overlay val="0"/>
      <c:spPr>
        <a:noFill/>
        <a:ln w="3175">
          <a:noFill/>
        </a:ln>
      </c:spPr>
    </c:title>
    <c:autoTitleDeleted val="0"/>
    <c:plotArea>
      <c:layout>
        <c:manualLayout>
          <c:layoutTarget val="inner"/>
          <c:xMode val="edge"/>
          <c:yMode val="edge"/>
          <c:x val="0.1005"/>
          <c:y val="0.24925"/>
          <c:w val="0.445"/>
          <c:h val="0.67875"/>
        </c:manualLayout>
      </c:layout>
      <c:pieChart>
        <c:varyColors val="1"/>
        <c:ser>
          <c:idx val="0"/>
          <c:order val="0"/>
          <c:tx>
            <c:strRef>
              <c:f>'[附件2.5-作参考：饼状（直方）图绘制方法.xls]一般公共预算财政拨款支出决算结构-图6'!$A$8</c:f>
              <c:strCache>
                <c:ptCount val="1"/>
                <c:pt idx="0">
                  <c:v>沐川县财政局一般公共预算财政拨款支出决算结构图</c:v>
                </c:pt>
              </c:strCache>
            </c:strRef>
          </c:tx>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3175">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Lbls>
            <c:dLbl>
              <c:idx val="0"/>
              <c:layout>
                <c:manualLayout>
                  <c:x val="-0.122825912977659"/>
                  <c:y val="-0.36174062618289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'[附件2.5-作参考：饼状（直方）图绘制方法.xls]一般公共预算财政拨款支出决算结构-图6'!$A$1:$E$1</c:f>
              <c:strCache>
                <c:ptCount val="5"/>
                <c:pt idx="0">
                  <c:v>2023年文化旅游体育与传媒支出</c:v>
                </c:pt>
                <c:pt idx="1">
                  <c:v>农林水支出</c:v>
                </c:pt>
                <c:pt idx="2">
                  <c:v>2023年社会保障和就业支出</c:v>
                </c:pt>
                <c:pt idx="3">
                  <c:v>2023年卫生健康支出</c:v>
                </c:pt>
                <c:pt idx="4">
                  <c:v>2023年住房保障支出</c:v>
                </c:pt>
              </c:strCache>
            </c:strRef>
          </c:cat>
          <c:val>
            <c:numRef>
              <c:f>'[附件2.5-作参考：饼状（直方）图绘制方法.xls]一般公共预算财政拨款支出决算结构-图6'!$A$2:$E$2</c:f>
              <c:numCache>
                <c:formatCode>General</c:formatCode>
                <c:ptCount val="5"/>
                <c:pt idx="0">
                  <c:v>545.45</c:v>
                </c:pt>
                <c:pt idx="1">
                  <c:v>208.25</c:v>
                </c:pt>
                <c:pt idx="2">
                  <c:v>49.27</c:v>
                </c:pt>
                <c:pt idx="3">
                  <c:v>16.6</c:v>
                </c:pt>
                <c:pt idx="4">
                  <c:v>35.9</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555"/>
          <c:y val="0.28825"/>
          <c:w val="0.344"/>
          <c:h val="0.5555"/>
        </c:manualLayout>
      </c:layout>
      <c:overlay val="0"/>
      <c:spPr>
        <a:solidFill>
          <a:srgbClr val="FFFFFF">
            <a:alpha val="100000"/>
          </a:srgbClr>
        </a:solidFill>
        <a:ln w="3175">
          <a:noFill/>
        </a:ln>
      </c:spPr>
      <c:txPr>
        <a:bodyPr rot="0" spcFirstLastPara="0" vertOverflow="ellipsis" vert="horz" wrap="square" anchor="ctr" anchorCtr="1"/>
        <a:lstStyle/>
        <a:p>
          <a:pPr>
            <a:defRPr lang="zh-CN" sz="11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沐川县融媒体中心2023年“三公”经费财政拨款支出结构图</a:t>
            </a:r>
            <a:endParaRPr sz="12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manualLayout>
          <c:layoutTarget val="inner"/>
          <c:xMode val="edge"/>
          <c:yMode val="edge"/>
          <c:x val="0.198140359168242"/>
          <c:y val="0.211471189591078"/>
          <c:w val="0.2635"/>
          <c:h val="0.527"/>
        </c:manualLayout>
      </c:layout>
      <c:pieChart>
        <c:varyColors val="1"/>
        <c:ser>
          <c:idx val="0"/>
          <c:order val="0"/>
          <c:tx>
            <c:strRef>
              <c:f>'[附件2.5-作参考：饼状（直方）图绘制方法.xls]三公经费财政拨款支出结构-图7'!$B$8</c:f>
              <c:strCache>
                <c:ptCount val="1"/>
                <c:pt idx="0">
                  <c:v>沐川县炭库小学2023年“三公”经费财政拨款支出结构图</c:v>
                </c:pt>
              </c:strCache>
            </c:strRef>
          </c:tx>
          <c:spPr>
            <a:solidFill>
              <a:srgbClr val="9999FF">
                <a:alpha val="100000"/>
              </a:srgbClr>
            </a:solidFill>
            <a:ln w="12700">
              <a:solidFill>
                <a:srgbClr val="000000">
                  <a:alpha val="100000"/>
                </a:srgbClr>
              </a:solidFill>
              <a:prstDash val="solid"/>
            </a:ln>
          </c:spPr>
          <c:explosion val="25"/>
          <c:dPt>
            <c:idx val="0"/>
            <c:bubble3D val="0"/>
            <c:explosion val="25"/>
            <c:spPr>
              <a:solidFill>
                <a:srgbClr val="9999FF">
                  <a:alpha val="100000"/>
                </a:srgbClr>
              </a:solidFill>
              <a:ln w="12700">
                <a:solidFill>
                  <a:srgbClr val="000000">
                    <a:alpha val="100000"/>
                  </a:srgbClr>
                </a:solidFill>
                <a:prstDash val="solid"/>
              </a:ln>
            </c:spPr>
          </c:dPt>
          <c:dPt>
            <c:idx val="1"/>
            <c:bubble3D val="0"/>
            <c:explosion val="25"/>
            <c:spPr>
              <a:solidFill>
                <a:srgbClr val="993366">
                  <a:alpha val="100000"/>
                </a:srgbClr>
              </a:solidFill>
              <a:ln w="12700">
                <a:solidFill>
                  <a:srgbClr val="000000">
                    <a:alpha val="100000"/>
                  </a:srgbClr>
                </a:solidFill>
                <a:prstDash val="solid"/>
              </a:ln>
            </c:spPr>
          </c:dPt>
          <c:dPt>
            <c:idx val="2"/>
            <c:bubble3D val="0"/>
            <c:explosion val="25"/>
            <c:spPr>
              <a:solidFill>
                <a:srgbClr val="FFFFCC">
                  <a:alpha val="100000"/>
                </a:srgbClr>
              </a:solidFill>
              <a:ln w="12700">
                <a:solidFill>
                  <a:srgbClr val="000000">
                    <a:alpha val="100000"/>
                  </a:srgbClr>
                </a:solidFill>
                <a:prstDash val="solid"/>
              </a:ln>
            </c:spPr>
          </c:dPt>
          <c:dLbls>
            <c:dLbl>
              <c:idx val="0"/>
              <c:layout/>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'[附件2.5-作参考：饼状（直方）图绘制方法.xls]三公经费财政拨款支出结构-图7'!$A$1:$C$1</c:f>
              <c:strCache>
                <c:ptCount val="3"/>
                <c:pt idx="0">
                  <c:v>因公出国（境）费支出</c:v>
                </c:pt>
                <c:pt idx="1">
                  <c:v>公务用车购置及运行维护费支出</c:v>
                </c:pt>
                <c:pt idx="2">
                  <c:v>公务接待费支出</c:v>
                </c:pt>
              </c:strCache>
            </c:strRef>
          </c:cat>
          <c:val>
            <c:numRef>
              <c:f>'[附件2.5-作参考：饼状（直方）图绘制方法.xls]三公经费财政拨款支出结构-图7'!$A$2:$C$2</c:f>
              <c:numCache>
                <c:formatCode>General</c:formatCode>
                <c:ptCount val="3"/>
                <c:pt idx="0">
                  <c:v>0</c:v>
                </c:pt>
                <c:pt idx="1">
                  <c:v>0</c:v>
                </c:pt>
                <c:pt idx="2">
                  <c:v>0.1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516289224952741"/>
          <c:y val="0.611815055762082"/>
          <c:w val="0.3385"/>
          <c:h val="0.38075"/>
        </c:manualLayout>
      </c:layout>
      <c:overlay val="0"/>
      <c:spPr>
        <a:solidFill>
          <a:srgbClr val="FFFFFF">
            <a:alpha val="100000"/>
          </a:srgbClr>
        </a:solid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6206</Words>
  <Characters>6763</Characters>
  <Lines>72</Lines>
  <Paragraphs>20</Paragraphs>
  <TotalTime>27</TotalTime>
  <ScaleCrop>false</ScaleCrop>
  <LinksUpToDate>false</LinksUpToDate>
  <CharactersWithSpaces>6884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Administrator</cp:lastModifiedBy>
  <cp:lastPrinted>2023-08-03T10:35:00Z</cp:lastPrinted>
  <dcterms:modified xsi:type="dcterms:W3CDTF">2024-09-20T06:48:42Z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19EBA4CA037B41FDBB4F8DCC548EB5A2_12</vt:lpwstr>
  </property>
</Properties>
</file>