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b w:val="0"/>
          <w:bCs w:val="0"/>
          <w:sz w:val="72"/>
          <w:szCs w:val="72"/>
        </w:rPr>
      </w:pPr>
      <w:bookmarkStart w:id="0" w:name="_Toc15306267"/>
    </w:p>
    <w:p>
      <w:pPr>
        <w:spacing w:line="600" w:lineRule="exact"/>
        <w:jc w:val="left"/>
        <w:rPr>
          <w:rFonts w:hint="default" w:ascii="Times New Roman" w:hAnsi="Times New Roman" w:eastAsia="方正小标宋简体" w:cs="Times New Roman"/>
          <w:b w:val="0"/>
          <w:bCs w:val="0"/>
          <w:szCs w:val="21"/>
        </w:rPr>
      </w:pPr>
    </w:p>
    <w:p>
      <w:pPr>
        <w:pStyle w:val="2"/>
        <w:spacing w:before="93"/>
        <w:rPr>
          <w:rFonts w:hint="default" w:ascii="Times New Roman" w:hAnsi="Times New Roman" w:cs="Times New Roman"/>
          <w:b w:val="0"/>
          <w:bCs w:val="0"/>
        </w:rPr>
      </w:pPr>
    </w:p>
    <w:p>
      <w:pPr>
        <w:spacing w:line="600" w:lineRule="exact"/>
        <w:jc w:val="center"/>
        <w:outlineLvl w:val="0"/>
        <w:rPr>
          <w:rFonts w:hint="default" w:ascii="Times New Roman" w:hAnsi="Times New Roman" w:eastAsia="方正小标宋简体" w:cs="Times New Roman"/>
          <w:b w:val="0"/>
          <w:bCs w:val="0"/>
          <w:sz w:val="72"/>
          <w:szCs w:val="72"/>
        </w:rPr>
      </w:pPr>
    </w:p>
    <w:p>
      <w:pPr>
        <w:adjustRightInd w:val="0"/>
        <w:snapToGrid w:val="0"/>
        <w:spacing w:line="360" w:lineRule="auto"/>
        <w:jc w:val="center"/>
        <w:rPr>
          <w:rFonts w:hint="default" w:ascii="Times New Roman" w:hAnsi="Times New Roman" w:eastAsia="方正小标宋简体" w:cs="Times New Roman"/>
          <w:b w:val="0"/>
          <w:bCs w:val="0"/>
          <w:sz w:val="72"/>
          <w:szCs w:val="72"/>
        </w:rPr>
      </w:pPr>
      <w:bookmarkStart w:id="1" w:name="_Toc15377425"/>
      <w:bookmarkStart w:id="2" w:name="_Toc15377193"/>
      <w:bookmarkStart w:id="3" w:name="_Toc15396475"/>
      <w:bookmarkStart w:id="4" w:name="_Toc15396597"/>
      <w:bookmarkStart w:id="5" w:name="_Toc15378441"/>
      <w:r>
        <w:rPr>
          <w:rFonts w:hint="default" w:ascii="Times New Roman" w:hAnsi="Times New Roman" w:eastAsia="方正小标宋简体" w:cs="Times New Roman"/>
          <w:b w:val="0"/>
          <w:bCs w:val="0"/>
          <w:sz w:val="72"/>
          <w:szCs w:val="72"/>
        </w:rPr>
        <w:t>2023年度</w:t>
      </w:r>
      <w:bookmarkEnd w:id="1"/>
      <w:bookmarkEnd w:id="2"/>
      <w:bookmarkEnd w:id="3"/>
      <w:bookmarkEnd w:id="4"/>
      <w:bookmarkEnd w:id="5"/>
    </w:p>
    <w:p>
      <w:pPr>
        <w:adjustRightInd w:val="0"/>
        <w:snapToGrid w:val="0"/>
        <w:spacing w:line="360" w:lineRule="auto"/>
        <w:jc w:val="center"/>
        <w:rPr>
          <w:rFonts w:hint="default" w:ascii="Times New Roman" w:hAnsi="Times New Roman" w:eastAsia="方正小标宋简体" w:cs="Times New Roman"/>
          <w:b w:val="0"/>
          <w:bCs w:val="0"/>
          <w:sz w:val="72"/>
          <w:szCs w:val="72"/>
        </w:rPr>
      </w:pPr>
      <w:bookmarkStart w:id="6" w:name="_Toc15377194"/>
      <w:bookmarkStart w:id="7" w:name="_Toc15378442"/>
      <w:bookmarkStart w:id="8" w:name="_Toc15377426"/>
      <w:bookmarkStart w:id="9" w:name="_Toc15396598"/>
      <w:bookmarkStart w:id="10" w:name="_Toc15396476"/>
      <w:r>
        <w:rPr>
          <w:rFonts w:hint="default" w:ascii="Times New Roman" w:hAnsi="Times New Roman" w:eastAsia="方正小标宋简体" w:cs="Times New Roman"/>
          <w:b w:val="0"/>
          <w:bCs w:val="0"/>
          <w:sz w:val="72"/>
          <w:szCs w:val="72"/>
        </w:rPr>
        <w:t>四川省</w:t>
      </w:r>
      <w:bookmarkEnd w:id="0"/>
      <w:bookmarkStart w:id="11" w:name="_Toc15306268"/>
      <w:r>
        <w:rPr>
          <w:rFonts w:hint="eastAsia" w:eastAsia="方正小标宋简体" w:cs="Times New Roman"/>
          <w:b w:val="0"/>
          <w:bCs w:val="0"/>
          <w:sz w:val="72"/>
          <w:szCs w:val="72"/>
          <w:lang w:eastAsia="zh-CN"/>
        </w:rPr>
        <w:t>乐山市</w:t>
      </w:r>
      <w:r>
        <w:rPr>
          <w:rFonts w:hint="default" w:ascii="Times New Roman" w:hAnsi="Times New Roman" w:eastAsia="方正小标宋简体" w:cs="Times New Roman"/>
          <w:b w:val="0"/>
          <w:bCs w:val="0"/>
          <w:sz w:val="72"/>
          <w:szCs w:val="72"/>
        </w:rPr>
        <w:t>沐川县</w:t>
      </w:r>
    </w:p>
    <w:p>
      <w:pPr>
        <w:adjustRightInd w:val="0"/>
        <w:snapToGrid w:val="0"/>
        <w:spacing w:line="360" w:lineRule="auto"/>
        <w:jc w:val="center"/>
        <w:rPr>
          <w:rFonts w:hint="default" w:ascii="Times New Roman" w:hAnsi="Times New Roman" w:eastAsia="方正小标宋简体" w:cs="Times New Roman"/>
          <w:b w:val="0"/>
          <w:bCs w:val="0"/>
          <w:sz w:val="72"/>
          <w:szCs w:val="72"/>
        </w:rPr>
      </w:pPr>
      <w:r>
        <w:rPr>
          <w:rFonts w:hint="default" w:ascii="Times New Roman" w:hAnsi="Times New Roman" w:eastAsia="方正小标宋简体" w:cs="Times New Roman"/>
          <w:b w:val="0"/>
          <w:bCs w:val="0"/>
          <w:sz w:val="72"/>
          <w:szCs w:val="72"/>
        </w:rPr>
        <w:t>黄丹镇人民政府单位决算</w:t>
      </w:r>
      <w:bookmarkEnd w:id="6"/>
      <w:bookmarkEnd w:id="7"/>
      <w:bookmarkEnd w:id="8"/>
      <w:bookmarkEnd w:id="9"/>
      <w:bookmarkEnd w:id="10"/>
      <w:bookmarkEnd w:id="11"/>
    </w:p>
    <w:p>
      <w:pPr>
        <w:widowControl/>
        <w:jc w:val="center"/>
        <w:rPr>
          <w:rFonts w:hint="default" w:ascii="Times New Roman" w:hAnsi="Times New Roman" w:eastAsia="方正小标宋简体" w:cs="Times New Roman"/>
          <w:b w:val="0"/>
          <w:bCs w:val="0"/>
          <w:sz w:val="48"/>
          <w:szCs w:val="48"/>
        </w:rPr>
      </w:pPr>
      <w:r>
        <w:rPr>
          <w:rFonts w:hint="default" w:ascii="Times New Roman" w:hAnsi="Times New Roman" w:eastAsia="方正小标宋简体" w:cs="Times New Roman"/>
          <w:b w:val="0"/>
          <w:bCs w:val="0"/>
          <w:sz w:val="36"/>
          <w:szCs w:val="36"/>
        </w:rPr>
        <w:br w:type="page"/>
      </w:r>
      <w:r>
        <w:rPr>
          <w:rFonts w:hint="default" w:ascii="Times New Roman" w:hAnsi="Times New Roman" w:eastAsia="方正小标宋简体" w:cs="Times New Roman"/>
          <w:b w:val="0"/>
          <w:bCs w:val="0"/>
          <w:sz w:val="48"/>
          <w:szCs w:val="48"/>
        </w:rPr>
        <w:t>目　录</w:t>
      </w:r>
    </w:p>
    <w:p>
      <w:pPr>
        <w:pStyle w:val="12"/>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公开时间：202</w:t>
      </w:r>
      <w:r>
        <w:rPr>
          <w:rFonts w:hint="eastAsia" w:ascii="Times New Roman" w:hAnsi="Times New Roman" w:eastAsia="楷体_GB2312" w:cs="Times New Roman"/>
          <w:b w:val="0"/>
          <w:bCs w:val="0"/>
          <w:lang w:val="en-US" w:eastAsia="zh-CN"/>
        </w:rPr>
        <w:t>4</w:t>
      </w:r>
      <w:r>
        <w:rPr>
          <w:rFonts w:hint="default" w:ascii="Times New Roman" w:hAnsi="Times New Roman" w:eastAsia="楷体_GB2312" w:cs="Times New Roman"/>
          <w:b w:val="0"/>
          <w:bCs w:val="0"/>
        </w:rPr>
        <w:t>年9月23日</w:t>
      </w:r>
    </w:p>
    <w:sdt>
      <w:sdtPr>
        <w:rPr>
          <w:rFonts w:hint="default" w:ascii="Times New Roman" w:hAnsi="Times New Roman" w:cs="Times New Roman"/>
          <w:b w:val="0"/>
          <w:bCs w:val="0"/>
        </w:rPr>
        <w:id w:val="147463381"/>
        <w:docPartObj>
          <w:docPartGallery w:val="Table of Contents"/>
          <w:docPartUnique/>
        </w:docPartObj>
      </w:sdtPr>
      <w:sdtEndPr>
        <w:rPr>
          <w:rFonts w:hint="default" w:ascii="Times New Roman" w:hAnsi="Times New Roman" w:cs="Times New Roman"/>
          <w:b w:val="0"/>
          <w:bCs w:val="0"/>
        </w:rPr>
      </w:sdtEndPr>
      <w:sdtContent>
        <w:p>
          <w:pPr>
            <w:jc w:val="center"/>
            <w:rPr>
              <w:rFonts w:hint="default" w:ascii="Times New Roman" w:hAnsi="Times New Roman" w:cs="Times New Roman"/>
              <w:b w:val="0"/>
              <w:bCs w:val="0"/>
            </w:rPr>
          </w:pPr>
        </w:p>
        <w:p>
          <w:pPr>
            <w:pStyle w:val="12"/>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TOC \o "1-3" \h \u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"_Toc28325"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第一部分 单位概况</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_Toc28325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"_Toc15199"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一、 主要职责</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_Toc15199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"_Toc19807"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二、机构设置</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_Toc19807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2"/>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"_Toc16265"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第二部分 2023年度单位决算情况说明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_Toc16265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4</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"_Toc32378"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 xml:space="preserve">一、 </w:t>
          </w:r>
          <w:r>
            <w:rPr>
              <w:rFonts w:hint="default" w:ascii="Times New Roman" w:hAnsi="Times New Roman" w:eastAsia="黑体" w:cs="Times New Roman"/>
              <w:b w:val="0"/>
              <w:bCs w:val="0"/>
              <w:szCs w:val="32"/>
            </w:rPr>
            <w:t>收</w:t>
          </w:r>
          <w:r>
            <w:rPr>
              <w:rFonts w:hint="default" w:ascii="Times New Roman" w:hAnsi="Times New Roman" w:eastAsia="黑体" w:cs="Times New Roman"/>
              <w:b w:val="0"/>
              <w:bCs w:val="0"/>
            </w:rPr>
            <w:t>入支出决算总体情况说明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_Toc32378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4</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"_Toc6023"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 xml:space="preserve">二、 </w:t>
          </w:r>
          <w:r>
            <w:rPr>
              <w:rFonts w:hint="default" w:ascii="Times New Roman" w:hAnsi="Times New Roman" w:eastAsia="黑体" w:cs="Times New Roman"/>
              <w:b w:val="0"/>
              <w:bCs w:val="0"/>
              <w:szCs w:val="32"/>
            </w:rPr>
            <w:t>收</w:t>
          </w:r>
          <w:r>
            <w:rPr>
              <w:rFonts w:hint="default" w:ascii="Times New Roman" w:hAnsi="Times New Roman" w:eastAsia="黑体" w:cs="Times New Roman"/>
              <w:b w:val="0"/>
              <w:bCs w:val="0"/>
            </w:rPr>
            <w:t>入决算情况说明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_Toc6023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4</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"_Toc18480"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 xml:space="preserve">三、 </w:t>
          </w:r>
          <w:r>
            <w:rPr>
              <w:rFonts w:hint="default" w:ascii="Times New Roman" w:hAnsi="Times New Roman" w:eastAsia="黑体" w:cs="Times New Roman"/>
              <w:b w:val="0"/>
              <w:bCs w:val="0"/>
              <w:szCs w:val="32"/>
            </w:rPr>
            <w:t>支</w:t>
          </w:r>
          <w:r>
            <w:rPr>
              <w:rFonts w:hint="default" w:ascii="Times New Roman" w:hAnsi="Times New Roman" w:eastAsia="黑体" w:cs="Times New Roman"/>
              <w:b w:val="0"/>
              <w:bCs w:val="0"/>
            </w:rPr>
            <w:t>出决算情况说明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_Toc18480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5</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"_Toc2682"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szCs w:val="32"/>
            </w:rPr>
            <w:t>四、财</w:t>
          </w:r>
          <w:r>
            <w:rPr>
              <w:rFonts w:hint="default" w:ascii="Times New Roman" w:hAnsi="Times New Roman" w:eastAsia="黑体" w:cs="Times New Roman"/>
              <w:b w:val="0"/>
              <w:bCs w:val="0"/>
            </w:rPr>
            <w:t>政拨款收入支出决算总体情况说明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_Toc2682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6</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"_Toc12218"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szCs w:val="32"/>
            </w:rPr>
            <w:t>五、一</w:t>
          </w:r>
          <w:r>
            <w:rPr>
              <w:rFonts w:hint="default" w:ascii="Times New Roman" w:hAnsi="Times New Roman" w:eastAsia="黑体" w:cs="Times New Roman"/>
              <w:b w:val="0"/>
              <w:bCs w:val="0"/>
            </w:rPr>
            <w:t>般公共预算财政拨款支出决算情况说明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_Toc12218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6</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"_Toc204"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szCs w:val="32"/>
            </w:rPr>
            <w:t>六、一</w:t>
          </w:r>
          <w:r>
            <w:rPr>
              <w:rFonts w:hint="default" w:ascii="Times New Roman" w:hAnsi="Times New Roman" w:eastAsia="黑体" w:cs="Times New Roman"/>
              <w:b w:val="0"/>
              <w:bCs w:val="0"/>
            </w:rPr>
            <w:t>般公共预算财政拨款基本支出决算情况说明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_Toc204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11</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"_Toc31635"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szCs w:val="32"/>
            </w:rPr>
            <w:t>七、</w:t>
          </w:r>
          <w:r>
            <w:rPr>
              <w:rFonts w:hint="default" w:ascii="Times New Roman" w:hAnsi="Times New Roman" w:eastAsia="黑体" w:cs="Times New Roman"/>
              <w:b w:val="0"/>
              <w:bCs w:val="0"/>
            </w:rPr>
            <w:t>财政拨款“三公”经费支出决算情况说明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_Toc31635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12</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"_Toc28666"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szCs w:val="32"/>
            </w:rPr>
            <w:t>八、</w:t>
          </w:r>
          <w:r>
            <w:rPr>
              <w:rFonts w:hint="default" w:ascii="Times New Roman" w:hAnsi="Times New Roman" w:eastAsia="黑体" w:cs="Times New Roman"/>
              <w:b w:val="0"/>
              <w:bCs w:val="0"/>
            </w:rPr>
            <w:t>政府性基金预算支出决算情况说明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_Toc28666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14</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"_Toc6273"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九、 国有资本经营预算支出决算情况说明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_Toc6273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14</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"_Toc12778"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rPr>
            <w:t>十、 其他重要事项的情况说明</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_Toc12778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14</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2"/>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"_Toc37"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szCs w:val="44"/>
            </w:rPr>
            <w:t>第三部分 名</w:t>
          </w:r>
          <w:r>
            <w:rPr>
              <w:rFonts w:hint="default" w:ascii="Times New Roman" w:hAnsi="Times New Roman" w:eastAsia="黑体" w:cs="Times New Roman"/>
              <w:b w:val="0"/>
              <w:bCs w:val="0"/>
            </w:rPr>
            <w:t>词解释</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_Toc37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17</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2"/>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"_Toc3011"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szCs w:val="44"/>
            </w:rPr>
            <w:t>第</w:t>
          </w:r>
          <w:r>
            <w:rPr>
              <w:rFonts w:hint="default" w:ascii="Times New Roman" w:hAnsi="Times New Roman" w:eastAsia="黑体" w:cs="Times New Roman"/>
              <w:b w:val="0"/>
              <w:bCs w:val="0"/>
            </w:rPr>
            <w:t>四部分 附件</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_Toc3011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22</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2"/>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"_Toc29931" </w:instrText>
          </w:r>
          <w:r>
            <w:rPr>
              <w:rFonts w:hint="default" w:ascii="Times New Roman" w:hAnsi="Times New Roman" w:cs="Times New Roman"/>
              <w:b w:val="0"/>
              <w:bCs w:val="0"/>
            </w:rPr>
            <w:fldChar w:fldCharType="separate"/>
          </w:r>
          <w:r>
            <w:rPr>
              <w:rFonts w:hint="default" w:ascii="Times New Roman" w:hAnsi="Times New Roman" w:eastAsia="黑体" w:cs="Times New Roman"/>
              <w:b w:val="0"/>
              <w:bCs w:val="0"/>
              <w:szCs w:val="44"/>
            </w:rPr>
            <w:t>第</w:t>
          </w:r>
          <w:r>
            <w:rPr>
              <w:rFonts w:hint="default" w:ascii="Times New Roman" w:hAnsi="Times New Roman" w:eastAsia="黑体" w:cs="Times New Roman"/>
              <w:b w:val="0"/>
              <w:bCs w:val="0"/>
            </w:rPr>
            <w:t>五部分 附表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_Toc29931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"_Toc2201"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一、收入支出决算总表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_Toc2201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"_Toc18060"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二、收入决算表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_Toc18060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"_Toc11887"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三、支出决算表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_Toc11887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"_Toc11132"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四、财政拨款收入支出决算总表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_Toc11132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"_Toc2145"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五、财政拨款支出决算明细表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_Toc2145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"_Toc24320"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六、一般公共预算财政拨款支出决算表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_Toc24320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"_Toc5868"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七、一般公共预算财政拨款支出决算明细表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_Toc5868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"_Toc28864"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八、一般公共预算财政拨款基本支出决算表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_Toc28864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"_Toc32688"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九、一般公共预算财政拨款项目支出决算表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_Toc32688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"_Toc23051"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十、政府性基金预算财政拨款收入支出决算表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_Toc23051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"_Toc24618"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十一、国有资本经营预算财政拨款收入支出决算表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_Toc24618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"_Toc20014"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十二、国有资本经营预算财政拨款支出决算表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_Toc20014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pStyle w:val="13"/>
            <w:tabs>
              <w:tab w:val="right" w:leader="dot" w:pos="8306"/>
              <w:tab w:val="clear" w:pos="829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\l "_Toc810" </w:instrText>
          </w:r>
          <w:r>
            <w:rPr>
              <w:rFonts w:hint="default" w:ascii="Times New Roman" w:hAnsi="Times New Roman" w:cs="Times New Roman"/>
              <w:b w:val="0"/>
              <w:bCs w:val="0"/>
            </w:rPr>
            <w:fldChar w:fldCharType="separate"/>
          </w:r>
          <w:r>
            <w:rPr>
              <w:rFonts w:hint="default" w:ascii="Times New Roman" w:hAnsi="Times New Roman" w:eastAsia="仿宋" w:cs="Times New Roman"/>
              <w:b w:val="0"/>
              <w:bCs w:val="0"/>
            </w:rPr>
            <w:t>十三、财政拨款“三公”经费支出决算表</w:t>
          </w:r>
          <w:r>
            <w:rPr>
              <w:rFonts w:hint="default" w:ascii="Times New Roman" w:hAnsi="Times New Roman" w:cs="Times New Roman"/>
              <w:b w:val="0"/>
              <w:bCs w:val="0"/>
            </w:rPr>
            <w:tab/>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PAGEREF _Toc810 \h </w:instrText>
          </w:r>
          <w:r>
            <w:rPr>
              <w:rFonts w:hint="default" w:ascii="Times New Roman" w:hAnsi="Times New Roman" w:cs="Times New Roman"/>
              <w:b w:val="0"/>
              <w:bCs w:val="0"/>
            </w:rPr>
            <w:fldChar w:fldCharType="separate"/>
          </w:r>
          <w:r>
            <w:rPr>
              <w:rFonts w:hint="default" w:ascii="Times New Roman" w:hAnsi="Times New Roman" w:cs="Times New Roman"/>
              <w:b w:val="0"/>
              <w:bCs w:val="0"/>
            </w:rPr>
            <w:t>23</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end"/>
          </w:r>
        </w:p>
        <w:p>
          <w:pPr>
            <w:rPr>
              <w:rFonts w:hint="default" w:ascii="Times New Roman" w:hAnsi="Times New Roman" w:cs="Times New Roman"/>
              <w:b w:val="0"/>
              <w:bCs w:val="0"/>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default" w:ascii="Times New Roman" w:hAnsi="Times New Roman" w:cs="Times New Roman"/>
              <w:b w:val="0"/>
              <w:bCs w:val="0"/>
            </w:rPr>
            <w:fldChar w:fldCharType="end"/>
          </w:r>
        </w:p>
      </w:sdtContent>
    </w:sdt>
    <w:p>
      <w:pPr>
        <w:pStyle w:val="3"/>
        <w:numPr>
          <w:ilvl w:val="0"/>
          <w:numId w:val="0"/>
        </w:numPr>
        <w:ind w:leftChars="0"/>
        <w:jc w:val="center"/>
        <w:rPr>
          <w:rFonts w:hint="default" w:ascii="Times New Roman" w:hAnsi="Times New Roman" w:eastAsia="黑体" w:cs="Times New Roman"/>
          <w:b w:val="0"/>
          <w:bCs w:val="0"/>
        </w:rPr>
      </w:pPr>
      <w:bookmarkStart w:id="12" w:name="_Toc15377196"/>
      <w:bookmarkStart w:id="13" w:name="_Toc28325"/>
      <w:bookmarkStart w:id="14" w:name="_Toc15396599"/>
      <w:r>
        <w:rPr>
          <w:rFonts w:hint="default" w:ascii="Times New Roman" w:hAnsi="Times New Roman" w:eastAsia="黑体" w:cs="Times New Roman"/>
          <w:b w:val="0"/>
          <w:bCs w:val="0"/>
        </w:rPr>
        <w:t>第一部分 单位</w:t>
      </w:r>
      <w:r>
        <w:rPr>
          <w:rStyle w:val="30"/>
          <w:rFonts w:hint="default" w:ascii="Times New Roman" w:hAnsi="Times New Roman" w:eastAsia="黑体" w:cs="Times New Roman"/>
          <w:b w:val="0"/>
          <w:bCs w:val="0"/>
        </w:rPr>
        <w:t>概况</w:t>
      </w:r>
      <w:bookmarkEnd w:id="12"/>
      <w:bookmarkEnd w:id="13"/>
      <w:bookmarkEnd w:id="14"/>
    </w:p>
    <w:p>
      <w:pPr>
        <w:pStyle w:val="4"/>
        <w:spacing w:before="0" w:after="0" w:line="600" w:lineRule="exact"/>
        <w:ind w:firstLine="640" w:firstLineChars="200"/>
        <w:rPr>
          <w:rStyle w:val="31"/>
          <w:rFonts w:hint="default" w:ascii="Times New Roman" w:hAnsi="Times New Roman" w:eastAsia="黑体" w:cs="Times New Roman"/>
          <w:b w:val="0"/>
          <w:bCs w:val="0"/>
        </w:rPr>
      </w:pPr>
      <w:bookmarkStart w:id="15" w:name="_Toc15199"/>
      <w:bookmarkStart w:id="16" w:name="_Toc15396600"/>
      <w:bookmarkStart w:id="17" w:name="_Toc15377197"/>
      <w:r>
        <w:rPr>
          <w:rStyle w:val="31"/>
          <w:rFonts w:hint="default" w:ascii="Times New Roman" w:hAnsi="Times New Roman" w:eastAsia="黑体" w:cs="Times New Roman"/>
          <w:b w:val="0"/>
          <w:bCs w:val="0"/>
        </w:rPr>
        <w:t>一、主要职责</w:t>
      </w:r>
      <w:bookmarkEnd w:id="15"/>
    </w:p>
    <w:p>
      <w:pPr>
        <w:pStyle w:val="4"/>
        <w:spacing w:before="0" w:after="0" w:line="600" w:lineRule="exact"/>
        <w:ind w:firstLine="640" w:firstLineChars="200"/>
        <w:rPr>
          <w:rFonts w:hint="default" w:ascii="Times New Roman" w:hAnsi="Times New Roman" w:eastAsia="黑体" w:cs="Times New Roman"/>
          <w:b w:val="0"/>
          <w:bCs w:val="0"/>
        </w:rPr>
      </w:pPr>
      <w:r>
        <w:rPr>
          <w:rFonts w:hint="default" w:ascii="Times New Roman" w:hAnsi="Times New Roman" w:eastAsia="楷体_GB2312" w:cs="Times New Roman"/>
          <w:b w:val="0"/>
          <w:bCs w:val="0"/>
          <w:lang w:val="zh-CN"/>
        </w:rPr>
        <w:t>（一）主要职能</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1．贯彻落实党的路线方针政策和国家法律法规以及上级党委、政府的决议、决定和命令，执行镇党委和镇人民代表大会的决议，加强农村基层政权建设,巩固党在农村的执政基础。</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2．组织编制本行政区域经济社会发展规划和镇国土空间规划。负责农村基础设施和各项公益事业建设,推进脱贫攻坚，实施乡村振兴战略，加快经济社会发展，改善群众生产生活环境。</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3．指导农村经济发展，推进农业经济结构调整，促进经济增长、农业增效、农民增收。</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5．负责辖区内自然资源、生态环境保护、森林防火、防汛抗旱、粮食安全、供销合作社等工作。</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6．推进基层民主法治建设，加强普法依法治理，指导村(居)委员会工作，维护群众合法权益。</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7．承担辖区平安建设、社会治安综合治理、安全和应急管理等有关工作。负责群众来信来访，反映社情民意，化解矛盾纠纷，维护社会安全稳定。</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8．负责清理编制权责清单、公共服务清单事项，建立清单动态调整和公示机制,推进政务公开，接受群众监督，增强政府公信力。</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9．负责国防教育、兵役征集、民兵预备役等有关工作。</w:t>
      </w:r>
    </w:p>
    <w:p>
      <w:pPr>
        <w:widowControl/>
        <w:spacing w:line="600" w:lineRule="exact"/>
        <w:ind w:firstLine="640" w:firstLineChars="200"/>
        <w:jc w:val="left"/>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10．承担法律、法规、规章规定的其他职能和上级党委、政府交办的其他工作。</w:t>
      </w:r>
    </w:p>
    <w:p>
      <w:pPr>
        <w:pStyle w:val="2"/>
        <w:adjustRightInd w:val="0"/>
        <w:snapToGrid w:val="0"/>
        <w:spacing w:before="93" w:line="600" w:lineRule="exact"/>
        <w:ind w:firstLine="672" w:firstLineChars="210"/>
        <w:rPr>
          <w:rFonts w:hint="default" w:ascii="Times New Roman" w:hAnsi="Times New Roman" w:eastAsia="楷体_GB2312" w:cs="Times New Roman"/>
          <w:b w:val="0"/>
          <w:bCs w:val="0"/>
          <w:kern w:val="2"/>
          <w:sz w:val="32"/>
          <w:szCs w:val="32"/>
          <w:lang w:val="zh-CN"/>
        </w:rPr>
      </w:pPr>
      <w:bookmarkStart w:id="18" w:name="_Toc15378446"/>
      <w:bookmarkStart w:id="19" w:name="_Toc15377199"/>
      <w:r>
        <w:rPr>
          <w:rFonts w:hint="default" w:ascii="Times New Roman" w:hAnsi="Times New Roman" w:eastAsia="楷体_GB2312" w:cs="Times New Roman"/>
          <w:b w:val="0"/>
          <w:bCs w:val="0"/>
          <w:kern w:val="2"/>
          <w:sz w:val="32"/>
          <w:szCs w:val="32"/>
          <w:lang w:val="zh-CN"/>
        </w:rPr>
        <w:t>（二）20</w:t>
      </w:r>
      <w:r>
        <w:rPr>
          <w:rFonts w:hint="default" w:ascii="Times New Roman" w:hAnsi="Times New Roman" w:eastAsia="楷体_GB2312" w:cs="Times New Roman"/>
          <w:b w:val="0"/>
          <w:bCs w:val="0"/>
          <w:kern w:val="2"/>
          <w:sz w:val="32"/>
          <w:szCs w:val="32"/>
        </w:rPr>
        <w:t>23</w:t>
      </w:r>
      <w:r>
        <w:rPr>
          <w:rFonts w:hint="default" w:ascii="Times New Roman" w:hAnsi="Times New Roman" w:eastAsia="楷体_GB2312" w:cs="Times New Roman"/>
          <w:b w:val="0"/>
          <w:bCs w:val="0"/>
          <w:kern w:val="2"/>
          <w:sz w:val="32"/>
          <w:szCs w:val="32"/>
          <w:lang w:val="zh-CN"/>
        </w:rPr>
        <w:t>年重点工作完成情况</w:t>
      </w:r>
      <w:bookmarkEnd w:id="18"/>
      <w:bookmarkEnd w:id="19"/>
    </w:p>
    <w:p>
      <w:pPr>
        <w:pStyle w:val="6"/>
        <w:adjustRightInd w:val="0"/>
        <w:snapToGrid w:val="0"/>
        <w:spacing w:line="600" w:lineRule="exact"/>
        <w:ind w:firstLine="640"/>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一是持之以恒锤炼政治品格，党的建设全面过硬；二是坚定不移聚焦高质量发展，乡村振兴起势见效；三是不遗余力扩大有效投资，项目建设强劲有力；四是千方百计巩固脱贫攻坚成果，底线任务有效落实；五是一以贯之保障改善民生，群众福祉更加殷实；六是坚持不懈守牢安全底线，社会治理和谐稳定。</w:t>
      </w:r>
      <w:bookmarkStart w:id="20" w:name="_Toc19807"/>
    </w:p>
    <w:p>
      <w:pPr>
        <w:pStyle w:val="6"/>
        <w:adjustRightInd w:val="0"/>
        <w:snapToGrid w:val="0"/>
        <w:spacing w:line="600" w:lineRule="exact"/>
        <w:ind w:firstLine="640"/>
        <w:rPr>
          <w:rStyle w:val="31"/>
          <w:rFonts w:hint="default" w:ascii="Times New Roman" w:hAnsi="Times New Roman" w:eastAsia="黑体" w:cs="Times New Roman"/>
          <w:b w:val="0"/>
          <w:bCs w:val="0"/>
        </w:rPr>
      </w:pPr>
      <w:r>
        <w:rPr>
          <w:rStyle w:val="31"/>
          <w:rFonts w:hint="default" w:ascii="Times New Roman" w:hAnsi="Times New Roman" w:eastAsia="黑体" w:cs="Times New Roman"/>
          <w:b w:val="0"/>
          <w:bCs w:val="0"/>
        </w:rPr>
        <w:t>二、机构设置</w:t>
      </w:r>
      <w:bookmarkEnd w:id="20"/>
    </w:p>
    <w:p>
      <w:pPr>
        <w:ind w:firstLine="640"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沐川县黄丹镇人民政府下属二级预算单位4个，其中行政单位0个，参照公务员法管理的事业单位0个，其他事业单位4个（沐川县黄丹镇便民服务中心、沐川县黄丹镇农业综合服务中心、沐川县黄丹镇文化旅游发展服务中心、沐川县黄丹镇社会治理服务中心）。</w:t>
      </w:r>
    </w:p>
    <w:bookmarkEnd w:id="16"/>
    <w:bookmarkEnd w:id="17"/>
    <w:p>
      <w:pPr>
        <w:widowControl/>
        <w:ind w:firstLine="640" w:firstLineChars="200"/>
        <w:jc w:val="left"/>
        <w:rPr>
          <w:rFonts w:hint="default" w:ascii="Times New Roman" w:hAnsi="Times New Roman" w:eastAsia="仿宋" w:cs="Times New Roman"/>
          <w:b w:val="0"/>
          <w:bCs w:val="0"/>
          <w:kern w:val="0"/>
          <w:sz w:val="32"/>
          <w:szCs w:val="32"/>
        </w:rPr>
      </w:pPr>
      <w:r>
        <w:rPr>
          <w:rFonts w:hint="eastAsia" w:ascii="Times New Roman" w:hAnsi="Times New Roman" w:eastAsia="仿宋" w:cs="Times New Roman"/>
          <w:b w:val="0"/>
          <w:bCs w:val="0"/>
          <w:sz w:val="32"/>
          <w:szCs w:val="32"/>
          <w:lang w:eastAsia="zh-CN"/>
        </w:rPr>
        <w:t>以上单位全部纳入</w:t>
      </w:r>
      <w:r>
        <w:rPr>
          <w:rFonts w:hint="default" w:ascii="Times New Roman" w:hAnsi="Times New Roman" w:eastAsia="仿宋" w:cs="Times New Roman"/>
          <w:b w:val="0"/>
          <w:bCs w:val="0"/>
          <w:sz w:val="32"/>
          <w:szCs w:val="32"/>
        </w:rPr>
        <w:t>沐川县黄丹镇人民政府202</w:t>
      </w:r>
      <w:r>
        <w:rPr>
          <w:rFonts w:hint="eastAsia" w:ascii="Times New Roman" w:hAnsi="Times New Roman" w:eastAsia="仿宋" w:cs="Times New Roman"/>
          <w:b w:val="0"/>
          <w:bCs w:val="0"/>
          <w:sz w:val="32"/>
          <w:szCs w:val="32"/>
          <w:lang w:val="en-US" w:eastAsia="zh-CN"/>
        </w:rPr>
        <w:t>3</w:t>
      </w:r>
      <w:r>
        <w:rPr>
          <w:rFonts w:hint="default" w:ascii="Times New Roman" w:hAnsi="Times New Roman" w:eastAsia="仿宋" w:cs="Times New Roman"/>
          <w:b w:val="0"/>
          <w:bCs w:val="0"/>
          <w:sz w:val="32"/>
          <w:szCs w:val="32"/>
        </w:rPr>
        <w:t>年度部门决算编制范围</w:t>
      </w:r>
      <w:r>
        <w:rPr>
          <w:rFonts w:hint="eastAsia"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br w:type="page"/>
      </w:r>
    </w:p>
    <w:p>
      <w:pPr>
        <w:pStyle w:val="3"/>
        <w:ind w:right="440"/>
        <w:jc w:val="center"/>
        <w:rPr>
          <w:rFonts w:hint="default" w:ascii="Times New Roman" w:hAnsi="Times New Roman" w:eastAsia="方正小标宋简体" w:cs="Times New Roman"/>
          <w:b w:val="0"/>
          <w:bCs w:val="0"/>
          <w:sz w:val="44"/>
          <w:szCs w:val="44"/>
        </w:rPr>
      </w:pPr>
      <w:bookmarkStart w:id="21" w:name="_Toc16265"/>
      <w:bookmarkStart w:id="22" w:name="_Toc15377204"/>
      <w:bookmarkStart w:id="23" w:name="_Toc15396602"/>
      <w:r>
        <w:rPr>
          <w:rFonts w:hint="default" w:ascii="Times New Roman" w:hAnsi="Times New Roman" w:eastAsia="方正小标宋简体" w:cs="Times New Roman"/>
          <w:b w:val="0"/>
          <w:bCs w:val="0"/>
          <w:sz w:val="44"/>
          <w:szCs w:val="44"/>
        </w:rPr>
        <w:t>第二部分 2023年度</w:t>
      </w:r>
      <w:r>
        <w:rPr>
          <w:rStyle w:val="30"/>
          <w:rFonts w:hint="default" w:ascii="Times New Roman" w:hAnsi="Times New Roman" w:eastAsia="方正小标宋简体" w:cs="Times New Roman"/>
          <w:b w:val="0"/>
          <w:bCs w:val="0"/>
          <w:sz w:val="44"/>
          <w:szCs w:val="44"/>
        </w:rPr>
        <w:t>单位决算情况说明</w:t>
      </w:r>
      <w:bookmarkEnd w:id="21"/>
      <w:bookmarkEnd w:id="22"/>
      <w:bookmarkEnd w:id="23"/>
    </w:p>
    <w:p>
      <w:pPr>
        <w:pStyle w:val="29"/>
        <w:numPr>
          <w:ilvl w:val="0"/>
          <w:numId w:val="1"/>
        </w:numPr>
        <w:spacing w:line="600" w:lineRule="exact"/>
        <w:ind w:firstLineChars="0"/>
        <w:outlineLvl w:val="1"/>
        <w:rPr>
          <w:rStyle w:val="31"/>
          <w:rFonts w:hint="default" w:ascii="Times New Roman" w:hAnsi="Times New Roman" w:eastAsia="黑体" w:cs="Times New Roman"/>
          <w:b w:val="0"/>
          <w:bCs w:val="0"/>
        </w:rPr>
      </w:pPr>
      <w:bookmarkStart w:id="24" w:name="_Toc32378"/>
      <w:bookmarkStart w:id="25" w:name="_Toc15396603"/>
      <w:bookmarkStart w:id="26" w:name="_Toc15377205"/>
      <w:r>
        <w:rPr>
          <w:rFonts w:hint="default" w:ascii="Times New Roman" w:hAnsi="Times New Roman" w:eastAsia="黑体" w:cs="Times New Roman"/>
          <w:b w:val="0"/>
          <w:bCs w:val="0"/>
          <w:sz w:val="32"/>
          <w:szCs w:val="32"/>
        </w:rPr>
        <w:t>收</w:t>
      </w:r>
      <w:r>
        <w:rPr>
          <w:rStyle w:val="31"/>
          <w:rFonts w:hint="default" w:ascii="Times New Roman" w:hAnsi="Times New Roman" w:eastAsia="黑体" w:cs="Times New Roman"/>
          <w:b w:val="0"/>
          <w:bCs w:val="0"/>
        </w:rPr>
        <w:t>入支出决算总体情况说明</w:t>
      </w:r>
      <w:bookmarkEnd w:id="24"/>
      <w:bookmarkEnd w:id="25"/>
      <w:bookmarkEnd w:id="26"/>
    </w:p>
    <w:p>
      <w:pPr>
        <w:spacing w:line="600" w:lineRule="exact"/>
        <w:ind w:firstLine="640"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2023年度收、支总计均为1636.82万元。与2022年度相比，收、支总计各减少503.5万元，下降23.52%。主要变动原因是项目资金减少且厉行节约原则。</w:t>
      </w:r>
    </w:p>
    <w:p>
      <w:pPr>
        <w:pStyle w:val="2"/>
        <w:spacing w:before="93"/>
        <w:rPr>
          <w:rFonts w:hint="default" w:ascii="Times New Roman" w:hAnsi="Times New Roman" w:eastAsia="仿宋" w:cs="Times New Roman"/>
          <w:b w:val="0"/>
          <w:bCs w:val="0"/>
          <w:sz w:val="32"/>
          <w:szCs w:val="32"/>
        </w:rPr>
      </w:pPr>
      <w:r>
        <w:rPr>
          <w:rFonts w:hint="default" w:ascii="Times New Roman" w:hAnsi="Times New Roman" w:cs="Times New Roman"/>
          <w:b w:val="0"/>
          <w:bCs w:val="0"/>
        </w:rPr>
        <w:t xml:space="preserve">  </w:t>
      </w:r>
      <w:r>
        <w:rPr>
          <w:rFonts w:hint="default" w:ascii="Times New Roman" w:hAnsi="Times New Roman" w:cs="Times New Roman"/>
          <w:b w:val="0"/>
          <w:bCs w:val="0"/>
        </w:rPr>
        <w:drawing>
          <wp:inline distT="0" distB="0" distL="114300" distR="114300">
            <wp:extent cx="4810125" cy="2619375"/>
            <wp:effectExtent l="4445" t="4445" r="5080" b="5080"/>
            <wp:docPr id="92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 w:cs="Times New Roman"/>
          <w:b w:val="0"/>
          <w:bCs w:val="0"/>
          <w:sz w:val="32"/>
          <w:szCs w:val="32"/>
        </w:rPr>
        <w:t>（图1：收、支决算总计变动情况图）（柱状图）</w:t>
      </w:r>
    </w:p>
    <w:p>
      <w:pPr>
        <w:pStyle w:val="29"/>
        <w:numPr>
          <w:ilvl w:val="0"/>
          <w:numId w:val="1"/>
        </w:numPr>
        <w:spacing w:line="600" w:lineRule="exact"/>
        <w:ind w:firstLineChars="0"/>
        <w:outlineLvl w:val="1"/>
        <w:rPr>
          <w:rStyle w:val="31"/>
          <w:rFonts w:hint="default" w:ascii="Times New Roman" w:hAnsi="Times New Roman" w:eastAsia="黑体" w:cs="Times New Roman"/>
          <w:b w:val="0"/>
          <w:bCs w:val="0"/>
        </w:rPr>
      </w:pPr>
      <w:bookmarkStart w:id="27" w:name="_Toc15396604"/>
      <w:bookmarkStart w:id="28" w:name="_Toc15377206"/>
      <w:bookmarkStart w:id="29" w:name="_Toc6023"/>
      <w:r>
        <w:rPr>
          <w:rFonts w:hint="default" w:ascii="Times New Roman" w:hAnsi="Times New Roman" w:eastAsia="黑体" w:cs="Times New Roman"/>
          <w:b w:val="0"/>
          <w:bCs w:val="0"/>
          <w:sz w:val="32"/>
          <w:szCs w:val="32"/>
        </w:rPr>
        <w:t>收</w:t>
      </w:r>
      <w:r>
        <w:rPr>
          <w:rStyle w:val="31"/>
          <w:rFonts w:hint="default" w:ascii="Times New Roman" w:hAnsi="Times New Roman" w:eastAsia="黑体" w:cs="Times New Roman"/>
          <w:b w:val="0"/>
          <w:bCs w:val="0"/>
        </w:rPr>
        <w:t>入决算情况说明</w:t>
      </w:r>
      <w:bookmarkEnd w:id="27"/>
      <w:bookmarkEnd w:id="28"/>
      <w:bookmarkEnd w:id="29"/>
    </w:p>
    <w:p>
      <w:pPr>
        <w:spacing w:line="600" w:lineRule="exact"/>
        <w:ind w:firstLine="640" w:firstLineChars="20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本年收入合计1551.73万元，其中：一般公共预算财政拨款收入1536.8万元，占99.04%；政府性基金预算财政拨款收入0万元，占0%；国有资本经营预算财政拨款收入0万元，占0%；上级补助收入0万元，占0%；事业收入0万元，占0%；经营收入0万元，占0%；附属单位上缴收入0万元，占0%；其他收入14.93万元，占0.96%</w:t>
      </w:r>
    </w:p>
    <w:p>
      <w:pPr>
        <w:pStyle w:val="2"/>
        <w:spacing w:before="93"/>
        <w:rPr>
          <w:rFonts w:hint="default" w:ascii="Times New Roman" w:hAnsi="Times New Roman" w:eastAsia="仿宋" w:cs="Times New Roman"/>
          <w:b w:val="0"/>
          <w:bCs w:val="0"/>
          <w:sz w:val="32"/>
          <w:szCs w:val="32"/>
        </w:rPr>
      </w:pPr>
      <w:r>
        <w:rPr>
          <w:rFonts w:hint="default" w:ascii="Times New Roman" w:hAnsi="Times New Roman" w:cs="Times New Roman"/>
          <w:b w:val="0"/>
          <w:bCs w:val="0"/>
        </w:rPr>
        <w:t xml:space="preserve">   </w:t>
      </w:r>
      <w:r>
        <w:rPr>
          <w:rFonts w:hint="default" w:ascii="Times New Roman" w:hAnsi="Times New Roman" w:cs="Times New Roman"/>
          <w:b w:val="0"/>
          <w:bCs w:val="0"/>
        </w:rPr>
        <w:drawing>
          <wp:inline distT="0" distB="0" distL="114300" distR="114300">
            <wp:extent cx="4772025" cy="2905125"/>
            <wp:effectExtent l="4445" t="4445" r="5080" b="5080"/>
            <wp:docPr id="2969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 w:cs="Times New Roman"/>
          <w:b w:val="0"/>
          <w:bCs w:val="0"/>
          <w:sz w:val="32"/>
          <w:szCs w:val="32"/>
        </w:rPr>
        <w:t>（图2：收入决算结构图）（饼状图）</w:t>
      </w:r>
    </w:p>
    <w:p>
      <w:pPr>
        <w:pStyle w:val="29"/>
        <w:numPr>
          <w:ilvl w:val="0"/>
          <w:numId w:val="1"/>
        </w:numPr>
        <w:spacing w:line="600" w:lineRule="exact"/>
        <w:ind w:firstLineChars="0"/>
        <w:outlineLvl w:val="1"/>
        <w:rPr>
          <w:rStyle w:val="31"/>
          <w:rFonts w:hint="default" w:ascii="Times New Roman" w:hAnsi="Times New Roman" w:eastAsia="黑体" w:cs="Times New Roman"/>
          <w:b w:val="0"/>
          <w:bCs w:val="0"/>
        </w:rPr>
      </w:pPr>
      <w:bookmarkStart w:id="30" w:name="_Toc18480"/>
      <w:bookmarkStart w:id="31" w:name="_Toc15377207"/>
      <w:bookmarkStart w:id="32" w:name="_Toc15396605"/>
      <w:r>
        <w:rPr>
          <w:rFonts w:hint="default" w:ascii="Times New Roman" w:hAnsi="Times New Roman" w:eastAsia="黑体" w:cs="Times New Roman"/>
          <w:b w:val="0"/>
          <w:bCs w:val="0"/>
          <w:sz w:val="32"/>
          <w:szCs w:val="32"/>
        </w:rPr>
        <w:t>支</w:t>
      </w:r>
      <w:r>
        <w:rPr>
          <w:rStyle w:val="31"/>
          <w:rFonts w:hint="default" w:ascii="Times New Roman" w:hAnsi="Times New Roman" w:eastAsia="黑体" w:cs="Times New Roman"/>
          <w:b w:val="0"/>
          <w:bCs w:val="0"/>
        </w:rPr>
        <w:t>出决算情况说明</w:t>
      </w:r>
      <w:bookmarkEnd w:id="30"/>
      <w:bookmarkEnd w:id="31"/>
      <w:bookmarkEnd w:id="32"/>
    </w:p>
    <w:p>
      <w:pPr>
        <w:spacing w:line="600" w:lineRule="exact"/>
        <w:ind w:firstLine="640" w:firstLineChars="200"/>
        <w:rPr>
          <w:rFonts w:hint="default" w:ascii="Times New Roman" w:hAnsi="Times New Roman" w:eastAsia="仿宋" w:cs="Times New Roman"/>
          <w:b w:val="0"/>
          <w:bCs w:val="0"/>
          <w:sz w:val="32"/>
          <w:szCs w:val="32"/>
          <w:shd w:val="pct10" w:color="auto" w:fill="FFFFFF"/>
        </w:rPr>
      </w:pPr>
      <w:r>
        <w:rPr>
          <w:rFonts w:hint="default" w:ascii="Times New Roman" w:hAnsi="Times New Roman" w:eastAsia="仿宋" w:cs="Times New Roman"/>
          <w:b w:val="0"/>
          <w:bCs w:val="0"/>
          <w:sz w:val="32"/>
          <w:szCs w:val="32"/>
        </w:rPr>
        <w:t>2023年度本年支出合计1636.82万元，其中：基本支出950.88万元，占58.09%；项目支出685.94万元，占41.91%；上缴上级支出0万元，占0%；经营支出0万元，占0%；对附属单位补助支出0万元，占0%。</w:t>
      </w:r>
    </w:p>
    <w:p>
      <w:pPr>
        <w:pStyle w:val="2"/>
        <w:spacing w:before="93"/>
        <w:rPr>
          <w:rFonts w:hint="default" w:ascii="Times New Roman" w:hAnsi="Times New Roman" w:eastAsia="仿宋" w:cs="Times New Roman"/>
          <w:b w:val="0"/>
          <w:bCs w:val="0"/>
          <w:sz w:val="32"/>
          <w:szCs w:val="32"/>
          <w:shd w:val="pct10" w:color="auto" w:fill="FFFFFF"/>
        </w:rPr>
      </w:pPr>
      <w:r>
        <w:rPr>
          <w:rFonts w:hint="default" w:ascii="Times New Roman" w:hAnsi="Times New Roman" w:cs="Times New Roman"/>
          <w:b w:val="0"/>
          <w:bCs w:val="0"/>
        </w:rPr>
        <w:t xml:space="preserve">  </w:t>
      </w:r>
      <w:r>
        <w:rPr>
          <w:rFonts w:hint="default" w:ascii="Times New Roman" w:hAnsi="Times New Roman" w:cs="Times New Roman"/>
          <w:b w:val="0"/>
          <w:bCs w:val="0"/>
        </w:rPr>
        <w:drawing>
          <wp:inline distT="0" distB="0" distL="114300" distR="114300">
            <wp:extent cx="4857750" cy="2905760"/>
            <wp:effectExtent l="4445" t="4445" r="14605" b="23495"/>
            <wp:docPr id="3174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960" w:firstLineChars="300"/>
        <w:rPr>
          <w:rFonts w:hint="default" w:ascii="Times New Roman" w:hAnsi="Times New Roman" w:eastAsia="仿宋_GB2312" w:cs="Times New Roman"/>
          <w:b w:val="0"/>
          <w:bCs w:val="0"/>
          <w:sz w:val="32"/>
          <w:szCs w:val="32"/>
        </w:rPr>
      </w:pPr>
      <w:r>
        <w:rPr>
          <w:rFonts w:hint="default" w:ascii="Times New Roman" w:hAnsi="Times New Roman" w:eastAsia="仿宋" w:cs="Times New Roman"/>
          <w:b w:val="0"/>
          <w:bCs w:val="0"/>
          <w:sz w:val="32"/>
          <w:szCs w:val="32"/>
        </w:rPr>
        <w:t>（图3：支出决算结构图）（饼状图）</w:t>
      </w:r>
    </w:p>
    <w:p>
      <w:pPr>
        <w:spacing w:line="600" w:lineRule="exact"/>
        <w:ind w:firstLine="640" w:firstLineChars="200"/>
        <w:outlineLvl w:val="1"/>
        <w:rPr>
          <w:rStyle w:val="31"/>
          <w:rFonts w:hint="default" w:ascii="Times New Roman" w:hAnsi="Times New Roman" w:eastAsia="黑体" w:cs="Times New Roman"/>
          <w:b w:val="0"/>
          <w:bCs w:val="0"/>
        </w:rPr>
      </w:pPr>
      <w:bookmarkStart w:id="33" w:name="_Toc15396606"/>
      <w:bookmarkStart w:id="34" w:name="_Toc15377208"/>
      <w:bookmarkStart w:id="35" w:name="_Toc2682"/>
      <w:r>
        <w:rPr>
          <w:rFonts w:hint="default" w:ascii="Times New Roman" w:hAnsi="Times New Roman" w:eastAsia="黑体" w:cs="Times New Roman"/>
          <w:b w:val="0"/>
          <w:bCs w:val="0"/>
          <w:sz w:val="32"/>
          <w:szCs w:val="32"/>
        </w:rPr>
        <w:t>四、财</w:t>
      </w:r>
      <w:r>
        <w:rPr>
          <w:rStyle w:val="31"/>
          <w:rFonts w:hint="default" w:ascii="Times New Roman" w:hAnsi="Times New Roman" w:eastAsia="黑体" w:cs="Times New Roman"/>
          <w:b w:val="0"/>
          <w:bCs w:val="0"/>
        </w:rPr>
        <w:t>政拨款收入支出决算总体情况说明</w:t>
      </w:r>
      <w:bookmarkEnd w:id="33"/>
      <w:bookmarkEnd w:id="34"/>
      <w:bookmarkEnd w:id="35"/>
    </w:p>
    <w:p>
      <w:pPr>
        <w:spacing w:line="600" w:lineRule="exact"/>
        <w:ind w:firstLine="64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2023年度财政拨款收、支总计均为1621.89万元。与2022年度相比，财政拨款收、支总计各减少516.99万元，下降24.17%。主要变动原因是项目资金减少且厉行节约原则。</w:t>
      </w:r>
    </w:p>
    <w:p>
      <w:pPr>
        <w:pStyle w:val="2"/>
        <w:spacing w:before="93"/>
        <w:rPr>
          <w:rFonts w:hint="default" w:ascii="Times New Roman" w:hAnsi="Times New Roman" w:eastAsia="仿宋" w:cs="Times New Roman"/>
          <w:b w:val="0"/>
          <w:bCs w:val="0"/>
          <w:sz w:val="32"/>
          <w:szCs w:val="32"/>
        </w:rPr>
      </w:pPr>
      <w:r>
        <w:rPr>
          <w:rFonts w:hint="default" w:ascii="Times New Roman" w:hAnsi="Times New Roman" w:cs="Times New Roman"/>
          <w:b w:val="0"/>
          <w:bCs w:val="0"/>
        </w:rPr>
        <w:drawing>
          <wp:inline distT="0" distB="0" distL="114300" distR="114300">
            <wp:extent cx="5269230" cy="2501900"/>
            <wp:effectExtent l="4445" t="4445" r="22225" b="8255"/>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Style w:val="31"/>
          <w:rFonts w:hint="default" w:ascii="Times New Roman" w:hAnsi="Times New Roman" w:eastAsia="黑体" w:cs="Times New Roman"/>
          <w:b w:val="0"/>
          <w:bCs w:val="0"/>
        </w:rPr>
      </w:pPr>
      <w:bookmarkStart w:id="36" w:name="_Toc15377209"/>
      <w:bookmarkStart w:id="37" w:name="_Toc15396607"/>
      <w:bookmarkStart w:id="38" w:name="_Toc12218"/>
      <w:r>
        <w:rPr>
          <w:rFonts w:hint="default" w:ascii="Times New Roman" w:hAnsi="Times New Roman" w:eastAsia="黑体" w:cs="Times New Roman"/>
          <w:b w:val="0"/>
          <w:bCs w:val="0"/>
          <w:sz w:val="32"/>
          <w:szCs w:val="32"/>
        </w:rPr>
        <w:t>五、一</w:t>
      </w:r>
      <w:r>
        <w:rPr>
          <w:rStyle w:val="31"/>
          <w:rFonts w:hint="default" w:ascii="Times New Roman" w:hAnsi="Times New Roman" w:eastAsia="黑体" w:cs="Times New Roman"/>
          <w:b w:val="0"/>
          <w:bCs w:val="0"/>
        </w:rPr>
        <w:t>般公共预算财政拨款支出决算情况说明</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rPr>
      </w:pPr>
      <w:bookmarkStart w:id="39" w:name="_Toc15377210"/>
      <w:r>
        <w:rPr>
          <w:rFonts w:hint="default" w:ascii="Times New Roman" w:hAnsi="Times New Roman" w:eastAsia="楷体_GB2312" w:cs="Times New Roman"/>
          <w:b w:val="0"/>
          <w:bCs w:val="0"/>
          <w:sz w:val="32"/>
          <w:szCs w:val="32"/>
        </w:rPr>
        <w:t>（一）一般公共预算财政拨款支出决算总体情况</w:t>
      </w:r>
      <w:bookmarkEnd w:id="39"/>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2023年度一般公共预算财政拨款支出1621.89万元，占本年支出合计的99.09%。与2022年度相比，一般公共预算财政拨款支出减少498.68万元，下降23.52%。主要变动原因是项目资金减少且厉行节约原则。</w:t>
      </w:r>
    </w:p>
    <w:p>
      <w:pPr>
        <w:pStyle w:val="2"/>
        <w:spacing w:before="93"/>
        <w:rPr>
          <w:rFonts w:hint="default" w:ascii="Times New Roman" w:hAnsi="Times New Roman" w:eastAsia="仿宋" w:cs="Times New Roman"/>
          <w:b w:val="0"/>
          <w:bCs w:val="0"/>
          <w:sz w:val="32"/>
          <w:szCs w:val="32"/>
        </w:rPr>
      </w:pPr>
      <w:r>
        <w:rPr>
          <w:rFonts w:hint="default" w:ascii="Times New Roman" w:hAnsi="Times New Roman" w:cs="Times New Roman"/>
          <w:b w:val="0"/>
          <w:bCs w:val="0"/>
        </w:rPr>
        <w:drawing>
          <wp:inline distT="0" distB="0" distL="114300" distR="114300">
            <wp:extent cx="5238750" cy="2647315"/>
            <wp:effectExtent l="4445" t="4445" r="14605" b="15240"/>
            <wp:docPr id="337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rPr>
      </w:pPr>
      <w:bookmarkStart w:id="40" w:name="_Toc15377211"/>
      <w:r>
        <w:rPr>
          <w:rFonts w:hint="default" w:ascii="Times New Roman" w:hAnsi="Times New Roman" w:eastAsia="楷体_GB2312" w:cs="Times New Roman"/>
          <w:b w:val="0"/>
          <w:bCs w:val="0"/>
          <w:sz w:val="32"/>
          <w:szCs w:val="32"/>
        </w:rPr>
        <w:t>（二）一般公共预算财政拨款支出决算结构情况</w:t>
      </w:r>
      <w:bookmarkEnd w:id="40"/>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一般公共预算财政拨款支出1621.89万元，主要用于以下方面:一般公共服务支出841.47万元，占51.88%；公共安全支出4.5万元，占0.28%；文化旅游体育与传媒支出2.58万元，占0.16%；社会保障和就业支出106.27万元，占6.55%；卫生健康支出30.68万元，占1.89%；节能环保支出49万元，占3.02%；农林水支出510.41万元，占31.47%；交通运输支出9万元，占0.56%；住房保障支出63.96万元，占3.94%；灾害防治及应急管理支出4.01万元，占0.25%。</w:t>
      </w:r>
    </w:p>
    <w:p>
      <w:pPr>
        <w:pStyle w:val="2"/>
        <w:spacing w:before="93"/>
        <w:rPr>
          <w:rFonts w:hint="default" w:ascii="Times New Roman" w:hAnsi="Times New Roman" w:eastAsia="仿宋" w:cs="Times New Roman"/>
          <w:b w:val="0"/>
          <w:bCs w:val="0"/>
          <w:sz w:val="32"/>
          <w:szCs w:val="32"/>
        </w:rPr>
      </w:pPr>
      <w:r>
        <w:rPr>
          <w:rFonts w:hint="default" w:ascii="Times New Roman" w:hAnsi="Times New Roman" w:cs="Times New Roman"/>
          <w:b w:val="0"/>
          <w:bCs w:val="0"/>
        </w:rPr>
        <w:drawing>
          <wp:inline distT="0" distB="0" distL="114300" distR="114300">
            <wp:extent cx="5270500" cy="4687570"/>
            <wp:effectExtent l="4445" t="4445" r="20955" b="13335"/>
            <wp:docPr id="348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rPr>
      </w:pPr>
      <w:bookmarkStart w:id="41" w:name="_Toc15377212"/>
      <w:r>
        <w:rPr>
          <w:rFonts w:hint="default" w:ascii="Times New Roman" w:hAnsi="Times New Roman" w:eastAsia="楷体_GB2312" w:cs="Times New Roman"/>
          <w:b w:val="0"/>
          <w:bCs w:val="0"/>
          <w:sz w:val="32"/>
          <w:szCs w:val="32"/>
        </w:rPr>
        <w:t>（三）一般公共预算财政拨款支出决算具体情况</w:t>
      </w:r>
      <w:bookmarkEnd w:id="4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sz w:val="32"/>
          <w:szCs w:val="32"/>
        </w:rPr>
      </w:pPr>
      <w:bookmarkStart w:id="42" w:name="_Toc15377213"/>
      <w:bookmarkStart w:id="43" w:name="_Toc15378460"/>
      <w:bookmarkStart w:id="44" w:name="_Toc15377444"/>
      <w:r>
        <w:rPr>
          <w:rFonts w:hint="default" w:ascii="Times New Roman" w:hAnsi="Times New Roman" w:eastAsia="仿宋" w:cs="Times New Roman"/>
          <w:b w:val="0"/>
          <w:bCs w:val="0"/>
          <w:sz w:val="32"/>
          <w:szCs w:val="32"/>
        </w:rPr>
        <w:t>2023年度一般公共预算支出决算数为1621.89</w:t>
      </w:r>
      <w:r>
        <w:rPr>
          <w:rFonts w:hint="eastAsia" w:eastAsia="仿宋" w:cs="Times New Roman"/>
          <w:b w:val="0"/>
          <w:bCs w:val="0"/>
          <w:sz w:val="32"/>
          <w:szCs w:val="32"/>
          <w:lang w:eastAsia="zh-CN"/>
        </w:rPr>
        <w:t>万元</w:t>
      </w:r>
      <w:bookmarkStart w:id="100" w:name="_GoBack"/>
      <w:bookmarkEnd w:id="100"/>
      <w:r>
        <w:rPr>
          <w:rFonts w:hint="default" w:ascii="Times New Roman" w:hAnsi="Times New Roman" w:eastAsia="仿宋" w:cs="Times New Roman"/>
          <w:b w:val="0"/>
          <w:bCs w:val="0"/>
          <w:sz w:val="32"/>
          <w:szCs w:val="32"/>
        </w:rPr>
        <w:t>，</w:t>
      </w:r>
      <w:r>
        <w:rPr>
          <w:rStyle w:val="19"/>
          <w:rFonts w:hint="default" w:ascii="Times New Roman" w:hAnsi="Times New Roman" w:eastAsia="仿宋" w:cs="Times New Roman"/>
          <w:b w:val="0"/>
          <w:bCs w:val="0"/>
          <w:sz w:val="32"/>
          <w:szCs w:val="32"/>
        </w:rPr>
        <w:t>完成预算100%。其中：</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rPr>
        <w:t>1</w:t>
      </w:r>
      <w:r>
        <w:rPr>
          <w:rStyle w:val="19"/>
          <w:rFonts w:hint="default" w:ascii="Times New Roman" w:hAnsi="Times New Roman" w:eastAsia="仿宋" w:cs="Times New Roman"/>
          <w:b w:val="0"/>
          <w:bCs w:val="0"/>
          <w:color w:val="000000"/>
          <w:sz w:val="32"/>
          <w:szCs w:val="32"/>
          <w:lang w:val="en-US" w:eastAsia="zh-CN"/>
        </w:rPr>
        <w:t>．</w:t>
      </w:r>
      <w:r>
        <w:rPr>
          <w:rStyle w:val="19"/>
          <w:rFonts w:hint="default" w:ascii="Times New Roman" w:hAnsi="Times New Roman" w:eastAsia="仿宋" w:cs="Times New Roman"/>
          <w:b w:val="0"/>
          <w:bCs w:val="0"/>
          <w:color w:val="000000"/>
          <w:sz w:val="32"/>
          <w:szCs w:val="32"/>
        </w:rPr>
        <w:t>一般公共服务（类）人大事务（款）人大会议（项）: 支出决算为1.48万元，完成预算100%。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rPr>
        <w:t>2．一般公共服务（类）政协事务（款）其他政协事务支出（项）: 支出决算为1万元，完成预算100%。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rPr>
        <w:t>3．一般公共服务（类）政府办公厅（室）及相关机构事务（款）行政运行（项）: 支出决算为430.09万元，完成预算100%。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rPr>
        <w:t>4．一般公共服务（类）政府办公厅（室）及相关机构事务（款）一般行政管理事务（项）: 支出决算为0.93万元，完成预算100%。</w:t>
      </w:r>
    </w:p>
    <w:p>
      <w:pPr>
        <w:pStyle w:val="2"/>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hint="default" w:ascii="Times New Roman" w:hAnsi="Times New Roman" w:cs="Times New Roman"/>
          <w:b w:val="0"/>
          <w:bCs w:val="0"/>
        </w:rPr>
      </w:pPr>
      <w:r>
        <w:rPr>
          <w:rStyle w:val="19"/>
          <w:rFonts w:hint="default" w:ascii="Times New Roman" w:hAnsi="Times New Roman" w:eastAsia="仿宋" w:cs="Times New Roman"/>
          <w:b w:val="0"/>
          <w:bCs w:val="0"/>
          <w:color w:val="000000"/>
          <w:sz w:val="32"/>
          <w:szCs w:val="32"/>
          <w:lang w:val="en-US" w:eastAsia="zh-CN"/>
        </w:rPr>
        <w:t>5</w:t>
      </w:r>
      <w:r>
        <w:rPr>
          <w:rStyle w:val="19"/>
          <w:rFonts w:hint="default" w:ascii="Times New Roman" w:hAnsi="Times New Roman" w:eastAsia="仿宋" w:cs="Times New Roman"/>
          <w:b w:val="0"/>
          <w:bCs w:val="0"/>
          <w:color w:val="000000"/>
          <w:sz w:val="32"/>
          <w:szCs w:val="32"/>
        </w:rPr>
        <w:t>．一般公共服务（类）政府办公厅（室）及相关机构事务（款）信访事务（项）: 支出决算为6.87万元，完成预算100%。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lang w:val="en-US" w:eastAsia="zh-CN"/>
        </w:rPr>
        <w:t>6</w:t>
      </w:r>
      <w:r>
        <w:rPr>
          <w:rStyle w:val="19"/>
          <w:rFonts w:hint="default" w:ascii="Times New Roman" w:hAnsi="Times New Roman" w:eastAsia="仿宋" w:cs="Times New Roman"/>
          <w:b w:val="0"/>
          <w:bCs w:val="0"/>
          <w:color w:val="000000"/>
          <w:sz w:val="32"/>
          <w:szCs w:val="32"/>
        </w:rPr>
        <w:t>．一般公共服务（类）政府办公厅（室）及相关机构事务（款）事业运行（项）:</w:t>
      </w:r>
      <w:r>
        <w:rPr>
          <w:rStyle w:val="19"/>
          <w:rFonts w:hint="default" w:ascii="Times New Roman" w:hAnsi="Times New Roman" w:eastAsia="仿宋_GB2312" w:cs="Times New Roman"/>
          <w:b w:val="0"/>
          <w:bCs w:val="0"/>
          <w:color w:val="000000"/>
          <w:sz w:val="32"/>
          <w:szCs w:val="32"/>
        </w:rPr>
        <w:t xml:space="preserve"> </w:t>
      </w:r>
      <w:r>
        <w:rPr>
          <w:rStyle w:val="19"/>
          <w:rFonts w:hint="default" w:ascii="Times New Roman" w:hAnsi="Times New Roman" w:eastAsia="仿宋" w:cs="Times New Roman"/>
          <w:b w:val="0"/>
          <w:bCs w:val="0"/>
          <w:color w:val="000000"/>
          <w:sz w:val="32"/>
          <w:szCs w:val="32"/>
        </w:rPr>
        <w:t>支出决算为327.97万元，完成预算100%。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lang w:val="en-US" w:eastAsia="zh-CN"/>
        </w:rPr>
        <w:t>7</w:t>
      </w:r>
      <w:r>
        <w:rPr>
          <w:rStyle w:val="19"/>
          <w:rFonts w:hint="default" w:ascii="Times New Roman" w:hAnsi="Times New Roman" w:eastAsia="仿宋" w:cs="Times New Roman"/>
          <w:b w:val="0"/>
          <w:bCs w:val="0"/>
          <w:color w:val="000000"/>
          <w:sz w:val="32"/>
          <w:szCs w:val="32"/>
        </w:rPr>
        <w:t>．一般公共服务（类）政府办公厅（室）及相关机构事务（款）其他政府办公厅（室）及相关机构事务支出（项）:</w:t>
      </w:r>
      <w:r>
        <w:rPr>
          <w:rStyle w:val="19"/>
          <w:rFonts w:hint="default" w:ascii="Times New Roman" w:hAnsi="Times New Roman" w:eastAsia="仿宋_GB2312" w:cs="Times New Roman"/>
          <w:b w:val="0"/>
          <w:bCs w:val="0"/>
          <w:color w:val="000000"/>
          <w:sz w:val="32"/>
          <w:szCs w:val="32"/>
        </w:rPr>
        <w:t xml:space="preserve"> </w:t>
      </w:r>
      <w:r>
        <w:rPr>
          <w:rStyle w:val="19"/>
          <w:rFonts w:hint="default" w:ascii="Times New Roman" w:hAnsi="Times New Roman" w:eastAsia="仿宋" w:cs="Times New Roman"/>
          <w:b w:val="0"/>
          <w:bCs w:val="0"/>
          <w:color w:val="000000"/>
          <w:sz w:val="32"/>
          <w:szCs w:val="32"/>
        </w:rPr>
        <w:t>支出决算为73.13万元，完成预算100%。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lang w:val="en-US" w:eastAsia="zh-CN"/>
        </w:rPr>
        <w:t>8．</w:t>
      </w:r>
      <w:r>
        <w:rPr>
          <w:rStyle w:val="19"/>
          <w:rFonts w:hint="default" w:ascii="Times New Roman" w:hAnsi="Times New Roman" w:eastAsia="仿宋" w:cs="Times New Roman"/>
          <w:b w:val="0"/>
          <w:bCs w:val="0"/>
          <w:color w:val="000000"/>
          <w:sz w:val="32"/>
          <w:szCs w:val="32"/>
        </w:rPr>
        <w:t>公共安全（类）公安（款）特别业务（项）: 支出决算为3万元，完成预算100%。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lang w:val="en-US" w:eastAsia="zh-CN"/>
        </w:rPr>
        <w:t>9</w:t>
      </w:r>
      <w:r>
        <w:rPr>
          <w:rStyle w:val="19"/>
          <w:rFonts w:hint="default" w:ascii="Times New Roman" w:hAnsi="Times New Roman" w:eastAsia="仿宋" w:cs="Times New Roman"/>
          <w:b w:val="0"/>
          <w:bCs w:val="0"/>
          <w:color w:val="000000"/>
          <w:sz w:val="32"/>
          <w:szCs w:val="32"/>
        </w:rPr>
        <w:t>．公共安全（类）司法（款）普法宣传（项）:支出决算为1.5万元，完成预算100%。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b w:val="0"/>
          <w:bCs w:val="0"/>
        </w:rPr>
      </w:pPr>
      <w:r>
        <w:rPr>
          <w:rStyle w:val="19"/>
          <w:rFonts w:hint="default" w:ascii="Times New Roman" w:hAnsi="Times New Roman" w:eastAsia="仿宋" w:cs="Times New Roman"/>
          <w:b w:val="0"/>
          <w:bCs w:val="0"/>
          <w:color w:val="000000"/>
          <w:sz w:val="32"/>
          <w:szCs w:val="32"/>
        </w:rPr>
        <w:t>10．文化旅游体育与传媒支出（类）文化和旅游（款）其他文化和旅游支出（项）:支出决算为2.58万元，完成预算100%。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rPr>
        <w:t>11．社会保障和就业（类）行政事业单位养老支出（款）机关事业单位基本养老保险缴费支出（项）: 支出决算为76.29万元，完成预算100%。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rPr>
        <w:t>12．社会保障和就业（类）行政事业单位养老支出（款）机关事业单位职业年金缴费支出（项）: 支出决算为12.43万元，完成预算100%。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b w:val="0"/>
          <w:bCs w:val="0"/>
        </w:rPr>
      </w:pPr>
      <w:r>
        <w:rPr>
          <w:rStyle w:val="19"/>
          <w:rFonts w:hint="default" w:ascii="Times New Roman" w:hAnsi="Times New Roman" w:eastAsia="仿宋" w:cs="Times New Roman"/>
          <w:b w:val="0"/>
          <w:bCs w:val="0"/>
          <w:color w:val="000000"/>
          <w:sz w:val="32"/>
          <w:szCs w:val="32"/>
          <w:lang w:val="en-US" w:eastAsia="zh-CN"/>
        </w:rPr>
        <w:t>13</w:t>
      </w:r>
      <w:r>
        <w:rPr>
          <w:rStyle w:val="19"/>
          <w:rFonts w:hint="default" w:ascii="Times New Roman" w:hAnsi="Times New Roman" w:eastAsia="仿宋" w:cs="Times New Roman"/>
          <w:b w:val="0"/>
          <w:bCs w:val="0"/>
          <w:color w:val="000000"/>
          <w:sz w:val="32"/>
          <w:szCs w:val="32"/>
        </w:rPr>
        <w:t>．社会保障和就业（类）行政事业单位养老支出（款）其他行政事业单位养老支出（项）: 支出决算为1.99万元，完成预算100%。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lang w:val="en-US" w:eastAsia="zh-CN"/>
        </w:rPr>
        <w:t>14</w:t>
      </w:r>
      <w:r>
        <w:rPr>
          <w:rStyle w:val="19"/>
          <w:rFonts w:hint="default" w:ascii="Times New Roman" w:hAnsi="Times New Roman" w:eastAsia="仿宋" w:cs="Times New Roman"/>
          <w:b w:val="0"/>
          <w:bCs w:val="0"/>
          <w:color w:val="000000"/>
          <w:sz w:val="32"/>
          <w:szCs w:val="32"/>
        </w:rPr>
        <w:t>．社会保障和就业（类）临时救助（款）临时救助支出（项）:支出决算为6.5万元，完成预算100%。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lang w:val="en-US" w:eastAsia="zh-CN"/>
        </w:rPr>
        <w:t>15</w:t>
      </w:r>
      <w:r>
        <w:rPr>
          <w:rStyle w:val="19"/>
          <w:rFonts w:hint="default" w:ascii="Times New Roman" w:hAnsi="Times New Roman" w:eastAsia="仿宋" w:cs="Times New Roman"/>
          <w:b w:val="0"/>
          <w:bCs w:val="0"/>
          <w:color w:val="000000"/>
          <w:sz w:val="32"/>
          <w:szCs w:val="32"/>
        </w:rPr>
        <w:t>．社会保障和就业（类）其他社会保障和就业（款）其他社会保障和就业支出（项）:支出决算为9.07万元，完成预算100%。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color w:val="000000"/>
          <w:sz w:val="32"/>
          <w:szCs w:val="32"/>
        </w:rPr>
      </w:pPr>
      <w:r>
        <w:rPr>
          <w:rStyle w:val="19"/>
          <w:rFonts w:hint="default" w:ascii="Times New Roman" w:hAnsi="Times New Roman" w:eastAsia="仿宋" w:cs="Times New Roman"/>
          <w:b w:val="0"/>
          <w:bCs w:val="0"/>
          <w:color w:val="000000"/>
          <w:sz w:val="32"/>
          <w:szCs w:val="32"/>
          <w:lang w:val="en-US" w:eastAsia="zh-CN"/>
        </w:rPr>
        <w:t>16</w:t>
      </w:r>
      <w:r>
        <w:rPr>
          <w:rStyle w:val="19"/>
          <w:rFonts w:hint="default" w:ascii="Times New Roman" w:hAnsi="Times New Roman" w:eastAsia="仿宋" w:cs="Times New Roman"/>
          <w:b w:val="0"/>
          <w:bCs w:val="0"/>
          <w:color w:val="000000"/>
          <w:sz w:val="32"/>
          <w:szCs w:val="32"/>
        </w:rPr>
        <w:t>．</w:t>
      </w:r>
      <w:r>
        <w:rPr>
          <w:rFonts w:hint="default" w:ascii="Times New Roman" w:hAnsi="Times New Roman" w:eastAsia="仿宋" w:cs="Times New Roman"/>
          <w:b w:val="0"/>
          <w:bCs w:val="0"/>
          <w:color w:val="000000"/>
          <w:sz w:val="32"/>
          <w:szCs w:val="32"/>
        </w:rPr>
        <w:t>卫生健康</w:t>
      </w:r>
      <w:r>
        <w:rPr>
          <w:rStyle w:val="19"/>
          <w:rFonts w:hint="default" w:ascii="Times New Roman" w:hAnsi="Times New Roman" w:eastAsia="仿宋" w:cs="Times New Roman"/>
          <w:b w:val="0"/>
          <w:bCs w:val="0"/>
          <w:color w:val="000000"/>
          <w:sz w:val="32"/>
          <w:szCs w:val="32"/>
        </w:rPr>
        <w:t>（类）行政事业单位医疗（款）行政单位医疗（项）:支出决算为14.79万元，完成预算100%。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val="en-US" w:eastAsia="zh-CN"/>
        </w:rPr>
        <w:t>17</w:t>
      </w:r>
      <w:r>
        <w:rPr>
          <w:rFonts w:hint="default" w:ascii="Times New Roman" w:hAnsi="Times New Roman" w:eastAsia="仿宋" w:cs="Times New Roman"/>
          <w:b w:val="0"/>
          <w:bCs w:val="0"/>
          <w:color w:val="000000"/>
          <w:sz w:val="32"/>
          <w:szCs w:val="32"/>
        </w:rPr>
        <w:t>．卫生健康</w:t>
      </w:r>
      <w:r>
        <w:rPr>
          <w:rStyle w:val="19"/>
          <w:rFonts w:hint="default" w:ascii="Times New Roman" w:hAnsi="Times New Roman" w:eastAsia="仿宋" w:cs="Times New Roman"/>
          <w:b w:val="0"/>
          <w:bCs w:val="0"/>
          <w:color w:val="000000"/>
          <w:sz w:val="32"/>
          <w:szCs w:val="32"/>
        </w:rPr>
        <w:t>（类）行政事业单位医疗（款）事业单位医疗（项）:支出决算为14.29万元，完成预算100%。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18．卫生健康</w:t>
      </w:r>
      <w:r>
        <w:rPr>
          <w:rStyle w:val="19"/>
          <w:rFonts w:hint="default" w:ascii="Times New Roman" w:hAnsi="Times New Roman" w:eastAsia="仿宋" w:cs="Times New Roman"/>
          <w:b w:val="0"/>
          <w:bCs w:val="0"/>
          <w:color w:val="000000"/>
          <w:sz w:val="32"/>
          <w:szCs w:val="32"/>
        </w:rPr>
        <w:t>（类）老龄卫生健康事务（款）老龄卫生健康事务（项）:支出决算为1.6万元，完成预算100%。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19．节能环保</w:t>
      </w:r>
      <w:r>
        <w:rPr>
          <w:rStyle w:val="19"/>
          <w:rFonts w:hint="default" w:ascii="Times New Roman" w:hAnsi="Times New Roman" w:eastAsia="仿宋" w:cs="Times New Roman"/>
          <w:b w:val="0"/>
          <w:bCs w:val="0"/>
          <w:color w:val="000000"/>
          <w:sz w:val="32"/>
          <w:szCs w:val="32"/>
        </w:rPr>
        <w:t>（类）自然生态保护（款）农村环境保护（项）:支出决算为49万元，完成预算100%。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20．农林水支出</w:t>
      </w:r>
      <w:r>
        <w:rPr>
          <w:rStyle w:val="19"/>
          <w:rFonts w:hint="default" w:ascii="Times New Roman" w:hAnsi="Times New Roman" w:eastAsia="仿宋" w:cs="Times New Roman"/>
          <w:b w:val="0"/>
          <w:bCs w:val="0"/>
          <w:color w:val="000000"/>
          <w:sz w:val="32"/>
          <w:szCs w:val="32"/>
        </w:rPr>
        <w:t>（类）农业农村（款）其他农业农村支出（项）:支出决算为13.14万元，完成预算100%。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b w:val="0"/>
          <w:bCs w:val="0"/>
        </w:rPr>
      </w:pPr>
      <w:r>
        <w:rPr>
          <w:rFonts w:hint="default" w:ascii="Times New Roman" w:hAnsi="Times New Roman" w:eastAsia="仿宋" w:cs="Times New Roman"/>
          <w:b w:val="0"/>
          <w:bCs w:val="0"/>
          <w:color w:val="000000"/>
          <w:sz w:val="32"/>
          <w:szCs w:val="32"/>
        </w:rPr>
        <w:t>21．农林水支出</w:t>
      </w:r>
      <w:r>
        <w:rPr>
          <w:rStyle w:val="19"/>
          <w:rFonts w:hint="default" w:ascii="Times New Roman" w:hAnsi="Times New Roman" w:eastAsia="仿宋" w:cs="Times New Roman"/>
          <w:b w:val="0"/>
          <w:bCs w:val="0"/>
          <w:color w:val="000000"/>
          <w:sz w:val="32"/>
          <w:szCs w:val="32"/>
        </w:rPr>
        <w:t>（类）水利（款）抗旱（项）:支出决算为3.05万元，完成预算100%。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2</w:t>
      </w:r>
      <w:r>
        <w:rPr>
          <w:rFonts w:hint="default" w:ascii="Times New Roman" w:hAnsi="Times New Roman" w:eastAsia="仿宋" w:cs="Times New Roman"/>
          <w:b w:val="0"/>
          <w:bCs w:val="0"/>
          <w:color w:val="000000"/>
          <w:sz w:val="32"/>
          <w:szCs w:val="32"/>
          <w:lang w:val="en-US" w:eastAsia="zh-CN"/>
        </w:rPr>
        <w:t>2</w:t>
      </w:r>
      <w:r>
        <w:rPr>
          <w:rFonts w:hint="default" w:ascii="Times New Roman" w:hAnsi="Times New Roman" w:eastAsia="仿宋" w:cs="Times New Roman"/>
          <w:b w:val="0"/>
          <w:bCs w:val="0"/>
          <w:color w:val="000000"/>
          <w:sz w:val="32"/>
          <w:szCs w:val="32"/>
        </w:rPr>
        <w:t>．农林水支出</w:t>
      </w:r>
      <w:r>
        <w:rPr>
          <w:rStyle w:val="19"/>
          <w:rFonts w:hint="default" w:ascii="Times New Roman" w:hAnsi="Times New Roman" w:eastAsia="仿宋" w:cs="Times New Roman"/>
          <w:b w:val="0"/>
          <w:bCs w:val="0"/>
          <w:color w:val="000000"/>
          <w:sz w:val="32"/>
          <w:szCs w:val="32"/>
        </w:rPr>
        <w:t>（类）水利（款）江河湖库水系综合整治（项）:支出决算为6万元，完成预算100%。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2</w:t>
      </w:r>
      <w:r>
        <w:rPr>
          <w:rFonts w:hint="default" w:ascii="Times New Roman" w:hAnsi="Times New Roman" w:eastAsia="仿宋" w:cs="Times New Roman"/>
          <w:b w:val="0"/>
          <w:bCs w:val="0"/>
          <w:color w:val="000000"/>
          <w:sz w:val="32"/>
          <w:szCs w:val="32"/>
          <w:lang w:val="en-US" w:eastAsia="zh-CN"/>
        </w:rPr>
        <w:t>3</w:t>
      </w:r>
      <w:r>
        <w:rPr>
          <w:rFonts w:hint="default" w:ascii="Times New Roman" w:hAnsi="Times New Roman" w:eastAsia="仿宋" w:cs="Times New Roman"/>
          <w:b w:val="0"/>
          <w:bCs w:val="0"/>
          <w:color w:val="000000"/>
          <w:sz w:val="32"/>
          <w:szCs w:val="32"/>
        </w:rPr>
        <w:t>．农林水支出</w:t>
      </w:r>
      <w:r>
        <w:rPr>
          <w:rStyle w:val="19"/>
          <w:rFonts w:hint="default" w:ascii="Times New Roman" w:hAnsi="Times New Roman" w:eastAsia="仿宋" w:cs="Times New Roman"/>
          <w:b w:val="0"/>
          <w:bCs w:val="0"/>
          <w:color w:val="000000"/>
          <w:sz w:val="32"/>
          <w:szCs w:val="32"/>
        </w:rPr>
        <w:t>（类）水利（款）大中型水库移民后期扶持专项支出（项）:支出决算为137.58万元，完成预算100%。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2</w:t>
      </w:r>
      <w:r>
        <w:rPr>
          <w:rFonts w:hint="default" w:ascii="Times New Roman" w:hAnsi="Times New Roman" w:eastAsia="仿宋" w:cs="Times New Roman"/>
          <w:b w:val="0"/>
          <w:bCs w:val="0"/>
          <w:color w:val="000000"/>
          <w:sz w:val="32"/>
          <w:szCs w:val="32"/>
          <w:lang w:val="en-US" w:eastAsia="zh-CN"/>
        </w:rPr>
        <w:t>4</w:t>
      </w:r>
      <w:r>
        <w:rPr>
          <w:rFonts w:hint="default" w:ascii="Times New Roman" w:hAnsi="Times New Roman" w:eastAsia="仿宋" w:cs="Times New Roman"/>
          <w:b w:val="0"/>
          <w:bCs w:val="0"/>
          <w:color w:val="000000"/>
          <w:sz w:val="32"/>
          <w:szCs w:val="32"/>
        </w:rPr>
        <w:t>．农林水支出</w:t>
      </w:r>
      <w:r>
        <w:rPr>
          <w:rStyle w:val="19"/>
          <w:rFonts w:hint="default" w:ascii="Times New Roman" w:hAnsi="Times New Roman" w:eastAsia="仿宋" w:cs="Times New Roman"/>
          <w:b w:val="0"/>
          <w:bCs w:val="0"/>
          <w:color w:val="000000"/>
          <w:sz w:val="32"/>
          <w:szCs w:val="32"/>
        </w:rPr>
        <w:t>（类）农村综合改革（款）对村民委员会和村党支部的补助（项）:支出决算为350.64万元，完成预算100%。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9"/>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rPr>
        <w:t>2</w:t>
      </w:r>
      <w:r>
        <w:rPr>
          <w:rFonts w:hint="default" w:ascii="Times New Roman" w:hAnsi="Times New Roman" w:eastAsia="仿宋" w:cs="Times New Roman"/>
          <w:b w:val="0"/>
          <w:bCs w:val="0"/>
          <w:color w:val="000000"/>
          <w:sz w:val="32"/>
          <w:szCs w:val="32"/>
          <w:lang w:val="en-US" w:eastAsia="zh-CN"/>
        </w:rPr>
        <w:t>5．</w:t>
      </w:r>
      <w:r>
        <w:rPr>
          <w:rFonts w:hint="default" w:ascii="Times New Roman" w:hAnsi="Times New Roman" w:eastAsia="仿宋" w:cs="Times New Roman"/>
          <w:b w:val="0"/>
          <w:bCs w:val="0"/>
          <w:color w:val="000000"/>
          <w:sz w:val="32"/>
          <w:szCs w:val="32"/>
        </w:rPr>
        <w:t>交通运输支出</w:t>
      </w:r>
      <w:r>
        <w:rPr>
          <w:rStyle w:val="19"/>
          <w:rFonts w:hint="default" w:ascii="Times New Roman" w:hAnsi="Times New Roman" w:eastAsia="仿宋" w:cs="Times New Roman"/>
          <w:b w:val="0"/>
          <w:bCs w:val="0"/>
          <w:color w:val="000000"/>
          <w:sz w:val="32"/>
          <w:szCs w:val="32"/>
        </w:rPr>
        <w:t>（类）公路水路运输（款）水路运输管理支出（项）:支出决算为9万元，完成预算100%。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val="en-US" w:eastAsia="zh-CN"/>
        </w:rPr>
        <w:t>26</w:t>
      </w:r>
      <w:r>
        <w:rPr>
          <w:rFonts w:hint="default" w:ascii="Times New Roman" w:hAnsi="Times New Roman" w:eastAsia="仿宋" w:cs="Times New Roman"/>
          <w:b w:val="0"/>
          <w:bCs w:val="0"/>
          <w:color w:val="000000"/>
          <w:sz w:val="32"/>
          <w:szCs w:val="32"/>
        </w:rPr>
        <w:t>．住房保障</w:t>
      </w:r>
      <w:r>
        <w:rPr>
          <w:rStyle w:val="19"/>
          <w:rFonts w:hint="default" w:ascii="Times New Roman" w:hAnsi="Times New Roman" w:eastAsia="仿宋" w:cs="Times New Roman"/>
          <w:b w:val="0"/>
          <w:bCs w:val="0"/>
          <w:color w:val="000000"/>
          <w:sz w:val="32"/>
          <w:szCs w:val="32"/>
        </w:rPr>
        <w:t>（类）住房改革支出（款）住房公积金（项）:支出决算为63.96万元，完成预算100%。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 w:cs="Times New Roman"/>
          <w:b w:val="0"/>
          <w:bCs w:val="0"/>
          <w:sz w:val="32"/>
          <w:szCs w:val="32"/>
        </w:rPr>
      </w:pPr>
      <w:bookmarkStart w:id="45" w:name="_Toc10826"/>
      <w:r>
        <w:rPr>
          <w:rFonts w:hint="default" w:ascii="Times New Roman" w:hAnsi="Times New Roman" w:eastAsia="仿宋" w:cs="Times New Roman"/>
          <w:b w:val="0"/>
          <w:bCs w:val="0"/>
          <w:color w:val="000000"/>
          <w:sz w:val="32"/>
          <w:szCs w:val="32"/>
        </w:rPr>
        <w:t>2</w:t>
      </w:r>
      <w:r>
        <w:rPr>
          <w:rFonts w:hint="default" w:ascii="Times New Roman" w:hAnsi="Times New Roman" w:eastAsia="仿宋" w:cs="Times New Roman"/>
          <w:b w:val="0"/>
          <w:bCs w:val="0"/>
          <w:color w:val="000000"/>
          <w:sz w:val="32"/>
          <w:szCs w:val="32"/>
          <w:lang w:val="en-US" w:eastAsia="zh-CN"/>
        </w:rPr>
        <w:t>7</w:t>
      </w:r>
      <w:r>
        <w:rPr>
          <w:rFonts w:hint="default" w:ascii="Times New Roman" w:hAnsi="Times New Roman" w:eastAsia="仿宋" w:cs="Times New Roman"/>
          <w:b w:val="0"/>
          <w:bCs w:val="0"/>
          <w:color w:val="000000"/>
          <w:sz w:val="32"/>
          <w:szCs w:val="32"/>
        </w:rPr>
        <w:t>．灾害防治及应急管理支出</w:t>
      </w:r>
      <w:r>
        <w:rPr>
          <w:rStyle w:val="19"/>
          <w:rFonts w:hint="default" w:ascii="Times New Roman" w:hAnsi="Times New Roman" w:eastAsia="仿宋" w:cs="Times New Roman"/>
          <w:b w:val="0"/>
          <w:bCs w:val="0"/>
          <w:color w:val="000000"/>
          <w:sz w:val="32"/>
          <w:szCs w:val="32"/>
        </w:rPr>
        <w:t>（类）应急管理事务（款）安全监管（项）:支出决算为4.01万元，完成预算100%。</w:t>
      </w:r>
      <w:bookmarkEnd w:id="45"/>
    </w:p>
    <w:p>
      <w:pPr>
        <w:keepNext w:val="0"/>
        <w:keepLines w:val="0"/>
        <w:pageBreakBefore w:val="0"/>
        <w:widowControl w:val="0"/>
        <w:tabs>
          <w:tab w:val="right" w:pos="8306"/>
        </w:tabs>
        <w:kinsoku/>
        <w:wordWrap/>
        <w:overflowPunct/>
        <w:topLinePunct w:val="0"/>
        <w:autoSpaceDE/>
        <w:autoSpaceDN/>
        <w:bidi w:val="0"/>
        <w:adjustRightInd/>
        <w:snapToGrid/>
        <w:spacing w:line="580" w:lineRule="exact"/>
        <w:ind w:firstLine="640"/>
        <w:textAlignment w:val="auto"/>
        <w:outlineLvl w:val="1"/>
        <w:rPr>
          <w:rStyle w:val="31"/>
          <w:rFonts w:hint="default" w:ascii="Times New Roman" w:hAnsi="Times New Roman" w:cs="Times New Roman"/>
          <w:b w:val="0"/>
          <w:bCs w:val="0"/>
        </w:rPr>
      </w:pPr>
      <w:bookmarkStart w:id="46" w:name="_Toc204"/>
      <w:bookmarkStart w:id="47" w:name="_Toc15396608"/>
      <w:bookmarkStart w:id="48" w:name="_Toc15377214"/>
      <w:r>
        <w:rPr>
          <w:rFonts w:hint="default" w:ascii="Times New Roman" w:hAnsi="Times New Roman" w:eastAsia="黑体" w:cs="Times New Roman"/>
          <w:b w:val="0"/>
          <w:bCs w:val="0"/>
          <w:sz w:val="32"/>
          <w:szCs w:val="32"/>
        </w:rPr>
        <w:t>六、一</w:t>
      </w:r>
      <w:r>
        <w:rPr>
          <w:rStyle w:val="31"/>
          <w:rFonts w:hint="default" w:ascii="Times New Roman" w:hAnsi="Times New Roman" w:eastAsia="黑体" w:cs="Times New Roman"/>
          <w:b w:val="0"/>
          <w:bCs w:val="0"/>
        </w:rPr>
        <w:t>般公共预算财政拨款基本支出决算情况说明</w:t>
      </w:r>
      <w:bookmarkEnd w:id="46"/>
      <w:bookmarkEnd w:id="47"/>
      <w:bookmarkEnd w:id="48"/>
      <w:r>
        <w:rPr>
          <w:rStyle w:val="31"/>
          <w:rFonts w:hint="default" w:ascii="Times New Roman" w:hAnsi="Times New Roman" w:eastAsia="黑体" w:cs="Times New Roman"/>
          <w:b w:val="0"/>
          <w:bCs w:val="0"/>
        </w:rPr>
        <w:tab/>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2023年度一般公共预算财政拨款基本支出950.88万元，其中：</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人员经费847.75万元，主要包括：基本工资、津贴补贴、奖金、绩效工资、机关事业单位基本养老保险缴费、职业年金缴费、其他社会保障缴费、其他工资福利支出、生活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公用经费103.13万元，主要包括：办公费、印刷费、水费、电费、邮电费、差旅费、维修（护）费、租赁费、会议费、培训费、公务接待费、工会经费、福利费、公务用车运行维护费、其他交通费、其他商品和服务支出、办公设备购置。</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1"/>
        <w:rPr>
          <w:rStyle w:val="31"/>
          <w:rFonts w:hint="default" w:ascii="Times New Roman" w:hAnsi="Times New Roman" w:eastAsia="黑体" w:cs="Times New Roman"/>
          <w:b w:val="0"/>
          <w:bCs w:val="0"/>
        </w:rPr>
      </w:pPr>
      <w:bookmarkStart w:id="49" w:name="_Toc15396609"/>
      <w:bookmarkStart w:id="50" w:name="_Toc15377215"/>
      <w:bookmarkStart w:id="51" w:name="_Toc31635"/>
      <w:r>
        <w:rPr>
          <w:rFonts w:hint="default" w:ascii="Times New Roman" w:hAnsi="Times New Roman" w:eastAsia="黑体" w:cs="Times New Roman"/>
          <w:b w:val="0"/>
          <w:bCs w:val="0"/>
          <w:sz w:val="32"/>
          <w:szCs w:val="32"/>
        </w:rPr>
        <w:t>七、</w:t>
      </w:r>
      <w:r>
        <w:rPr>
          <w:rStyle w:val="31"/>
          <w:rFonts w:hint="default" w:ascii="Times New Roman" w:hAnsi="Times New Roman" w:eastAsia="黑体" w:cs="Times New Roman"/>
          <w:b w:val="0"/>
          <w:bCs w:val="0"/>
        </w:rPr>
        <w:t>财政拨款“三公”经费支出决算情况说明</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rPr>
      </w:pPr>
      <w:bookmarkStart w:id="52" w:name="_Toc15377216"/>
      <w:r>
        <w:rPr>
          <w:rFonts w:hint="default" w:ascii="Times New Roman" w:hAnsi="Times New Roman" w:eastAsia="楷体_GB2312" w:cs="Times New Roman"/>
          <w:b w:val="0"/>
          <w:bCs w:val="0"/>
          <w:sz w:val="32"/>
          <w:szCs w:val="32"/>
        </w:rPr>
        <w:t>（一）“三公”经费财政拨款支出决算总体情况说明</w:t>
      </w:r>
      <w:bookmarkEnd w:id="52"/>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2023年度“三公”经费财政拨款支出决算为6.48万元，完成预算100%，较上年度增加0.17万元，增长2.69%。决算数与预算数持平。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rPr>
      </w:pPr>
      <w:bookmarkStart w:id="53" w:name="_Toc15377217"/>
      <w:r>
        <w:rPr>
          <w:rFonts w:hint="default" w:ascii="Times New Roman" w:hAnsi="Times New Roman" w:eastAsia="楷体_GB2312" w:cs="Times New Roman"/>
          <w:b w:val="0"/>
          <w:bCs w:val="0"/>
          <w:sz w:val="32"/>
          <w:szCs w:val="32"/>
        </w:rPr>
        <w:t>（二）“三公”经费财政拨款支出决算具体情况说明</w:t>
      </w:r>
      <w:bookmarkEnd w:id="53"/>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2023年度“三公”经费财政拨款支出决算中，因公出国（境）费支出决算0万元，占0%；公务用车购置及运行维护费支出决算5.6万元，占86.42%；公务接待费支出决算0.88万元，占13.58%。具体情况如下：</w:t>
      </w:r>
    </w:p>
    <w:p>
      <w:pPr>
        <w:pStyle w:val="2"/>
        <w:spacing w:before="93"/>
        <w:rPr>
          <w:rFonts w:hint="default" w:ascii="Times New Roman" w:hAnsi="Times New Roman" w:eastAsia="仿宋" w:cs="Times New Roman"/>
          <w:b w:val="0"/>
          <w:bCs w:val="0"/>
          <w:sz w:val="32"/>
          <w:szCs w:val="32"/>
        </w:rPr>
      </w:pPr>
      <w:r>
        <w:rPr>
          <w:rFonts w:hint="default" w:ascii="Times New Roman" w:hAnsi="Times New Roman" w:cs="Times New Roman"/>
          <w:b w:val="0"/>
          <w:bCs w:val="0"/>
        </w:rPr>
        <w:drawing>
          <wp:inline distT="0" distB="0" distL="114300" distR="114300">
            <wp:extent cx="5038725" cy="2562225"/>
            <wp:effectExtent l="4445" t="4445" r="5080" b="5080"/>
            <wp:docPr id="358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（图7：“三公”经费财政拨款支出结构）（饼状图）</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b w:val="0"/>
          <w:bCs w:val="0"/>
          <w:sz w:val="32"/>
          <w:szCs w:val="32"/>
        </w:rPr>
      </w:pPr>
      <w:bookmarkStart w:id="54" w:name="_Toc15396610"/>
      <w:bookmarkStart w:id="55" w:name="_Toc15377218"/>
      <w:r>
        <w:rPr>
          <w:rFonts w:hint="default" w:ascii="Times New Roman" w:hAnsi="Times New Roman" w:eastAsia="仿宋_GB2312" w:cs="Times New Roman"/>
          <w:b w:val="0"/>
          <w:bCs w:val="0"/>
          <w:sz w:val="32"/>
          <w:szCs w:val="32"/>
        </w:rPr>
        <w:t>1．因公出国（境）经费支出</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w:t>
      </w:r>
      <w:r>
        <w:rPr>
          <w:rStyle w:val="19"/>
          <w:rFonts w:hint="default" w:ascii="Times New Roman" w:hAnsi="Times New Roman" w:eastAsia="仿宋" w:cs="Times New Roman"/>
          <w:b w:val="0"/>
          <w:bCs w:val="0"/>
          <w:sz w:val="32"/>
          <w:szCs w:val="32"/>
        </w:rPr>
        <w:t>完成预算0%。</w:t>
      </w:r>
      <w:r>
        <w:rPr>
          <w:rFonts w:hint="default" w:ascii="Times New Roman" w:hAnsi="Times New Roman" w:eastAsia="仿宋_GB2312" w:cs="Times New Roman"/>
          <w:b w:val="0"/>
          <w:bCs w:val="0"/>
          <w:sz w:val="32"/>
          <w:szCs w:val="32"/>
        </w:rPr>
        <w:t>全年安排因公出国（境）团组0次，出国（境）0人。因公出国（境）支出决算与2022年持平。</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2．公务用车购置及运行维护费支出</w:t>
      </w:r>
      <w:r>
        <w:rPr>
          <w:rFonts w:hint="default" w:ascii="Times New Roman" w:hAnsi="Times New Roman" w:eastAsia="仿宋" w:cs="Times New Roman"/>
          <w:b w:val="0"/>
          <w:bCs w:val="0"/>
          <w:sz w:val="32"/>
          <w:szCs w:val="32"/>
        </w:rPr>
        <w:t>5.6</w:t>
      </w:r>
      <w:r>
        <w:rPr>
          <w:rFonts w:hint="default" w:ascii="Times New Roman" w:hAnsi="Times New Roman" w:eastAsia="仿宋_GB2312" w:cs="Times New Roman"/>
          <w:b w:val="0"/>
          <w:bCs w:val="0"/>
          <w:sz w:val="32"/>
          <w:szCs w:val="32"/>
        </w:rPr>
        <w:t>万元</w:t>
      </w:r>
      <w:r>
        <w:rPr>
          <w:rFonts w:hint="default" w:ascii="Times New Roman" w:hAnsi="Times New Roman" w:eastAsia="仿宋_GB2312" w:cs="Times New Roman"/>
          <w:b w:val="0"/>
          <w:bCs w:val="0"/>
          <w:sz w:val="32"/>
          <w:szCs w:val="32"/>
          <w:lang w:eastAsia="zh-CN"/>
        </w:rPr>
        <w:t>，</w:t>
      </w:r>
      <w:r>
        <w:rPr>
          <w:rStyle w:val="19"/>
          <w:rFonts w:hint="default" w:ascii="Times New Roman" w:hAnsi="Times New Roman" w:eastAsia="仿宋" w:cs="Times New Roman"/>
          <w:b w:val="0"/>
          <w:bCs w:val="0"/>
          <w:sz w:val="32"/>
          <w:szCs w:val="32"/>
        </w:rPr>
        <w:t>完成预算100%。</w:t>
      </w:r>
      <w:r>
        <w:rPr>
          <w:rFonts w:hint="default" w:ascii="Times New Roman" w:hAnsi="Times New Roman" w:eastAsia="仿宋_GB2312" w:cs="Times New Roman"/>
          <w:b w:val="0"/>
          <w:bCs w:val="0"/>
          <w:sz w:val="32"/>
          <w:szCs w:val="32"/>
        </w:rPr>
        <w:t>公务用车购置及运行维护费支出决算与2022年度持平。</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其中：公务用车购置支出</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万元。全年按规定更新购置公务用车0辆，其中：轿车0辆、金额0万元，越野车0辆、金额0万元，载客汽车0辆、金额0万元。截至2023年12月31日，单位共有公务用车2辆，其中：轿车2辆、越野车0辆、载客汽车0辆。</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公务用车运行维护费支出</w:t>
      </w:r>
      <w:r>
        <w:rPr>
          <w:rFonts w:hint="default" w:ascii="Times New Roman" w:hAnsi="Times New Roman" w:eastAsia="仿宋" w:cs="Times New Roman"/>
          <w:b w:val="0"/>
          <w:bCs w:val="0"/>
          <w:sz w:val="32"/>
          <w:szCs w:val="32"/>
        </w:rPr>
        <w:t>5.6</w:t>
      </w:r>
      <w:r>
        <w:rPr>
          <w:rFonts w:hint="default" w:ascii="Times New Roman" w:hAnsi="Times New Roman" w:eastAsia="仿宋_GB2312" w:cs="Times New Roman"/>
          <w:b w:val="0"/>
          <w:bCs w:val="0"/>
          <w:sz w:val="32"/>
          <w:szCs w:val="32"/>
        </w:rPr>
        <w:t>万元。主要用于</w:t>
      </w:r>
      <w:r>
        <w:rPr>
          <w:rFonts w:hint="default" w:ascii="Times New Roman" w:hAnsi="Times New Roman" w:eastAsia="仿宋_GB2312" w:cs="Times New Roman"/>
          <w:b w:val="0"/>
          <w:bCs w:val="0"/>
          <w:color w:val="000000"/>
          <w:sz w:val="32"/>
          <w:szCs w:val="32"/>
        </w:rPr>
        <w:t>下乡扶贫等、县上出差</w:t>
      </w:r>
      <w:r>
        <w:rPr>
          <w:rFonts w:hint="default" w:ascii="Times New Roman" w:hAnsi="Times New Roman" w:eastAsia="仿宋_GB2312" w:cs="Times New Roman"/>
          <w:b w:val="0"/>
          <w:bCs w:val="0"/>
          <w:sz w:val="32"/>
          <w:szCs w:val="32"/>
        </w:rPr>
        <w:t>等所需的公务用车燃料费、维修费、过路过桥费、保险费等支出。</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3．公务接待费支出</w:t>
      </w:r>
      <w:r>
        <w:rPr>
          <w:rFonts w:hint="default" w:ascii="Times New Roman" w:hAnsi="Times New Roman" w:eastAsia="仿宋" w:cs="Times New Roman"/>
          <w:b w:val="0"/>
          <w:bCs w:val="0"/>
          <w:sz w:val="32"/>
          <w:szCs w:val="32"/>
        </w:rPr>
        <w:t>0.88</w:t>
      </w:r>
      <w:r>
        <w:rPr>
          <w:rFonts w:hint="default" w:ascii="Times New Roman" w:hAnsi="Times New Roman" w:eastAsia="仿宋_GB2312" w:cs="Times New Roman"/>
          <w:b w:val="0"/>
          <w:bCs w:val="0"/>
          <w:sz w:val="32"/>
          <w:szCs w:val="32"/>
        </w:rPr>
        <w:t>万元，</w:t>
      </w:r>
      <w:r>
        <w:rPr>
          <w:rStyle w:val="19"/>
          <w:rFonts w:hint="default" w:ascii="Times New Roman" w:hAnsi="Times New Roman" w:eastAsia="仿宋" w:cs="Times New Roman"/>
          <w:b w:val="0"/>
          <w:bCs w:val="0"/>
          <w:sz w:val="32"/>
          <w:szCs w:val="32"/>
        </w:rPr>
        <w:t>完成预算100%。</w:t>
      </w:r>
      <w:r>
        <w:rPr>
          <w:rFonts w:hint="default" w:ascii="Times New Roman" w:hAnsi="Times New Roman" w:eastAsia="仿宋_GB2312" w:cs="Times New Roman"/>
          <w:b w:val="0"/>
          <w:bCs w:val="0"/>
          <w:sz w:val="32"/>
          <w:szCs w:val="32"/>
        </w:rPr>
        <w:t>公务接待费支出决算比2022年度增加0.17万元，增长23.94%。主要原因是接待增加。其中：</w:t>
      </w:r>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 w:cs="Times New Roman"/>
          <w:b w:val="0"/>
          <w:bCs w:val="0"/>
          <w:sz w:val="32"/>
          <w:szCs w:val="32"/>
        </w:rPr>
        <w:t>国内公务接待支出0.88</w:t>
      </w:r>
      <w:r>
        <w:rPr>
          <w:rFonts w:hint="default" w:ascii="Times New Roman" w:hAnsi="Times New Roman" w:eastAsia="仿宋_GB2312" w:cs="Times New Roman"/>
          <w:b w:val="0"/>
          <w:bCs w:val="0"/>
          <w:sz w:val="32"/>
          <w:szCs w:val="32"/>
        </w:rPr>
        <w:t>万元，主要用于执行公务、开展业务活动开支的交通费、住宿费、用餐费等。国内公务接待10批次，221人次（不包括陪同人员），共计支出0.88万元，具体内容包括：</w:t>
      </w:r>
      <w:r>
        <w:rPr>
          <w:rFonts w:hint="default" w:ascii="Times New Roman" w:hAnsi="Times New Roman" w:eastAsia="仿宋_GB2312" w:cs="Times New Roman"/>
          <w:b w:val="0"/>
          <w:bCs w:val="0"/>
          <w:color w:val="000000"/>
          <w:sz w:val="32"/>
          <w:szCs w:val="32"/>
        </w:rPr>
        <w:t>接待上级来镇检查验收、周边乡镇往来考察等</w:t>
      </w:r>
      <w:r>
        <w:rPr>
          <w:rFonts w:hint="default" w:ascii="Times New Roman" w:hAnsi="Times New Roman" w:eastAsia="仿宋_GB2312" w:cs="Times New Roman"/>
          <w:b w:val="0"/>
          <w:bCs w:val="0"/>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仿宋" w:cs="Times New Roman"/>
          <w:b w:val="0"/>
          <w:bCs w:val="0"/>
          <w:sz w:val="32"/>
          <w:szCs w:val="32"/>
        </w:rPr>
        <w:t>外事接待支出0</w:t>
      </w:r>
      <w:r>
        <w:rPr>
          <w:rFonts w:hint="default" w:ascii="Times New Roman" w:hAnsi="Times New Roman" w:eastAsia="仿宋_GB2312" w:cs="Times New Roman"/>
          <w:b w:val="0"/>
          <w:bCs w:val="0"/>
          <w:sz w:val="32"/>
          <w:szCs w:val="32"/>
        </w:rPr>
        <w:t>万元，外事接待0批次，0人次（不包括陪同人员），共计支出0万元。</w:t>
      </w:r>
    </w:p>
    <w:p>
      <w:pPr>
        <w:keepNext w:val="0"/>
        <w:keepLines w:val="0"/>
        <w:pageBreakBefore w:val="0"/>
        <w:kinsoku/>
        <w:wordWrap/>
        <w:overflowPunct/>
        <w:topLinePunct w:val="0"/>
        <w:bidi w:val="0"/>
        <w:snapToGrid/>
        <w:spacing w:line="600" w:lineRule="exact"/>
        <w:ind w:firstLine="640"/>
        <w:textAlignment w:val="auto"/>
        <w:outlineLvl w:val="1"/>
        <w:rPr>
          <w:rStyle w:val="31"/>
          <w:rFonts w:hint="default" w:ascii="Times New Roman" w:hAnsi="Times New Roman" w:eastAsia="黑体" w:cs="Times New Roman"/>
          <w:b w:val="0"/>
          <w:bCs w:val="0"/>
        </w:rPr>
      </w:pPr>
      <w:bookmarkStart w:id="56" w:name="_Toc28666"/>
      <w:r>
        <w:rPr>
          <w:rFonts w:hint="default" w:ascii="Times New Roman" w:hAnsi="Times New Roman" w:eastAsia="黑体" w:cs="Times New Roman"/>
          <w:b w:val="0"/>
          <w:bCs w:val="0"/>
          <w:sz w:val="32"/>
          <w:szCs w:val="32"/>
        </w:rPr>
        <w:t>八、</w:t>
      </w:r>
      <w:r>
        <w:rPr>
          <w:rStyle w:val="31"/>
          <w:rFonts w:hint="default" w:ascii="Times New Roman" w:hAnsi="Times New Roman" w:eastAsia="黑体" w:cs="Times New Roman"/>
          <w:b w:val="0"/>
          <w:bCs w:val="0"/>
        </w:rPr>
        <w:t>政府性基金预算支出决算情况说明</w:t>
      </w:r>
      <w:bookmarkEnd w:id="54"/>
      <w:bookmarkEnd w:id="55"/>
      <w:bookmarkEnd w:id="56"/>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2023年度政府性基金预算财政拨款支出</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w:t>
      </w:r>
    </w:p>
    <w:p>
      <w:pPr>
        <w:keepNext w:val="0"/>
        <w:keepLines w:val="0"/>
        <w:pageBreakBefore w:val="0"/>
        <w:numPr>
          <w:ilvl w:val="0"/>
          <w:numId w:val="2"/>
        </w:numPr>
        <w:kinsoku/>
        <w:wordWrap/>
        <w:overflowPunct/>
        <w:topLinePunct w:val="0"/>
        <w:bidi w:val="0"/>
        <w:snapToGrid/>
        <w:spacing w:line="600" w:lineRule="exact"/>
        <w:ind w:firstLine="640"/>
        <w:textAlignment w:val="auto"/>
        <w:outlineLvl w:val="1"/>
        <w:rPr>
          <w:rStyle w:val="31"/>
          <w:rFonts w:hint="default" w:ascii="Times New Roman" w:hAnsi="Times New Roman" w:eastAsia="黑体" w:cs="Times New Roman"/>
          <w:b w:val="0"/>
          <w:bCs w:val="0"/>
        </w:rPr>
      </w:pPr>
      <w:bookmarkStart w:id="57" w:name="_Toc6273"/>
      <w:bookmarkStart w:id="58" w:name="_Toc15396611"/>
      <w:bookmarkStart w:id="59" w:name="_Toc15377219"/>
      <w:r>
        <w:rPr>
          <w:rStyle w:val="31"/>
          <w:rFonts w:hint="default" w:ascii="Times New Roman" w:hAnsi="Times New Roman" w:eastAsia="黑体" w:cs="Times New Roman"/>
          <w:b w:val="0"/>
          <w:bCs w:val="0"/>
        </w:rPr>
        <w:t>国有资本经营预算支出决算情况说明</w:t>
      </w:r>
      <w:bookmarkEnd w:id="57"/>
      <w:bookmarkEnd w:id="58"/>
      <w:bookmarkEnd w:id="59"/>
    </w:p>
    <w:p>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仿宋_GB2312" w:cs="Times New Roman"/>
          <w:b w:val="0"/>
          <w:bCs w:val="0"/>
          <w:sz w:val="32"/>
          <w:szCs w:val="32"/>
        </w:rPr>
        <w:t>2023年度国有资本经营预算财政拨款支出</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w:t>
      </w:r>
    </w:p>
    <w:p>
      <w:pPr>
        <w:keepNext w:val="0"/>
        <w:keepLines w:val="0"/>
        <w:pageBreakBefore w:val="0"/>
        <w:numPr>
          <w:ilvl w:val="0"/>
          <w:numId w:val="2"/>
        </w:numPr>
        <w:kinsoku/>
        <w:wordWrap/>
        <w:overflowPunct/>
        <w:topLinePunct w:val="0"/>
        <w:bidi w:val="0"/>
        <w:snapToGrid/>
        <w:spacing w:line="600" w:lineRule="exact"/>
        <w:ind w:firstLine="640"/>
        <w:textAlignment w:val="auto"/>
        <w:outlineLvl w:val="1"/>
        <w:rPr>
          <w:rStyle w:val="31"/>
          <w:rFonts w:hint="default" w:ascii="Times New Roman" w:hAnsi="Times New Roman" w:eastAsia="黑体" w:cs="Times New Roman"/>
          <w:b w:val="0"/>
          <w:bCs w:val="0"/>
        </w:rPr>
      </w:pPr>
      <w:bookmarkStart w:id="60" w:name="_Toc15396612"/>
      <w:bookmarkStart w:id="61" w:name="_Toc15377221"/>
      <w:bookmarkStart w:id="62" w:name="_Toc12778"/>
      <w:r>
        <w:rPr>
          <w:rStyle w:val="31"/>
          <w:rFonts w:hint="default" w:ascii="Times New Roman" w:hAnsi="Times New Roman" w:eastAsia="黑体" w:cs="Times New Roman"/>
          <w:b w:val="0"/>
          <w:bCs w:val="0"/>
        </w:rPr>
        <w:t>其他重要事项的情况说明</w:t>
      </w:r>
      <w:bookmarkEnd w:id="60"/>
      <w:bookmarkEnd w:id="61"/>
      <w:bookmarkEnd w:id="62"/>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b w:val="0"/>
          <w:bCs w:val="0"/>
          <w:sz w:val="32"/>
          <w:szCs w:val="32"/>
        </w:rPr>
      </w:pPr>
      <w:bookmarkStart w:id="63" w:name="_Toc15377222"/>
      <w:r>
        <w:rPr>
          <w:rFonts w:hint="default" w:ascii="Times New Roman" w:hAnsi="Times New Roman" w:eastAsia="楷体_GB2312" w:cs="Times New Roman"/>
          <w:b w:val="0"/>
          <w:bCs w:val="0"/>
          <w:sz w:val="32"/>
          <w:szCs w:val="32"/>
        </w:rPr>
        <w:t>（一）机关运行经费支出情况</w:t>
      </w:r>
      <w:bookmarkEnd w:id="63"/>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2023年度，沐川县黄丹镇人民政府机关运行经费支出</w:t>
      </w:r>
      <w:r>
        <w:rPr>
          <w:rFonts w:hint="default" w:ascii="Times New Roman" w:hAnsi="Times New Roman" w:eastAsia="仿宋" w:cs="Times New Roman"/>
          <w:b w:val="0"/>
          <w:bCs w:val="0"/>
          <w:sz w:val="32"/>
          <w:szCs w:val="32"/>
        </w:rPr>
        <w:t>103.13</w:t>
      </w:r>
      <w:r>
        <w:rPr>
          <w:rFonts w:hint="default" w:ascii="Times New Roman" w:hAnsi="Times New Roman" w:eastAsia="仿宋_GB2312" w:cs="Times New Roman"/>
          <w:b w:val="0"/>
          <w:bCs w:val="0"/>
          <w:sz w:val="32"/>
          <w:szCs w:val="32"/>
        </w:rPr>
        <w:t>万元，比2022年度减少7.93万元，下降7.14%。主要原因是厉行节约原则。</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b w:val="0"/>
          <w:bCs w:val="0"/>
          <w:sz w:val="32"/>
          <w:szCs w:val="32"/>
        </w:rPr>
      </w:pPr>
      <w:bookmarkStart w:id="64" w:name="_Toc15377223"/>
      <w:r>
        <w:rPr>
          <w:rFonts w:hint="default" w:ascii="Times New Roman" w:hAnsi="Times New Roman" w:eastAsia="楷体_GB2312" w:cs="Times New Roman"/>
          <w:b w:val="0"/>
          <w:bCs w:val="0"/>
          <w:sz w:val="32"/>
          <w:szCs w:val="32"/>
        </w:rPr>
        <w:t>（二）政府采购支出情况</w:t>
      </w:r>
      <w:bookmarkEnd w:id="64"/>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2023年度，沐川县黄丹镇人民政府政府采购支出总额</w:t>
      </w:r>
      <w:r>
        <w:rPr>
          <w:rFonts w:hint="default" w:ascii="Times New Roman" w:hAnsi="Times New Roman" w:eastAsia="仿宋" w:cs="Times New Roman"/>
          <w:b w:val="0"/>
          <w:bCs w:val="0"/>
          <w:sz w:val="32"/>
          <w:szCs w:val="32"/>
        </w:rPr>
        <w:t>114.03</w:t>
      </w:r>
      <w:r>
        <w:rPr>
          <w:rFonts w:hint="default" w:ascii="Times New Roman" w:hAnsi="Times New Roman" w:eastAsia="仿宋_GB2312" w:cs="Times New Roman"/>
          <w:b w:val="0"/>
          <w:bCs w:val="0"/>
          <w:sz w:val="32"/>
          <w:szCs w:val="32"/>
        </w:rPr>
        <w:t>万元，其中：政府采购货物支出</w:t>
      </w:r>
      <w:r>
        <w:rPr>
          <w:rFonts w:hint="default" w:ascii="Times New Roman" w:hAnsi="Times New Roman" w:eastAsia="仿宋" w:cs="Times New Roman"/>
          <w:b w:val="0"/>
          <w:bCs w:val="0"/>
          <w:sz w:val="32"/>
          <w:szCs w:val="32"/>
        </w:rPr>
        <w:t>0.31</w:t>
      </w:r>
      <w:r>
        <w:rPr>
          <w:rFonts w:hint="default" w:ascii="Times New Roman" w:hAnsi="Times New Roman" w:eastAsia="仿宋_GB2312" w:cs="Times New Roman"/>
          <w:b w:val="0"/>
          <w:bCs w:val="0"/>
          <w:sz w:val="32"/>
          <w:szCs w:val="32"/>
        </w:rPr>
        <w:t>万元、政府采购工程支出</w:t>
      </w:r>
      <w:r>
        <w:rPr>
          <w:rFonts w:hint="default" w:ascii="Times New Roman" w:hAnsi="Times New Roman" w:eastAsia="仿宋" w:cs="Times New Roman"/>
          <w:b w:val="0"/>
          <w:bCs w:val="0"/>
          <w:sz w:val="32"/>
          <w:szCs w:val="32"/>
        </w:rPr>
        <w:t>113.72</w:t>
      </w:r>
      <w:r>
        <w:rPr>
          <w:rFonts w:hint="default" w:ascii="Times New Roman" w:hAnsi="Times New Roman" w:eastAsia="仿宋_GB2312" w:cs="Times New Roman"/>
          <w:b w:val="0"/>
          <w:bCs w:val="0"/>
          <w:sz w:val="32"/>
          <w:szCs w:val="32"/>
        </w:rPr>
        <w:t>万元、政府采购服务支出</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万元。主要用于购买复印机0.31万元，黄丹镇大碑村4、5组移民后扶道路硬化项目63.66万元，黄丹镇大碑村6、8、9组（原赵坝村3、4、5、6组）移民后扶道路硬化项目50.06万元。授予中小企业合同金额</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万元，占政府采购支出总额的0%，其中：授予小微企业合同金额</w:t>
      </w:r>
      <w:r>
        <w:rPr>
          <w:rFonts w:hint="default" w:ascii="Times New Roman" w:hAnsi="Times New Roman" w:eastAsia="仿宋" w:cs="Times New Roman"/>
          <w:b w:val="0"/>
          <w:bCs w:val="0"/>
          <w:sz w:val="32"/>
          <w:szCs w:val="32"/>
        </w:rPr>
        <w:t>0</w:t>
      </w:r>
      <w:r>
        <w:rPr>
          <w:rFonts w:hint="default" w:ascii="Times New Roman" w:hAnsi="Times New Roman" w:eastAsia="仿宋_GB2312" w:cs="Times New Roman"/>
          <w:b w:val="0"/>
          <w:bCs w:val="0"/>
          <w:sz w:val="32"/>
          <w:szCs w:val="32"/>
        </w:rPr>
        <w:t>万元，占政府采购支出总额的0%。</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b w:val="0"/>
          <w:bCs w:val="0"/>
          <w:sz w:val="32"/>
          <w:szCs w:val="32"/>
        </w:rPr>
      </w:pPr>
      <w:bookmarkStart w:id="65" w:name="_Toc15377224"/>
      <w:r>
        <w:rPr>
          <w:rFonts w:hint="default" w:ascii="Times New Roman" w:hAnsi="Times New Roman" w:eastAsia="楷体_GB2312" w:cs="Times New Roman"/>
          <w:b w:val="0"/>
          <w:bCs w:val="0"/>
          <w:sz w:val="32"/>
          <w:szCs w:val="32"/>
        </w:rPr>
        <w:t>（三）国有资产占有使用情况</w:t>
      </w:r>
      <w:bookmarkEnd w:id="65"/>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截至2023年12月31日，沐川县黄丹镇人民政府共有车辆3辆，其中：主要领导干部用车0辆、机要通信用车0辆、应急保障用车2辆、其他用车1辆，其他用车主要是用于</w:t>
      </w:r>
      <w:r>
        <w:rPr>
          <w:rFonts w:hint="default" w:ascii="Times New Roman" w:hAnsi="Times New Roman" w:eastAsia="仿宋_GB2312" w:cs="Times New Roman"/>
          <w:b w:val="0"/>
          <w:bCs w:val="0"/>
          <w:color w:val="000000"/>
          <w:sz w:val="32"/>
          <w:szCs w:val="32"/>
        </w:rPr>
        <w:t>下乡扶贫、县上出差等</w:t>
      </w:r>
      <w:r>
        <w:rPr>
          <w:rFonts w:hint="default" w:ascii="Times New Roman" w:hAnsi="Times New Roman" w:eastAsia="仿宋_GB2312" w:cs="Times New Roman"/>
          <w:b w:val="0"/>
          <w:bCs w:val="0"/>
          <w:sz w:val="32"/>
          <w:szCs w:val="32"/>
        </w:rPr>
        <w:t>。单价100万元以上设备（不含车辆）0台（套）。</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（四）预算绩效管理情况</w:t>
      </w:r>
    </w:p>
    <w:p>
      <w:pPr>
        <w:keepNext w:val="0"/>
        <w:keepLines w:val="0"/>
        <w:pageBreakBefore w:val="0"/>
        <w:widowControl/>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根据预算绩效管理要求，本单位在2023年度预算编制阶段，组织对</w:t>
      </w:r>
      <w:r>
        <w:rPr>
          <w:rFonts w:hint="default" w:ascii="Times New Roman" w:hAnsi="Times New Roman" w:eastAsia="仿宋" w:cs="Times New Roman"/>
          <w:b w:val="0"/>
          <w:bCs w:val="0"/>
          <w:color w:val="000000"/>
          <w:kern w:val="0"/>
          <w:sz w:val="31"/>
          <w:szCs w:val="31"/>
        </w:rPr>
        <w:t>村(社区)代办点日常运维费、黄丹镇加禾一组瓷砖厂占地费、农村生活垃圾治理资金、第一书记和工作队工作经费、人大主席团经费、乡镇安全监管工作经费、乡镇便民服务中心（站）日常运维费、乡镇环境综合治理长效管理经费、乡镇老协活动经费、乡镇普法依法治理经费、乡镇人代会会议费、城乡建设用地增减挂钩项目工作经费、困难群众临时救助资金、调整2022年公共图书馆、美术馆、文化馆（站）免费开放中央补助资金到乡镇经费、调整2022年公共图书馆、美术馆、文化馆（站）免费开放省级补助资金、黄丹镇大碑村4、5组移民后扶道路硬化项目、黄丹镇大碑村6、8、9组（原赵坝村3、4、5、6组）移民库区道路硬化项目、黄丹镇“7.26”事件善后处理项目、村组干部报酬、绩效考核奖励经费、村干部养老保险、医疗保险、村民小组长小额保险、社区干部居民小组长报酬、绩效考核奖励经费、社区干部养老保险、医疗保险、居民小组长小额保险、村（社区）“有事来协商”工作经费、2023年基层组织活动和公共服务运行经费、抗旱车 辆运行维护费、黄丹镇库区水面漂浮物清理打捞社会化服务资金项目、黄丹镇公益船舶运营补贴项目、黄丹镇大碑村2组移民安置区安全饮水恢复提升工程项目、乐山金石焦化有限公司捐赠办公经费及乡镇环境综合治理长效管理经费项目、沐川县黄丹镇牛尾沟采石场赞助黄丹镇办公经费项目、四川天泰矿业有限公司四川省生态保护红线内矿业权退出奖补资金项目、“一村一警”驻村警务薪酬项目、乐山太中矿业有限公司赞助黄丹镇“边河村奥”全民运动会活动经费项目、拆除杨正全房屋补偿费用项目、夏柏金特殊疑难信访问题专项资金项目、政法维稳处突经费项目等36个项目开展了预算事前绩效评估，对 36 个项目编制了绩效目标，预算执行过程中，选取2个项目开展绩效监控</w:t>
      </w:r>
      <w:r>
        <w:rPr>
          <w:rFonts w:hint="default" w:ascii="Times New Roman" w:hAnsi="Times New Roman" w:eastAsia="仿宋_GB2312" w:cs="Times New Roman"/>
          <w:b w:val="0"/>
          <w:bCs w:val="0"/>
          <w:sz w:val="32"/>
          <w:szCs w:val="32"/>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组织对2023年度一般公共预算、政府性基金预算、国有资本经营预算、社会保险基金预算以及资本资产、债券资金等全面开展绩效自评，形成沐川县黄丹镇人民政府部门整体（含部门预算项目）绩效自评报告、农村生活垃圾治理资金项目等专项预算项目绩效自评报告，其中，沐川县黄丹镇人民政府部门整体（含部门预算项目）绩效自评得分为98分，绩效自评综述：沐川县黄丹镇人民政府部门预算执行情况良好，预算支出和决算支出情况相符。沐川县黄丹镇人民政府专项预算项目绩效自评得分为100分，绩效自评综述：黄丹镇2022年项目共36个，在预算范围内执行，预算项目未偏离绩效目标，执行情况良好。绩效自评报告详见附件。</w:t>
      </w:r>
    </w:p>
    <w:p>
      <w:pPr>
        <w:keepNext w:val="0"/>
        <w:keepLines w:val="0"/>
        <w:pageBreakBefore w:val="0"/>
        <w:kinsoku/>
        <w:wordWrap/>
        <w:overflowPunct/>
        <w:topLinePunct w:val="0"/>
        <w:bidi w:val="0"/>
        <w:snapToGrid/>
        <w:spacing w:line="600" w:lineRule="exact"/>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sz w:val="32"/>
          <w:szCs w:val="32"/>
        </w:rPr>
        <w:br w:type="page"/>
      </w:r>
    </w:p>
    <w:p>
      <w:pPr>
        <w:keepNext w:val="0"/>
        <w:keepLines w:val="0"/>
        <w:pageBreakBefore w:val="0"/>
        <w:widowControl w:val="0"/>
        <w:numPr>
          <w:ilvl w:val="0"/>
          <w:numId w:val="0"/>
        </w:numPr>
        <w:kinsoku/>
        <w:wordWrap/>
        <w:overflowPunct/>
        <w:topLinePunct w:val="0"/>
        <w:bidi w:val="0"/>
        <w:snapToGrid/>
        <w:spacing w:line="580" w:lineRule="exact"/>
        <w:jc w:val="center"/>
        <w:textAlignment w:val="auto"/>
        <w:outlineLvl w:val="0"/>
        <w:rPr>
          <w:rStyle w:val="30"/>
          <w:rFonts w:hint="default" w:ascii="Times New Roman" w:hAnsi="Times New Roman" w:eastAsia="方正小标宋简体" w:cs="Times New Roman"/>
          <w:b w:val="0"/>
          <w:bCs w:val="0"/>
        </w:rPr>
      </w:pPr>
      <w:bookmarkStart w:id="66" w:name="_Toc15396613"/>
      <w:bookmarkStart w:id="67" w:name="_Toc15377225"/>
      <w:bookmarkStart w:id="68" w:name="_Toc37"/>
      <w:r>
        <w:rPr>
          <w:rFonts w:hint="default" w:ascii="Times New Roman" w:hAnsi="Times New Roman" w:eastAsia="方正小标宋简体" w:cs="Times New Roman"/>
          <w:b w:val="0"/>
          <w:bCs w:val="0"/>
          <w:sz w:val="44"/>
          <w:szCs w:val="44"/>
        </w:rPr>
        <w:t>第</w:t>
      </w:r>
      <w:r>
        <w:rPr>
          <w:rFonts w:hint="eastAsia" w:eastAsia="方正小标宋简体" w:cs="Times New Roman"/>
          <w:b w:val="0"/>
          <w:bCs w:val="0"/>
          <w:sz w:val="44"/>
          <w:szCs w:val="44"/>
          <w:lang w:eastAsia="zh-CN"/>
        </w:rPr>
        <w:t>三</w:t>
      </w:r>
      <w:r>
        <w:rPr>
          <w:rFonts w:hint="default" w:ascii="Times New Roman" w:hAnsi="Times New Roman" w:eastAsia="方正小标宋简体" w:cs="Times New Roman"/>
          <w:b w:val="0"/>
          <w:bCs w:val="0"/>
          <w:sz w:val="44"/>
          <w:szCs w:val="44"/>
        </w:rPr>
        <w:t>部分</w:t>
      </w:r>
      <w:r>
        <w:rPr>
          <w:rFonts w:hint="default"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名</w:t>
      </w:r>
      <w:r>
        <w:rPr>
          <w:rStyle w:val="30"/>
          <w:rFonts w:hint="default" w:ascii="Times New Roman" w:hAnsi="Times New Roman" w:eastAsia="方正小标宋简体" w:cs="Times New Roman"/>
          <w:b w:val="0"/>
          <w:bCs w:val="0"/>
        </w:rPr>
        <w:t>词解释</w:t>
      </w:r>
      <w:bookmarkEnd w:id="66"/>
      <w:bookmarkEnd w:id="67"/>
      <w:bookmarkEnd w:id="68"/>
    </w:p>
    <w:p>
      <w:pPr>
        <w:keepNext w:val="0"/>
        <w:keepLines w:val="0"/>
        <w:pageBreakBefore w:val="0"/>
        <w:widowControl w:val="0"/>
        <w:kinsoku/>
        <w:wordWrap/>
        <w:overflowPunct/>
        <w:topLinePunct w:val="0"/>
        <w:bidi w:val="0"/>
        <w:snapToGrid/>
        <w:spacing w:line="580" w:lineRule="exact"/>
        <w:jc w:val="left"/>
        <w:textAlignment w:val="auto"/>
        <w:rPr>
          <w:rFonts w:hint="default" w:ascii="Times New Roman" w:hAnsi="Times New Roman" w:cs="Times New Roman"/>
          <w:b w:val="0"/>
          <w:bCs w:val="0"/>
          <w:sz w:val="44"/>
          <w:szCs w:val="44"/>
        </w:rPr>
      </w:pPr>
    </w:p>
    <w:p>
      <w:pPr>
        <w:pStyle w:val="28"/>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1．财政拨款收入：</w:t>
      </w:r>
      <w:r>
        <w:rPr>
          <w:rFonts w:hint="default" w:ascii="Times New Roman" w:hAnsi="Times New Roman" w:eastAsia="仿宋_GB2312" w:cs="Times New Roman"/>
          <w:b w:val="0"/>
          <w:bCs w:val="0"/>
          <w:color w:val="auto"/>
          <w:sz w:val="32"/>
          <w:szCs w:val="32"/>
        </w:rPr>
        <w:t>指单位从同级财政部门取得的财政预算资金。</w:t>
      </w:r>
    </w:p>
    <w:p>
      <w:pPr>
        <w:pStyle w:val="28"/>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2．其他收入：</w:t>
      </w:r>
      <w:r>
        <w:rPr>
          <w:rFonts w:hint="default" w:ascii="Times New Roman" w:hAnsi="Times New Roman" w:eastAsia="仿宋_GB2312" w:cs="Times New Roman"/>
          <w:b w:val="0"/>
          <w:bCs w:val="0"/>
          <w:color w:val="auto"/>
          <w:sz w:val="32"/>
          <w:szCs w:val="32"/>
        </w:rPr>
        <w:t xml:space="preserve">指单位取得的除上述收入以外的各项收入。主要是城乡建设用地增减挂钩项目工作经费、乐山金石焦化有限公司捐赠办公经费及乡镇环境综合治理长效管理经费、沐川县黄丹镇牛尾沟采石厂赞助黄丹镇办公经费、乐山太中矿业有限公司赞助黄丹镇“边河村奥”全民运动会活动经费等。 </w:t>
      </w:r>
    </w:p>
    <w:p>
      <w:pPr>
        <w:pStyle w:val="28"/>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3．年初结转和结余：</w:t>
      </w:r>
      <w:r>
        <w:rPr>
          <w:rFonts w:hint="default" w:ascii="Times New Roman" w:hAnsi="Times New Roman" w:eastAsia="仿宋_GB2312" w:cs="Times New Roman"/>
          <w:b w:val="0"/>
          <w:bCs w:val="0"/>
          <w:color w:val="auto"/>
          <w:sz w:val="32"/>
          <w:szCs w:val="32"/>
        </w:rPr>
        <w:t xml:space="preserve">指以前年度尚未完成、结转到本年按有关规定继续使用的资金。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 xml:space="preserve">4．一般公共服务支出（类）人大事务（款）人大会议（项）: </w:t>
      </w:r>
      <w:r>
        <w:rPr>
          <w:rFonts w:hint="default" w:ascii="Times New Roman" w:hAnsi="Times New Roman" w:eastAsia="仿宋_GB2312" w:cs="Times New Roman"/>
          <w:b w:val="0"/>
          <w:bCs w:val="0"/>
          <w:sz w:val="32"/>
          <w:szCs w:val="32"/>
        </w:rPr>
        <w:t>指人大召开人民代表大会等专门会议的支出。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 xml:space="preserve">5．一般公共服务支出（类）人大事务（款）代表工作（项）: </w:t>
      </w:r>
      <w:r>
        <w:rPr>
          <w:rFonts w:hint="default" w:ascii="Times New Roman" w:hAnsi="Times New Roman" w:eastAsia="仿宋_GB2312" w:cs="Times New Roman"/>
          <w:b w:val="0"/>
          <w:bCs w:val="0"/>
          <w:sz w:val="32"/>
          <w:szCs w:val="32"/>
        </w:rPr>
        <w:t>指人大代表开展各类视察等方面的支出。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6．一般公共服务支出（类）政府办公厅（室）及相关机构事务（款）行政运行（项）：</w:t>
      </w:r>
      <w:r>
        <w:rPr>
          <w:rFonts w:hint="default" w:ascii="Times New Roman" w:hAnsi="Times New Roman" w:eastAsia="仿宋_GB2312" w:cs="Times New Roman"/>
          <w:b w:val="0"/>
          <w:bCs w:val="0"/>
          <w:sz w:val="32"/>
          <w:szCs w:val="32"/>
        </w:rPr>
        <w:t>指行政单位（包括实行公务员管理的事业单位）的基本支出。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7．一般公共服务支出（类）政府办公厅（室）及相关机构事务（款）一般行政管理事务（项）：</w:t>
      </w:r>
      <w:r>
        <w:rPr>
          <w:rFonts w:hint="default" w:ascii="Times New Roman" w:hAnsi="Times New Roman" w:eastAsia="仿宋_GB2312" w:cs="Times New Roman"/>
          <w:b w:val="0"/>
          <w:bCs w:val="0"/>
          <w:sz w:val="32"/>
          <w:szCs w:val="32"/>
        </w:rPr>
        <w:t>指行政单位（包括实行公务员管理的事业单位）未单独设置项级科目的其他项目支出。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8．一般公共服务支出（类）政府办公厅（室）及相关机构事务（款）事业运行（项）：</w:t>
      </w:r>
      <w:r>
        <w:rPr>
          <w:rFonts w:hint="default" w:ascii="Times New Roman" w:hAnsi="Times New Roman" w:eastAsia="仿宋_GB2312" w:cs="Times New Roman"/>
          <w:b w:val="0"/>
          <w:bCs w:val="0"/>
          <w:sz w:val="32"/>
          <w:szCs w:val="32"/>
        </w:rPr>
        <w:t>指事业单位的基本支出，不包括行政单位（包括实行公务员管理的事业单位）后勤服务中心、医疗室等附属事业单位。</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9．一般公共服务支出（类）政府办公厅（室）及相关机构事务（款）其他政府办公厅（室）及相关机构事务支出（项）：</w:t>
      </w:r>
      <w:r>
        <w:rPr>
          <w:rFonts w:hint="default" w:ascii="Times New Roman" w:hAnsi="Times New Roman" w:eastAsia="仿宋_GB2312" w:cs="Times New Roman"/>
          <w:b w:val="0"/>
          <w:bCs w:val="0"/>
          <w:sz w:val="32"/>
          <w:szCs w:val="32"/>
        </w:rPr>
        <w:t>指除上述项目以外的其他政府办公厅（室）及相关机构事务支出。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10．国防支出（类）国防动员（款）民兵（项）：</w:t>
      </w:r>
      <w:r>
        <w:rPr>
          <w:rFonts w:hint="default" w:ascii="Times New Roman" w:hAnsi="Times New Roman" w:eastAsia="仿宋_GB2312" w:cs="Times New Roman"/>
          <w:b w:val="0"/>
          <w:bCs w:val="0"/>
          <w:sz w:val="32"/>
          <w:szCs w:val="32"/>
        </w:rPr>
        <w:t>指用于民兵建设与管理等方面的支出。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11．公共安全支出（类）司法（款）普法宣传（项）：</w:t>
      </w:r>
      <w:r>
        <w:rPr>
          <w:rFonts w:hint="default" w:ascii="Times New Roman" w:hAnsi="Times New Roman" w:eastAsia="仿宋_GB2312" w:cs="Times New Roman"/>
          <w:b w:val="0"/>
          <w:bCs w:val="0"/>
          <w:sz w:val="32"/>
          <w:szCs w:val="32"/>
        </w:rPr>
        <w:t>指司法行政部门用于组织各种媒体的宣传、普法装备与设施、宣传资料、对外宣传、法制作品的审读评审等方面的支出。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12．社会保障和就业支出（类）行政事业单位养老支出（款）机关事业单位基本养老保险缴费支出（项）：</w:t>
      </w:r>
      <w:r>
        <w:rPr>
          <w:rFonts w:hint="default" w:ascii="Times New Roman" w:hAnsi="Times New Roman" w:eastAsia="仿宋_GB2312" w:cs="Times New Roman"/>
          <w:b w:val="0"/>
          <w:bCs w:val="0"/>
          <w:sz w:val="32"/>
          <w:szCs w:val="32"/>
        </w:rPr>
        <w:t>指机关事业单位实施养老保险制度由单位缴纳的基本养老保险费支出。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13．社会保障和就业支出（类）行政事业单位养老支出（款）机关事业单位职业年金缴费支出（项）：</w:t>
      </w:r>
      <w:r>
        <w:rPr>
          <w:rFonts w:hint="default" w:ascii="Times New Roman" w:hAnsi="Times New Roman" w:eastAsia="仿宋_GB2312" w:cs="Times New Roman"/>
          <w:b w:val="0"/>
          <w:bCs w:val="0"/>
          <w:sz w:val="32"/>
          <w:szCs w:val="32"/>
        </w:rPr>
        <w:t>指机关事业单位实施养老保险制度由单位实际缴纳的职业年金支出。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14．社会保障和就业支出（类）临时救助（款）临时救助支出（项）：</w:t>
      </w:r>
      <w:r>
        <w:rPr>
          <w:rFonts w:hint="default" w:ascii="Times New Roman" w:hAnsi="Times New Roman" w:eastAsia="仿宋_GB2312" w:cs="Times New Roman"/>
          <w:b w:val="0"/>
          <w:bCs w:val="0"/>
          <w:sz w:val="32"/>
          <w:szCs w:val="32"/>
        </w:rPr>
        <w:t>指用于城乡生活困难居民的临时救助等支出。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15．卫生健康支出（类）公共卫生（款）重大公共卫生服务（项）：</w:t>
      </w:r>
      <w:r>
        <w:rPr>
          <w:rFonts w:hint="default" w:ascii="Times New Roman" w:hAnsi="Times New Roman" w:eastAsia="仿宋_GB2312" w:cs="Times New Roman"/>
          <w:b w:val="0"/>
          <w:bCs w:val="0"/>
          <w:sz w:val="32"/>
          <w:szCs w:val="32"/>
        </w:rPr>
        <w:t>指用于重大疾病、重大传染病预防控制等重大公共卫生服务项目支出。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16．卫生健康支出（类）行政事业单位医疗（款）行政单位医疗（项）：</w:t>
      </w:r>
      <w:r>
        <w:rPr>
          <w:rFonts w:hint="default" w:ascii="Times New Roman" w:hAnsi="Times New Roman" w:eastAsia="仿宋_GB2312" w:cs="Times New Roman"/>
          <w:b w:val="0"/>
          <w:bCs w:val="0"/>
          <w:sz w:val="32"/>
          <w:szCs w:val="32"/>
        </w:rPr>
        <w:t>指用于财政部门安排的行政单位（包括实行公务员管理的事业单位）基本医疗保险缴费经费，未参加医疗保险的行政单位的公费医疗经费，按国家规定享受离休人员、红军老战士待遇人员的医疗经费。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17．卫生健康支出（类）行政事业单位医疗（款）事业单位医疗（项）：</w:t>
      </w:r>
      <w:r>
        <w:rPr>
          <w:rFonts w:hint="default" w:ascii="Times New Roman" w:hAnsi="Times New Roman" w:eastAsia="仿宋_GB2312" w:cs="Times New Roman"/>
          <w:b w:val="0"/>
          <w:bCs w:val="0"/>
          <w:sz w:val="32"/>
          <w:szCs w:val="32"/>
        </w:rPr>
        <w:t>指财政部门安排的事业单位基本医疗保险缴费经费，未参加医疗保险的事业单位的公费医疗经费，按国家规定享受离休人员待遇的医疗经费。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18．卫生健康支出（类）老龄卫生健康事务（款）老龄卫生健康事务（项）：</w:t>
      </w:r>
      <w:r>
        <w:rPr>
          <w:rFonts w:hint="default" w:ascii="Times New Roman" w:hAnsi="Times New Roman" w:eastAsia="仿宋_GB2312" w:cs="Times New Roman"/>
          <w:b w:val="0"/>
          <w:bCs w:val="0"/>
          <w:sz w:val="32"/>
          <w:szCs w:val="32"/>
        </w:rPr>
        <w:t>指老龄卫生健康事务方面的支出。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19．节能环保支出（类）自然生态保护（款）农村环境保护（项）：</w:t>
      </w:r>
      <w:r>
        <w:rPr>
          <w:rFonts w:hint="default" w:ascii="Times New Roman" w:hAnsi="Times New Roman" w:eastAsia="仿宋_GB2312" w:cs="Times New Roman"/>
          <w:b w:val="0"/>
          <w:bCs w:val="0"/>
          <w:sz w:val="32"/>
          <w:szCs w:val="32"/>
        </w:rPr>
        <w:t>指用于农村环境保护方面的支出。有关事项包括：农村环境综合治理、小城镇环境保护、农用化学品污染防治、畜禽养殖污染防治、土壤污染防治等。</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20．农林水支出（类）农业农村（款）其他农业农村支出（项）：</w:t>
      </w:r>
      <w:r>
        <w:rPr>
          <w:rFonts w:hint="default" w:ascii="Times New Roman" w:hAnsi="Times New Roman" w:eastAsia="仿宋_GB2312" w:cs="Times New Roman"/>
          <w:b w:val="0"/>
          <w:bCs w:val="0"/>
          <w:sz w:val="32"/>
          <w:szCs w:val="32"/>
        </w:rPr>
        <w:t>指除上述项目外其他用于农业农村方面的支出。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21．农林水支出（类）农村综合改革（款）对村民委员会和村党支部的补助（项）：</w:t>
      </w:r>
      <w:r>
        <w:rPr>
          <w:rFonts w:hint="default" w:ascii="Times New Roman" w:hAnsi="Times New Roman" w:eastAsia="仿宋_GB2312" w:cs="Times New Roman"/>
          <w:b w:val="0"/>
          <w:bCs w:val="0"/>
          <w:sz w:val="32"/>
          <w:szCs w:val="32"/>
        </w:rPr>
        <w:t>指各级财政对村民委员会和村党支部的补助支出，以及支持建立县级基本财力保障机制安排的村级组织运转奖补资金。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22．农林水支出（类）农村综合改革（款）对村集体经济组织的补助（项）：</w:t>
      </w:r>
      <w:r>
        <w:rPr>
          <w:rFonts w:hint="default" w:ascii="Times New Roman" w:hAnsi="Times New Roman" w:eastAsia="仿宋_GB2312" w:cs="Times New Roman"/>
          <w:b w:val="0"/>
          <w:bCs w:val="0"/>
          <w:sz w:val="32"/>
          <w:szCs w:val="32"/>
        </w:rPr>
        <w:t>指用于农村税费改革后对村集体经济组织的补助支出。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23．农林水支出（类）大中型水库库区基金安排的支出（款）基础设施建设和经济发展（项）：</w:t>
      </w:r>
      <w:r>
        <w:rPr>
          <w:rFonts w:hint="default" w:ascii="Times New Roman" w:hAnsi="Times New Roman" w:eastAsia="仿宋_GB2312" w:cs="Times New Roman"/>
          <w:b w:val="0"/>
          <w:bCs w:val="0"/>
          <w:sz w:val="32"/>
          <w:szCs w:val="32"/>
        </w:rPr>
        <w:t>指大中型水库库区基金安排用于改善库区及移民安置区生产生活条件的基础设施建设、经济建设、产业发展项目支出。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24．交通运输支出（类）公路水路运输（款）公路养护（项）：</w:t>
      </w:r>
      <w:r>
        <w:rPr>
          <w:rFonts w:hint="default" w:ascii="Times New Roman" w:hAnsi="Times New Roman" w:eastAsia="仿宋_GB2312" w:cs="Times New Roman"/>
          <w:b w:val="0"/>
          <w:bCs w:val="0"/>
          <w:sz w:val="32"/>
          <w:szCs w:val="32"/>
        </w:rPr>
        <w:t>指公路养护支出。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25．自然资源海洋气象等支出（类）自然资源事务（款）其他自然资源事务支出（项）：</w:t>
      </w:r>
      <w:r>
        <w:rPr>
          <w:rFonts w:hint="default" w:ascii="Times New Roman" w:hAnsi="Times New Roman" w:eastAsia="仿宋_GB2312" w:cs="Times New Roman"/>
          <w:b w:val="0"/>
          <w:bCs w:val="0"/>
          <w:sz w:val="32"/>
          <w:szCs w:val="32"/>
        </w:rPr>
        <w:t>指除上述项目以外其他用于自然资源事务方面的支出。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26．住房保障支出（类）住房改革支出（款）住房公积金（项）：</w:t>
      </w:r>
      <w:r>
        <w:rPr>
          <w:rFonts w:hint="default" w:ascii="Times New Roman" w:hAnsi="Times New Roman" w:eastAsia="仿宋_GB2312" w:cs="Times New Roman"/>
          <w:b w:val="0"/>
          <w:bCs w:val="0"/>
          <w:sz w:val="32"/>
          <w:szCs w:val="32"/>
        </w:rPr>
        <w:t>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27．灾害防治及应急管理支出（类）应急管理事务（款）安全监管（项）：</w:t>
      </w:r>
      <w:r>
        <w:rPr>
          <w:rFonts w:hint="default" w:ascii="Times New Roman" w:hAnsi="Times New Roman" w:eastAsia="仿宋_GB2312" w:cs="Times New Roman"/>
          <w:b w:val="0"/>
          <w:bCs w:val="0"/>
          <w:sz w:val="32"/>
          <w:szCs w:val="32"/>
        </w:rPr>
        <w:t>指安全生产综合监督管理和工贸行业安全生产监督管理等方面的支出。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28．基本支出：</w:t>
      </w:r>
      <w:r>
        <w:rPr>
          <w:rFonts w:hint="default" w:ascii="Times New Roman" w:hAnsi="Times New Roman" w:eastAsia="仿宋_GB2312" w:cs="Times New Roman"/>
          <w:b w:val="0"/>
          <w:bCs w:val="0"/>
          <w:sz w:val="32"/>
          <w:szCs w:val="32"/>
        </w:rPr>
        <w:t>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29．项目支出：</w:t>
      </w:r>
      <w:r>
        <w:rPr>
          <w:rFonts w:hint="default" w:ascii="Times New Roman" w:hAnsi="Times New Roman" w:eastAsia="仿宋_GB2312" w:cs="Times New Roman"/>
          <w:b w:val="0"/>
          <w:bCs w:val="0"/>
          <w:sz w:val="32"/>
          <w:szCs w:val="32"/>
        </w:rPr>
        <w:t xml:space="preserve">指在基本支出之外为完成特定行政任务和事业发展目标所发生的支出。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color w:val="auto"/>
          <w:kern w:val="0"/>
          <w:sz w:val="32"/>
          <w:szCs w:val="32"/>
          <w:lang w:val="en-US" w:eastAsia="zh-CN" w:bidi="ar-SA"/>
        </w:rPr>
        <w:t>30．“三公”经费：</w:t>
      </w:r>
      <w:r>
        <w:rPr>
          <w:rFonts w:hint="default" w:ascii="Times New Roman" w:hAnsi="Times New Roman" w:eastAsia="仿宋_GB2312" w:cs="Times New Roman"/>
          <w:b w:val="0"/>
          <w:bCs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kern w:val="0"/>
          <w:sz w:val="32"/>
          <w:szCs w:val="32"/>
          <w:lang w:val="en-US" w:eastAsia="zh-CN" w:bidi="ar-SA"/>
        </w:rPr>
        <w:t>31．机关运行经费：</w:t>
      </w:r>
      <w:r>
        <w:rPr>
          <w:rFonts w:hint="default" w:ascii="Times New Roman" w:hAnsi="Times New Roman" w:eastAsia="仿宋_GB2312" w:cs="Times New Roman"/>
          <w:b w:val="0"/>
          <w:bCs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default" w:ascii="Times New Roman" w:hAnsi="Times New Roman" w:eastAsia="仿宋" w:cs="Times New Roman"/>
          <w:b w:val="0"/>
          <w:bCs w:val="0"/>
          <w:sz w:val="32"/>
          <w:szCs w:val="32"/>
        </w:rPr>
      </w:pPr>
    </w:p>
    <w:p>
      <w:pPr>
        <w:spacing w:line="600" w:lineRule="exact"/>
        <w:jc w:val="center"/>
        <w:outlineLvl w:val="0"/>
        <w:rPr>
          <w:rStyle w:val="30"/>
          <w:rFonts w:hint="default" w:ascii="Times New Roman" w:hAnsi="Times New Roman" w:eastAsia="黑体" w:cs="Times New Roman"/>
          <w:b w:val="0"/>
          <w:bCs w:val="0"/>
        </w:rPr>
      </w:pPr>
      <w:bookmarkStart w:id="69" w:name="_Toc15377226"/>
      <w:r>
        <w:rPr>
          <w:rFonts w:hint="default" w:ascii="Times New Roman" w:hAnsi="Times New Roman" w:cs="Times New Roman"/>
          <w:b w:val="0"/>
          <w:bCs w:val="0"/>
          <w:sz w:val="44"/>
          <w:szCs w:val="44"/>
        </w:rPr>
        <w:br w:type="page"/>
      </w:r>
      <w:bookmarkStart w:id="70" w:name="_Toc15396614"/>
      <w:bookmarkStart w:id="71" w:name="_Toc3011"/>
      <w:r>
        <w:rPr>
          <w:rFonts w:hint="default" w:ascii="Times New Roman" w:hAnsi="Times New Roman" w:eastAsia="方正小标宋简体" w:cs="Times New Roman"/>
          <w:b w:val="0"/>
          <w:bCs w:val="0"/>
          <w:sz w:val="44"/>
          <w:szCs w:val="44"/>
        </w:rPr>
        <w:t>第</w:t>
      </w:r>
      <w:r>
        <w:rPr>
          <w:rStyle w:val="30"/>
          <w:rFonts w:hint="default" w:ascii="Times New Roman" w:hAnsi="Times New Roman" w:eastAsia="方正小标宋简体" w:cs="Times New Roman"/>
          <w:b w:val="0"/>
          <w:bCs w:val="0"/>
        </w:rPr>
        <w:t>四部分 附件</w:t>
      </w:r>
      <w:bookmarkEnd w:id="70"/>
      <w:bookmarkEnd w:id="71"/>
    </w:p>
    <w:p>
      <w:pPr>
        <w:spacing w:line="572" w:lineRule="exact"/>
        <w:jc w:val="left"/>
        <w:rPr>
          <w:rFonts w:hint="default" w:ascii="Times New Roman" w:hAnsi="Times New Roman" w:eastAsia="仿宋_GB2312" w:cs="Times New Roman"/>
          <w:b w:val="0"/>
          <w:bCs w:val="0"/>
          <w:sz w:val="32"/>
          <w:szCs w:val="32"/>
        </w:rPr>
      </w:pPr>
    </w:p>
    <w:p>
      <w:pPr>
        <w:spacing w:line="600" w:lineRule="exact"/>
        <w:jc w:val="center"/>
        <w:rPr>
          <w:rFonts w:hint="default" w:ascii="Times New Roman" w:hAnsi="Times New Roman" w:eastAsia="仿宋_GB2312" w:cs="Times New Roman"/>
          <w:b w:val="0"/>
          <w:bCs w:val="0"/>
          <w:color w:val="FF0000"/>
          <w:sz w:val="44"/>
          <w:szCs w:val="44"/>
        </w:rPr>
      </w:pPr>
      <w:bookmarkStart w:id="72" w:name="_Toc15396618"/>
      <w:r>
        <w:rPr>
          <w:rFonts w:hint="default" w:ascii="Times New Roman" w:hAnsi="Times New Roman" w:eastAsia="仿宋_GB2312" w:cs="Times New Roman"/>
          <w:b w:val="0"/>
          <w:bCs w:val="0"/>
          <w:sz w:val="32"/>
          <w:szCs w:val="32"/>
        </w:rPr>
        <w:t>部门预算项目支出绩效自评表（2023年度）</w:t>
      </w:r>
    </w:p>
    <w:p>
      <w:pPr>
        <w:pStyle w:val="16"/>
        <w:spacing w:line="560" w:lineRule="exact"/>
        <w:ind w:left="0" w:leftChars="0" w:firstLine="640"/>
        <w:rPr>
          <w:rFonts w:hint="default" w:ascii="Times New Roman" w:hAnsi="Times New Roman" w:cs="Times New Roman"/>
          <w:b w:val="0"/>
          <w:bCs w:val="0"/>
          <w:sz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pStyle w:val="2"/>
        <w:spacing w:before="93"/>
        <w:rPr>
          <w:rFonts w:hint="default" w:ascii="Times New Roman" w:hAnsi="Times New Roman" w:cs="Times New Roman"/>
          <w:b w:val="0"/>
          <w:bCs w:val="0"/>
          <w:sz w:val="32"/>
          <w:szCs w:val="32"/>
        </w:rPr>
      </w:pPr>
    </w:p>
    <w:p>
      <w:pPr>
        <w:spacing w:line="600" w:lineRule="exact"/>
        <w:jc w:val="center"/>
        <w:rPr>
          <w:rFonts w:hint="default" w:ascii="Times New Roman" w:hAnsi="Times New Roman" w:eastAsia="黑体" w:cs="Times New Roman"/>
          <w:b w:val="0"/>
          <w:bCs w:val="0"/>
          <w:sz w:val="44"/>
          <w:szCs w:val="44"/>
        </w:rPr>
      </w:pPr>
    </w:p>
    <w:p>
      <w:pPr>
        <w:spacing w:line="600" w:lineRule="exact"/>
        <w:jc w:val="center"/>
        <w:rPr>
          <w:rFonts w:hint="default" w:ascii="Times New Roman" w:hAnsi="Times New Roman" w:eastAsia="黑体" w:cs="Times New Roman"/>
          <w:b w:val="0"/>
          <w:bCs w:val="0"/>
          <w:sz w:val="44"/>
          <w:szCs w:val="44"/>
        </w:rPr>
      </w:pPr>
    </w:p>
    <w:p>
      <w:pPr>
        <w:spacing w:line="600" w:lineRule="exact"/>
        <w:jc w:val="center"/>
        <w:rPr>
          <w:rFonts w:hint="default" w:ascii="Times New Roman" w:hAnsi="Times New Roman" w:eastAsia="黑体" w:cs="Times New Roman"/>
          <w:b w:val="0"/>
          <w:bCs w:val="0"/>
          <w:sz w:val="44"/>
          <w:szCs w:val="44"/>
        </w:rPr>
      </w:pPr>
    </w:p>
    <w:p>
      <w:pPr>
        <w:spacing w:line="600" w:lineRule="exact"/>
        <w:jc w:val="center"/>
        <w:rPr>
          <w:rFonts w:hint="default" w:ascii="Times New Roman" w:hAnsi="Times New Roman" w:eastAsia="黑体" w:cs="Times New Roman"/>
          <w:b w:val="0"/>
          <w:bCs w:val="0"/>
          <w:sz w:val="44"/>
          <w:szCs w:val="44"/>
        </w:rPr>
      </w:pPr>
    </w:p>
    <w:p>
      <w:pPr>
        <w:spacing w:line="600" w:lineRule="exact"/>
        <w:jc w:val="center"/>
        <w:outlineLvl w:val="0"/>
        <w:rPr>
          <w:rStyle w:val="30"/>
          <w:rFonts w:hint="default" w:ascii="Times New Roman" w:hAnsi="Times New Roman" w:eastAsia="方正小标宋简体" w:cs="Times New Roman"/>
          <w:b w:val="0"/>
          <w:bCs w:val="0"/>
        </w:rPr>
      </w:pPr>
      <w:bookmarkStart w:id="73" w:name="_Toc29931"/>
      <w:r>
        <w:rPr>
          <w:rStyle w:val="30"/>
          <w:rFonts w:hint="default" w:ascii="Times New Roman" w:hAnsi="Times New Roman" w:eastAsia="方正小标宋简体" w:cs="Times New Roman"/>
          <w:b w:val="0"/>
          <w:bCs w:val="0"/>
        </w:rPr>
        <w:t>第五部分 附表</w:t>
      </w:r>
      <w:bookmarkEnd w:id="69"/>
      <w:bookmarkEnd w:id="72"/>
      <w:bookmarkEnd w:id="73"/>
      <w:bookmarkStart w:id="74" w:name="_Toc15396619"/>
    </w:p>
    <w:p>
      <w:pPr>
        <w:pStyle w:val="4"/>
        <w:rPr>
          <w:rFonts w:hint="default" w:ascii="Times New Roman" w:hAnsi="Times New Roman" w:eastAsia="仿宋_GB2312" w:cs="Times New Roman"/>
          <w:b w:val="0"/>
          <w:bCs w:val="0"/>
        </w:rPr>
      </w:pPr>
      <w:bookmarkStart w:id="75" w:name="_Toc2201"/>
      <w:r>
        <w:rPr>
          <w:rFonts w:hint="default" w:ascii="Times New Roman" w:hAnsi="Times New Roman" w:eastAsia="仿宋_GB2312" w:cs="Times New Roman"/>
          <w:b w:val="0"/>
          <w:bCs w:val="0"/>
        </w:rPr>
        <w:t>一、收</w:t>
      </w:r>
      <w:r>
        <w:rPr>
          <w:rStyle w:val="31"/>
          <w:rFonts w:hint="default" w:ascii="Times New Roman" w:hAnsi="Times New Roman" w:eastAsia="仿宋_GB2312" w:cs="Times New Roman"/>
          <w:b w:val="0"/>
          <w:bCs w:val="0"/>
        </w:rPr>
        <w:t>入支出决算总表</w:t>
      </w:r>
      <w:bookmarkEnd w:id="74"/>
      <w:bookmarkEnd w:id="75"/>
    </w:p>
    <w:p>
      <w:pPr>
        <w:pStyle w:val="4"/>
        <w:rPr>
          <w:rFonts w:hint="default" w:ascii="Times New Roman" w:hAnsi="Times New Roman" w:eastAsia="仿宋_GB2312" w:cs="Times New Roman"/>
          <w:b w:val="0"/>
          <w:bCs w:val="0"/>
        </w:rPr>
      </w:pPr>
      <w:bookmarkStart w:id="76" w:name="_Toc15396620"/>
      <w:bookmarkStart w:id="77" w:name="_Toc18060"/>
      <w:r>
        <w:rPr>
          <w:rFonts w:hint="default" w:ascii="Times New Roman" w:hAnsi="Times New Roman" w:eastAsia="仿宋_GB2312" w:cs="Times New Roman"/>
          <w:b w:val="0"/>
          <w:bCs w:val="0"/>
        </w:rPr>
        <w:t>二、收</w:t>
      </w:r>
      <w:r>
        <w:rPr>
          <w:rStyle w:val="31"/>
          <w:rFonts w:hint="default" w:ascii="Times New Roman" w:hAnsi="Times New Roman" w:eastAsia="仿宋_GB2312" w:cs="Times New Roman"/>
          <w:b w:val="0"/>
          <w:bCs w:val="0"/>
        </w:rPr>
        <w:t>入决算表</w:t>
      </w:r>
      <w:bookmarkEnd w:id="76"/>
      <w:bookmarkEnd w:id="77"/>
    </w:p>
    <w:p>
      <w:pPr>
        <w:pStyle w:val="4"/>
        <w:rPr>
          <w:rFonts w:hint="default" w:ascii="Times New Roman" w:hAnsi="Times New Roman" w:eastAsia="仿宋_GB2312" w:cs="Times New Roman"/>
          <w:b w:val="0"/>
          <w:bCs w:val="0"/>
        </w:rPr>
      </w:pPr>
      <w:bookmarkStart w:id="78" w:name="_Toc15396621"/>
      <w:bookmarkStart w:id="79" w:name="_Toc11887"/>
      <w:r>
        <w:rPr>
          <w:rStyle w:val="31"/>
          <w:rFonts w:hint="default" w:ascii="Times New Roman" w:hAnsi="Times New Roman" w:eastAsia="仿宋_GB2312" w:cs="Times New Roman"/>
          <w:b w:val="0"/>
          <w:bCs w:val="0"/>
        </w:rPr>
        <w:t>三、</w:t>
      </w:r>
      <w:r>
        <w:rPr>
          <w:rFonts w:hint="default" w:ascii="Times New Roman" w:hAnsi="Times New Roman" w:eastAsia="仿宋_GB2312" w:cs="Times New Roman"/>
          <w:b w:val="0"/>
          <w:bCs w:val="0"/>
        </w:rPr>
        <w:t>支</w:t>
      </w:r>
      <w:r>
        <w:rPr>
          <w:rStyle w:val="31"/>
          <w:rFonts w:hint="default" w:ascii="Times New Roman" w:hAnsi="Times New Roman" w:eastAsia="仿宋_GB2312" w:cs="Times New Roman"/>
          <w:b w:val="0"/>
          <w:bCs w:val="0"/>
        </w:rPr>
        <w:t>出决算表</w:t>
      </w:r>
      <w:bookmarkEnd w:id="78"/>
      <w:bookmarkEnd w:id="79"/>
    </w:p>
    <w:p>
      <w:pPr>
        <w:pStyle w:val="4"/>
        <w:rPr>
          <w:rFonts w:hint="default" w:ascii="Times New Roman" w:hAnsi="Times New Roman" w:eastAsia="仿宋_GB2312" w:cs="Times New Roman"/>
          <w:b w:val="0"/>
          <w:bCs w:val="0"/>
        </w:rPr>
      </w:pPr>
      <w:bookmarkStart w:id="80" w:name="_Toc15396622"/>
      <w:bookmarkStart w:id="81" w:name="_Toc11132"/>
      <w:r>
        <w:rPr>
          <w:rStyle w:val="31"/>
          <w:rFonts w:hint="default" w:ascii="Times New Roman" w:hAnsi="Times New Roman" w:eastAsia="仿宋_GB2312" w:cs="Times New Roman"/>
          <w:b w:val="0"/>
          <w:bCs w:val="0"/>
        </w:rPr>
        <w:t>四、</w:t>
      </w:r>
      <w:r>
        <w:rPr>
          <w:rFonts w:hint="default" w:ascii="Times New Roman" w:hAnsi="Times New Roman" w:eastAsia="仿宋_GB2312" w:cs="Times New Roman"/>
          <w:b w:val="0"/>
          <w:bCs w:val="0"/>
        </w:rPr>
        <w:t>财</w:t>
      </w:r>
      <w:r>
        <w:rPr>
          <w:rStyle w:val="31"/>
          <w:rFonts w:hint="default" w:ascii="Times New Roman" w:hAnsi="Times New Roman" w:eastAsia="仿宋_GB2312" w:cs="Times New Roman"/>
          <w:b w:val="0"/>
          <w:bCs w:val="0"/>
        </w:rPr>
        <w:t>政拨款收入支出决算总表</w:t>
      </w:r>
      <w:bookmarkEnd w:id="80"/>
      <w:bookmarkEnd w:id="81"/>
    </w:p>
    <w:p>
      <w:pPr>
        <w:pStyle w:val="4"/>
        <w:rPr>
          <w:rStyle w:val="31"/>
          <w:rFonts w:hint="default" w:ascii="Times New Roman" w:hAnsi="Times New Roman" w:eastAsia="仿宋_GB2312" w:cs="Times New Roman"/>
          <w:b w:val="0"/>
          <w:bCs w:val="0"/>
        </w:rPr>
      </w:pPr>
      <w:bookmarkStart w:id="82" w:name="_Toc15396623"/>
      <w:bookmarkStart w:id="83" w:name="_Toc2145"/>
      <w:r>
        <w:rPr>
          <w:rStyle w:val="31"/>
          <w:rFonts w:hint="default" w:ascii="Times New Roman" w:hAnsi="Times New Roman" w:eastAsia="仿宋_GB2312" w:cs="Times New Roman"/>
          <w:b w:val="0"/>
          <w:bCs w:val="0"/>
        </w:rPr>
        <w:t>五、</w:t>
      </w:r>
      <w:r>
        <w:rPr>
          <w:rFonts w:hint="default" w:ascii="Times New Roman" w:hAnsi="Times New Roman" w:eastAsia="仿宋_GB2312" w:cs="Times New Roman"/>
          <w:b w:val="0"/>
          <w:bCs w:val="0"/>
        </w:rPr>
        <w:t>财</w:t>
      </w:r>
      <w:r>
        <w:rPr>
          <w:rStyle w:val="31"/>
          <w:rFonts w:hint="default" w:ascii="Times New Roman" w:hAnsi="Times New Roman" w:eastAsia="仿宋_GB2312" w:cs="Times New Roman"/>
          <w:b w:val="0"/>
          <w:bCs w:val="0"/>
        </w:rPr>
        <w:t>政拨款支出决算明细表</w:t>
      </w:r>
      <w:bookmarkEnd w:id="82"/>
      <w:bookmarkEnd w:id="83"/>
      <w:bookmarkStart w:id="84" w:name="_Toc15396624"/>
    </w:p>
    <w:p>
      <w:pPr>
        <w:pStyle w:val="4"/>
        <w:rPr>
          <w:rFonts w:hint="default" w:ascii="Times New Roman" w:hAnsi="Times New Roman" w:eastAsia="仿宋_GB2312" w:cs="Times New Roman"/>
          <w:b w:val="0"/>
          <w:bCs w:val="0"/>
        </w:rPr>
      </w:pPr>
      <w:bookmarkStart w:id="85" w:name="_Toc24320"/>
      <w:r>
        <w:rPr>
          <w:rStyle w:val="31"/>
          <w:rFonts w:hint="default" w:ascii="Times New Roman" w:hAnsi="Times New Roman" w:eastAsia="仿宋_GB2312" w:cs="Times New Roman"/>
          <w:b w:val="0"/>
          <w:bCs w:val="0"/>
        </w:rPr>
        <w:t>六、</w:t>
      </w:r>
      <w:r>
        <w:rPr>
          <w:rFonts w:hint="default" w:ascii="Times New Roman" w:hAnsi="Times New Roman" w:eastAsia="仿宋_GB2312" w:cs="Times New Roman"/>
          <w:b w:val="0"/>
          <w:bCs w:val="0"/>
        </w:rPr>
        <w:t>一</w:t>
      </w:r>
      <w:r>
        <w:rPr>
          <w:rStyle w:val="31"/>
          <w:rFonts w:hint="default" w:ascii="Times New Roman" w:hAnsi="Times New Roman" w:eastAsia="仿宋_GB2312" w:cs="Times New Roman"/>
          <w:b w:val="0"/>
          <w:bCs w:val="0"/>
        </w:rPr>
        <w:t>般公共预算财政拨款支出决算表</w:t>
      </w:r>
      <w:bookmarkEnd w:id="84"/>
      <w:bookmarkEnd w:id="85"/>
    </w:p>
    <w:p>
      <w:pPr>
        <w:pStyle w:val="4"/>
        <w:rPr>
          <w:rFonts w:hint="default" w:ascii="Times New Roman" w:hAnsi="Times New Roman" w:eastAsia="仿宋_GB2312" w:cs="Times New Roman"/>
          <w:b w:val="0"/>
          <w:bCs w:val="0"/>
        </w:rPr>
      </w:pPr>
      <w:bookmarkStart w:id="86" w:name="_Toc15396625"/>
      <w:bookmarkStart w:id="87" w:name="_Toc5868"/>
      <w:r>
        <w:rPr>
          <w:rStyle w:val="31"/>
          <w:rFonts w:hint="default" w:ascii="Times New Roman" w:hAnsi="Times New Roman" w:eastAsia="仿宋_GB2312" w:cs="Times New Roman"/>
          <w:b w:val="0"/>
          <w:bCs w:val="0"/>
        </w:rPr>
        <w:t>七、</w:t>
      </w:r>
      <w:r>
        <w:rPr>
          <w:rFonts w:hint="default" w:ascii="Times New Roman" w:hAnsi="Times New Roman" w:eastAsia="仿宋_GB2312" w:cs="Times New Roman"/>
          <w:b w:val="0"/>
          <w:bCs w:val="0"/>
        </w:rPr>
        <w:t>一</w:t>
      </w:r>
      <w:r>
        <w:rPr>
          <w:rStyle w:val="31"/>
          <w:rFonts w:hint="default" w:ascii="Times New Roman" w:hAnsi="Times New Roman" w:eastAsia="仿宋_GB2312" w:cs="Times New Roman"/>
          <w:b w:val="0"/>
          <w:bCs w:val="0"/>
        </w:rPr>
        <w:t>般公共预算财政拨款支出决算明细表</w:t>
      </w:r>
      <w:bookmarkEnd w:id="86"/>
      <w:bookmarkEnd w:id="87"/>
    </w:p>
    <w:p>
      <w:pPr>
        <w:pStyle w:val="4"/>
        <w:rPr>
          <w:rFonts w:hint="default" w:ascii="Times New Roman" w:hAnsi="Times New Roman" w:eastAsia="仿宋_GB2312" w:cs="Times New Roman"/>
          <w:b w:val="0"/>
          <w:bCs w:val="0"/>
        </w:rPr>
      </w:pPr>
      <w:bookmarkStart w:id="88" w:name="_Toc15396626"/>
      <w:bookmarkStart w:id="89" w:name="_Toc28864"/>
      <w:r>
        <w:rPr>
          <w:rStyle w:val="31"/>
          <w:rFonts w:hint="default" w:ascii="Times New Roman" w:hAnsi="Times New Roman" w:eastAsia="仿宋_GB2312" w:cs="Times New Roman"/>
          <w:b w:val="0"/>
          <w:bCs w:val="0"/>
        </w:rPr>
        <w:t>八、</w:t>
      </w:r>
      <w:r>
        <w:rPr>
          <w:rFonts w:hint="default" w:ascii="Times New Roman" w:hAnsi="Times New Roman" w:eastAsia="仿宋_GB2312" w:cs="Times New Roman"/>
          <w:b w:val="0"/>
          <w:bCs w:val="0"/>
        </w:rPr>
        <w:t>一</w:t>
      </w:r>
      <w:r>
        <w:rPr>
          <w:rStyle w:val="31"/>
          <w:rFonts w:hint="default" w:ascii="Times New Roman" w:hAnsi="Times New Roman" w:eastAsia="仿宋_GB2312" w:cs="Times New Roman"/>
          <w:b w:val="0"/>
          <w:bCs w:val="0"/>
        </w:rPr>
        <w:t>般公共预算财政拨款基本支出决算表</w:t>
      </w:r>
      <w:bookmarkEnd w:id="88"/>
      <w:bookmarkEnd w:id="89"/>
    </w:p>
    <w:p>
      <w:pPr>
        <w:pStyle w:val="4"/>
        <w:rPr>
          <w:rFonts w:hint="default" w:ascii="Times New Roman" w:hAnsi="Times New Roman" w:eastAsia="仿宋_GB2312" w:cs="Times New Roman"/>
          <w:b w:val="0"/>
          <w:bCs w:val="0"/>
        </w:rPr>
      </w:pPr>
      <w:bookmarkStart w:id="90" w:name="_Toc15396627"/>
      <w:bookmarkStart w:id="91" w:name="_Toc32688"/>
      <w:r>
        <w:rPr>
          <w:rStyle w:val="31"/>
          <w:rFonts w:hint="default" w:ascii="Times New Roman" w:hAnsi="Times New Roman" w:eastAsia="仿宋_GB2312" w:cs="Times New Roman"/>
          <w:b w:val="0"/>
          <w:bCs w:val="0"/>
        </w:rPr>
        <w:t>九、</w:t>
      </w:r>
      <w:r>
        <w:rPr>
          <w:rFonts w:hint="default" w:ascii="Times New Roman" w:hAnsi="Times New Roman" w:eastAsia="仿宋_GB2312" w:cs="Times New Roman"/>
          <w:b w:val="0"/>
          <w:bCs w:val="0"/>
        </w:rPr>
        <w:t>一</w:t>
      </w:r>
      <w:r>
        <w:rPr>
          <w:rStyle w:val="31"/>
          <w:rFonts w:hint="default" w:ascii="Times New Roman" w:hAnsi="Times New Roman" w:eastAsia="仿宋_GB2312" w:cs="Times New Roman"/>
          <w:b w:val="0"/>
          <w:bCs w:val="0"/>
        </w:rPr>
        <w:t>般公共预算财政拨款项目支出决算表</w:t>
      </w:r>
      <w:bookmarkEnd w:id="90"/>
      <w:bookmarkEnd w:id="91"/>
    </w:p>
    <w:p>
      <w:pPr>
        <w:pStyle w:val="4"/>
        <w:rPr>
          <w:rFonts w:hint="default" w:ascii="Times New Roman" w:hAnsi="Times New Roman" w:eastAsia="仿宋_GB2312" w:cs="Times New Roman"/>
          <w:b w:val="0"/>
          <w:bCs w:val="0"/>
        </w:rPr>
      </w:pPr>
      <w:bookmarkStart w:id="92" w:name="_Toc15396628"/>
      <w:bookmarkStart w:id="93" w:name="_Toc23051"/>
      <w:r>
        <w:rPr>
          <w:rStyle w:val="31"/>
          <w:rFonts w:hint="default" w:ascii="Times New Roman" w:hAnsi="Times New Roman" w:eastAsia="仿宋_GB2312" w:cs="Times New Roman"/>
          <w:b w:val="0"/>
          <w:bCs w:val="0"/>
        </w:rPr>
        <w:t>十、</w:t>
      </w:r>
      <w:bookmarkEnd w:id="92"/>
      <w:r>
        <w:rPr>
          <w:rFonts w:hint="default" w:ascii="Times New Roman" w:hAnsi="Times New Roman" w:eastAsia="仿宋_GB2312" w:cs="Times New Roman"/>
          <w:b w:val="0"/>
          <w:bCs w:val="0"/>
        </w:rPr>
        <w:t>政</w:t>
      </w:r>
      <w:r>
        <w:rPr>
          <w:rStyle w:val="31"/>
          <w:rFonts w:hint="default" w:ascii="Times New Roman" w:hAnsi="Times New Roman" w:eastAsia="仿宋_GB2312" w:cs="Times New Roman"/>
          <w:b w:val="0"/>
          <w:bCs w:val="0"/>
        </w:rPr>
        <w:t>府性基金预算财政拨款收入支出决算表</w:t>
      </w:r>
      <w:bookmarkEnd w:id="93"/>
    </w:p>
    <w:p>
      <w:pPr>
        <w:pStyle w:val="4"/>
        <w:rPr>
          <w:rFonts w:hint="default" w:ascii="Times New Roman" w:hAnsi="Times New Roman" w:eastAsia="仿宋_GB2312" w:cs="Times New Roman"/>
          <w:b w:val="0"/>
          <w:bCs w:val="0"/>
        </w:rPr>
      </w:pPr>
      <w:bookmarkStart w:id="94" w:name="_Toc15396629"/>
      <w:bookmarkStart w:id="95" w:name="_Toc24618"/>
      <w:r>
        <w:rPr>
          <w:rStyle w:val="31"/>
          <w:rFonts w:hint="default" w:ascii="Times New Roman" w:hAnsi="Times New Roman" w:eastAsia="仿宋_GB2312" w:cs="Times New Roman"/>
          <w:b w:val="0"/>
          <w:bCs w:val="0"/>
        </w:rPr>
        <w:t>十一、</w:t>
      </w:r>
      <w:bookmarkEnd w:id="94"/>
      <w:r>
        <w:rPr>
          <w:rFonts w:hint="default" w:ascii="Times New Roman" w:hAnsi="Times New Roman" w:eastAsia="仿宋_GB2312" w:cs="Times New Roman"/>
          <w:b w:val="0"/>
          <w:bCs w:val="0"/>
        </w:rPr>
        <w:t>国</w:t>
      </w:r>
      <w:r>
        <w:rPr>
          <w:rStyle w:val="31"/>
          <w:rFonts w:hint="default" w:ascii="Times New Roman" w:hAnsi="Times New Roman" w:eastAsia="仿宋_GB2312" w:cs="Times New Roman"/>
          <w:b w:val="0"/>
          <w:bCs w:val="0"/>
        </w:rPr>
        <w:t>有资本经营预算财政拨款收入支出决算表</w:t>
      </w:r>
      <w:bookmarkEnd w:id="95"/>
    </w:p>
    <w:p>
      <w:pPr>
        <w:pStyle w:val="4"/>
        <w:rPr>
          <w:rFonts w:hint="default" w:ascii="Times New Roman" w:hAnsi="Times New Roman" w:eastAsia="仿宋_GB2312" w:cs="Times New Roman"/>
          <w:b w:val="0"/>
          <w:bCs w:val="0"/>
        </w:rPr>
      </w:pPr>
      <w:bookmarkStart w:id="96" w:name="_Toc15396630"/>
      <w:bookmarkStart w:id="97" w:name="_Toc20014"/>
      <w:r>
        <w:rPr>
          <w:rStyle w:val="31"/>
          <w:rFonts w:hint="default" w:ascii="Times New Roman" w:hAnsi="Times New Roman" w:eastAsia="仿宋_GB2312" w:cs="Times New Roman"/>
          <w:b w:val="0"/>
          <w:bCs w:val="0"/>
        </w:rPr>
        <w:t>十二、</w:t>
      </w:r>
      <w:bookmarkEnd w:id="96"/>
      <w:r>
        <w:rPr>
          <w:rStyle w:val="31"/>
          <w:rFonts w:hint="default" w:ascii="Times New Roman" w:hAnsi="Times New Roman" w:eastAsia="仿宋_GB2312" w:cs="Times New Roman"/>
          <w:b w:val="0"/>
          <w:bCs w:val="0"/>
        </w:rPr>
        <w:t>国有资本经营预算财政拨款支出决算表</w:t>
      </w:r>
      <w:bookmarkEnd w:id="97"/>
    </w:p>
    <w:p>
      <w:pPr>
        <w:pStyle w:val="4"/>
        <w:rPr>
          <w:rFonts w:hint="default" w:ascii="Times New Roman" w:hAnsi="Times New Roman" w:eastAsia="仿宋_GB2312" w:cs="Times New Roman"/>
          <w:b w:val="0"/>
          <w:bCs w:val="0"/>
        </w:rPr>
      </w:pPr>
      <w:bookmarkStart w:id="98" w:name="_Toc15396631"/>
      <w:bookmarkStart w:id="99" w:name="_Toc810"/>
      <w:r>
        <w:rPr>
          <w:rStyle w:val="31"/>
          <w:rFonts w:hint="default" w:ascii="Times New Roman" w:hAnsi="Times New Roman" w:eastAsia="仿宋_GB2312" w:cs="Times New Roman"/>
          <w:b w:val="0"/>
          <w:bCs w:val="0"/>
        </w:rPr>
        <w:t>十三、</w:t>
      </w:r>
      <w:bookmarkEnd w:id="98"/>
      <w:r>
        <w:rPr>
          <w:rStyle w:val="31"/>
          <w:rFonts w:hint="default" w:ascii="Times New Roman" w:hAnsi="Times New Roman" w:eastAsia="仿宋_GB2312" w:cs="Times New Roman"/>
          <w:b w:val="0"/>
          <w:bCs w:val="0"/>
        </w:rPr>
        <w:t>财政拨款“三公”经费支出决算表</w:t>
      </w:r>
      <w:bookmarkEnd w:id="99"/>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p>
            </w:txbxContent>
          </v:textbox>
        </v:shape>
      </w:pic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yZmU0YzdjYzM0ZGRjZmI3YTA5ZDIxYjNmNTRhMmYifQ=="/>
    <w:docVar w:name="KSO_WPS_MARK_KEY" w:val="b244769a-055c-4597-9d7b-4d5db97d0a80"/>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6131"/>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4FDF"/>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7BC2"/>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058C"/>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930EF"/>
    <w:rsid w:val="03DC2831"/>
    <w:rsid w:val="04A46CA4"/>
    <w:rsid w:val="04F217BD"/>
    <w:rsid w:val="0678282D"/>
    <w:rsid w:val="08031F33"/>
    <w:rsid w:val="081B5E94"/>
    <w:rsid w:val="0A2032A3"/>
    <w:rsid w:val="0B8A37D8"/>
    <w:rsid w:val="0CC10ACB"/>
    <w:rsid w:val="0CE13E9A"/>
    <w:rsid w:val="0F5FFB2F"/>
    <w:rsid w:val="0FFFCF60"/>
    <w:rsid w:val="10C055FF"/>
    <w:rsid w:val="118107EC"/>
    <w:rsid w:val="11DD6519"/>
    <w:rsid w:val="12F65D1E"/>
    <w:rsid w:val="150D4EA8"/>
    <w:rsid w:val="16BB723D"/>
    <w:rsid w:val="17B04912"/>
    <w:rsid w:val="17FD3235"/>
    <w:rsid w:val="18015F3F"/>
    <w:rsid w:val="1AB33C6D"/>
    <w:rsid w:val="1BE8440E"/>
    <w:rsid w:val="1D155CEE"/>
    <w:rsid w:val="1E91434A"/>
    <w:rsid w:val="1FDBBF84"/>
    <w:rsid w:val="20F57F95"/>
    <w:rsid w:val="21D42F5C"/>
    <w:rsid w:val="240371BF"/>
    <w:rsid w:val="25711CC6"/>
    <w:rsid w:val="25C741E6"/>
    <w:rsid w:val="276F80C0"/>
    <w:rsid w:val="27842671"/>
    <w:rsid w:val="29FD04D3"/>
    <w:rsid w:val="2ABE7A3E"/>
    <w:rsid w:val="2AFF09B6"/>
    <w:rsid w:val="2CA234A8"/>
    <w:rsid w:val="2E775892"/>
    <w:rsid w:val="2EFA178C"/>
    <w:rsid w:val="2EFDF86C"/>
    <w:rsid w:val="2F9D17E1"/>
    <w:rsid w:val="30B46D73"/>
    <w:rsid w:val="319F7F4E"/>
    <w:rsid w:val="331711FE"/>
    <w:rsid w:val="336C4524"/>
    <w:rsid w:val="356A28F1"/>
    <w:rsid w:val="357C035A"/>
    <w:rsid w:val="368E000D"/>
    <w:rsid w:val="383D272C"/>
    <w:rsid w:val="39AE70AB"/>
    <w:rsid w:val="3A4DCE41"/>
    <w:rsid w:val="3BCB56FA"/>
    <w:rsid w:val="3C0C0783"/>
    <w:rsid w:val="3C515644"/>
    <w:rsid w:val="3EE7C2F4"/>
    <w:rsid w:val="3F371B56"/>
    <w:rsid w:val="3F792ED8"/>
    <w:rsid w:val="3F9F3A96"/>
    <w:rsid w:val="3FECA4B2"/>
    <w:rsid w:val="3FF58C48"/>
    <w:rsid w:val="42FF6694"/>
    <w:rsid w:val="432B59D9"/>
    <w:rsid w:val="44580625"/>
    <w:rsid w:val="48BF60AB"/>
    <w:rsid w:val="493C27E9"/>
    <w:rsid w:val="496F39ED"/>
    <w:rsid w:val="49FF41D3"/>
    <w:rsid w:val="4A4A0D21"/>
    <w:rsid w:val="4BE068DB"/>
    <w:rsid w:val="4BF6002B"/>
    <w:rsid w:val="4BFFC6BE"/>
    <w:rsid w:val="4E1F5021"/>
    <w:rsid w:val="4ECE2238"/>
    <w:rsid w:val="508D6A10"/>
    <w:rsid w:val="50EB0EAC"/>
    <w:rsid w:val="51DB4B86"/>
    <w:rsid w:val="51F64DB0"/>
    <w:rsid w:val="52AC3B90"/>
    <w:rsid w:val="54C24FE7"/>
    <w:rsid w:val="55333C3E"/>
    <w:rsid w:val="55572544"/>
    <w:rsid w:val="5F67802D"/>
    <w:rsid w:val="5F7DC4F2"/>
    <w:rsid w:val="5FB36814"/>
    <w:rsid w:val="5FBB8E56"/>
    <w:rsid w:val="5FD83021"/>
    <w:rsid w:val="5FFB5535"/>
    <w:rsid w:val="63135A6C"/>
    <w:rsid w:val="641A731B"/>
    <w:rsid w:val="64CA39A1"/>
    <w:rsid w:val="69630ADE"/>
    <w:rsid w:val="69BD5F13"/>
    <w:rsid w:val="69FB0B4B"/>
    <w:rsid w:val="6BFFE1FB"/>
    <w:rsid w:val="6C4A05C8"/>
    <w:rsid w:val="6CC3587D"/>
    <w:rsid w:val="6D3B1A89"/>
    <w:rsid w:val="6DB7D8A3"/>
    <w:rsid w:val="6EC78701"/>
    <w:rsid w:val="6F1E4BFC"/>
    <w:rsid w:val="6F7A5481"/>
    <w:rsid w:val="6F8F58A7"/>
    <w:rsid w:val="6FFE07A9"/>
    <w:rsid w:val="71BF4EC2"/>
    <w:rsid w:val="72734D90"/>
    <w:rsid w:val="72FF2D63"/>
    <w:rsid w:val="73E75B71"/>
    <w:rsid w:val="7412278C"/>
    <w:rsid w:val="75DDCDA9"/>
    <w:rsid w:val="75FF44B1"/>
    <w:rsid w:val="77670518"/>
    <w:rsid w:val="777FA627"/>
    <w:rsid w:val="77DF1B5F"/>
    <w:rsid w:val="77EF2D9D"/>
    <w:rsid w:val="799B3613"/>
    <w:rsid w:val="79E7B28D"/>
    <w:rsid w:val="79FD0865"/>
    <w:rsid w:val="7A2D7852"/>
    <w:rsid w:val="7ACFF0C2"/>
    <w:rsid w:val="7AFB9108"/>
    <w:rsid w:val="7BD5340C"/>
    <w:rsid w:val="7BFB19D2"/>
    <w:rsid w:val="7BFD1750"/>
    <w:rsid w:val="7BFDAA1B"/>
    <w:rsid w:val="7C6B48A3"/>
    <w:rsid w:val="7CDF9A82"/>
    <w:rsid w:val="7CFFA1BD"/>
    <w:rsid w:val="7D2E3F7A"/>
    <w:rsid w:val="7D6B63F9"/>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5352F"/>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15">
    <w:name w:val="Body Text First Indent"/>
    <w:qFormat/>
    <w:uiPriority w:val="99"/>
    <w:pPr>
      <w:widowControl w:val="0"/>
      <w:ind w:left="492" w:firstLine="420" w:firstLineChars="100"/>
      <w:jc w:val="both"/>
    </w:pPr>
    <w:rPr>
      <w:rFonts w:ascii="微软雅黑" w:hAnsi="微软雅黑" w:eastAsia="微软雅黑" w:cs="微软雅黑"/>
      <w:b/>
      <w:bCs/>
      <w:kern w:val="2"/>
      <w:sz w:val="32"/>
      <w:szCs w:val="32"/>
      <w:lang w:val="zh-CN" w:eastAsia="zh-CN" w:bidi="zh-CN"/>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BAK\&#26700;&#38754;\&#38468;&#20214;2.2023&#24180;&#37096;&#38376;(&#21333;&#20301;)&#20915;&#31639;&#20844;&#24320;&#32534;&#21046;&#36164;&#26009;\&#38468;&#20214;2.5-&#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K\&#26700;&#38754;\&#38468;&#20214;2.2023&#24180;&#37096;&#38376;(&#21333;&#20301;)&#20915;&#31639;&#20844;&#24320;&#32534;&#21046;&#36164;&#26009;\&#38468;&#20214;2.5-&#20316;&#21442;&#32771;&#65306;&#39292;&#29366;&#65288;&#30452;&#26041;&#65289;&#22270;&#32472;&#21046;&#26041;&#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K\&#26700;&#38754;\&#38468;&#20214;2.2023&#24180;&#37096;&#38376;(&#21333;&#20301;)&#20915;&#31639;&#20844;&#24320;&#32534;&#21046;&#36164;&#26009;\&#38468;&#20214;2.5-&#20316;&#21442;&#32771;&#65306;&#39292;&#29366;&#65288;&#30452;&#26041;&#65289;&#22270;&#32472;&#21046;&#26041;&#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K\&#26700;&#38754;\&#38468;&#20214;2.2023&#24180;&#37096;&#38376;(&#21333;&#20301;)&#20915;&#31639;&#20844;&#24320;&#32534;&#21046;&#36164;&#26009;\&#38468;&#20214;2.5-&#20316;&#21442;&#32771;&#65306;&#39292;&#29366;&#65288;&#30452;&#26041;&#65289;&#22270;&#32472;&#21046;&#26041;&#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K\&#26700;&#38754;\&#38468;&#20214;2.2023&#24180;&#37096;&#38376;(&#21333;&#20301;)&#20915;&#31639;&#20844;&#24320;&#32534;&#21046;&#36164;&#26009;\&#38468;&#20214;2.5-&#20316;&#21442;&#32771;&#65306;&#39292;&#29366;&#65288;&#30452;&#26041;&#65289;&#22270;&#32472;&#21046;&#26041;&#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K\&#26700;&#38754;\&#38468;&#20214;2.2023&#24180;&#37096;&#38376;(&#21333;&#20301;)&#20915;&#31639;&#20844;&#24320;&#32534;&#21046;&#36164;&#26009;\&#38468;&#20214;2.5-&#20316;&#21442;&#32771;&#65306;&#39292;&#29366;&#65288;&#30452;&#26041;&#65289;&#22270;&#32472;&#21046;&#26041;&#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K\&#26700;&#38754;\&#38468;&#20214;2.2023&#24180;&#37096;&#38376;(&#21333;&#20301;)&#20915;&#31639;&#20844;&#24320;&#32534;&#21046;&#36164;&#26009;\&#38468;&#20214;2.5-&#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沐川县黄丹镇人民政府收、支决算总计变动情况</a:t>
            </a:r>
          </a:p>
        </c:rich>
      </c:tx>
      <c:layout/>
      <c:overlay val="0"/>
      <c:spPr>
        <a:noFill/>
        <a:ln w="3175">
          <a:noFill/>
        </a:ln>
      </c:spPr>
    </c:title>
    <c:autoTitleDeleted val="0"/>
    <c:plotArea>
      <c:layout/>
      <c:barChart>
        <c:barDir val="col"/>
        <c:grouping val="clustered"/>
        <c:varyColors val="0"/>
        <c:ser>
          <c:idx val="0"/>
          <c:order val="0"/>
          <c:tx>
            <c:strRef>
              <c:f>'[附件2.5-作参考：饼状（直方）图绘制方法.xls]收支决算总计变动情况-图1'!$A$4</c:f>
              <c:strCache>
                <c:ptCount val="1"/>
                <c:pt idx="0">
                  <c:v>沐川县黄丹镇人民政府收、支决算总计变动情况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6132013201321"/>
                  <c:y val="0.22300024242424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a:t>1636.82</a:t>
                    </a:r>
                    <a:endParaRPr lang="en-US" alt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8726072607265"/>
                  <c:y val="0.34296872727272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a:t>2140.32</a:t>
                    </a:r>
                    <a:endParaRPr lang="en-US" alt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'[附件2.5-作参考：饼状（直方）图绘制方法.xls]收支决算总计变动情况-图1'!$A$1:$B$1</c:f>
              <c:strCache>
                <c:ptCount val="2"/>
                <c:pt idx="0">
                  <c:v>2023年收支</c:v>
                </c:pt>
                <c:pt idx="1">
                  <c:v>2022年收支</c:v>
                </c:pt>
              </c:strCache>
            </c:strRef>
          </c:cat>
          <c:val>
            <c:numRef>
              <c:f>'[附件2.5-作参考：饼状（直方）图绘制方法.xls]收支决算总计变动情况-图1'!$A$2:$B$2</c:f>
              <c:numCache>
                <c:formatCode>General</c:formatCode>
                <c:ptCount val="2"/>
                <c:pt idx="0">
                  <c:v>1636.82</c:v>
                </c:pt>
                <c:pt idx="1">
                  <c:v>2140.32</c:v>
                </c:pt>
              </c:numCache>
            </c:numRef>
          </c:val>
        </c:ser>
        <c:dLbls>
          <c:showLegendKey val="0"/>
          <c:showVal val="1"/>
          <c:showCatName val="0"/>
          <c:showSerName val="0"/>
          <c:showPercent val="0"/>
          <c:showBubbleSize val="0"/>
        </c:dLbls>
        <c:gapWidth val="150"/>
        <c:axId val="102722944"/>
        <c:axId val="102732928"/>
      </c:barChart>
      <c:catAx>
        <c:axId val="102722944"/>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02732928"/>
        <c:crosses val="autoZero"/>
        <c:auto val="1"/>
        <c:lblAlgn val="ctr"/>
        <c:lblOffset val="100"/>
        <c:noMultiLvlLbl val="0"/>
      </c:catAx>
      <c:valAx>
        <c:axId val="102732928"/>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2722944"/>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125"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17275"/>
          <c:y val="0.277"/>
          <c:w val="0.3375"/>
          <c:h val="0.56075"/>
        </c:manualLayout>
      </c:layout>
      <c:pieChart>
        <c:varyColors val="1"/>
        <c:ser>
          <c:idx val="0"/>
          <c:order val="0"/>
          <c:tx>
            <c:strRef>
              <c:f>'[附件2.5-作参考：饼状（直方）图绘制方法.xls]收入决算结构-图2-1'!$A$5</c:f>
              <c:strCache>
                <c:ptCount val="1"/>
                <c:pt idx="0">
                  <c:v>沐川县黄丹镇人民政府2023年收入决算结构图</c:v>
                </c:pt>
              </c:strCache>
            </c:strRef>
          </c:tx>
          <c:spPr>
            <a:solidFill>
              <a:srgbClr val="9999FF">
                <a:alpha val="100000"/>
              </a:srgbClr>
            </a:solidFill>
            <a:ln w="12700">
              <a:solidFill>
                <a:srgbClr val="000000">
                  <a:alpha val="100000"/>
                </a:srgbClr>
              </a:solidFill>
              <a:prstDash val="solid"/>
            </a:ln>
          </c:spPr>
          <c:explosion val="0"/>
          <c:dPt>
            <c:idx val="0"/>
            <c:bubble3D val="0"/>
            <c:spPr>
              <a:solidFill>
                <a:srgbClr val="9999FF">
                  <a:alpha val="100000"/>
                </a:srgbClr>
              </a:solidFill>
              <a:ln w="3175">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Lbls>
            <c:numFmt formatCode="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'[附件2.5-作参考：饼状（直方）图绘制方法.xls]收入决算结构-图2-1'!$A$1:$B$1</c:f>
              <c:strCache>
                <c:ptCount val="2"/>
                <c:pt idx="0">
                  <c:v>一般公共预算财政拨款收入</c:v>
                </c:pt>
                <c:pt idx="1">
                  <c:v>其他收入</c:v>
                </c:pt>
              </c:strCache>
            </c:strRef>
          </c:cat>
          <c:val>
            <c:numRef>
              <c:f>'[附件2.5-作参考：饼状（直方）图绘制方法.xls]收入决算结构-图2-1'!$A$2:$B$2</c:f>
              <c:numCache>
                <c:formatCode>General</c:formatCode>
                <c:ptCount val="2"/>
                <c:pt idx="0">
                  <c:v>1536.8</c:v>
                </c:pt>
                <c:pt idx="1">
                  <c:v>14.93</c:v>
                </c:pt>
              </c:numCache>
            </c:numRef>
          </c:val>
        </c:ser>
        <c:dLbls>
          <c:showLegendKey val="0"/>
          <c:showVal val="0"/>
          <c:showCatName val="0"/>
          <c:showSerName val="0"/>
          <c:showPercent val="1"/>
          <c:showBubbleSize val="0"/>
          <c:showLeaderLines val="1"/>
        </c:dLbls>
        <c:firstSliceAng val="0"/>
      </c:pieChart>
      <c:spPr>
        <a:noFill/>
        <a:ln w="3175">
          <a:noFill/>
        </a:ln>
      </c:spPr>
    </c:plotArea>
    <c:legend>
      <c:legendPos val="r"/>
      <c:layout>
        <c:manualLayout>
          <c:xMode val="edge"/>
          <c:yMode val="edge"/>
          <c:x val="0.575"/>
          <c:y val="0.44025"/>
          <c:w val="0.41425"/>
          <c:h val="0.2435"/>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2575"/>
          <c:y val="0.277"/>
          <c:w val="0.33325"/>
          <c:h val="0.56425"/>
        </c:manualLayout>
      </c:layout>
      <c:pieChart>
        <c:varyColors val="1"/>
        <c:ser>
          <c:idx val="0"/>
          <c:order val="0"/>
          <c:tx>
            <c:strRef>
              <c:f>'[附件2.5-作参考：饼状（直方）图绘制方法.xls]支出决算结构-图3'!$A$9</c:f>
              <c:strCache>
                <c:ptCount val="1"/>
                <c:pt idx="0">
                  <c:v>沐川县黄丹镇人民政府2023年支出决算结构图</c:v>
                </c:pt>
              </c:strCache>
            </c:strRef>
          </c:tx>
          <c:spPr>
            <a:solidFill>
              <a:srgbClr val="9999FF">
                <a:alpha val="100000"/>
              </a:srgbClr>
            </a:solidFill>
            <a:ln w="12700">
              <a:solidFill>
                <a:srgbClr val="000000">
                  <a:alpha val="100000"/>
                </a:srgbClr>
              </a:solidFill>
              <a:prstDash val="solid"/>
            </a:ln>
          </c:spPr>
          <c:explosion val="25"/>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Lbls>
            <c:numFmt formatCode="0.00%" sourceLinked="0"/>
            <c:spPr>
              <a:noFill/>
              <a:ln w="3175">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'[附件2.5-作参考：饼状（直方）图绘制方法.xls]支出决算结构-图3'!$A$1:$B$1</c:f>
              <c:strCache>
                <c:ptCount val="2"/>
                <c:pt idx="0">
                  <c:v>基本支出</c:v>
                </c:pt>
                <c:pt idx="1">
                  <c:v>项目支出</c:v>
                </c:pt>
              </c:strCache>
            </c:strRef>
          </c:cat>
          <c:val>
            <c:numRef>
              <c:f>'[附件2.5-作参考：饼状（直方）图绘制方法.xls]支出决算结构-图3'!$A$4:$B$4</c:f>
              <c:numCache>
                <c:formatCode>0.00%</c:formatCode>
                <c:ptCount val="2"/>
                <c:pt idx="0">
                  <c:v>0.5809</c:v>
                </c:pt>
                <c:pt idx="1">
                  <c:v>0.4191</c:v>
                </c:pt>
              </c:numCache>
            </c:numRef>
          </c:val>
        </c:ser>
        <c:dLbls>
          <c:showLegendKey val="0"/>
          <c:showVal val="0"/>
          <c:showCatName val="0"/>
          <c:showSerName val="0"/>
          <c:showPercent val="1"/>
          <c:showBubbleSize val="0"/>
          <c:showLeaderLines val="1"/>
        </c:dLbls>
        <c:firstSliceAng val="0"/>
      </c:pieChart>
      <c:spPr>
        <a:noFill/>
        <a:ln w="3175">
          <a:noFill/>
        </a:ln>
      </c:spPr>
    </c:plotArea>
    <c:legend>
      <c:legendPos val="r"/>
      <c:layout>
        <c:manualLayout>
          <c:xMode val="edge"/>
          <c:yMode val="edge"/>
          <c:x val="0.7905"/>
          <c:y val="0.456"/>
          <c:w val="0.1655"/>
          <c:h val="0.13525"/>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barChart>
        <c:barDir val="col"/>
        <c:grouping val="clustered"/>
        <c:varyColors val="0"/>
        <c:ser>
          <c:idx val="0"/>
          <c:order val="0"/>
          <c:tx>
            <c:strRef>
              <c:f>'[附件2.5-作参考：饼状（直方）图绘制方法.xls]财政拨款收支决算总计变动情况-图4'!$A$4</c:f>
              <c:strCache>
                <c:ptCount val="1"/>
                <c:pt idx="0">
                  <c:v>沐川县黄丹镇人民政府财政拨款收、支决算总计变动情况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832134292566"/>
                  <c:y val="0.2172101010101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8076738609113"/>
                  <c:y val="0.3340636363636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'[附件2.5-作参考：饼状（直方）图绘制方法.xls]财政拨款收支决算总计变动情况-图4'!$A$1:$B$1</c:f>
              <c:strCache>
                <c:ptCount val="2"/>
                <c:pt idx="0">
                  <c:v>2022年财政拨款收支</c:v>
                </c:pt>
                <c:pt idx="1">
                  <c:v>2023年财政拨款收支</c:v>
                </c:pt>
              </c:strCache>
            </c:strRef>
          </c:cat>
          <c:val>
            <c:numRef>
              <c:f>'[附件2.5-作参考：饼状（直方）图绘制方法.xls]财政拨款收支决算总计变动情况-图4'!$A$2:$B$2</c:f>
              <c:numCache>
                <c:formatCode>General</c:formatCode>
                <c:ptCount val="2"/>
                <c:pt idx="0">
                  <c:v>2138.88</c:v>
                </c:pt>
                <c:pt idx="1">
                  <c:v>1621.89</c:v>
                </c:pt>
              </c:numCache>
            </c:numRef>
          </c:val>
        </c:ser>
        <c:dLbls>
          <c:showLegendKey val="0"/>
          <c:showVal val="1"/>
          <c:showCatName val="0"/>
          <c:showSerName val="0"/>
          <c:showPercent val="0"/>
          <c:showBubbleSize val="0"/>
        </c:dLbls>
        <c:gapWidth val="150"/>
        <c:axId val="111069824"/>
        <c:axId val="111128960"/>
      </c:barChart>
      <c:catAx>
        <c:axId val="111069824"/>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11128960"/>
        <c:crosses val="autoZero"/>
        <c:auto val="1"/>
        <c:lblAlgn val="ctr"/>
        <c:lblOffset val="100"/>
        <c:noMultiLvlLbl val="0"/>
      </c:catAx>
      <c:valAx>
        <c:axId val="111128960"/>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1069824"/>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沐川县黄丹镇人民政府一般公共预算财政拨款支出决算变动情况</a:t>
            </a:r>
            <a:endParaRPr sz="11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084"/>
          <c:y val="0.2285"/>
          <c:w val="0.832"/>
          <c:h val="0.68175"/>
        </c:manualLayout>
      </c:layout>
      <c:barChart>
        <c:barDir val="col"/>
        <c:grouping val="clustered"/>
        <c:varyColors val="0"/>
        <c:ser>
          <c:idx val="0"/>
          <c:order val="0"/>
          <c:spPr>
            <a:solidFill>
              <a:srgbClr val="9999FF">
                <a:alpha val="100000"/>
              </a:srgbClr>
            </a:solidFill>
            <a:ln w="12700">
              <a:solidFill>
                <a:srgbClr val="000000">
                  <a:alpha val="100000"/>
                </a:srgbClr>
              </a:solidFill>
              <a:prstDash val="solid"/>
            </a:ln>
          </c:spPr>
          <c:invertIfNegative val="0"/>
          <c:dLbls>
            <c:dLbl>
              <c:idx val="0"/>
              <c:layout>
                <c:manualLayout>
                  <c:x val="0"/>
                  <c:y val="0.24406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48799999999998"/>
                  <c:y val="0.34769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'[附件2.5-作参考：饼状（直方）图绘制方法.xls]一般公共预算财政拨款支出决算变动情况-图5'!$A$1:$B$1</c:f>
              <c:strCache>
                <c:ptCount val="2"/>
                <c:pt idx="0">
                  <c:v>2022年一般公共预算财政拨款支出</c:v>
                </c:pt>
                <c:pt idx="1">
                  <c:v>2023年一般公共预算财政拨款支出</c:v>
                </c:pt>
              </c:strCache>
            </c:strRef>
          </c:cat>
          <c:val>
            <c:numRef>
              <c:f>'[附件2.5-作参考：饼状（直方）图绘制方法.xls]一般公共预算财政拨款支出决算变动情况-图5'!$A$2:$B$2</c:f>
              <c:numCache>
                <c:formatCode>General</c:formatCode>
                <c:ptCount val="2"/>
                <c:pt idx="0">
                  <c:v>2120.57</c:v>
                </c:pt>
                <c:pt idx="1" c:formatCode="#,##0.00">
                  <c:v>1621.89</c:v>
                </c:pt>
              </c:numCache>
            </c:numRef>
          </c:val>
        </c:ser>
        <c:dLbls>
          <c:showLegendKey val="0"/>
          <c:showVal val="1"/>
          <c:showCatName val="0"/>
          <c:showSerName val="0"/>
          <c:showPercent val="0"/>
          <c:showBubbleSize val="0"/>
        </c:dLbls>
        <c:gapWidth val="150"/>
        <c:axId val="112078848"/>
        <c:axId val="112080384"/>
      </c:barChart>
      <c:catAx>
        <c:axId val="112078848"/>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12080384"/>
        <c:crosses val="autoZero"/>
        <c:auto val="1"/>
        <c:lblAlgn val="ctr"/>
        <c:lblOffset val="100"/>
        <c:noMultiLvlLbl val="0"/>
      </c:catAx>
      <c:valAx>
        <c:axId val="112080384"/>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2078848"/>
        <c:crosses val="autoZero"/>
        <c:crossBetween val="between"/>
      </c:valAx>
      <c:spPr>
        <a:noFill/>
        <a:ln w="3175">
          <a:noFill/>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沐川县黄丹镇人民政府一般公共预算财政拨款支出决算结构图</a:t>
            </a:r>
            <a:endParaRPr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 val="-0.009"/>
          <c:y val="-0.01025"/>
        </c:manualLayout>
      </c:layout>
      <c:overlay val="0"/>
      <c:spPr>
        <a:noFill/>
        <a:ln w="3175">
          <a:noFill/>
        </a:ln>
      </c:spPr>
    </c:title>
    <c:autoTitleDeleted val="0"/>
    <c:plotArea>
      <c:layout>
        <c:manualLayout>
          <c:layoutTarget val="inner"/>
          <c:xMode val="edge"/>
          <c:yMode val="edge"/>
          <c:x val="0.1005"/>
          <c:y val="0.24925"/>
          <c:w val="0.445"/>
          <c:h val="0.67875"/>
        </c:manualLayout>
      </c:layout>
      <c:pieChart>
        <c:varyColors val="1"/>
        <c:ser>
          <c:idx val="0"/>
          <c:order val="0"/>
          <c:tx>
            <c:strRef>
              <c:f>'[附件2.5-作参考：饼状（直方）图绘制方法.xls]一般公共预算财政拨款支出决算结构-图6'!$A$8</c:f>
              <c:strCache>
                <c:ptCount val="1"/>
                <c:pt idx="0">
                  <c:v>沐川县黄丹镇人民政府一般公共预算财政拨款支出决算结构图</c:v>
                </c:pt>
              </c:strCache>
            </c:strRef>
          </c:tx>
          <c:spPr>
            <a:solidFill>
              <a:srgbClr val="9999FF">
                <a:alpha val="100000"/>
              </a:srgbClr>
            </a:solidFill>
            <a:ln w="12700">
              <a:solidFill>
                <a:srgbClr val="000000">
                  <a:alpha val="100000"/>
                </a:srgbClr>
              </a:solidFill>
              <a:prstDash val="solid"/>
            </a:ln>
          </c:spPr>
          <c:explosion val="0"/>
          <c:dPt>
            <c:idx val="0"/>
            <c:bubble3D val="0"/>
            <c:spPr>
              <a:solidFill>
                <a:srgbClr val="9999FF">
                  <a:alpha val="100000"/>
                </a:srgbClr>
              </a:solidFill>
              <a:ln w="3175">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9999FF">
                  <a:alpha val="100000"/>
                </a:srgbClr>
              </a:solidFill>
              <a:ln w="12700">
                <a:solidFill>
                  <a:srgbClr val="000000">
                    <a:alpha val="100000"/>
                  </a:srgbClr>
                </a:solidFill>
                <a:prstDash val="solid"/>
              </a:ln>
            </c:spPr>
          </c:dPt>
          <c:dPt>
            <c:idx val="6"/>
            <c:bubble3D val="0"/>
            <c:spPr>
              <a:solidFill>
                <a:srgbClr val="9999FF">
                  <a:alpha val="100000"/>
                </a:srgbClr>
              </a:solidFill>
              <a:ln w="12700">
                <a:solidFill>
                  <a:srgbClr val="000000">
                    <a:alpha val="100000"/>
                  </a:srgbClr>
                </a:solidFill>
                <a:prstDash val="solid"/>
              </a:ln>
            </c:spPr>
          </c:dPt>
          <c:dPt>
            <c:idx val="7"/>
            <c:bubble3D val="0"/>
            <c:spPr>
              <a:solidFill>
                <a:srgbClr val="9999FF">
                  <a:alpha val="100000"/>
                </a:srgbClr>
              </a:solidFill>
              <a:ln w="12700">
                <a:solidFill>
                  <a:srgbClr val="000000">
                    <a:alpha val="100000"/>
                  </a:srgbClr>
                </a:solidFill>
                <a:prstDash val="solid"/>
              </a:ln>
            </c:spPr>
          </c:dPt>
          <c:dPt>
            <c:idx val="8"/>
            <c:bubble3D val="0"/>
            <c:spPr>
              <a:solidFill>
                <a:srgbClr val="9999FF">
                  <a:alpha val="100000"/>
                </a:srgbClr>
              </a:solidFill>
              <a:ln w="12700">
                <a:solidFill>
                  <a:srgbClr val="000000">
                    <a:alpha val="100000"/>
                  </a:srgbClr>
                </a:solidFill>
                <a:prstDash val="solid"/>
              </a:ln>
            </c:spPr>
          </c:dPt>
          <c:dPt>
            <c:idx val="9"/>
            <c:bubble3D val="0"/>
            <c:spPr>
              <a:solidFill>
                <a:srgbClr val="9999FF">
                  <a:alpha val="100000"/>
                </a:srgbClr>
              </a:solidFill>
              <a:ln w="12700">
                <a:solidFill>
                  <a:srgbClr val="000000">
                    <a:alpha val="100000"/>
                  </a:srgbClr>
                </a:solidFill>
                <a:prstDash val="solid"/>
              </a:ln>
            </c:spPr>
          </c:dPt>
          <c:dLbls>
            <c:dLbl>
              <c:idx val="0"/>
              <c:layout>
                <c:manualLayout>
                  <c:x val="-0.122825912977659"/>
                  <c:y val="-0.3617406261828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'[附件2.5-作参考：饼状（直方）图绘制方法.xls]一般公共预算财政拨款支出决算结构-图6'!$A$1:$J$1</c:f>
              <c:strCache>
                <c:ptCount val="10"/>
                <c:pt idx="0">
                  <c:v>2023年一般公共服务支出</c:v>
                </c:pt>
                <c:pt idx="1">
                  <c:v>2023年公共安全支出</c:v>
                </c:pt>
                <c:pt idx="2">
                  <c:v>2023年社会保障和就业支出</c:v>
                </c:pt>
                <c:pt idx="3">
                  <c:v>2023年卫生健康支出</c:v>
                </c:pt>
                <c:pt idx="4">
                  <c:v>2023年节能环保支出</c:v>
                </c:pt>
                <c:pt idx="5">
                  <c:v>2023年文化旅游体育与传媒支出</c:v>
                </c:pt>
                <c:pt idx="6">
                  <c:v>2023年农林水支出</c:v>
                </c:pt>
                <c:pt idx="7">
                  <c:v>2023年交通运输支出</c:v>
                </c:pt>
                <c:pt idx="8">
                  <c:v>2023年住房保障支出</c:v>
                </c:pt>
                <c:pt idx="9">
                  <c:v>2023年灾害防治及应急管理支出</c:v>
                </c:pt>
              </c:strCache>
            </c:strRef>
          </c:cat>
          <c:val>
            <c:numRef>
              <c:f>'[附件2.5-作参考：饼状（直方）图绘制方法.xls]一般公共预算财政拨款支出决算结构-图6'!$A$2:$J$2</c:f>
              <c:numCache>
                <c:formatCode>General</c:formatCode>
                <c:ptCount val="10"/>
                <c:pt idx="0">
                  <c:v>841.47</c:v>
                </c:pt>
                <c:pt idx="1">
                  <c:v>4.5</c:v>
                </c:pt>
                <c:pt idx="2">
                  <c:v>106.27</c:v>
                </c:pt>
                <c:pt idx="3">
                  <c:v>30.68</c:v>
                </c:pt>
                <c:pt idx="4">
                  <c:v>49</c:v>
                </c:pt>
                <c:pt idx="5">
                  <c:v>2.58</c:v>
                </c:pt>
                <c:pt idx="6">
                  <c:v>510.41</c:v>
                </c:pt>
                <c:pt idx="7">
                  <c:v>9</c:v>
                </c:pt>
                <c:pt idx="8">
                  <c:v>63.96</c:v>
                </c:pt>
                <c:pt idx="9">
                  <c:v>4.01</c:v>
                </c:pt>
              </c:numCache>
            </c:numRef>
          </c:val>
        </c:ser>
        <c:dLbls>
          <c:showLegendKey val="0"/>
          <c:showVal val="0"/>
          <c:showCatName val="0"/>
          <c:showSerName val="0"/>
          <c:showPercent val="1"/>
          <c:showBubbleSize val="0"/>
          <c:showLeaderLines val="1"/>
        </c:dLbls>
        <c:firstSliceAng val="0"/>
      </c:pieChart>
      <c:spPr>
        <a:noFill/>
        <a:ln w="3175">
          <a:noFill/>
        </a:ln>
      </c:spPr>
    </c:plotArea>
    <c:legend>
      <c:legendPos val="r"/>
      <c:layout>
        <c:manualLayout>
          <c:xMode val="edge"/>
          <c:yMode val="edge"/>
          <c:x val="0.655529775715391"/>
          <c:y val="0.137426900584795"/>
          <c:w val="0.339829853054911"/>
          <c:h val="0.706237816764133"/>
        </c:manualLayout>
      </c:layout>
      <c:overlay val="0"/>
      <c:spPr>
        <a:solidFill>
          <a:srgbClr val="FFFFFF">
            <a:alpha val="100000"/>
          </a:srgbClr>
        </a:solidFill>
        <a:ln w="3175">
          <a:noFill/>
        </a:ln>
      </c:spPr>
      <c:txPr>
        <a:bodyPr rot="0" spcFirstLastPara="0" vertOverflow="ellipsis" vert="horz" wrap="square" anchor="ctr" anchorCtr="1"/>
        <a:lstStyle/>
        <a:p>
          <a:pPr>
            <a:defRPr lang="zh-CN" sz="11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19625"/>
          <c:y val="0.3"/>
          <c:w val="0.2635"/>
          <c:h val="0.527"/>
        </c:manualLayout>
      </c:layout>
      <c:pieChart>
        <c:varyColors val="1"/>
        <c:ser>
          <c:idx val="0"/>
          <c:order val="0"/>
          <c:tx>
            <c:strRef>
              <c:f>'[附件2.5-作参考：饼状（直方）图绘制方法.xls]三公经费财政拨款支出结构-图7'!$B$8</c:f>
              <c:strCache>
                <c:ptCount val="1"/>
                <c:pt idx="0">
                  <c:v>沐川县黄丹镇人民政府2023年“三公”经费财政拨款支出结构图</c:v>
                </c:pt>
              </c:strCache>
            </c:strRef>
          </c:tx>
          <c:spPr>
            <a:solidFill>
              <a:srgbClr val="9999FF">
                <a:alpha val="100000"/>
              </a:srgbClr>
            </a:solidFill>
            <a:ln w="12700">
              <a:solidFill>
                <a:srgbClr val="000000">
                  <a:alpha val="100000"/>
                </a:srgbClr>
              </a:solidFill>
              <a:prstDash val="solid"/>
            </a:ln>
          </c:spPr>
          <c:explosion val="25"/>
          <c:dPt>
            <c:idx val="0"/>
            <c:bubble3D val="0"/>
            <c:spPr>
              <a:solidFill>
                <a:srgbClr val="9999FF">
                  <a:alpha val="100000"/>
                </a:srgbClr>
              </a:solidFill>
              <a:ln w="12700">
                <a:solidFill>
                  <a:srgbClr val="000000">
                    <a:alpha val="100000"/>
                  </a:srgbClr>
                </a:solidFill>
                <a:prstDash val="solid"/>
              </a:ln>
            </c:spPr>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Lbls>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'[附件2.5-作参考：饼状（直方）图绘制方法.xls]三公经费财政拨款支出结构-图7'!$A$1:$C$1</c:f>
              <c:strCache>
                <c:ptCount val="3"/>
                <c:pt idx="0">
                  <c:v>因公出国（境）费支出</c:v>
                </c:pt>
                <c:pt idx="1">
                  <c:v>公务用车购置及运行维护费支出</c:v>
                </c:pt>
                <c:pt idx="2">
                  <c:v>公务接待费支出</c:v>
                </c:pt>
              </c:strCache>
            </c:strRef>
          </c:cat>
          <c:val>
            <c:numRef>
              <c:f>'[附件2.5-作参考：饼状（直方）图绘制方法.xls]三公经费财政拨款支出结构-图7'!$A$2:$C$2</c:f>
              <c:numCache>
                <c:formatCode>General</c:formatCode>
                <c:ptCount val="3"/>
                <c:pt idx="0">
                  <c:v>0</c:v>
                </c:pt>
                <c:pt idx="1">
                  <c:v>5.6</c:v>
                </c:pt>
                <c:pt idx="2">
                  <c:v>0.88</c:v>
                </c:pt>
              </c:numCache>
            </c:numRef>
          </c:val>
        </c:ser>
        <c:dLbls>
          <c:showLegendKey val="0"/>
          <c:showVal val="0"/>
          <c:showCatName val="0"/>
          <c:showSerName val="0"/>
          <c:showPercent val="1"/>
          <c:showBubbleSize val="0"/>
          <c:showLeaderLines val="1"/>
        </c:dLbls>
        <c:firstSliceAng val="0"/>
      </c:pieChart>
      <c:spPr>
        <a:noFill/>
        <a:ln w="3175">
          <a:noFill/>
        </a:ln>
      </c:spPr>
    </c:plotArea>
    <c:legend>
      <c:legendPos val="r"/>
      <c:layout>
        <c:manualLayout>
          <c:xMode val="edge"/>
          <c:yMode val="edge"/>
          <c:x val="0.573"/>
          <c:y val="0.3845"/>
          <c:w val="0.3385"/>
          <c:h val="0.38075"/>
        </c:manualLayout>
      </c:layout>
      <c:overlay val="0"/>
      <c:spPr>
        <a:solidFill>
          <a:srgbClr val="FFFFFF">
            <a:alpha val="100000"/>
          </a:srgbClr>
        </a:solid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8591</Words>
  <Characters>9252</Characters>
  <Lines>79</Lines>
  <Paragraphs>22</Paragraphs>
  <TotalTime>2</TotalTime>
  <ScaleCrop>false</ScaleCrop>
  <LinksUpToDate>false</LinksUpToDate>
  <CharactersWithSpaces>9387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蓝依</cp:lastModifiedBy>
  <cp:lastPrinted>2023-08-03T02:35:00Z</cp:lastPrinted>
  <dcterms:modified xsi:type="dcterms:W3CDTF">2024-10-10T08:26:58Z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4B5F2D7417ED458F958CC67A9B750E01</vt:lpwstr>
  </property>
</Properties>
</file>