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3264" w:firstLineChars="739"/>
        <w:rPr>
          <w:rFonts w:ascii="方正小标宋简体" w:hAnsi="宋体" w:eastAsia="方正小标宋简体"/>
          <w:b/>
          <w:sz w:val="44"/>
          <w:szCs w:val="44"/>
        </w:rPr>
      </w:pPr>
    </w:p>
    <w:p>
      <w:pPr>
        <w:spacing w:line="560" w:lineRule="exact"/>
        <w:ind w:firstLine="3264" w:firstLineChars="739"/>
        <w:rPr>
          <w:rFonts w:ascii="方正小标宋简体" w:hAnsi="宋体" w:eastAsia="方正小标宋简体"/>
          <w:b/>
          <w:sz w:val="44"/>
          <w:szCs w:val="44"/>
        </w:rPr>
      </w:pPr>
    </w:p>
    <w:p>
      <w:pPr>
        <w:spacing w:line="560" w:lineRule="exact"/>
        <w:ind w:firstLine="3264" w:firstLineChars="739"/>
        <w:rPr>
          <w:rFonts w:ascii="方正小标宋简体" w:hAnsi="宋体" w:eastAsia="方正小标宋简体"/>
          <w:b/>
          <w:sz w:val="44"/>
          <w:szCs w:val="44"/>
        </w:rPr>
      </w:pPr>
    </w:p>
    <w:p>
      <w:pPr>
        <w:spacing w:line="560" w:lineRule="exact"/>
        <w:ind w:firstLine="3264" w:firstLineChars="739"/>
        <w:rPr>
          <w:rFonts w:ascii="方正小标宋简体" w:hAnsi="宋体" w:eastAsia="方正小标宋简体"/>
          <w:b/>
          <w:sz w:val="44"/>
          <w:szCs w:val="44"/>
        </w:rPr>
      </w:pPr>
    </w:p>
    <w:p>
      <w:pPr>
        <w:spacing w:line="560" w:lineRule="exact"/>
        <w:ind w:firstLine="3264" w:firstLineChars="739"/>
        <w:rPr>
          <w:rFonts w:ascii="方正小标宋简体" w:hAnsi="宋体" w:eastAsia="方正小标宋简体"/>
          <w:b/>
          <w:sz w:val="44"/>
          <w:szCs w:val="44"/>
        </w:rPr>
      </w:pPr>
    </w:p>
    <w:p>
      <w:pPr>
        <w:spacing w:line="560" w:lineRule="exact"/>
        <w:ind w:firstLine="3264" w:firstLineChars="739"/>
        <w:rPr>
          <w:rFonts w:ascii="方正小标宋简体" w:hAnsi="宋体" w:eastAsia="方正小标宋简体"/>
          <w:b/>
          <w:sz w:val="44"/>
          <w:szCs w:val="44"/>
        </w:rPr>
      </w:pPr>
    </w:p>
    <w:p>
      <w:pPr>
        <w:spacing w:line="560" w:lineRule="exact"/>
        <w:ind w:firstLine="3264" w:firstLineChars="739"/>
        <w:rPr>
          <w:rFonts w:ascii="方正小标宋简体" w:hAnsi="宋体" w:eastAsia="方正小标宋简体"/>
          <w:b/>
          <w:sz w:val="44"/>
          <w:szCs w:val="44"/>
        </w:rPr>
      </w:pPr>
    </w:p>
    <w:p>
      <w:pPr>
        <w:spacing w:line="560" w:lineRule="exact"/>
        <w:ind w:firstLine="3264" w:firstLineChars="739"/>
        <w:jc w:val="left"/>
        <w:rPr>
          <w:rFonts w:ascii="方正小标宋简体" w:hAnsi="宋体" w:eastAsia="方正小标宋简体"/>
          <w:b/>
          <w:sz w:val="44"/>
          <w:szCs w:val="44"/>
        </w:rPr>
      </w:pPr>
      <w:r>
        <w:rPr>
          <w:rFonts w:ascii="方正小标宋简体" w:hAnsi="宋体" w:eastAsia="方正小标宋简体"/>
          <w:b/>
          <w:sz w:val="44"/>
          <w:szCs w:val="44"/>
        </w:rPr>
        <w:t>202</w:t>
      </w:r>
      <w:r>
        <w:rPr>
          <w:rFonts w:hint="eastAsia" w:ascii="方正小标宋简体" w:hAnsi="宋体" w:eastAsia="方正小标宋简体"/>
          <w:b/>
          <w:sz w:val="44"/>
          <w:szCs w:val="44"/>
        </w:rPr>
        <w:t>3年度</w:t>
      </w:r>
    </w:p>
    <w:p>
      <w:pPr>
        <w:spacing w:line="560" w:lineRule="exact"/>
        <w:jc w:val="center"/>
        <w:rPr>
          <w:rFonts w:ascii="方正小标宋简体" w:hAnsi="宋体" w:eastAsia="方正小标宋简体"/>
          <w:b/>
          <w:sz w:val="44"/>
          <w:szCs w:val="44"/>
        </w:rPr>
      </w:pPr>
      <w:r>
        <w:rPr>
          <w:rFonts w:hint="eastAsia" w:ascii="方正小标宋简体" w:hAnsi="宋体" w:eastAsia="方正小标宋简体"/>
          <w:b/>
          <w:sz w:val="44"/>
          <w:szCs w:val="44"/>
        </w:rPr>
        <w:t>中国共产党沐川县委员会组织部</w:t>
      </w:r>
    </w:p>
    <w:p>
      <w:pPr>
        <w:spacing w:line="560" w:lineRule="exact"/>
        <w:jc w:val="center"/>
        <w:rPr>
          <w:rFonts w:ascii="方正小标宋简体" w:hAnsi="宋体" w:eastAsia="方正小标宋简体"/>
          <w:b/>
          <w:sz w:val="44"/>
          <w:szCs w:val="44"/>
        </w:rPr>
      </w:pPr>
      <w:r>
        <w:rPr>
          <w:rFonts w:hint="eastAsia" w:ascii="方正小标宋简体" w:hAnsi="宋体" w:eastAsia="方正小标宋简体"/>
          <w:b/>
          <w:sz w:val="44"/>
          <w:szCs w:val="44"/>
        </w:rPr>
        <w:t>部 门 决 算</w:t>
      </w:r>
    </w:p>
    <w:p>
      <w:pPr>
        <w:jc w:val="center"/>
        <w:rPr>
          <w:rFonts w:ascii="黑体" w:eastAsia="黑体" w:cs="黑体"/>
          <w:sz w:val="48"/>
          <w:szCs w:val="48"/>
          <w:lang w:val="zh-CN"/>
        </w:rPr>
      </w:pPr>
    </w:p>
    <w:p>
      <w:pPr>
        <w:jc w:val="center"/>
        <w:rPr>
          <w:rFonts w:ascii="黑体" w:eastAsia="黑体" w:cs="黑体"/>
          <w:sz w:val="48"/>
          <w:szCs w:val="48"/>
          <w:lang w:val="zh-CN"/>
        </w:rPr>
      </w:pPr>
    </w:p>
    <w:p>
      <w:pPr>
        <w:jc w:val="center"/>
        <w:rPr>
          <w:rFonts w:ascii="黑体" w:eastAsia="黑体" w:cs="黑体"/>
          <w:sz w:val="48"/>
          <w:szCs w:val="48"/>
          <w:lang w:val="zh-CN"/>
        </w:rPr>
      </w:pPr>
    </w:p>
    <w:p>
      <w:pPr>
        <w:jc w:val="center"/>
        <w:rPr>
          <w:rFonts w:ascii="黑体" w:eastAsia="黑体" w:cs="黑体"/>
          <w:sz w:val="48"/>
          <w:szCs w:val="48"/>
          <w:lang w:val="zh-CN"/>
        </w:rPr>
      </w:pPr>
    </w:p>
    <w:p>
      <w:pPr>
        <w:jc w:val="center"/>
        <w:rPr>
          <w:rFonts w:ascii="黑体" w:eastAsia="黑体" w:cs="黑体"/>
          <w:sz w:val="48"/>
          <w:szCs w:val="48"/>
          <w:lang w:val="zh-CN"/>
        </w:rPr>
      </w:pPr>
    </w:p>
    <w:p>
      <w:pPr>
        <w:jc w:val="center"/>
        <w:rPr>
          <w:rFonts w:ascii="黑体" w:eastAsia="黑体" w:cs="黑体"/>
          <w:sz w:val="48"/>
          <w:szCs w:val="48"/>
          <w:lang w:val="zh-CN"/>
        </w:rPr>
      </w:pPr>
    </w:p>
    <w:p>
      <w:pPr>
        <w:jc w:val="center"/>
        <w:rPr>
          <w:rFonts w:ascii="黑体" w:eastAsia="黑体" w:cs="黑体"/>
          <w:sz w:val="48"/>
          <w:szCs w:val="48"/>
          <w:lang w:val="zh-CN"/>
        </w:rPr>
      </w:pPr>
    </w:p>
    <w:p>
      <w:pPr>
        <w:jc w:val="center"/>
        <w:rPr>
          <w:rFonts w:ascii="黑体" w:eastAsia="黑体" w:cs="黑体"/>
          <w:sz w:val="48"/>
          <w:szCs w:val="48"/>
          <w:lang w:val="zh-CN"/>
        </w:rPr>
      </w:pPr>
    </w:p>
    <w:p>
      <w:pPr>
        <w:jc w:val="center"/>
        <w:rPr>
          <w:rFonts w:ascii="黑体" w:eastAsia="黑体" w:cs="黑体"/>
          <w:sz w:val="48"/>
          <w:szCs w:val="48"/>
          <w:lang w:val="zh-CN"/>
        </w:rPr>
      </w:pPr>
    </w:p>
    <w:p>
      <w:pPr>
        <w:jc w:val="center"/>
        <w:rPr>
          <w:rFonts w:ascii="黑体" w:eastAsia="黑体" w:cs="黑体"/>
          <w:sz w:val="48"/>
          <w:szCs w:val="48"/>
          <w:lang w:val="zh-CN"/>
        </w:rPr>
      </w:pPr>
    </w:p>
    <w:p>
      <w:pPr>
        <w:jc w:val="center"/>
        <w:rPr>
          <w:rFonts w:ascii="黑体" w:eastAsia="黑体" w:cs="黑体"/>
          <w:sz w:val="48"/>
          <w:szCs w:val="48"/>
          <w:lang w:val="zh-CN"/>
        </w:rPr>
      </w:pPr>
    </w:p>
    <w:p>
      <w:pPr>
        <w:jc w:val="center"/>
        <w:rPr>
          <w:rFonts w:ascii="黑体" w:eastAsia="黑体" w:cs="黑体"/>
          <w:sz w:val="48"/>
          <w:szCs w:val="48"/>
          <w:lang w:val="zh-CN"/>
        </w:rPr>
      </w:pPr>
    </w:p>
    <w:p>
      <w:pPr>
        <w:jc w:val="center"/>
        <w:rPr>
          <w:rFonts w:ascii="黑体" w:eastAsia="黑体" w:cs="黑体"/>
          <w:sz w:val="48"/>
          <w:szCs w:val="48"/>
          <w:lang w:val="zh-CN"/>
        </w:rPr>
      </w:pPr>
    </w:p>
    <w:p>
      <w:pPr>
        <w:jc w:val="center"/>
        <w:rPr>
          <w:rFonts w:ascii="黑体" w:eastAsia="黑体" w:cs="黑体"/>
          <w:sz w:val="48"/>
          <w:szCs w:val="48"/>
          <w:lang w:val="zh-CN"/>
        </w:rPr>
      </w:pPr>
      <w:r>
        <w:rPr>
          <w:rFonts w:hint="eastAsia" w:ascii="黑体" w:eastAsia="黑体" w:cs="黑体"/>
          <w:sz w:val="48"/>
          <w:szCs w:val="48"/>
          <w:lang w:val="zh-CN"/>
        </w:rPr>
        <w:t>目录</w:t>
      </w:r>
    </w:p>
    <w:p>
      <w:pPr>
        <w:jc w:val="center"/>
        <w:rPr>
          <w:rFonts w:ascii="黑体" w:eastAsia="黑体" w:cs="黑体"/>
          <w:sz w:val="28"/>
          <w:szCs w:val="28"/>
          <w:lang w:val="zh-CN"/>
        </w:rPr>
      </w:pPr>
    </w:p>
    <w:p>
      <w:pPr>
        <w:tabs>
          <w:tab w:val="right" w:leader="dot" w:pos="8296"/>
        </w:tabs>
        <w:spacing w:before="93"/>
        <w:jc w:val="center"/>
        <w:rPr>
          <w:rFonts w:ascii="仿宋" w:eastAsia="仿宋" w:cs="仿宋"/>
          <w:sz w:val="28"/>
          <w:szCs w:val="28"/>
          <w:lang w:val="zh-CN"/>
        </w:rPr>
      </w:pPr>
      <w:r>
        <w:rPr>
          <w:rFonts w:hint="eastAsia" w:ascii="仿宋" w:eastAsia="仿宋" w:cs="仿宋"/>
          <w:sz w:val="28"/>
          <w:szCs w:val="28"/>
          <w:lang w:val="zh-CN"/>
        </w:rPr>
        <w:t>公开时间：</w:t>
      </w:r>
      <w:r>
        <w:rPr>
          <w:rFonts w:ascii="仿宋" w:eastAsia="仿宋" w:cs="仿宋"/>
          <w:sz w:val="28"/>
          <w:szCs w:val="28"/>
          <w:lang w:val="zh-CN"/>
        </w:rPr>
        <w:t>202</w:t>
      </w:r>
      <w:r>
        <w:rPr>
          <w:rFonts w:hint="eastAsia" w:ascii="仿宋" w:eastAsia="仿宋" w:cs="仿宋"/>
          <w:sz w:val="28"/>
          <w:szCs w:val="28"/>
          <w:lang w:val="zh-CN"/>
        </w:rPr>
        <w:t>4年9月14日</w:t>
      </w:r>
    </w:p>
    <w:p>
      <w:pPr>
        <w:rPr>
          <w:rFonts w:ascii="Times New Roman" w:hAnsi="Times New Roman" w:eastAsia="仿宋"/>
          <w:szCs w:val="21"/>
          <w:lang w:val="zh-CN"/>
        </w:rPr>
      </w:pPr>
    </w:p>
    <w:p>
      <w:pPr>
        <w:tabs>
          <w:tab w:val="right" w:leader="dot" w:pos="8296"/>
        </w:tabs>
        <w:spacing w:line="520" w:lineRule="exact"/>
        <w:rPr>
          <w:rFonts w:ascii="仿宋_GB2312" w:hAnsi="Times New Roman" w:eastAsia="仿宋_GB2312" w:cs="仿宋"/>
          <w:sz w:val="32"/>
          <w:szCs w:val="32"/>
          <w:lang w:val="zh-CN"/>
        </w:rPr>
      </w:pPr>
      <w:r>
        <w:rPr>
          <w:rFonts w:hint="eastAsia" w:ascii="仿宋_GB2312" w:hAnsi="Times New Roman" w:eastAsia="仿宋_GB2312" w:cs="仿宋"/>
          <w:sz w:val="32"/>
          <w:szCs w:val="32"/>
          <w:lang w:val="zh-CN"/>
        </w:rPr>
        <w:t>第一部分 部门概况</w:t>
      </w:r>
      <w:r>
        <w:rPr>
          <w:rFonts w:ascii="仿宋_GB2312" w:hAnsi="Times New Roman" w:eastAsia="仿宋_GB2312" w:cs="仿宋"/>
          <w:sz w:val="32"/>
          <w:szCs w:val="32"/>
          <w:lang w:val="zh-CN"/>
        </w:rPr>
        <w:t>………………………………………</w:t>
      </w:r>
      <w:r>
        <w:rPr>
          <w:rFonts w:hint="eastAsia" w:ascii="仿宋_GB2312" w:hAnsi="Times New Roman" w:eastAsia="仿宋_GB2312" w:cs="仿宋"/>
          <w:sz w:val="32"/>
          <w:szCs w:val="32"/>
          <w:lang w:val="zh-CN"/>
        </w:rPr>
        <w:t>4</w:t>
      </w:r>
    </w:p>
    <w:p>
      <w:pPr>
        <w:tabs>
          <w:tab w:val="right" w:leader="dot" w:pos="8296"/>
        </w:tabs>
        <w:spacing w:line="520" w:lineRule="exact"/>
        <w:ind w:left="420"/>
        <w:rPr>
          <w:rFonts w:ascii="仿宋_GB2312" w:hAnsi="Times New Roman" w:eastAsia="仿宋_GB2312" w:cs="仿宋"/>
          <w:sz w:val="32"/>
          <w:szCs w:val="32"/>
          <w:lang w:val="zh-CN"/>
        </w:rPr>
      </w:pPr>
      <w:r>
        <w:rPr>
          <w:rFonts w:hint="eastAsia" w:ascii="仿宋_GB2312" w:hAnsi="Times New Roman" w:eastAsia="仿宋_GB2312" w:cs="宋体"/>
          <w:sz w:val="32"/>
          <w:szCs w:val="32"/>
          <w:lang w:val="zh-CN"/>
        </w:rPr>
        <w:t>一、部门职责</w:t>
      </w:r>
      <w:r>
        <w:rPr>
          <w:rFonts w:ascii="仿宋_GB2312" w:hAnsi="Times New Roman" w:eastAsia="仿宋_GB2312" w:cs="宋体"/>
          <w:sz w:val="32"/>
          <w:szCs w:val="32"/>
          <w:lang w:val="zh-CN"/>
        </w:rPr>
        <w:t>…………………………………………</w:t>
      </w:r>
      <w:r>
        <w:rPr>
          <w:rFonts w:hint="eastAsia" w:ascii="仿宋_GB2312" w:hAnsi="Times New Roman" w:eastAsia="仿宋_GB2312" w:cs="宋体"/>
          <w:sz w:val="32"/>
          <w:szCs w:val="32"/>
          <w:lang w:val="zh-CN"/>
        </w:rPr>
        <w:t>.4</w:t>
      </w:r>
    </w:p>
    <w:p>
      <w:pPr>
        <w:tabs>
          <w:tab w:val="right" w:leader="dot" w:pos="8296"/>
        </w:tabs>
        <w:spacing w:line="520" w:lineRule="exact"/>
        <w:ind w:left="420"/>
        <w:rPr>
          <w:rFonts w:ascii="仿宋_GB2312" w:hAnsi="Times New Roman" w:eastAsia="仿宋_GB2312" w:cs="仿宋"/>
          <w:sz w:val="32"/>
          <w:szCs w:val="32"/>
          <w:lang w:val="zh-CN"/>
        </w:rPr>
      </w:pPr>
      <w:r>
        <w:rPr>
          <w:rFonts w:hint="eastAsia" w:ascii="仿宋_GB2312" w:hAnsi="Times New Roman" w:eastAsia="仿宋_GB2312" w:cs="宋体"/>
          <w:sz w:val="32"/>
          <w:szCs w:val="32"/>
          <w:lang w:val="zh-CN"/>
        </w:rPr>
        <w:t>二、机构设置</w:t>
      </w:r>
      <w:r>
        <w:rPr>
          <w:rFonts w:ascii="仿宋_GB2312" w:hAnsi="Times New Roman" w:eastAsia="仿宋_GB2312" w:cs="宋体"/>
          <w:sz w:val="32"/>
          <w:szCs w:val="32"/>
          <w:lang w:val="zh-CN"/>
        </w:rPr>
        <w:t>…………………………………………</w:t>
      </w:r>
      <w:r>
        <w:rPr>
          <w:rFonts w:hint="eastAsia" w:ascii="仿宋_GB2312" w:hAnsi="Times New Roman" w:eastAsia="仿宋_GB2312" w:cs="宋体"/>
          <w:sz w:val="32"/>
          <w:szCs w:val="32"/>
          <w:lang w:val="zh-CN"/>
        </w:rPr>
        <w:t>.4</w:t>
      </w:r>
    </w:p>
    <w:p>
      <w:pPr>
        <w:tabs>
          <w:tab w:val="right" w:leader="dot" w:pos="8296"/>
        </w:tabs>
        <w:spacing w:line="520" w:lineRule="exact"/>
        <w:rPr>
          <w:rFonts w:ascii="仿宋_GB2312" w:hAnsi="Times New Roman" w:eastAsia="仿宋_GB2312" w:cs="仿宋"/>
          <w:sz w:val="32"/>
          <w:szCs w:val="32"/>
          <w:lang w:val="zh-CN"/>
        </w:rPr>
      </w:pPr>
      <w:r>
        <w:rPr>
          <w:rFonts w:hint="eastAsia" w:ascii="仿宋_GB2312" w:hAnsi="Times New Roman" w:eastAsia="仿宋_GB2312" w:cs="仿宋"/>
          <w:sz w:val="32"/>
          <w:szCs w:val="32"/>
          <w:lang w:val="zh-CN"/>
        </w:rPr>
        <w:t>第二部分 2022年度部门决算情况说明</w:t>
      </w:r>
      <w:r>
        <w:rPr>
          <w:rFonts w:ascii="仿宋_GB2312" w:hAnsi="Times New Roman" w:eastAsia="仿宋_GB2312" w:cs="仿宋"/>
          <w:sz w:val="32"/>
          <w:szCs w:val="32"/>
          <w:lang w:val="zh-CN"/>
        </w:rPr>
        <w:t>………………</w:t>
      </w:r>
      <w:r>
        <w:rPr>
          <w:rFonts w:hint="eastAsia" w:ascii="仿宋_GB2312" w:hAnsi="Times New Roman" w:eastAsia="仿宋_GB2312" w:cs="仿宋"/>
          <w:sz w:val="32"/>
          <w:szCs w:val="32"/>
          <w:lang w:val="zh-CN"/>
        </w:rPr>
        <w:t>..5</w:t>
      </w:r>
    </w:p>
    <w:p>
      <w:pPr>
        <w:tabs>
          <w:tab w:val="right" w:leader="dot" w:pos="8296"/>
        </w:tabs>
        <w:spacing w:line="520" w:lineRule="exact"/>
        <w:ind w:left="420"/>
        <w:rPr>
          <w:rFonts w:ascii="仿宋_GB2312" w:hAnsi="Times New Roman" w:eastAsia="仿宋_GB2312" w:cs="仿宋"/>
          <w:sz w:val="32"/>
          <w:szCs w:val="32"/>
          <w:lang w:val="zh-CN"/>
        </w:rPr>
      </w:pPr>
      <w:r>
        <w:rPr>
          <w:rFonts w:hint="eastAsia" w:ascii="仿宋_GB2312" w:hAnsi="Times New Roman" w:eastAsia="仿宋_GB2312" w:cs="宋体"/>
          <w:sz w:val="32"/>
          <w:szCs w:val="32"/>
          <w:lang w:val="zh-CN"/>
        </w:rPr>
        <w:t>一、收入支出决算总体情况说明</w:t>
      </w:r>
      <w:r>
        <w:rPr>
          <w:rFonts w:ascii="仿宋_GB2312" w:hAnsi="Times New Roman" w:eastAsia="仿宋_GB2312" w:cs="宋体"/>
          <w:sz w:val="32"/>
          <w:szCs w:val="32"/>
          <w:lang w:val="zh-CN"/>
        </w:rPr>
        <w:t>……………………</w:t>
      </w:r>
      <w:r>
        <w:rPr>
          <w:rFonts w:hint="eastAsia" w:ascii="仿宋_GB2312" w:hAnsi="Times New Roman" w:eastAsia="仿宋_GB2312" w:cs="宋体"/>
          <w:sz w:val="32"/>
          <w:szCs w:val="32"/>
          <w:lang w:val="zh-CN"/>
        </w:rPr>
        <w:t>.5</w:t>
      </w:r>
    </w:p>
    <w:p>
      <w:pPr>
        <w:tabs>
          <w:tab w:val="right" w:leader="dot" w:pos="8296"/>
        </w:tabs>
        <w:spacing w:line="520" w:lineRule="exact"/>
        <w:ind w:left="420"/>
        <w:rPr>
          <w:rFonts w:ascii="仿宋_GB2312" w:hAnsi="Times New Roman" w:eastAsia="仿宋_GB2312" w:cs="仿宋"/>
          <w:sz w:val="32"/>
          <w:szCs w:val="32"/>
          <w:lang w:val="zh-CN"/>
        </w:rPr>
      </w:pPr>
      <w:r>
        <w:rPr>
          <w:rFonts w:hint="eastAsia" w:ascii="仿宋_GB2312" w:hAnsi="Times New Roman" w:eastAsia="仿宋_GB2312" w:cs="宋体"/>
          <w:sz w:val="32"/>
          <w:szCs w:val="32"/>
          <w:lang w:val="zh-CN"/>
        </w:rPr>
        <w:t>二、收入决算情况说明</w:t>
      </w:r>
      <w:r>
        <w:rPr>
          <w:rFonts w:ascii="仿宋_GB2312" w:hAnsi="Times New Roman" w:eastAsia="仿宋_GB2312" w:cs="宋体"/>
          <w:sz w:val="32"/>
          <w:szCs w:val="32"/>
          <w:lang w:val="zh-CN"/>
        </w:rPr>
        <w:t>………………………………</w:t>
      </w:r>
      <w:r>
        <w:rPr>
          <w:rFonts w:hint="eastAsia" w:ascii="仿宋_GB2312" w:hAnsi="Times New Roman" w:eastAsia="仿宋_GB2312" w:cs="宋体"/>
          <w:sz w:val="32"/>
          <w:szCs w:val="32"/>
          <w:lang w:val="zh-CN"/>
        </w:rPr>
        <w:t>.5</w:t>
      </w:r>
    </w:p>
    <w:p>
      <w:pPr>
        <w:tabs>
          <w:tab w:val="right" w:leader="dot" w:pos="8296"/>
        </w:tabs>
        <w:spacing w:line="520" w:lineRule="exact"/>
        <w:ind w:left="420"/>
        <w:rPr>
          <w:rFonts w:ascii="仿宋_GB2312" w:hAnsi="Times New Roman" w:eastAsia="仿宋_GB2312" w:cs="仿宋"/>
          <w:sz w:val="32"/>
          <w:szCs w:val="32"/>
          <w:lang w:val="zh-CN"/>
        </w:rPr>
      </w:pPr>
      <w:r>
        <w:rPr>
          <w:rFonts w:hint="eastAsia" w:ascii="仿宋_GB2312" w:hAnsi="Times New Roman" w:eastAsia="仿宋_GB2312" w:cs="宋体"/>
          <w:sz w:val="32"/>
          <w:szCs w:val="32"/>
          <w:lang w:val="zh-CN"/>
        </w:rPr>
        <w:t>三、支出决算情况说明</w:t>
      </w:r>
      <w:r>
        <w:rPr>
          <w:rFonts w:ascii="仿宋_GB2312" w:hAnsi="Times New Roman" w:eastAsia="仿宋_GB2312" w:cs="宋体"/>
          <w:sz w:val="32"/>
          <w:szCs w:val="32"/>
          <w:lang w:val="zh-CN"/>
        </w:rPr>
        <w:t>………………………………</w:t>
      </w:r>
      <w:r>
        <w:rPr>
          <w:rFonts w:hint="eastAsia" w:ascii="仿宋_GB2312" w:hAnsi="Times New Roman" w:eastAsia="仿宋_GB2312" w:cs="宋体"/>
          <w:sz w:val="32"/>
          <w:szCs w:val="32"/>
          <w:lang w:val="zh-CN"/>
        </w:rPr>
        <w:t>.6</w:t>
      </w:r>
    </w:p>
    <w:p>
      <w:pPr>
        <w:tabs>
          <w:tab w:val="right" w:leader="dot" w:pos="8296"/>
        </w:tabs>
        <w:spacing w:line="520" w:lineRule="exact"/>
        <w:ind w:left="420"/>
        <w:rPr>
          <w:rFonts w:ascii="仿宋_GB2312" w:hAnsi="Times New Roman" w:eastAsia="仿宋_GB2312" w:cs="仿宋"/>
          <w:sz w:val="32"/>
          <w:szCs w:val="32"/>
          <w:lang w:val="zh-CN"/>
        </w:rPr>
      </w:pPr>
      <w:r>
        <w:rPr>
          <w:rFonts w:hint="eastAsia" w:ascii="仿宋_GB2312" w:hAnsi="Times New Roman" w:eastAsia="仿宋_GB2312" w:cs="宋体"/>
          <w:sz w:val="32"/>
          <w:szCs w:val="32"/>
          <w:lang w:val="zh-CN"/>
        </w:rPr>
        <w:t>四、财政拨款收入支出决算总体情况说明</w:t>
      </w:r>
      <w:r>
        <w:rPr>
          <w:rFonts w:ascii="仿宋_GB2312" w:hAnsi="Times New Roman" w:eastAsia="仿宋_GB2312" w:cs="宋体"/>
          <w:sz w:val="32"/>
          <w:szCs w:val="32"/>
          <w:lang w:val="zh-CN"/>
        </w:rPr>
        <w:t>…………</w:t>
      </w:r>
      <w:r>
        <w:rPr>
          <w:rFonts w:hint="eastAsia" w:ascii="仿宋_GB2312" w:hAnsi="Times New Roman" w:eastAsia="仿宋_GB2312" w:cs="宋体"/>
          <w:sz w:val="32"/>
          <w:szCs w:val="32"/>
          <w:lang w:val="zh-CN"/>
        </w:rPr>
        <w:t>.7</w:t>
      </w:r>
    </w:p>
    <w:p>
      <w:pPr>
        <w:tabs>
          <w:tab w:val="right" w:leader="dot" w:pos="8296"/>
        </w:tabs>
        <w:spacing w:line="520" w:lineRule="exact"/>
        <w:ind w:left="420"/>
        <w:rPr>
          <w:rFonts w:ascii="仿宋_GB2312" w:hAnsi="Times New Roman" w:eastAsia="仿宋_GB2312" w:cs="仿宋"/>
          <w:sz w:val="32"/>
          <w:szCs w:val="32"/>
          <w:lang w:val="zh-CN"/>
        </w:rPr>
      </w:pPr>
      <w:r>
        <w:rPr>
          <w:rFonts w:hint="eastAsia" w:ascii="仿宋_GB2312" w:hAnsi="Times New Roman" w:eastAsia="仿宋_GB2312" w:cs="宋体"/>
          <w:sz w:val="32"/>
          <w:szCs w:val="32"/>
          <w:lang w:val="zh-CN"/>
        </w:rPr>
        <w:t>五、一般公共预算财政拨款支出决算情况说明</w:t>
      </w:r>
      <w:r>
        <w:rPr>
          <w:rFonts w:ascii="仿宋_GB2312" w:hAnsi="Times New Roman" w:eastAsia="仿宋_GB2312" w:cs="宋体"/>
          <w:sz w:val="32"/>
          <w:szCs w:val="32"/>
          <w:lang w:val="zh-CN"/>
        </w:rPr>
        <w:t>……</w:t>
      </w:r>
      <w:r>
        <w:rPr>
          <w:rFonts w:hint="eastAsia" w:ascii="仿宋_GB2312" w:hAnsi="Times New Roman" w:eastAsia="仿宋_GB2312" w:cs="宋体"/>
          <w:sz w:val="32"/>
          <w:szCs w:val="32"/>
          <w:lang w:val="zh-CN"/>
        </w:rPr>
        <w:t>.8</w:t>
      </w:r>
    </w:p>
    <w:p>
      <w:pPr>
        <w:tabs>
          <w:tab w:val="right" w:leader="dot" w:pos="8296"/>
        </w:tabs>
        <w:spacing w:line="520" w:lineRule="exact"/>
        <w:ind w:left="420"/>
        <w:rPr>
          <w:rFonts w:ascii="仿宋_GB2312" w:hAnsi="Times New Roman" w:eastAsia="仿宋_GB2312" w:cs="仿宋"/>
          <w:sz w:val="32"/>
          <w:szCs w:val="32"/>
          <w:lang w:val="zh-CN"/>
        </w:rPr>
      </w:pPr>
      <w:r>
        <w:rPr>
          <w:rFonts w:hint="eastAsia" w:ascii="仿宋_GB2312" w:hAnsi="Times New Roman" w:eastAsia="仿宋_GB2312" w:cs="宋体"/>
          <w:sz w:val="32"/>
          <w:szCs w:val="32"/>
          <w:lang w:val="zh-CN"/>
        </w:rPr>
        <w:t>六、一般公共预算财政拨款基本支出决算情况说明..11</w:t>
      </w:r>
    </w:p>
    <w:p>
      <w:pPr>
        <w:tabs>
          <w:tab w:val="right" w:leader="dot" w:pos="8296"/>
        </w:tabs>
        <w:spacing w:line="520" w:lineRule="exact"/>
        <w:ind w:left="420"/>
        <w:rPr>
          <w:rFonts w:ascii="仿宋_GB2312" w:hAnsi="Times New Roman" w:eastAsia="仿宋_GB2312" w:cs="仿宋"/>
          <w:sz w:val="32"/>
          <w:szCs w:val="32"/>
          <w:lang w:val="zh-CN"/>
        </w:rPr>
      </w:pPr>
      <w:r>
        <w:rPr>
          <w:rFonts w:hint="eastAsia" w:ascii="仿宋_GB2312" w:hAnsi="Times New Roman" w:eastAsia="仿宋_GB2312" w:cs="宋体"/>
          <w:sz w:val="32"/>
          <w:szCs w:val="32"/>
          <w:lang w:val="zh-CN"/>
        </w:rPr>
        <w:t>七、财政拨款“三公”经费支出决算情况说明</w:t>
      </w:r>
      <w:r>
        <w:rPr>
          <w:rFonts w:ascii="仿宋_GB2312" w:hAnsi="Times New Roman" w:eastAsia="仿宋_GB2312" w:cs="宋体"/>
          <w:sz w:val="32"/>
          <w:szCs w:val="32"/>
          <w:lang w:val="zh-CN"/>
        </w:rPr>
        <w:t>……</w:t>
      </w:r>
      <w:r>
        <w:rPr>
          <w:rFonts w:hint="eastAsia" w:ascii="仿宋_GB2312" w:hAnsi="Times New Roman" w:eastAsia="仿宋_GB2312" w:cs="宋体"/>
          <w:sz w:val="32"/>
          <w:szCs w:val="32"/>
          <w:lang w:val="zh-CN"/>
        </w:rPr>
        <w:t>.11</w:t>
      </w:r>
    </w:p>
    <w:p>
      <w:pPr>
        <w:tabs>
          <w:tab w:val="right" w:leader="dot" w:pos="8296"/>
        </w:tabs>
        <w:spacing w:line="520" w:lineRule="exact"/>
        <w:ind w:left="420"/>
        <w:rPr>
          <w:rFonts w:ascii="仿宋_GB2312" w:hAnsi="Times New Roman" w:eastAsia="仿宋_GB2312" w:cs="仿宋"/>
          <w:sz w:val="32"/>
          <w:szCs w:val="32"/>
          <w:lang w:val="zh-CN"/>
        </w:rPr>
      </w:pPr>
      <w:r>
        <w:rPr>
          <w:rFonts w:hint="eastAsia" w:ascii="仿宋_GB2312" w:hAnsi="Times New Roman" w:eastAsia="仿宋_GB2312" w:cs="宋体"/>
          <w:sz w:val="32"/>
          <w:szCs w:val="32"/>
          <w:lang w:val="zh-CN"/>
        </w:rPr>
        <w:t>八、政府性基金预算支出决算情况说明</w:t>
      </w:r>
      <w:r>
        <w:rPr>
          <w:rFonts w:ascii="仿宋_GB2312" w:hAnsi="Times New Roman" w:eastAsia="仿宋_GB2312" w:cs="宋体"/>
          <w:sz w:val="32"/>
          <w:szCs w:val="32"/>
          <w:lang w:val="zh-CN"/>
        </w:rPr>
        <w:t>……………</w:t>
      </w:r>
      <w:r>
        <w:rPr>
          <w:rFonts w:hint="eastAsia" w:ascii="仿宋_GB2312" w:hAnsi="Times New Roman" w:eastAsia="仿宋_GB2312" w:cs="宋体"/>
          <w:sz w:val="32"/>
          <w:szCs w:val="32"/>
          <w:lang w:val="zh-CN"/>
        </w:rPr>
        <w:t>.13</w:t>
      </w:r>
    </w:p>
    <w:p>
      <w:pPr>
        <w:tabs>
          <w:tab w:val="right" w:leader="dot" w:pos="8296"/>
        </w:tabs>
        <w:spacing w:line="520" w:lineRule="exact"/>
        <w:ind w:left="420"/>
        <w:rPr>
          <w:rFonts w:ascii="仿宋_GB2312" w:hAnsi="Times New Roman" w:eastAsia="仿宋_GB2312" w:cs="宋体"/>
          <w:sz w:val="32"/>
          <w:szCs w:val="32"/>
          <w:lang w:val="zh-CN"/>
        </w:rPr>
      </w:pPr>
      <w:r>
        <w:rPr>
          <w:rFonts w:hint="eastAsia" w:ascii="仿宋_GB2312" w:hAnsi="Times New Roman" w:eastAsia="仿宋_GB2312" w:cs="宋体"/>
          <w:sz w:val="32"/>
          <w:szCs w:val="32"/>
          <w:lang w:val="zh-CN"/>
        </w:rPr>
        <w:t>九、国有资本经营预算支出决算情况说明</w:t>
      </w:r>
      <w:r>
        <w:rPr>
          <w:rFonts w:ascii="仿宋_GB2312" w:hAnsi="Times New Roman" w:eastAsia="仿宋_GB2312" w:cs="宋体"/>
          <w:sz w:val="32"/>
          <w:szCs w:val="32"/>
          <w:lang w:val="zh-CN"/>
        </w:rPr>
        <w:t>…………</w:t>
      </w:r>
      <w:r>
        <w:rPr>
          <w:rFonts w:hint="eastAsia" w:ascii="仿宋_GB2312" w:hAnsi="Times New Roman" w:eastAsia="仿宋_GB2312" w:cs="宋体"/>
          <w:sz w:val="32"/>
          <w:szCs w:val="32"/>
          <w:lang w:val="zh-CN"/>
        </w:rPr>
        <w:t>.13</w:t>
      </w:r>
    </w:p>
    <w:p>
      <w:pPr>
        <w:tabs>
          <w:tab w:val="right" w:leader="dot" w:pos="8296"/>
        </w:tabs>
        <w:spacing w:line="520" w:lineRule="exact"/>
        <w:ind w:left="420"/>
        <w:rPr>
          <w:rFonts w:ascii="仿宋_GB2312" w:hAnsi="Times New Roman" w:eastAsia="仿宋_GB2312" w:cs="宋体"/>
          <w:sz w:val="32"/>
          <w:szCs w:val="32"/>
          <w:lang w:val="zh-CN"/>
        </w:rPr>
      </w:pPr>
      <w:r>
        <w:rPr>
          <w:rFonts w:hint="eastAsia" w:ascii="仿宋_GB2312" w:hAnsi="Times New Roman" w:eastAsia="仿宋_GB2312" w:cs="宋体"/>
          <w:sz w:val="32"/>
          <w:szCs w:val="32"/>
          <w:lang w:val="zh-CN"/>
        </w:rPr>
        <w:t>十、其他重要事项的情况说明</w:t>
      </w:r>
      <w:r>
        <w:rPr>
          <w:rFonts w:ascii="仿宋_GB2312" w:hAnsi="Times New Roman" w:eastAsia="仿宋_GB2312" w:cs="宋体"/>
          <w:sz w:val="32"/>
          <w:szCs w:val="32"/>
          <w:lang w:val="zh-CN"/>
        </w:rPr>
        <w:t>………………………</w:t>
      </w:r>
      <w:r>
        <w:rPr>
          <w:rFonts w:hint="eastAsia" w:ascii="仿宋_GB2312" w:hAnsi="Times New Roman" w:eastAsia="仿宋_GB2312" w:cs="宋体"/>
          <w:sz w:val="32"/>
          <w:szCs w:val="32"/>
          <w:lang w:val="zh-CN"/>
        </w:rPr>
        <w:t>.13</w:t>
      </w:r>
    </w:p>
    <w:p>
      <w:pPr>
        <w:tabs>
          <w:tab w:val="right" w:leader="dot" w:pos="8296"/>
        </w:tabs>
        <w:spacing w:line="520" w:lineRule="exact"/>
        <w:rPr>
          <w:rFonts w:ascii="仿宋_GB2312" w:hAnsi="Times New Roman" w:eastAsia="仿宋_GB2312" w:cs="仿宋"/>
          <w:sz w:val="32"/>
          <w:szCs w:val="32"/>
          <w:lang w:val="zh-CN"/>
        </w:rPr>
      </w:pPr>
      <w:r>
        <w:rPr>
          <w:rFonts w:hint="eastAsia" w:ascii="仿宋_GB2312" w:hAnsi="Times New Roman" w:eastAsia="仿宋_GB2312" w:cs="仿宋"/>
          <w:sz w:val="32"/>
          <w:szCs w:val="32"/>
          <w:lang w:val="zh-CN"/>
        </w:rPr>
        <w:t>第三部分 名词解释</w:t>
      </w:r>
      <w:r>
        <w:rPr>
          <w:rFonts w:ascii="仿宋_GB2312" w:hAnsi="Times New Roman" w:eastAsia="仿宋_GB2312" w:cs="仿宋"/>
          <w:sz w:val="32"/>
          <w:szCs w:val="32"/>
          <w:lang w:val="zh-CN"/>
        </w:rPr>
        <w:t>………………………………………</w:t>
      </w:r>
      <w:r>
        <w:rPr>
          <w:rFonts w:hint="eastAsia" w:ascii="仿宋_GB2312" w:hAnsi="Times New Roman" w:eastAsia="仿宋_GB2312" w:cs="仿宋"/>
          <w:sz w:val="32"/>
          <w:szCs w:val="32"/>
          <w:lang w:val="zh-CN"/>
        </w:rPr>
        <w:t>.16</w:t>
      </w:r>
    </w:p>
    <w:p>
      <w:pPr>
        <w:tabs>
          <w:tab w:val="right" w:leader="dot" w:pos="8296"/>
        </w:tabs>
        <w:spacing w:line="520" w:lineRule="exact"/>
        <w:rPr>
          <w:rFonts w:ascii="仿宋_GB2312" w:hAnsi="Times New Roman" w:eastAsia="仿宋_GB2312" w:cs="仿宋"/>
          <w:sz w:val="32"/>
          <w:szCs w:val="32"/>
          <w:lang w:val="zh-CN"/>
        </w:rPr>
      </w:pPr>
      <w:r>
        <w:rPr>
          <w:rFonts w:hint="eastAsia" w:ascii="仿宋_GB2312" w:hAnsi="Times New Roman" w:eastAsia="仿宋_GB2312" w:cs="仿宋"/>
          <w:sz w:val="32"/>
          <w:szCs w:val="32"/>
          <w:lang w:val="zh-CN"/>
        </w:rPr>
        <w:t>第四部分 附件</w:t>
      </w:r>
      <w:r>
        <w:rPr>
          <w:rFonts w:ascii="仿宋_GB2312" w:hAnsi="Times New Roman" w:eastAsia="仿宋_GB2312" w:cs="仿宋"/>
          <w:sz w:val="32"/>
          <w:szCs w:val="32"/>
          <w:lang w:val="zh-CN"/>
        </w:rPr>
        <w:t>……………………………………………</w:t>
      </w:r>
      <w:r>
        <w:rPr>
          <w:rFonts w:hint="eastAsia" w:ascii="仿宋_GB2312" w:hAnsi="Times New Roman" w:eastAsia="仿宋_GB2312" w:cs="仿宋"/>
          <w:sz w:val="32"/>
          <w:szCs w:val="32"/>
          <w:lang w:val="zh-CN"/>
        </w:rPr>
        <w:t>.20</w:t>
      </w:r>
    </w:p>
    <w:p>
      <w:pPr>
        <w:tabs>
          <w:tab w:val="right" w:leader="dot" w:pos="8296"/>
        </w:tabs>
        <w:spacing w:line="520" w:lineRule="exact"/>
        <w:rPr>
          <w:rFonts w:ascii="仿宋_GB2312" w:hAnsi="Times New Roman" w:eastAsia="仿宋_GB2312" w:cs="仿宋"/>
          <w:sz w:val="32"/>
          <w:szCs w:val="32"/>
          <w:lang w:val="zh-CN"/>
        </w:rPr>
      </w:pPr>
      <w:r>
        <w:rPr>
          <w:rFonts w:hint="eastAsia" w:ascii="仿宋_GB2312" w:hAnsi="Times New Roman" w:eastAsia="仿宋_GB2312" w:cs="仿宋"/>
          <w:sz w:val="32"/>
          <w:szCs w:val="32"/>
          <w:lang w:val="zh-CN"/>
        </w:rPr>
        <w:t>第五部分 附表</w:t>
      </w:r>
    </w:p>
    <w:p>
      <w:pPr>
        <w:tabs>
          <w:tab w:val="right" w:leader="dot" w:pos="8296"/>
        </w:tabs>
        <w:spacing w:line="520" w:lineRule="exact"/>
        <w:ind w:left="420"/>
        <w:rPr>
          <w:rFonts w:ascii="仿宋_GB2312" w:hAnsi="Times New Roman" w:eastAsia="仿宋_GB2312" w:cs="宋体"/>
          <w:sz w:val="32"/>
          <w:szCs w:val="32"/>
          <w:lang w:val="zh-CN"/>
        </w:rPr>
      </w:pPr>
      <w:r>
        <w:rPr>
          <w:rFonts w:hint="eastAsia" w:ascii="仿宋_GB2312" w:hAnsi="Times New Roman" w:eastAsia="仿宋_GB2312" w:cs="宋体"/>
          <w:sz w:val="32"/>
          <w:szCs w:val="32"/>
          <w:lang w:val="zh-CN"/>
        </w:rPr>
        <w:t>一、收入支出决算总表</w:t>
      </w:r>
    </w:p>
    <w:p>
      <w:pPr>
        <w:tabs>
          <w:tab w:val="right" w:leader="dot" w:pos="8296"/>
        </w:tabs>
        <w:spacing w:line="520" w:lineRule="exact"/>
        <w:ind w:left="420"/>
        <w:rPr>
          <w:rFonts w:ascii="仿宋_GB2312" w:hAnsi="Times New Roman" w:eastAsia="仿宋_GB2312" w:cs="宋体"/>
          <w:sz w:val="32"/>
          <w:szCs w:val="32"/>
          <w:lang w:val="zh-CN"/>
        </w:rPr>
      </w:pPr>
      <w:r>
        <w:rPr>
          <w:rFonts w:hint="eastAsia" w:ascii="仿宋_GB2312" w:hAnsi="Times New Roman" w:eastAsia="仿宋_GB2312" w:cs="宋体"/>
          <w:sz w:val="32"/>
          <w:szCs w:val="32"/>
          <w:lang w:val="zh-CN"/>
        </w:rPr>
        <w:t>二、收入决算表</w:t>
      </w:r>
    </w:p>
    <w:p>
      <w:pPr>
        <w:tabs>
          <w:tab w:val="right" w:leader="dot" w:pos="8296"/>
        </w:tabs>
        <w:spacing w:line="520" w:lineRule="exact"/>
        <w:ind w:left="420"/>
        <w:rPr>
          <w:rFonts w:ascii="仿宋_GB2312" w:hAnsi="Times New Roman" w:eastAsia="仿宋_GB2312" w:cs="宋体"/>
          <w:sz w:val="32"/>
          <w:szCs w:val="32"/>
          <w:lang w:val="zh-CN"/>
        </w:rPr>
      </w:pPr>
      <w:r>
        <w:rPr>
          <w:rFonts w:hint="eastAsia" w:ascii="仿宋_GB2312" w:hAnsi="Times New Roman" w:eastAsia="仿宋_GB2312" w:cs="宋体"/>
          <w:sz w:val="32"/>
          <w:szCs w:val="32"/>
          <w:lang w:val="zh-CN"/>
        </w:rPr>
        <w:t>三、支出决算表</w:t>
      </w:r>
    </w:p>
    <w:p>
      <w:pPr>
        <w:tabs>
          <w:tab w:val="right" w:leader="dot" w:pos="8296"/>
        </w:tabs>
        <w:spacing w:line="520" w:lineRule="exact"/>
        <w:ind w:left="420"/>
        <w:rPr>
          <w:rFonts w:ascii="仿宋_GB2312" w:hAnsi="Times New Roman" w:eastAsia="仿宋_GB2312" w:cs="宋体"/>
          <w:sz w:val="32"/>
          <w:szCs w:val="32"/>
          <w:lang w:val="zh-CN"/>
        </w:rPr>
      </w:pPr>
      <w:r>
        <w:rPr>
          <w:rFonts w:hint="eastAsia" w:ascii="仿宋_GB2312" w:hAnsi="Times New Roman" w:eastAsia="仿宋_GB2312" w:cs="宋体"/>
          <w:sz w:val="32"/>
          <w:szCs w:val="32"/>
          <w:lang w:val="zh-CN"/>
        </w:rPr>
        <w:t>四、财政拨款收入支出决算总表</w:t>
      </w:r>
    </w:p>
    <w:p>
      <w:pPr>
        <w:tabs>
          <w:tab w:val="right" w:leader="dot" w:pos="8296"/>
        </w:tabs>
        <w:spacing w:line="520" w:lineRule="exact"/>
        <w:ind w:left="420"/>
        <w:rPr>
          <w:rFonts w:ascii="仿宋_GB2312" w:hAnsi="Times New Roman" w:eastAsia="仿宋_GB2312" w:cs="宋体"/>
          <w:sz w:val="32"/>
          <w:szCs w:val="32"/>
          <w:lang w:val="zh-CN"/>
        </w:rPr>
      </w:pPr>
      <w:r>
        <w:rPr>
          <w:rFonts w:hint="eastAsia" w:ascii="仿宋_GB2312" w:hAnsi="Times New Roman" w:eastAsia="仿宋_GB2312" w:cs="宋体"/>
          <w:sz w:val="32"/>
          <w:szCs w:val="32"/>
          <w:lang w:val="zh-CN"/>
        </w:rPr>
        <w:t>五、财政拨款支出决算明细表</w:t>
      </w:r>
    </w:p>
    <w:p>
      <w:pPr>
        <w:tabs>
          <w:tab w:val="right" w:leader="dot" w:pos="8296"/>
        </w:tabs>
        <w:spacing w:line="520" w:lineRule="exact"/>
        <w:ind w:left="420"/>
        <w:rPr>
          <w:rFonts w:ascii="仿宋_GB2312" w:hAnsi="Times New Roman" w:eastAsia="仿宋_GB2312" w:cs="宋体"/>
          <w:sz w:val="32"/>
          <w:szCs w:val="32"/>
          <w:lang w:val="zh-CN"/>
        </w:rPr>
      </w:pPr>
      <w:r>
        <w:rPr>
          <w:rFonts w:hint="eastAsia" w:ascii="仿宋_GB2312" w:hAnsi="Times New Roman" w:eastAsia="仿宋_GB2312" w:cs="宋体"/>
          <w:sz w:val="32"/>
          <w:szCs w:val="32"/>
          <w:lang w:val="zh-CN"/>
        </w:rPr>
        <w:t>六、一般公共预算财政拨款支出决算表</w:t>
      </w:r>
    </w:p>
    <w:p>
      <w:pPr>
        <w:tabs>
          <w:tab w:val="right" w:leader="dot" w:pos="8296"/>
        </w:tabs>
        <w:spacing w:line="520" w:lineRule="exact"/>
        <w:ind w:left="420"/>
        <w:rPr>
          <w:rFonts w:ascii="仿宋_GB2312" w:hAnsi="Times New Roman" w:eastAsia="仿宋_GB2312" w:cs="宋体"/>
          <w:sz w:val="32"/>
          <w:szCs w:val="32"/>
          <w:lang w:val="zh-CN"/>
        </w:rPr>
      </w:pPr>
      <w:r>
        <w:rPr>
          <w:rFonts w:hint="eastAsia" w:ascii="仿宋_GB2312" w:hAnsi="Times New Roman" w:eastAsia="仿宋_GB2312" w:cs="宋体"/>
          <w:sz w:val="32"/>
          <w:szCs w:val="32"/>
          <w:lang w:val="zh-CN"/>
        </w:rPr>
        <w:t>七、一般公共预算财政拨款支出决算明细表</w:t>
      </w:r>
    </w:p>
    <w:p>
      <w:pPr>
        <w:tabs>
          <w:tab w:val="right" w:leader="dot" w:pos="8296"/>
        </w:tabs>
        <w:spacing w:line="520" w:lineRule="exact"/>
        <w:ind w:left="420"/>
        <w:rPr>
          <w:rFonts w:ascii="仿宋_GB2312" w:hAnsi="Times New Roman" w:eastAsia="仿宋_GB2312" w:cs="宋体"/>
          <w:sz w:val="32"/>
          <w:szCs w:val="32"/>
          <w:lang w:val="zh-CN"/>
        </w:rPr>
      </w:pPr>
      <w:r>
        <w:rPr>
          <w:rFonts w:hint="eastAsia" w:ascii="仿宋_GB2312" w:hAnsi="Times New Roman" w:eastAsia="仿宋_GB2312" w:cs="宋体"/>
          <w:sz w:val="32"/>
          <w:szCs w:val="32"/>
          <w:lang w:val="zh-CN"/>
        </w:rPr>
        <w:t>八、一般公共预算财政拨款基本支出决算明细表</w:t>
      </w:r>
    </w:p>
    <w:p>
      <w:pPr>
        <w:tabs>
          <w:tab w:val="right" w:leader="dot" w:pos="8296"/>
        </w:tabs>
        <w:spacing w:line="520" w:lineRule="exact"/>
        <w:ind w:left="420"/>
        <w:rPr>
          <w:rFonts w:ascii="仿宋_GB2312" w:hAnsi="Times New Roman" w:eastAsia="仿宋_GB2312" w:cs="宋体"/>
          <w:sz w:val="32"/>
          <w:szCs w:val="32"/>
          <w:lang w:val="zh-CN"/>
        </w:rPr>
      </w:pPr>
      <w:r>
        <w:rPr>
          <w:rFonts w:hint="eastAsia" w:ascii="仿宋_GB2312" w:hAnsi="Times New Roman" w:eastAsia="仿宋_GB2312" w:cs="宋体"/>
          <w:sz w:val="32"/>
          <w:szCs w:val="32"/>
          <w:lang w:val="zh-CN"/>
        </w:rPr>
        <w:t>九、一般公共预算财政拨款项目支出决算表</w:t>
      </w:r>
    </w:p>
    <w:p>
      <w:pPr>
        <w:tabs>
          <w:tab w:val="right" w:leader="dot" w:pos="8296"/>
        </w:tabs>
        <w:spacing w:line="520" w:lineRule="exact"/>
        <w:ind w:left="420"/>
        <w:rPr>
          <w:rFonts w:ascii="仿宋_GB2312" w:hAnsi="Times New Roman" w:eastAsia="仿宋_GB2312" w:cs="宋体"/>
          <w:sz w:val="32"/>
          <w:szCs w:val="32"/>
          <w:lang w:val="zh-CN"/>
        </w:rPr>
      </w:pPr>
      <w:r>
        <w:rPr>
          <w:rFonts w:hint="eastAsia" w:ascii="仿宋_GB2312" w:hAnsi="Times New Roman" w:eastAsia="仿宋_GB2312" w:cs="宋体"/>
          <w:sz w:val="32"/>
          <w:szCs w:val="32"/>
          <w:lang w:val="zh-CN"/>
        </w:rPr>
        <w:t>十、政府性基金预算财政拨款收入支出决算表</w:t>
      </w:r>
    </w:p>
    <w:p>
      <w:pPr>
        <w:tabs>
          <w:tab w:val="right" w:leader="dot" w:pos="8296"/>
        </w:tabs>
        <w:spacing w:line="520" w:lineRule="exact"/>
        <w:ind w:left="420"/>
        <w:rPr>
          <w:rFonts w:ascii="仿宋_GB2312" w:hAnsi="Times New Roman" w:eastAsia="仿宋_GB2312" w:cs="宋体"/>
          <w:sz w:val="32"/>
          <w:szCs w:val="32"/>
          <w:lang w:val="zh-CN"/>
        </w:rPr>
      </w:pPr>
      <w:r>
        <w:rPr>
          <w:rFonts w:hint="eastAsia" w:ascii="仿宋_GB2312" w:hAnsi="Times New Roman" w:eastAsia="仿宋_GB2312" w:cs="宋体"/>
          <w:sz w:val="32"/>
          <w:szCs w:val="32"/>
          <w:lang w:val="zh-CN"/>
        </w:rPr>
        <w:t>十一、国有资本经营预算财政拨款收入支出决算表</w:t>
      </w:r>
    </w:p>
    <w:p>
      <w:pPr>
        <w:tabs>
          <w:tab w:val="right" w:leader="dot" w:pos="8296"/>
        </w:tabs>
        <w:spacing w:line="520" w:lineRule="exact"/>
        <w:ind w:left="420"/>
        <w:rPr>
          <w:rFonts w:ascii="仿宋_GB2312" w:hAnsi="Times New Roman" w:eastAsia="仿宋_GB2312" w:cs="宋体"/>
          <w:sz w:val="32"/>
          <w:szCs w:val="32"/>
          <w:lang w:val="zh-CN"/>
        </w:rPr>
      </w:pPr>
      <w:r>
        <w:rPr>
          <w:rFonts w:hint="eastAsia" w:ascii="仿宋_GB2312" w:hAnsi="Times New Roman" w:eastAsia="仿宋_GB2312" w:cs="宋体"/>
          <w:sz w:val="32"/>
          <w:szCs w:val="32"/>
          <w:lang w:val="zh-CN"/>
        </w:rPr>
        <w:t>十二、国有资本经营预算财政拨款支出决算表</w:t>
      </w:r>
    </w:p>
    <w:p>
      <w:pPr>
        <w:tabs>
          <w:tab w:val="right" w:leader="dot" w:pos="8296"/>
        </w:tabs>
        <w:spacing w:line="520" w:lineRule="exact"/>
        <w:ind w:left="420"/>
        <w:rPr>
          <w:rFonts w:ascii="仿宋_GB2312" w:hAnsi="Times New Roman" w:eastAsia="仿宋_GB2312" w:cs="宋体"/>
          <w:sz w:val="32"/>
          <w:szCs w:val="32"/>
          <w:lang w:val="zh-CN"/>
        </w:rPr>
      </w:pPr>
      <w:r>
        <w:rPr>
          <w:rFonts w:hint="eastAsia" w:ascii="仿宋_GB2312" w:hAnsi="Times New Roman" w:eastAsia="仿宋_GB2312" w:cs="宋体"/>
          <w:sz w:val="32"/>
          <w:szCs w:val="32"/>
          <w:lang w:val="zh-CN"/>
        </w:rPr>
        <w:t>十三、财政拨款“三公”经费支出决算表</w:t>
      </w:r>
    </w:p>
    <w:p>
      <w:pPr>
        <w:ind w:firstLine="2400" w:firstLineChars="750"/>
        <w:rPr>
          <w:rFonts w:ascii="黑体" w:eastAsia="黑体"/>
          <w:sz w:val="32"/>
          <w:szCs w:val="32"/>
        </w:rPr>
      </w:pPr>
    </w:p>
    <w:p>
      <w:pPr>
        <w:ind w:firstLine="1966" w:firstLineChars="445"/>
        <w:rPr>
          <w:rFonts w:ascii="黑体" w:eastAsia="黑体"/>
          <w:b/>
          <w:sz w:val="44"/>
          <w:szCs w:val="44"/>
        </w:rPr>
      </w:pPr>
    </w:p>
    <w:p>
      <w:pPr>
        <w:ind w:firstLine="1966" w:firstLineChars="445"/>
        <w:rPr>
          <w:rFonts w:ascii="黑体" w:eastAsia="黑体"/>
          <w:b/>
          <w:sz w:val="44"/>
          <w:szCs w:val="44"/>
        </w:rPr>
      </w:pPr>
    </w:p>
    <w:p>
      <w:pPr>
        <w:ind w:firstLine="1966" w:firstLineChars="445"/>
        <w:rPr>
          <w:rFonts w:ascii="黑体" w:eastAsia="黑体"/>
          <w:b/>
          <w:sz w:val="44"/>
          <w:szCs w:val="44"/>
        </w:rPr>
      </w:pPr>
    </w:p>
    <w:p>
      <w:pPr>
        <w:ind w:firstLine="1966" w:firstLineChars="445"/>
        <w:rPr>
          <w:rFonts w:ascii="黑体" w:eastAsia="黑体"/>
          <w:b/>
          <w:sz w:val="44"/>
          <w:szCs w:val="44"/>
        </w:rPr>
      </w:pPr>
    </w:p>
    <w:p>
      <w:pPr>
        <w:ind w:firstLine="1966" w:firstLineChars="445"/>
        <w:rPr>
          <w:rFonts w:ascii="黑体" w:eastAsia="黑体"/>
          <w:b/>
          <w:sz w:val="44"/>
          <w:szCs w:val="44"/>
        </w:rPr>
      </w:pPr>
    </w:p>
    <w:p>
      <w:pPr>
        <w:ind w:firstLine="1966" w:firstLineChars="445"/>
        <w:rPr>
          <w:rFonts w:ascii="黑体" w:eastAsia="黑体"/>
          <w:b/>
          <w:sz w:val="44"/>
          <w:szCs w:val="44"/>
        </w:rPr>
      </w:pPr>
    </w:p>
    <w:p>
      <w:pPr>
        <w:ind w:firstLine="1966" w:firstLineChars="445"/>
        <w:rPr>
          <w:rFonts w:ascii="黑体" w:eastAsia="黑体"/>
          <w:b/>
          <w:sz w:val="44"/>
          <w:szCs w:val="44"/>
        </w:rPr>
      </w:pPr>
    </w:p>
    <w:p>
      <w:pPr>
        <w:ind w:firstLine="1966" w:firstLineChars="445"/>
        <w:rPr>
          <w:rFonts w:ascii="黑体" w:eastAsia="黑体"/>
          <w:b/>
          <w:sz w:val="44"/>
          <w:szCs w:val="44"/>
        </w:rPr>
      </w:pPr>
    </w:p>
    <w:p>
      <w:pPr>
        <w:ind w:firstLine="1966" w:firstLineChars="445"/>
        <w:rPr>
          <w:rFonts w:ascii="黑体" w:eastAsia="黑体"/>
          <w:b/>
          <w:sz w:val="44"/>
          <w:szCs w:val="44"/>
        </w:rPr>
      </w:pPr>
    </w:p>
    <w:p>
      <w:pPr>
        <w:ind w:firstLine="1966" w:firstLineChars="445"/>
        <w:rPr>
          <w:rFonts w:ascii="黑体" w:eastAsia="黑体"/>
          <w:b/>
          <w:sz w:val="44"/>
          <w:szCs w:val="44"/>
        </w:rPr>
      </w:pPr>
    </w:p>
    <w:p>
      <w:pPr>
        <w:ind w:firstLine="1966" w:firstLineChars="445"/>
        <w:rPr>
          <w:rFonts w:ascii="黑体" w:eastAsia="黑体"/>
          <w:b/>
          <w:sz w:val="44"/>
          <w:szCs w:val="44"/>
        </w:rPr>
      </w:pPr>
    </w:p>
    <w:p>
      <w:pPr>
        <w:ind w:firstLine="1966" w:firstLineChars="445"/>
        <w:rPr>
          <w:rFonts w:ascii="黑体" w:eastAsia="黑体"/>
          <w:b/>
          <w:sz w:val="44"/>
          <w:szCs w:val="44"/>
        </w:rPr>
      </w:pPr>
    </w:p>
    <w:p>
      <w:pPr>
        <w:ind w:firstLine="1966" w:firstLineChars="445"/>
        <w:rPr>
          <w:rFonts w:ascii="黑体" w:eastAsia="黑体"/>
          <w:b/>
          <w:sz w:val="44"/>
          <w:szCs w:val="44"/>
        </w:rPr>
      </w:pPr>
    </w:p>
    <w:p>
      <w:pPr>
        <w:ind w:firstLine="1966" w:firstLineChars="445"/>
        <w:rPr>
          <w:rFonts w:ascii="黑体" w:eastAsia="黑体"/>
          <w:b/>
          <w:sz w:val="44"/>
          <w:szCs w:val="44"/>
        </w:rPr>
      </w:pPr>
    </w:p>
    <w:p>
      <w:pPr>
        <w:ind w:firstLine="1966" w:firstLineChars="445"/>
        <w:rPr>
          <w:rFonts w:ascii="黑体" w:eastAsia="黑体"/>
          <w:b/>
          <w:sz w:val="44"/>
          <w:szCs w:val="44"/>
        </w:rPr>
      </w:pPr>
      <w:r>
        <w:rPr>
          <w:rFonts w:hint="eastAsia" w:ascii="黑体" w:eastAsia="黑体"/>
          <w:b/>
          <w:sz w:val="44"/>
          <w:szCs w:val="44"/>
        </w:rPr>
        <w:t>第一部分  部门概况</w:t>
      </w:r>
    </w:p>
    <w:p>
      <w:pPr>
        <w:rPr>
          <w:rFonts w:ascii="仿宋_GB2312" w:eastAsia="仿宋_GB2312"/>
          <w:b/>
          <w:sz w:val="32"/>
          <w:szCs w:val="32"/>
        </w:rPr>
      </w:pPr>
      <w:r>
        <w:rPr>
          <w:rFonts w:ascii="黑体" w:eastAsia="黑体"/>
          <w:sz w:val="32"/>
          <w:szCs w:val="32"/>
        </w:rPr>
        <w:t xml:space="preserve">    </w:t>
      </w:r>
      <w:r>
        <w:rPr>
          <w:rFonts w:hint="eastAsia" w:ascii="黑体" w:eastAsia="黑体"/>
          <w:sz w:val="32"/>
          <w:szCs w:val="32"/>
        </w:rPr>
        <w:t>一、部门职责</w:t>
      </w:r>
    </w:p>
    <w:p>
      <w:pPr>
        <w:widowControl/>
        <w:adjustRightInd w:val="0"/>
        <w:snapToGrid w:val="0"/>
        <w:spacing w:line="600" w:lineRule="exact"/>
        <w:ind w:firstLine="720"/>
        <w:jc w:val="left"/>
        <w:rPr>
          <w:rFonts w:ascii="仿宋" w:hAnsi="仿宋" w:eastAsia="仿宋" w:cs="宋体"/>
          <w:color w:val="000000"/>
          <w:kern w:val="0"/>
          <w:sz w:val="32"/>
          <w:szCs w:val="32"/>
          <w:lang w:val="zh-CN"/>
        </w:rPr>
      </w:pPr>
      <w:r>
        <w:rPr>
          <w:rFonts w:ascii="仿宋" w:hAnsi="仿宋" w:eastAsia="仿宋"/>
          <w:bCs/>
          <w:snapToGrid w:val="0"/>
          <w:kern w:val="0"/>
          <w:sz w:val="32"/>
          <w:szCs w:val="32"/>
        </w:rPr>
        <w:t>负责全县党的组织体系、组织制度建设</w:t>
      </w:r>
      <w:r>
        <w:rPr>
          <w:rFonts w:hint="eastAsia" w:ascii="仿宋" w:hAnsi="仿宋" w:eastAsia="仿宋"/>
          <w:bCs/>
          <w:snapToGrid w:val="0"/>
          <w:kern w:val="0"/>
          <w:sz w:val="32"/>
          <w:szCs w:val="32"/>
        </w:rPr>
        <w:t>、</w:t>
      </w:r>
      <w:r>
        <w:rPr>
          <w:rFonts w:ascii="仿宋" w:hAnsi="仿宋" w:eastAsia="仿宋"/>
          <w:bCs/>
          <w:snapToGrid w:val="0"/>
          <w:kern w:val="0"/>
          <w:sz w:val="32"/>
          <w:szCs w:val="32"/>
        </w:rPr>
        <w:t>党员教育工作。负责全县领导班子和干部队伍建设的总体规划和宏观管理。负责县委管理领导班子和领导干部的考察考核、日常管理，提出调整配备建议，审核办理任免、工资、退休、兼职、待遇等有关事项</w:t>
      </w:r>
      <w:r>
        <w:rPr>
          <w:rFonts w:hint="eastAsia" w:ascii="仿宋" w:hAnsi="仿宋" w:eastAsia="仿宋"/>
          <w:bCs/>
          <w:snapToGrid w:val="0"/>
          <w:kern w:val="0"/>
          <w:sz w:val="32"/>
          <w:szCs w:val="32"/>
        </w:rPr>
        <w:t>，</w:t>
      </w:r>
      <w:r>
        <w:rPr>
          <w:rFonts w:ascii="仿宋" w:hAnsi="仿宋" w:eastAsia="仿宋"/>
          <w:bCs/>
          <w:snapToGrid w:val="0"/>
          <w:kern w:val="0"/>
          <w:sz w:val="32"/>
          <w:szCs w:val="32"/>
        </w:rPr>
        <w:t>承担公务员录用、调配、考核、奖惩、培训、监督、工资福利等工作，指导公务员绩效管理工作。负责全县人才工作的宏观指导、组织协调和督促检查</w:t>
      </w:r>
      <w:r>
        <w:rPr>
          <w:rFonts w:hint="eastAsia" w:ascii="仿宋" w:hAnsi="仿宋" w:eastAsia="仿宋"/>
          <w:bCs/>
          <w:snapToGrid w:val="0"/>
          <w:kern w:val="0"/>
          <w:sz w:val="32"/>
          <w:szCs w:val="32"/>
        </w:rPr>
        <w:t>。</w:t>
      </w:r>
      <w:r>
        <w:rPr>
          <w:rFonts w:ascii="仿宋" w:hAnsi="仿宋" w:eastAsia="仿宋"/>
          <w:bCs/>
          <w:snapToGrid w:val="0"/>
          <w:color w:val="000000"/>
          <w:kern w:val="0"/>
          <w:sz w:val="32"/>
          <w:szCs w:val="32"/>
        </w:rPr>
        <w:t>贯彻落实党的老干部工作方针政策，组织老干部开展政治思想理论学习，落实老干部政治、生活待遇</w:t>
      </w:r>
      <w:r>
        <w:rPr>
          <w:rFonts w:hint="eastAsia" w:ascii="仿宋" w:hAnsi="仿宋" w:eastAsia="仿宋"/>
          <w:bCs/>
          <w:snapToGrid w:val="0"/>
          <w:color w:val="000000"/>
          <w:kern w:val="0"/>
          <w:sz w:val="32"/>
          <w:szCs w:val="32"/>
        </w:rPr>
        <w:t>。</w:t>
      </w:r>
    </w:p>
    <w:p>
      <w:pPr>
        <w:ind w:firstLine="643" w:firstLineChars="200"/>
        <w:rPr>
          <w:rFonts w:ascii="仿宋_GB2312" w:eastAsia="仿宋_GB2312"/>
          <w:b/>
          <w:sz w:val="32"/>
          <w:szCs w:val="32"/>
        </w:rPr>
      </w:pPr>
      <w:r>
        <w:rPr>
          <w:rFonts w:hint="eastAsia" w:ascii="仿宋_GB2312" w:eastAsia="仿宋_GB2312"/>
          <w:b/>
          <w:sz w:val="32"/>
          <w:szCs w:val="32"/>
        </w:rPr>
        <w:t>二、机构设置</w:t>
      </w:r>
    </w:p>
    <w:p>
      <w:pPr>
        <w:ind w:firstLine="640" w:firstLineChars="200"/>
        <w:rPr>
          <w:rFonts w:ascii="仿宋_GB2312" w:eastAsia="仿宋_GB2312"/>
          <w:b/>
          <w:sz w:val="32"/>
          <w:szCs w:val="32"/>
        </w:rPr>
      </w:pPr>
      <w:r>
        <w:rPr>
          <w:rFonts w:hint="eastAsia" w:ascii="仿宋" w:hAnsi="仿宋" w:eastAsia="仿宋"/>
          <w:kern w:val="0"/>
          <w:sz w:val="32"/>
          <w:szCs w:val="32"/>
        </w:rPr>
        <w:t>中共沐川县委组织部为一级预算单位,下属参公事业单位：县委组织部党员教育中心，事业单位：沐川县老干部活动中心、沐川县干部人事档案服务中心，县委直属参公事业单位：县委党史地志室。</w:t>
      </w:r>
    </w:p>
    <w:p>
      <w:pPr>
        <w:ind w:firstLine="643" w:firstLineChars="200"/>
        <w:rPr>
          <w:rFonts w:ascii="仿宋_GB2312" w:eastAsia="仿宋_GB2312"/>
          <w:b/>
          <w:sz w:val="32"/>
          <w:szCs w:val="32"/>
        </w:rPr>
      </w:pPr>
      <w:r>
        <w:rPr>
          <w:rFonts w:hint="eastAsia" w:ascii="仿宋_GB2312" w:eastAsia="仿宋_GB2312"/>
          <w:b/>
          <w:sz w:val="32"/>
          <w:szCs w:val="32"/>
        </w:rPr>
        <w:t>三、人员情况</w:t>
      </w:r>
    </w:p>
    <w:p>
      <w:pPr>
        <w:spacing w:line="560" w:lineRule="exact"/>
        <w:ind w:firstLine="640" w:firstLineChars="200"/>
        <w:rPr>
          <w:rFonts w:ascii="仿宋_GB2312" w:eastAsia="仿宋_GB2312"/>
          <w:sz w:val="32"/>
          <w:szCs w:val="32"/>
        </w:rPr>
      </w:pPr>
      <w:r>
        <w:rPr>
          <w:rFonts w:hint="eastAsia" w:ascii="仿宋" w:hAnsi="仿宋" w:eastAsia="仿宋"/>
          <w:kern w:val="0"/>
          <w:sz w:val="32"/>
          <w:szCs w:val="32"/>
        </w:rPr>
        <w:t>组织部总编制36个，其中：行政编制19个、工勤编制1个、参公编制7个、事业编制9个。在职人员总数32人，其中：行政16人、工勤1人、参公6人、事业6人。</w:t>
      </w:r>
      <w:r>
        <w:rPr>
          <w:rFonts w:hint="eastAsia" w:ascii="仿宋_GB2312" w:eastAsia="仿宋_GB2312"/>
          <w:sz w:val="32"/>
          <w:szCs w:val="32"/>
        </w:rPr>
        <w:t>另长骋人员1人，临聘人员1人，遗属1人。</w:t>
      </w:r>
    </w:p>
    <w:p>
      <w:pPr>
        <w:spacing w:line="560" w:lineRule="exact"/>
        <w:ind w:firstLine="640" w:firstLineChars="200"/>
        <w:rPr>
          <w:rFonts w:ascii="仿宋_GB2312" w:eastAsia="仿宋_GB2312"/>
          <w:sz w:val="32"/>
          <w:szCs w:val="32"/>
        </w:rPr>
      </w:pPr>
    </w:p>
    <w:p>
      <w:pPr>
        <w:spacing w:line="560" w:lineRule="exact"/>
        <w:ind w:firstLine="880" w:firstLineChars="200"/>
        <w:rPr>
          <w:rFonts w:ascii="仿宋_GB2312" w:eastAsia="仿宋_GB2312"/>
          <w:sz w:val="32"/>
          <w:szCs w:val="32"/>
        </w:rPr>
      </w:pPr>
      <w:r>
        <w:rPr>
          <w:rFonts w:hint="eastAsia" w:ascii="黑体" w:hAnsi="Cambria" w:eastAsia="黑体" w:cs="黑体"/>
          <w:color w:val="000000"/>
          <w:kern w:val="44"/>
          <w:sz w:val="44"/>
          <w:szCs w:val="44"/>
          <w:lang w:val="zh-CN"/>
        </w:rPr>
        <w:t>第二部分</w:t>
      </w:r>
      <w:r>
        <w:rPr>
          <w:rFonts w:ascii="黑体" w:hAnsi="Cambria" w:eastAsia="黑体" w:cs="黑体"/>
          <w:b/>
          <w:bCs/>
          <w:color w:val="000000"/>
          <w:kern w:val="44"/>
          <w:sz w:val="44"/>
          <w:szCs w:val="44"/>
          <w:lang w:val="zh-CN"/>
        </w:rPr>
        <w:t xml:space="preserve"> </w:t>
      </w:r>
      <w:r>
        <w:rPr>
          <w:rFonts w:ascii="黑体" w:hAnsi="Cambria" w:eastAsia="黑体" w:cs="黑体"/>
          <w:kern w:val="44"/>
          <w:sz w:val="44"/>
          <w:szCs w:val="44"/>
          <w:lang w:val="zh-CN"/>
        </w:rPr>
        <w:t>202</w:t>
      </w:r>
      <w:r>
        <w:rPr>
          <w:rFonts w:hint="eastAsia" w:ascii="黑体" w:hAnsi="Cambria" w:eastAsia="黑体" w:cs="黑体"/>
          <w:kern w:val="44"/>
          <w:sz w:val="44"/>
          <w:szCs w:val="44"/>
          <w:lang w:val="zh-CN"/>
        </w:rPr>
        <w:t>3年度部门决算情况说明</w:t>
      </w:r>
    </w:p>
    <w:p>
      <w:pPr>
        <w:spacing w:line="560" w:lineRule="exact"/>
        <w:ind w:firstLine="640" w:firstLineChars="200"/>
        <w:rPr>
          <w:rFonts w:ascii="仿宋_GB2312" w:eastAsia="仿宋_GB2312"/>
          <w:sz w:val="32"/>
          <w:szCs w:val="32"/>
        </w:rPr>
      </w:pPr>
    </w:p>
    <w:p>
      <w:pPr>
        <w:ind w:firstLine="640" w:firstLineChars="200"/>
        <w:rPr>
          <w:rFonts w:ascii="黑体" w:eastAsia="黑体"/>
          <w:sz w:val="32"/>
          <w:szCs w:val="32"/>
        </w:rPr>
      </w:pPr>
      <w:r>
        <w:rPr>
          <w:rFonts w:hint="eastAsia" w:ascii="黑体" w:eastAsia="黑体"/>
          <w:sz w:val="32"/>
          <w:szCs w:val="32"/>
        </w:rPr>
        <w:t>一、</w:t>
      </w:r>
      <w:r>
        <w:rPr>
          <w:rFonts w:hint="eastAsia" w:ascii="黑体" w:hAnsi="Times New Roman" w:eastAsia="黑体" w:cs="黑体"/>
          <w:color w:val="000000"/>
          <w:sz w:val="32"/>
          <w:szCs w:val="32"/>
          <w:lang w:val="zh-CN"/>
        </w:rPr>
        <w:t>收</w:t>
      </w:r>
      <w:r>
        <w:rPr>
          <w:rFonts w:hint="eastAsia" w:ascii="黑体" w:hAnsi="Times New Roman" w:eastAsia="黑体" w:cs="黑体"/>
          <w:sz w:val="32"/>
          <w:szCs w:val="32"/>
          <w:lang w:val="zh-CN"/>
        </w:rPr>
        <w:t>入支出决算总体情况说明</w:t>
      </w:r>
    </w:p>
    <w:p>
      <w:pPr>
        <w:ind w:firstLine="640" w:firstLineChars="200"/>
        <w:rPr>
          <w:rFonts w:ascii="仿宋_GB2312" w:eastAsia="仿宋_GB2312"/>
          <w:sz w:val="32"/>
          <w:szCs w:val="32"/>
        </w:rPr>
      </w:pPr>
      <w:r>
        <w:rPr>
          <w:rFonts w:hint="eastAsia" w:ascii="仿宋_GB2312" w:eastAsia="仿宋_GB2312"/>
          <w:sz w:val="32"/>
          <w:szCs w:val="32"/>
        </w:rPr>
        <w:t>2022年组织部收、支总计1130.48万元。与2022年相比收、支增加176.32万元，增长18.48%，主要原因是增加东西部协作项目支出。</w:t>
      </w:r>
    </w:p>
    <w:p>
      <w:pPr>
        <w:ind w:firstLine="640" w:firstLineChars="200"/>
        <w:rPr>
          <w:rFonts w:ascii="仿宋_GB2312" w:eastAsia="仿宋_GB2312"/>
          <w:sz w:val="32"/>
          <w:szCs w:val="32"/>
        </w:rPr>
      </w:pPr>
      <w:r>
        <w:rPr>
          <w:rFonts w:hint="eastAsia" w:ascii="仿宋_GB2312" w:eastAsia="仿宋_GB2312"/>
          <w:sz w:val="32"/>
          <w:szCs w:val="32"/>
        </w:rPr>
        <w:t xml:space="preserve">        2023年</w:t>
      </w:r>
      <w:r>
        <w:rPr>
          <w:rFonts w:hint="eastAsia" w:ascii="仿宋" w:hAnsi="Times New Roman" w:eastAsia="仿宋" w:cs="仿宋"/>
          <w:sz w:val="32"/>
          <w:szCs w:val="32"/>
        </w:rPr>
        <w:t>收、支决算总计变动情况图</w:t>
      </w:r>
    </w:p>
    <w:p>
      <w:pPr>
        <w:ind w:firstLine="420" w:firstLineChars="200"/>
        <w:rPr>
          <w:rFonts w:ascii="仿宋_GB2312" w:eastAsia="仿宋_GB2312"/>
          <w:sz w:val="32"/>
          <w:szCs w:val="32"/>
        </w:rPr>
      </w:pPr>
      <w:r>
        <w:drawing>
          <wp:inline distT="0" distB="0" distL="0" distR="0">
            <wp:extent cx="4572000" cy="2743200"/>
            <wp:effectExtent l="0" t="0" r="19050" b="1905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rPr>
          <w:rFonts w:ascii="仿宋_GB2312" w:eastAsia="仿宋_GB2312"/>
          <w:sz w:val="32"/>
          <w:szCs w:val="32"/>
        </w:rPr>
      </w:pPr>
      <w:r>
        <w:rPr>
          <w:rFonts w:hint="eastAsia" w:ascii="黑体" w:hAnsi="Times New Roman" w:eastAsia="黑体" w:cs="黑体"/>
          <w:color w:val="000000"/>
          <w:sz w:val="32"/>
          <w:szCs w:val="32"/>
          <w:lang w:val="zh-CN"/>
        </w:rPr>
        <w:t>二、收</w:t>
      </w:r>
      <w:r>
        <w:rPr>
          <w:rFonts w:hint="eastAsia" w:ascii="黑体" w:hAnsi="Times New Roman" w:eastAsia="黑体" w:cs="黑体"/>
          <w:sz w:val="32"/>
          <w:szCs w:val="32"/>
          <w:lang w:val="zh-CN"/>
        </w:rPr>
        <w:t>入决算情况说明</w:t>
      </w:r>
    </w:p>
    <w:p>
      <w:pPr>
        <w:ind w:firstLine="640" w:firstLineChars="200"/>
        <w:rPr>
          <w:rFonts w:ascii="仿宋_GB2312" w:hAnsi="Times New Roman" w:eastAsia="仿宋_GB2312" w:cs="仿宋_GB2312"/>
          <w:color w:val="000000"/>
          <w:sz w:val="32"/>
          <w:szCs w:val="32"/>
          <w:lang w:val="zh-CN"/>
        </w:rPr>
      </w:pPr>
      <w:r>
        <w:rPr>
          <w:rFonts w:ascii="仿宋_GB2312" w:hAnsi="Times New Roman" w:eastAsia="仿宋_GB2312" w:cs="仿宋_GB2312"/>
          <w:color w:val="000000"/>
          <w:sz w:val="32"/>
          <w:szCs w:val="32"/>
          <w:lang w:val="zh-CN"/>
        </w:rPr>
        <w:t>202</w:t>
      </w:r>
      <w:r>
        <w:rPr>
          <w:rFonts w:hint="eastAsia" w:ascii="仿宋_GB2312" w:hAnsi="Times New Roman" w:eastAsia="仿宋_GB2312" w:cs="仿宋_GB2312"/>
          <w:color w:val="000000"/>
          <w:sz w:val="32"/>
          <w:szCs w:val="32"/>
          <w:lang w:val="zh-CN"/>
        </w:rPr>
        <w:t>3年本年收入合计1130.48万元，其中：一般公共预算财政拨款收入1130.48万元，占100</w:t>
      </w:r>
      <w:r>
        <w:rPr>
          <w:rFonts w:ascii="仿宋_GB2312" w:hAnsi="Times New Roman" w:eastAsia="仿宋_GB2312" w:cs="仿宋_GB2312"/>
          <w:color w:val="000000"/>
          <w:sz w:val="32"/>
          <w:szCs w:val="32"/>
          <w:lang w:val="zh-CN"/>
        </w:rPr>
        <w:t>%</w:t>
      </w:r>
      <w:r>
        <w:rPr>
          <w:rFonts w:hint="eastAsia" w:ascii="仿宋_GB2312" w:hAnsi="Times New Roman" w:eastAsia="仿宋_GB2312" w:cs="仿宋_GB2312"/>
          <w:color w:val="000000"/>
          <w:sz w:val="32"/>
          <w:szCs w:val="32"/>
          <w:lang w:val="zh-CN"/>
        </w:rPr>
        <w:t>。其中一般公共服务支出651.18万元，社会保障和就业支出118.94万元，卫生健康支出18.07万元，农林水支出302.1万元，住房保障支出40.19万元。政府性基金预算财政拨款收入</w:t>
      </w:r>
      <w:r>
        <w:rPr>
          <w:rFonts w:ascii="仿宋_GB2312" w:hAnsi="Times New Roman" w:eastAsia="仿宋_GB2312" w:cs="仿宋_GB2312"/>
          <w:color w:val="000000"/>
          <w:sz w:val="32"/>
          <w:szCs w:val="32"/>
          <w:lang w:val="zh-CN"/>
        </w:rPr>
        <w:t>0</w:t>
      </w:r>
      <w:r>
        <w:rPr>
          <w:rFonts w:hint="eastAsia" w:ascii="仿宋_GB2312" w:hAnsi="Times New Roman" w:eastAsia="仿宋_GB2312" w:cs="仿宋_GB2312"/>
          <w:color w:val="000000"/>
          <w:sz w:val="32"/>
          <w:szCs w:val="32"/>
          <w:lang w:val="zh-CN"/>
        </w:rPr>
        <w:t>万元，占</w:t>
      </w:r>
      <w:r>
        <w:rPr>
          <w:rFonts w:ascii="仿宋_GB2312" w:hAnsi="Times New Roman" w:eastAsia="仿宋_GB2312" w:cs="仿宋_GB2312"/>
          <w:color w:val="000000"/>
          <w:sz w:val="32"/>
          <w:szCs w:val="32"/>
          <w:lang w:val="zh-CN"/>
        </w:rPr>
        <w:t>0%</w:t>
      </w:r>
      <w:r>
        <w:rPr>
          <w:rFonts w:hint="eastAsia" w:ascii="仿宋_GB2312" w:hAnsi="Times New Roman" w:eastAsia="仿宋_GB2312" w:cs="仿宋_GB2312"/>
          <w:color w:val="000000"/>
          <w:sz w:val="32"/>
          <w:szCs w:val="32"/>
          <w:lang w:val="zh-CN"/>
        </w:rPr>
        <w:t>；国有资本经营预算财政拨款收入</w:t>
      </w:r>
      <w:r>
        <w:rPr>
          <w:rFonts w:ascii="仿宋_GB2312" w:hAnsi="Times New Roman" w:eastAsia="仿宋_GB2312" w:cs="仿宋_GB2312"/>
          <w:color w:val="000000"/>
          <w:sz w:val="32"/>
          <w:szCs w:val="32"/>
          <w:lang w:val="zh-CN"/>
        </w:rPr>
        <w:t>0</w:t>
      </w:r>
      <w:r>
        <w:rPr>
          <w:rFonts w:hint="eastAsia" w:ascii="仿宋_GB2312" w:hAnsi="Times New Roman" w:eastAsia="仿宋_GB2312" w:cs="仿宋_GB2312"/>
          <w:color w:val="000000"/>
          <w:sz w:val="32"/>
          <w:szCs w:val="32"/>
          <w:lang w:val="zh-CN"/>
        </w:rPr>
        <w:t>万元，占</w:t>
      </w:r>
      <w:r>
        <w:rPr>
          <w:rFonts w:ascii="仿宋_GB2312" w:hAnsi="Times New Roman" w:eastAsia="仿宋_GB2312" w:cs="仿宋_GB2312"/>
          <w:color w:val="000000"/>
          <w:sz w:val="32"/>
          <w:szCs w:val="32"/>
          <w:lang w:val="zh-CN"/>
        </w:rPr>
        <w:t>0%</w:t>
      </w:r>
      <w:r>
        <w:rPr>
          <w:rFonts w:hint="eastAsia" w:ascii="仿宋_GB2312" w:hAnsi="Times New Roman" w:eastAsia="仿宋_GB2312" w:cs="仿宋_GB2312"/>
          <w:color w:val="000000"/>
          <w:sz w:val="32"/>
          <w:szCs w:val="32"/>
          <w:lang w:val="zh-CN"/>
        </w:rPr>
        <w:t>；上级补助收入</w:t>
      </w:r>
      <w:r>
        <w:rPr>
          <w:rFonts w:ascii="仿宋_GB2312" w:hAnsi="Times New Roman" w:eastAsia="仿宋_GB2312" w:cs="仿宋_GB2312"/>
          <w:color w:val="000000"/>
          <w:sz w:val="32"/>
          <w:szCs w:val="32"/>
          <w:lang w:val="zh-CN"/>
        </w:rPr>
        <w:t>0</w:t>
      </w:r>
      <w:r>
        <w:rPr>
          <w:rFonts w:hint="eastAsia" w:ascii="仿宋_GB2312" w:hAnsi="Times New Roman" w:eastAsia="仿宋_GB2312" w:cs="仿宋_GB2312"/>
          <w:color w:val="000000"/>
          <w:sz w:val="32"/>
          <w:szCs w:val="32"/>
          <w:lang w:val="zh-CN"/>
        </w:rPr>
        <w:t>万元，占</w:t>
      </w:r>
      <w:r>
        <w:rPr>
          <w:rFonts w:ascii="仿宋_GB2312" w:hAnsi="Times New Roman" w:eastAsia="仿宋_GB2312" w:cs="仿宋_GB2312"/>
          <w:color w:val="000000"/>
          <w:sz w:val="32"/>
          <w:szCs w:val="32"/>
          <w:lang w:val="zh-CN"/>
        </w:rPr>
        <w:t>0%</w:t>
      </w:r>
      <w:r>
        <w:rPr>
          <w:rFonts w:hint="eastAsia" w:ascii="仿宋_GB2312" w:hAnsi="Times New Roman" w:eastAsia="仿宋_GB2312" w:cs="仿宋_GB2312"/>
          <w:color w:val="000000"/>
          <w:sz w:val="32"/>
          <w:szCs w:val="32"/>
          <w:lang w:val="zh-CN"/>
        </w:rPr>
        <w:t>；事业收入</w:t>
      </w:r>
      <w:r>
        <w:rPr>
          <w:rFonts w:ascii="仿宋_GB2312" w:hAnsi="Times New Roman" w:eastAsia="仿宋_GB2312" w:cs="仿宋_GB2312"/>
          <w:color w:val="000000"/>
          <w:sz w:val="32"/>
          <w:szCs w:val="32"/>
          <w:lang w:val="zh-CN"/>
        </w:rPr>
        <w:t>0</w:t>
      </w:r>
      <w:r>
        <w:rPr>
          <w:rFonts w:hint="eastAsia" w:ascii="仿宋_GB2312" w:hAnsi="Times New Roman" w:eastAsia="仿宋_GB2312" w:cs="仿宋_GB2312"/>
          <w:color w:val="000000"/>
          <w:sz w:val="32"/>
          <w:szCs w:val="32"/>
          <w:lang w:val="zh-CN"/>
        </w:rPr>
        <w:t>万元，占</w:t>
      </w:r>
      <w:r>
        <w:rPr>
          <w:rFonts w:ascii="仿宋_GB2312" w:hAnsi="Times New Roman" w:eastAsia="仿宋_GB2312" w:cs="仿宋_GB2312"/>
          <w:color w:val="000000"/>
          <w:sz w:val="32"/>
          <w:szCs w:val="32"/>
          <w:lang w:val="zh-CN"/>
        </w:rPr>
        <w:t>0%</w:t>
      </w:r>
      <w:r>
        <w:rPr>
          <w:rFonts w:hint="eastAsia" w:ascii="仿宋_GB2312" w:hAnsi="Times New Roman" w:eastAsia="仿宋_GB2312" w:cs="仿宋_GB2312"/>
          <w:color w:val="000000"/>
          <w:sz w:val="32"/>
          <w:szCs w:val="32"/>
          <w:lang w:val="zh-CN"/>
        </w:rPr>
        <w:t>；经营收入</w:t>
      </w:r>
      <w:r>
        <w:rPr>
          <w:rFonts w:ascii="仿宋_GB2312" w:hAnsi="Times New Roman" w:eastAsia="仿宋_GB2312" w:cs="仿宋_GB2312"/>
          <w:color w:val="000000"/>
          <w:sz w:val="32"/>
          <w:szCs w:val="32"/>
          <w:lang w:val="zh-CN"/>
        </w:rPr>
        <w:t>0</w:t>
      </w:r>
      <w:r>
        <w:rPr>
          <w:rFonts w:hint="eastAsia" w:ascii="仿宋_GB2312" w:hAnsi="Times New Roman" w:eastAsia="仿宋_GB2312" w:cs="仿宋_GB2312"/>
          <w:color w:val="000000"/>
          <w:sz w:val="32"/>
          <w:szCs w:val="32"/>
          <w:lang w:val="zh-CN"/>
        </w:rPr>
        <w:t>万元，占</w:t>
      </w:r>
      <w:r>
        <w:rPr>
          <w:rFonts w:ascii="仿宋_GB2312" w:hAnsi="Times New Roman" w:eastAsia="仿宋_GB2312" w:cs="仿宋_GB2312"/>
          <w:color w:val="000000"/>
          <w:sz w:val="32"/>
          <w:szCs w:val="32"/>
          <w:lang w:val="zh-CN"/>
        </w:rPr>
        <w:t>0%</w:t>
      </w:r>
      <w:r>
        <w:rPr>
          <w:rFonts w:hint="eastAsia" w:ascii="仿宋_GB2312" w:hAnsi="Times New Roman" w:eastAsia="仿宋_GB2312" w:cs="仿宋_GB2312"/>
          <w:color w:val="000000"/>
          <w:sz w:val="32"/>
          <w:szCs w:val="32"/>
          <w:lang w:val="zh-CN"/>
        </w:rPr>
        <w:t>；附属单位上缴收入</w:t>
      </w:r>
      <w:r>
        <w:rPr>
          <w:rFonts w:ascii="仿宋_GB2312" w:hAnsi="Times New Roman" w:eastAsia="仿宋_GB2312" w:cs="仿宋_GB2312"/>
          <w:color w:val="000000"/>
          <w:sz w:val="32"/>
          <w:szCs w:val="32"/>
          <w:lang w:val="zh-CN"/>
        </w:rPr>
        <w:t>0</w:t>
      </w:r>
      <w:r>
        <w:rPr>
          <w:rFonts w:hint="eastAsia" w:ascii="仿宋_GB2312" w:hAnsi="Times New Roman" w:eastAsia="仿宋_GB2312" w:cs="仿宋_GB2312"/>
          <w:color w:val="000000"/>
          <w:sz w:val="32"/>
          <w:szCs w:val="32"/>
          <w:lang w:val="zh-CN"/>
        </w:rPr>
        <w:t>万元，占</w:t>
      </w:r>
      <w:r>
        <w:rPr>
          <w:rFonts w:ascii="仿宋_GB2312" w:hAnsi="Times New Roman" w:eastAsia="仿宋_GB2312" w:cs="仿宋_GB2312"/>
          <w:color w:val="000000"/>
          <w:sz w:val="32"/>
          <w:szCs w:val="32"/>
          <w:lang w:val="zh-CN"/>
        </w:rPr>
        <w:t>0%</w:t>
      </w:r>
      <w:r>
        <w:rPr>
          <w:rFonts w:hint="eastAsia" w:ascii="仿宋_GB2312" w:hAnsi="Times New Roman" w:eastAsia="仿宋_GB2312" w:cs="仿宋_GB2312"/>
          <w:color w:val="000000"/>
          <w:sz w:val="32"/>
          <w:szCs w:val="32"/>
          <w:lang w:val="zh-CN"/>
        </w:rPr>
        <w:t>；其他收入</w:t>
      </w:r>
      <w:r>
        <w:rPr>
          <w:rFonts w:ascii="仿宋_GB2312" w:hAnsi="Times New Roman" w:eastAsia="仿宋_GB2312" w:cs="仿宋_GB2312"/>
          <w:color w:val="000000"/>
          <w:sz w:val="32"/>
          <w:szCs w:val="32"/>
          <w:lang w:val="zh-CN"/>
        </w:rPr>
        <w:t>0</w:t>
      </w:r>
      <w:r>
        <w:rPr>
          <w:rFonts w:hint="eastAsia" w:ascii="仿宋_GB2312" w:hAnsi="Times New Roman" w:eastAsia="仿宋_GB2312" w:cs="仿宋_GB2312"/>
          <w:color w:val="000000"/>
          <w:sz w:val="32"/>
          <w:szCs w:val="32"/>
          <w:lang w:val="zh-CN"/>
        </w:rPr>
        <w:t>万元，占</w:t>
      </w:r>
      <w:r>
        <w:rPr>
          <w:rFonts w:ascii="仿宋_GB2312" w:hAnsi="Times New Roman" w:eastAsia="仿宋_GB2312" w:cs="仿宋_GB2312"/>
          <w:color w:val="000000"/>
          <w:sz w:val="32"/>
          <w:szCs w:val="32"/>
          <w:lang w:val="zh-CN"/>
        </w:rPr>
        <w:t>0%</w:t>
      </w:r>
      <w:r>
        <w:rPr>
          <w:rFonts w:hint="eastAsia" w:ascii="仿宋_GB2312" w:hAnsi="Times New Roman" w:eastAsia="仿宋_GB2312" w:cs="仿宋_GB2312"/>
          <w:color w:val="000000"/>
          <w:sz w:val="32"/>
          <w:szCs w:val="32"/>
          <w:lang w:val="zh-CN"/>
        </w:rPr>
        <w:t>。</w:t>
      </w:r>
    </w:p>
    <w:p>
      <w:pPr>
        <w:ind w:firstLine="2891" w:firstLineChars="900"/>
        <w:rPr>
          <w:rFonts w:ascii="仿宋_GB2312" w:hAnsi="Times New Roman" w:eastAsia="仿宋_GB2312" w:cs="仿宋_GB2312"/>
          <w:b/>
          <w:color w:val="000000"/>
          <w:sz w:val="32"/>
          <w:szCs w:val="32"/>
          <w:lang w:val="zh-CN"/>
        </w:rPr>
      </w:pPr>
      <w:r>
        <w:rPr>
          <w:rFonts w:hint="eastAsia" w:ascii="仿宋" w:hAnsi="Times New Roman" w:eastAsia="仿宋" w:cs="仿宋"/>
          <w:b/>
          <w:sz w:val="32"/>
          <w:szCs w:val="32"/>
        </w:rPr>
        <w:t>2023年收入决算结构图</w:t>
      </w:r>
    </w:p>
    <w:p>
      <w:pPr>
        <w:ind w:firstLine="420" w:firstLineChars="200"/>
      </w:pPr>
    </w:p>
    <w:p>
      <w:pPr>
        <w:ind w:firstLine="420" w:firstLineChars="200"/>
        <w:rPr>
          <w:rFonts w:ascii="黑体" w:hAnsi="Times New Roman" w:eastAsia="黑体" w:cs="黑体"/>
          <w:color w:val="000000"/>
          <w:sz w:val="32"/>
          <w:szCs w:val="32"/>
          <w:lang w:val="zh-CN"/>
        </w:rPr>
      </w:pPr>
      <w:r>
        <w:drawing>
          <wp:inline distT="0" distB="0" distL="0" distR="0">
            <wp:extent cx="4572000" cy="2743200"/>
            <wp:effectExtent l="0" t="0" r="19050" b="1905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ind w:firstLine="640" w:firstLineChars="200"/>
        <w:rPr>
          <w:rFonts w:ascii="楷体_GB2312" w:hAnsi="仿宋" w:eastAsia="楷体_GB2312"/>
          <w:b/>
          <w:sz w:val="32"/>
          <w:szCs w:val="32"/>
        </w:rPr>
      </w:pPr>
      <w:r>
        <w:rPr>
          <w:rFonts w:hint="eastAsia" w:ascii="黑体" w:hAnsi="Times New Roman" w:eastAsia="黑体" w:cs="黑体"/>
          <w:color w:val="000000"/>
          <w:sz w:val="32"/>
          <w:szCs w:val="32"/>
          <w:lang w:val="zh-CN"/>
        </w:rPr>
        <w:t>三、支</w:t>
      </w:r>
      <w:r>
        <w:rPr>
          <w:rFonts w:hint="eastAsia" w:ascii="黑体" w:hAnsi="Times New Roman" w:eastAsia="黑体" w:cs="黑体"/>
          <w:sz w:val="32"/>
          <w:szCs w:val="32"/>
          <w:lang w:val="zh-CN"/>
        </w:rPr>
        <w:t>出决算情况说明</w:t>
      </w:r>
    </w:p>
    <w:p>
      <w:pPr>
        <w:ind w:firstLine="640" w:firstLineChars="200"/>
        <w:rPr>
          <w:rFonts w:ascii="仿宋_GB2312" w:hAnsi="Times New Roman" w:eastAsia="仿宋_GB2312" w:cs="仿宋_GB2312"/>
          <w:color w:val="000000"/>
          <w:sz w:val="32"/>
          <w:szCs w:val="32"/>
          <w:lang w:val="zh-CN"/>
        </w:rPr>
      </w:pPr>
      <w:r>
        <w:rPr>
          <w:rFonts w:ascii="仿宋_GB2312" w:hAnsi="Times New Roman" w:eastAsia="仿宋_GB2312" w:cs="仿宋_GB2312"/>
          <w:color w:val="000000"/>
          <w:sz w:val="32"/>
          <w:szCs w:val="32"/>
          <w:lang w:val="zh-CN"/>
        </w:rPr>
        <w:t>202</w:t>
      </w:r>
      <w:r>
        <w:rPr>
          <w:rFonts w:hint="eastAsia" w:ascii="仿宋_GB2312" w:hAnsi="Times New Roman" w:eastAsia="仿宋_GB2312" w:cs="仿宋_GB2312"/>
          <w:color w:val="000000"/>
          <w:sz w:val="32"/>
          <w:szCs w:val="32"/>
          <w:lang w:val="zh-CN"/>
        </w:rPr>
        <w:t>3年本年支出合计1130.48万元，其中：基本支出606.08万元，占53.6</w:t>
      </w:r>
      <w:r>
        <w:rPr>
          <w:rFonts w:ascii="仿宋_GB2312" w:hAnsi="Times New Roman" w:eastAsia="仿宋_GB2312" w:cs="仿宋_GB2312"/>
          <w:color w:val="000000"/>
          <w:sz w:val="32"/>
          <w:szCs w:val="32"/>
          <w:lang w:val="zh-CN"/>
        </w:rPr>
        <w:t>%</w:t>
      </w:r>
      <w:r>
        <w:rPr>
          <w:rFonts w:hint="eastAsia" w:ascii="仿宋_GB2312" w:hAnsi="Times New Roman" w:eastAsia="仿宋_GB2312" w:cs="仿宋_GB2312"/>
          <w:color w:val="000000"/>
          <w:sz w:val="32"/>
          <w:szCs w:val="32"/>
          <w:lang w:val="zh-CN"/>
        </w:rPr>
        <w:t>；项目支出524.4万元，占46.4</w:t>
      </w:r>
      <w:r>
        <w:rPr>
          <w:rFonts w:ascii="仿宋_GB2312" w:hAnsi="Times New Roman" w:eastAsia="仿宋_GB2312" w:cs="仿宋_GB2312"/>
          <w:color w:val="000000"/>
          <w:sz w:val="32"/>
          <w:szCs w:val="32"/>
          <w:lang w:val="zh-CN"/>
        </w:rPr>
        <w:t>%</w:t>
      </w:r>
      <w:r>
        <w:rPr>
          <w:rFonts w:hint="eastAsia" w:ascii="仿宋_GB2312" w:hAnsi="Times New Roman" w:eastAsia="仿宋_GB2312" w:cs="仿宋_GB2312"/>
          <w:color w:val="000000"/>
          <w:sz w:val="32"/>
          <w:szCs w:val="32"/>
          <w:lang w:val="zh-CN"/>
        </w:rPr>
        <w:t>；上缴上级支出</w:t>
      </w:r>
      <w:r>
        <w:rPr>
          <w:rFonts w:ascii="仿宋_GB2312" w:hAnsi="Times New Roman" w:eastAsia="仿宋_GB2312" w:cs="仿宋_GB2312"/>
          <w:color w:val="000000"/>
          <w:sz w:val="32"/>
          <w:szCs w:val="32"/>
          <w:lang w:val="zh-CN"/>
        </w:rPr>
        <w:t>0</w:t>
      </w:r>
      <w:r>
        <w:rPr>
          <w:rFonts w:hint="eastAsia" w:ascii="仿宋_GB2312" w:hAnsi="Times New Roman" w:eastAsia="仿宋_GB2312" w:cs="仿宋_GB2312"/>
          <w:color w:val="000000"/>
          <w:sz w:val="32"/>
          <w:szCs w:val="32"/>
          <w:lang w:val="zh-CN"/>
        </w:rPr>
        <w:t>万元，占</w:t>
      </w:r>
      <w:r>
        <w:rPr>
          <w:rFonts w:ascii="仿宋_GB2312" w:hAnsi="Times New Roman" w:eastAsia="仿宋_GB2312" w:cs="仿宋_GB2312"/>
          <w:color w:val="000000"/>
          <w:sz w:val="32"/>
          <w:szCs w:val="32"/>
          <w:lang w:val="zh-CN"/>
        </w:rPr>
        <w:t>0%</w:t>
      </w:r>
      <w:r>
        <w:rPr>
          <w:rFonts w:hint="eastAsia" w:ascii="仿宋_GB2312" w:hAnsi="Times New Roman" w:eastAsia="仿宋_GB2312" w:cs="仿宋_GB2312"/>
          <w:color w:val="000000"/>
          <w:sz w:val="32"/>
          <w:szCs w:val="32"/>
          <w:lang w:val="zh-CN"/>
        </w:rPr>
        <w:t>；经营支出</w:t>
      </w:r>
      <w:r>
        <w:rPr>
          <w:rFonts w:ascii="仿宋_GB2312" w:hAnsi="Times New Roman" w:eastAsia="仿宋_GB2312" w:cs="仿宋_GB2312"/>
          <w:color w:val="000000"/>
          <w:sz w:val="32"/>
          <w:szCs w:val="32"/>
          <w:lang w:val="zh-CN"/>
        </w:rPr>
        <w:t>0</w:t>
      </w:r>
      <w:r>
        <w:rPr>
          <w:rFonts w:hint="eastAsia" w:ascii="仿宋_GB2312" w:hAnsi="Times New Roman" w:eastAsia="仿宋_GB2312" w:cs="仿宋_GB2312"/>
          <w:color w:val="000000"/>
          <w:sz w:val="32"/>
          <w:szCs w:val="32"/>
          <w:lang w:val="zh-CN"/>
        </w:rPr>
        <w:t>万元，占</w:t>
      </w:r>
      <w:r>
        <w:rPr>
          <w:rFonts w:ascii="仿宋_GB2312" w:hAnsi="Times New Roman" w:eastAsia="仿宋_GB2312" w:cs="仿宋_GB2312"/>
          <w:color w:val="000000"/>
          <w:sz w:val="32"/>
          <w:szCs w:val="32"/>
          <w:lang w:val="zh-CN"/>
        </w:rPr>
        <w:t>0%</w:t>
      </w:r>
      <w:r>
        <w:rPr>
          <w:rFonts w:hint="eastAsia" w:ascii="仿宋_GB2312" w:hAnsi="Times New Roman" w:eastAsia="仿宋_GB2312" w:cs="仿宋_GB2312"/>
          <w:color w:val="000000"/>
          <w:sz w:val="32"/>
          <w:szCs w:val="32"/>
          <w:lang w:val="zh-CN"/>
        </w:rPr>
        <w:t>；对附属单位补助支出</w:t>
      </w:r>
      <w:r>
        <w:rPr>
          <w:rFonts w:ascii="仿宋_GB2312" w:hAnsi="Times New Roman" w:eastAsia="仿宋_GB2312" w:cs="仿宋_GB2312"/>
          <w:color w:val="000000"/>
          <w:sz w:val="32"/>
          <w:szCs w:val="32"/>
          <w:lang w:val="zh-CN"/>
        </w:rPr>
        <w:t>0</w:t>
      </w:r>
      <w:r>
        <w:rPr>
          <w:rFonts w:hint="eastAsia" w:ascii="仿宋_GB2312" w:hAnsi="Times New Roman" w:eastAsia="仿宋_GB2312" w:cs="仿宋_GB2312"/>
          <w:color w:val="000000"/>
          <w:sz w:val="32"/>
          <w:szCs w:val="32"/>
          <w:lang w:val="zh-CN"/>
        </w:rPr>
        <w:t>万元，占</w:t>
      </w:r>
      <w:r>
        <w:rPr>
          <w:rFonts w:ascii="仿宋_GB2312" w:hAnsi="Times New Roman" w:eastAsia="仿宋_GB2312" w:cs="仿宋_GB2312"/>
          <w:color w:val="000000"/>
          <w:sz w:val="32"/>
          <w:szCs w:val="32"/>
          <w:lang w:val="zh-CN"/>
        </w:rPr>
        <w:t>0%</w:t>
      </w:r>
      <w:r>
        <w:rPr>
          <w:rFonts w:hint="eastAsia" w:ascii="仿宋_GB2312" w:hAnsi="Times New Roman" w:eastAsia="仿宋_GB2312" w:cs="仿宋_GB2312"/>
          <w:color w:val="000000"/>
          <w:sz w:val="32"/>
          <w:szCs w:val="32"/>
          <w:lang w:val="zh-CN"/>
        </w:rPr>
        <w:t>。</w:t>
      </w:r>
    </w:p>
    <w:p>
      <w:pPr>
        <w:ind w:firstLine="640" w:firstLineChars="200"/>
        <w:rPr>
          <w:rFonts w:ascii="仿宋_GB2312" w:hAnsi="Times New Roman" w:eastAsia="仿宋_GB2312" w:cs="仿宋_GB2312"/>
          <w:b/>
          <w:color w:val="000000"/>
          <w:sz w:val="32"/>
          <w:szCs w:val="32"/>
          <w:lang w:val="zh-CN"/>
        </w:rPr>
      </w:pPr>
      <w:r>
        <w:rPr>
          <w:rFonts w:hint="eastAsia" w:ascii="仿宋_GB2312" w:hAnsi="Times New Roman" w:eastAsia="仿宋_GB2312" w:cs="仿宋_GB2312"/>
          <w:color w:val="000000"/>
          <w:sz w:val="32"/>
          <w:szCs w:val="32"/>
          <w:lang w:val="zh-CN"/>
        </w:rPr>
        <w:t xml:space="preserve">             </w:t>
      </w:r>
      <w:r>
        <w:rPr>
          <w:rFonts w:hint="eastAsia" w:ascii="仿宋" w:hAnsi="Times New Roman" w:eastAsia="仿宋" w:cs="仿宋"/>
          <w:b/>
          <w:sz w:val="32"/>
          <w:szCs w:val="32"/>
        </w:rPr>
        <w:t>2023年总体支出结构图</w:t>
      </w:r>
    </w:p>
    <w:p>
      <w:pPr>
        <w:ind w:firstLine="420" w:firstLineChars="200"/>
      </w:pPr>
      <w:r>
        <w:drawing>
          <wp:inline distT="0" distB="0" distL="0" distR="0">
            <wp:extent cx="4572000" cy="2743200"/>
            <wp:effectExtent l="0" t="0" r="19050" b="1905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ind w:firstLine="420" w:firstLineChars="200"/>
      </w:pPr>
    </w:p>
    <w:p>
      <w:pPr>
        <w:ind w:firstLine="640" w:firstLineChars="200"/>
        <w:rPr>
          <w:rFonts w:ascii="楷体_GB2312" w:hAnsi="仿宋" w:eastAsia="楷体_GB2312"/>
          <w:b/>
          <w:sz w:val="32"/>
          <w:szCs w:val="32"/>
        </w:rPr>
      </w:pPr>
      <w:r>
        <w:rPr>
          <w:rFonts w:hint="eastAsia" w:ascii="黑体" w:hAnsi="Times New Roman" w:eastAsia="黑体" w:cs="黑体"/>
          <w:color w:val="000000"/>
          <w:sz w:val="32"/>
          <w:szCs w:val="32"/>
          <w:lang w:val="zh-CN"/>
        </w:rPr>
        <w:t>四、财</w:t>
      </w:r>
      <w:r>
        <w:rPr>
          <w:rFonts w:hint="eastAsia" w:ascii="黑体" w:hAnsi="Times New Roman" w:eastAsia="黑体" w:cs="黑体"/>
          <w:sz w:val="32"/>
          <w:szCs w:val="32"/>
          <w:lang w:val="zh-CN"/>
        </w:rPr>
        <w:t>政拨款收入支出决算总体情况说明</w:t>
      </w:r>
    </w:p>
    <w:p>
      <w:pPr>
        <w:spacing w:line="576" w:lineRule="exact"/>
        <w:ind w:firstLine="640"/>
        <w:rPr>
          <w:rFonts w:ascii="仿宋_GB2312" w:hAnsi="Times New Roman" w:eastAsia="仿宋_GB2312" w:cs="仿宋_GB2312"/>
          <w:color w:val="000000"/>
          <w:sz w:val="32"/>
          <w:szCs w:val="32"/>
          <w:lang w:val="zh-CN"/>
        </w:rPr>
      </w:pPr>
      <w:r>
        <w:rPr>
          <w:rFonts w:ascii="仿宋_GB2312" w:hAnsi="Times New Roman" w:eastAsia="仿宋_GB2312" w:cs="仿宋_GB2312"/>
          <w:color w:val="000000"/>
          <w:sz w:val="32"/>
          <w:szCs w:val="32"/>
          <w:lang w:val="zh-CN"/>
        </w:rPr>
        <w:t>202</w:t>
      </w:r>
      <w:r>
        <w:rPr>
          <w:rFonts w:hint="eastAsia" w:ascii="仿宋_GB2312" w:hAnsi="Times New Roman" w:eastAsia="仿宋_GB2312" w:cs="仿宋_GB2312"/>
          <w:color w:val="000000"/>
          <w:sz w:val="32"/>
          <w:szCs w:val="32"/>
          <w:lang w:val="zh-CN"/>
        </w:rPr>
        <w:t>3年财政拨款收、支总计1130.48万元。与</w:t>
      </w:r>
      <w:r>
        <w:rPr>
          <w:rFonts w:ascii="仿宋_GB2312" w:hAnsi="Times New Roman" w:eastAsia="仿宋_GB2312" w:cs="仿宋_GB2312"/>
          <w:color w:val="000000"/>
          <w:sz w:val="32"/>
          <w:szCs w:val="32"/>
          <w:lang w:val="zh-CN"/>
        </w:rPr>
        <w:t>202</w:t>
      </w:r>
      <w:r>
        <w:rPr>
          <w:rFonts w:hint="eastAsia" w:ascii="仿宋_GB2312" w:hAnsi="Times New Roman" w:eastAsia="仿宋_GB2312" w:cs="仿宋_GB2312"/>
          <w:color w:val="000000"/>
          <w:sz w:val="32"/>
          <w:szCs w:val="32"/>
          <w:lang w:val="zh-CN"/>
        </w:rPr>
        <w:t>2年相比，财政拨款收、支总计增加176.32万元，增加18.48</w:t>
      </w:r>
      <w:r>
        <w:rPr>
          <w:rFonts w:ascii="仿宋_GB2312" w:hAnsi="Times New Roman" w:eastAsia="仿宋_GB2312" w:cs="仿宋_GB2312"/>
          <w:color w:val="000000"/>
          <w:sz w:val="32"/>
          <w:szCs w:val="32"/>
          <w:lang w:val="zh-CN"/>
        </w:rPr>
        <w:t>%</w:t>
      </w:r>
      <w:r>
        <w:rPr>
          <w:rFonts w:hint="eastAsia" w:ascii="仿宋_GB2312" w:hAnsi="Times New Roman" w:eastAsia="仿宋_GB2312" w:cs="仿宋_GB2312"/>
          <w:color w:val="000000"/>
          <w:sz w:val="32"/>
          <w:szCs w:val="32"/>
          <w:lang w:val="zh-CN"/>
        </w:rPr>
        <w:t>。主要变动原因是增加东西部协作项目支出。</w:t>
      </w:r>
    </w:p>
    <w:p>
      <w:pPr>
        <w:spacing w:line="576" w:lineRule="exact"/>
        <w:ind w:firstLine="640"/>
        <w:rPr>
          <w:rFonts w:ascii="仿宋" w:hAnsi="Times New Roman" w:eastAsia="仿宋" w:cs="仿宋"/>
          <w:sz w:val="32"/>
          <w:szCs w:val="32"/>
        </w:rPr>
      </w:pPr>
      <w:r>
        <w:rPr>
          <w:rFonts w:hint="eastAsia" w:ascii="仿宋" w:hAnsi="Times New Roman" w:eastAsia="仿宋" w:cs="仿宋"/>
          <w:sz w:val="32"/>
          <w:szCs w:val="32"/>
        </w:rPr>
        <w:t>（图</w:t>
      </w:r>
      <w:r>
        <w:rPr>
          <w:rFonts w:ascii="仿宋" w:hAnsi="Times New Roman" w:eastAsia="仿宋" w:cs="仿宋"/>
          <w:sz w:val="32"/>
          <w:szCs w:val="32"/>
        </w:rPr>
        <w:t>4</w:t>
      </w:r>
      <w:r>
        <w:rPr>
          <w:rFonts w:hint="eastAsia" w:ascii="仿宋" w:hAnsi="Times New Roman" w:eastAsia="仿宋" w:cs="仿宋"/>
          <w:sz w:val="32"/>
          <w:szCs w:val="32"/>
        </w:rPr>
        <w:t>：财政拨款收、支决算总计变动情况）（柱状图）</w:t>
      </w:r>
    </w:p>
    <w:p>
      <w:pPr>
        <w:spacing w:line="576" w:lineRule="exact"/>
        <w:ind w:firstLine="640"/>
        <w:rPr>
          <w:rFonts w:ascii="黑体" w:hAnsi="Times New Roman" w:eastAsia="黑体" w:cs="黑体"/>
          <w:color w:val="000000"/>
          <w:sz w:val="32"/>
          <w:szCs w:val="32"/>
        </w:rPr>
      </w:pPr>
    </w:p>
    <w:p>
      <w:pPr>
        <w:spacing w:line="576" w:lineRule="exact"/>
        <w:ind w:firstLine="640"/>
        <w:rPr>
          <w:rFonts w:ascii="黑体" w:hAnsi="Times New Roman" w:eastAsia="黑体" w:cs="黑体"/>
          <w:color w:val="000000"/>
          <w:sz w:val="32"/>
          <w:szCs w:val="32"/>
        </w:rPr>
      </w:pPr>
      <w:r>
        <w:drawing>
          <wp:anchor distT="0" distB="0" distL="114300" distR="114300" simplePos="0" relativeHeight="251660288" behindDoc="0" locked="0" layoutInCell="1" allowOverlap="1">
            <wp:simplePos x="0" y="0"/>
            <wp:positionH relativeFrom="column">
              <wp:posOffset>533400</wp:posOffset>
            </wp:positionH>
            <wp:positionV relativeFrom="paragraph">
              <wp:posOffset>132715</wp:posOffset>
            </wp:positionV>
            <wp:extent cx="4572000" cy="2743200"/>
            <wp:effectExtent l="0" t="0" r="19050" b="19050"/>
            <wp:wrapSquare wrapText="bothSides"/>
            <wp:docPr id="20" name="图表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576" w:lineRule="exact"/>
        <w:ind w:firstLine="640"/>
        <w:rPr>
          <w:rFonts w:ascii="黑体" w:hAnsi="Times New Roman" w:eastAsia="黑体" w:cs="黑体"/>
          <w:color w:val="000000"/>
          <w:sz w:val="32"/>
          <w:szCs w:val="32"/>
        </w:rPr>
      </w:pPr>
    </w:p>
    <w:p>
      <w:pPr>
        <w:spacing w:line="576" w:lineRule="exact"/>
        <w:ind w:firstLine="640"/>
        <w:rPr>
          <w:rFonts w:ascii="黑体" w:hAnsi="Times New Roman" w:eastAsia="黑体" w:cs="黑体"/>
          <w:color w:val="000000"/>
          <w:sz w:val="32"/>
          <w:szCs w:val="32"/>
        </w:rPr>
      </w:pPr>
    </w:p>
    <w:p>
      <w:pPr>
        <w:spacing w:line="576" w:lineRule="exact"/>
        <w:ind w:firstLine="640"/>
        <w:rPr>
          <w:rFonts w:ascii="黑体" w:hAnsi="Times New Roman" w:eastAsia="黑体" w:cs="黑体"/>
          <w:color w:val="000000"/>
          <w:sz w:val="32"/>
          <w:szCs w:val="32"/>
        </w:rPr>
      </w:pPr>
    </w:p>
    <w:p>
      <w:pPr>
        <w:spacing w:line="576" w:lineRule="exact"/>
        <w:ind w:firstLine="640"/>
        <w:rPr>
          <w:rFonts w:ascii="黑体" w:hAnsi="Times New Roman" w:eastAsia="黑体" w:cs="黑体"/>
          <w:color w:val="000000"/>
          <w:sz w:val="32"/>
          <w:szCs w:val="32"/>
        </w:rPr>
      </w:pPr>
    </w:p>
    <w:p>
      <w:pPr>
        <w:spacing w:line="576" w:lineRule="exact"/>
        <w:ind w:firstLine="640"/>
        <w:rPr>
          <w:rFonts w:ascii="黑体" w:hAnsi="Times New Roman" w:eastAsia="黑体" w:cs="黑体"/>
          <w:color w:val="000000"/>
          <w:sz w:val="32"/>
          <w:szCs w:val="32"/>
        </w:rPr>
      </w:pPr>
    </w:p>
    <w:p>
      <w:pPr>
        <w:spacing w:line="576" w:lineRule="exact"/>
        <w:ind w:firstLine="640"/>
        <w:rPr>
          <w:rFonts w:ascii="黑体" w:hAnsi="Times New Roman" w:eastAsia="黑体" w:cs="黑体"/>
          <w:color w:val="000000"/>
          <w:sz w:val="32"/>
          <w:szCs w:val="32"/>
        </w:rPr>
      </w:pPr>
    </w:p>
    <w:p>
      <w:pPr>
        <w:spacing w:line="576" w:lineRule="exact"/>
        <w:ind w:firstLine="640"/>
        <w:rPr>
          <w:rFonts w:ascii="黑体" w:hAnsi="Times New Roman" w:eastAsia="黑体" w:cs="黑体"/>
          <w:color w:val="000000"/>
          <w:sz w:val="32"/>
          <w:szCs w:val="32"/>
        </w:rPr>
      </w:pPr>
    </w:p>
    <w:p>
      <w:pPr>
        <w:spacing w:line="576" w:lineRule="exact"/>
        <w:ind w:firstLine="640"/>
        <w:rPr>
          <w:rFonts w:ascii="仿宋_GB2312" w:hAnsi="Times New Roman" w:eastAsia="仿宋_GB2312" w:cs="仿宋_GB2312"/>
          <w:color w:val="000000"/>
          <w:sz w:val="32"/>
          <w:szCs w:val="32"/>
          <w:lang w:val="zh-CN"/>
        </w:rPr>
      </w:pPr>
      <w:r>
        <w:rPr>
          <w:rFonts w:hint="eastAsia" w:ascii="黑体" w:hAnsi="Times New Roman" w:eastAsia="黑体" w:cs="黑体"/>
          <w:color w:val="000000"/>
          <w:sz w:val="32"/>
          <w:szCs w:val="32"/>
          <w:lang w:val="zh-CN"/>
        </w:rPr>
        <w:t>五、</w:t>
      </w:r>
      <w:r>
        <w:rPr>
          <w:rFonts w:hint="eastAsia" w:ascii="黑体" w:hAnsi="Times New Roman" w:eastAsia="黑体" w:cs="黑体"/>
          <w:b/>
          <w:bCs/>
          <w:color w:val="000000"/>
          <w:sz w:val="32"/>
          <w:szCs w:val="32"/>
          <w:lang w:val="zh-CN"/>
        </w:rPr>
        <w:t>一</w:t>
      </w:r>
      <w:r>
        <w:rPr>
          <w:rFonts w:hint="eastAsia" w:ascii="黑体" w:hAnsi="Times New Roman" w:eastAsia="黑体" w:cs="黑体"/>
          <w:sz w:val="32"/>
          <w:szCs w:val="32"/>
          <w:lang w:val="zh-CN"/>
        </w:rPr>
        <w:t>般公共预算财政拨款支出决算情况说明</w:t>
      </w:r>
    </w:p>
    <w:p>
      <w:pPr>
        <w:spacing w:line="576" w:lineRule="exact"/>
        <w:ind w:firstLine="640"/>
        <w:rPr>
          <w:rFonts w:ascii="仿宋_GB2312" w:hAnsi="Times New Roman" w:eastAsia="仿宋_GB2312" w:cs="仿宋_GB2312"/>
          <w:color w:val="000000"/>
          <w:sz w:val="32"/>
          <w:szCs w:val="32"/>
          <w:lang w:val="zh-CN"/>
        </w:rPr>
      </w:pPr>
      <w:r>
        <w:rPr>
          <w:rFonts w:hint="eastAsia" w:ascii="仿宋_GB2312" w:hAnsi="Times New Roman" w:eastAsia="仿宋_GB2312" w:cs="仿宋_GB2312"/>
          <w:b/>
          <w:bCs/>
          <w:color w:val="000000"/>
          <w:sz w:val="32"/>
          <w:szCs w:val="32"/>
          <w:lang w:val="zh-CN"/>
        </w:rPr>
        <w:t>（一）一般公共预算财政拨款支出决算总体情况。</w:t>
      </w:r>
    </w:p>
    <w:p>
      <w:pPr>
        <w:spacing w:line="576" w:lineRule="exact"/>
        <w:ind w:firstLine="640"/>
        <w:rPr>
          <w:rFonts w:ascii="仿宋_GB2312" w:hAnsi="Times New Roman" w:eastAsia="仿宋_GB2312" w:cs="仿宋_GB2312"/>
          <w:color w:val="000000"/>
          <w:sz w:val="32"/>
          <w:szCs w:val="32"/>
          <w:lang w:val="zh-CN"/>
        </w:rPr>
      </w:pPr>
      <w:r>
        <w:rPr>
          <w:rFonts w:ascii="仿宋_GB2312" w:hAnsi="Times New Roman" w:eastAsia="仿宋_GB2312" w:cs="仿宋_GB2312"/>
          <w:color w:val="000000"/>
          <w:sz w:val="32"/>
          <w:szCs w:val="32"/>
          <w:lang w:val="zh-CN"/>
        </w:rPr>
        <w:t>202</w:t>
      </w:r>
      <w:r>
        <w:rPr>
          <w:rFonts w:hint="eastAsia" w:ascii="仿宋_GB2312" w:hAnsi="Times New Roman" w:eastAsia="仿宋_GB2312" w:cs="仿宋_GB2312"/>
          <w:color w:val="000000"/>
          <w:sz w:val="32"/>
          <w:szCs w:val="32"/>
          <w:lang w:val="zh-CN"/>
        </w:rPr>
        <w:t>3年一般公共预算财政拨款支出1130.48万元，占本年支出合计的</w:t>
      </w:r>
      <w:r>
        <w:rPr>
          <w:rFonts w:ascii="仿宋_GB2312" w:hAnsi="Times New Roman" w:eastAsia="仿宋_GB2312" w:cs="仿宋_GB2312"/>
          <w:color w:val="000000"/>
          <w:sz w:val="32"/>
          <w:szCs w:val="32"/>
          <w:lang w:val="zh-CN"/>
        </w:rPr>
        <w:t>100%</w:t>
      </w:r>
      <w:r>
        <w:rPr>
          <w:rFonts w:hint="eastAsia" w:ascii="仿宋_GB2312" w:hAnsi="Times New Roman" w:eastAsia="仿宋_GB2312" w:cs="仿宋_GB2312"/>
          <w:color w:val="000000"/>
          <w:sz w:val="32"/>
          <w:szCs w:val="32"/>
          <w:lang w:val="zh-CN"/>
        </w:rPr>
        <w:t>。与</w:t>
      </w:r>
      <w:r>
        <w:rPr>
          <w:rFonts w:ascii="仿宋_GB2312" w:hAnsi="Times New Roman" w:eastAsia="仿宋_GB2312" w:cs="仿宋_GB2312"/>
          <w:color w:val="000000"/>
          <w:sz w:val="32"/>
          <w:szCs w:val="32"/>
          <w:lang w:val="zh-CN"/>
        </w:rPr>
        <w:t>202</w:t>
      </w:r>
      <w:r>
        <w:rPr>
          <w:rFonts w:hint="eastAsia" w:ascii="仿宋_GB2312" w:hAnsi="Times New Roman" w:eastAsia="仿宋_GB2312" w:cs="仿宋_GB2312"/>
          <w:color w:val="000000"/>
          <w:sz w:val="32"/>
          <w:szCs w:val="32"/>
          <w:lang w:val="zh-CN"/>
        </w:rPr>
        <w:t>2年相比，一般公共预算财政拨款支出增加176.32万元，增加18.48</w:t>
      </w:r>
      <w:r>
        <w:rPr>
          <w:rFonts w:ascii="仿宋_GB2312" w:hAnsi="Times New Roman" w:eastAsia="仿宋_GB2312" w:cs="仿宋_GB2312"/>
          <w:color w:val="000000"/>
          <w:sz w:val="32"/>
          <w:szCs w:val="32"/>
          <w:lang w:val="zh-CN"/>
        </w:rPr>
        <w:t>%</w:t>
      </w:r>
      <w:r>
        <w:rPr>
          <w:rFonts w:hint="eastAsia" w:ascii="仿宋_GB2312" w:hAnsi="Times New Roman" w:eastAsia="仿宋_GB2312" w:cs="仿宋_GB2312"/>
          <w:color w:val="000000"/>
          <w:sz w:val="32"/>
          <w:szCs w:val="32"/>
          <w:lang w:val="zh-CN"/>
        </w:rPr>
        <w:t>。主要变动原因是增加东西部协作项目支出。</w:t>
      </w:r>
    </w:p>
    <w:p>
      <w:pPr>
        <w:ind w:firstLine="643" w:firstLineChars="200"/>
        <w:rPr>
          <w:rFonts w:ascii="仿宋" w:hAnsi="Times New Roman" w:eastAsia="仿宋" w:cs="仿宋"/>
          <w:b/>
          <w:sz w:val="32"/>
          <w:szCs w:val="32"/>
        </w:rPr>
      </w:pPr>
      <w:r>
        <w:rPr>
          <w:rFonts w:hint="eastAsia" w:ascii="楷体_GB2312" w:hAnsi="仿宋" w:eastAsia="楷体_GB2312"/>
          <w:b/>
          <w:sz w:val="32"/>
          <w:szCs w:val="32"/>
        </w:rPr>
        <w:t xml:space="preserve">      </w:t>
      </w:r>
      <w:r>
        <w:rPr>
          <w:rFonts w:hint="eastAsia" w:ascii="仿宋" w:hAnsi="Times New Roman" w:eastAsia="仿宋" w:cs="仿宋"/>
          <w:b/>
          <w:sz w:val="32"/>
          <w:szCs w:val="32"/>
        </w:rPr>
        <w:t>一般公共预算财政拨款支出决算变动情况</w:t>
      </w:r>
    </w:p>
    <w:p>
      <w:pPr>
        <w:ind w:firstLine="420" w:firstLineChars="200"/>
        <w:rPr>
          <w:rFonts w:ascii="楷体_GB2312" w:hAnsi="仿宋" w:eastAsia="楷体_GB2312"/>
          <w:b/>
          <w:sz w:val="32"/>
          <w:szCs w:val="32"/>
        </w:rPr>
      </w:pPr>
      <w:r>
        <w:drawing>
          <wp:inline distT="0" distB="0" distL="0" distR="0">
            <wp:extent cx="4572000" cy="2743200"/>
            <wp:effectExtent l="0" t="0" r="19050" b="19050"/>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ind w:firstLine="643" w:firstLineChars="200"/>
        <w:rPr>
          <w:rFonts w:ascii="仿宋_GB2312" w:hAnsi="Times New Roman" w:eastAsia="仿宋_GB2312" w:cs="仿宋_GB2312"/>
          <w:b/>
          <w:bCs/>
          <w:color w:val="000000"/>
          <w:sz w:val="32"/>
          <w:szCs w:val="32"/>
          <w:lang w:val="zh-CN"/>
        </w:rPr>
      </w:pPr>
      <w:r>
        <w:rPr>
          <w:rFonts w:hint="eastAsia" w:ascii="仿宋_GB2312" w:hAnsi="Times New Roman" w:eastAsia="仿宋_GB2312" w:cs="仿宋_GB2312"/>
          <w:b/>
          <w:bCs/>
          <w:color w:val="000000"/>
          <w:sz w:val="32"/>
          <w:szCs w:val="32"/>
          <w:lang w:val="zh-CN"/>
        </w:rPr>
        <w:t>（二）一般公共预算财政拨款支出决算结构情况。</w:t>
      </w:r>
    </w:p>
    <w:p>
      <w:pPr>
        <w:ind w:firstLine="640" w:firstLineChars="200"/>
        <w:rPr>
          <w:rFonts w:ascii="仿宋_GB2312" w:hAnsi="Times New Roman" w:eastAsia="仿宋_GB2312" w:cs="仿宋_GB2312"/>
          <w:color w:val="000000"/>
          <w:sz w:val="32"/>
          <w:szCs w:val="32"/>
          <w:lang w:val="zh-CN"/>
        </w:rPr>
      </w:pPr>
      <w:r>
        <w:rPr>
          <w:rFonts w:ascii="仿宋_GB2312" w:hAnsi="Times New Roman" w:eastAsia="仿宋_GB2312" w:cs="仿宋_GB2312"/>
          <w:color w:val="000000"/>
          <w:sz w:val="32"/>
          <w:szCs w:val="32"/>
          <w:lang w:val="zh-CN"/>
        </w:rPr>
        <w:t>202</w:t>
      </w:r>
      <w:r>
        <w:rPr>
          <w:rFonts w:hint="eastAsia" w:ascii="仿宋_GB2312" w:hAnsi="Times New Roman" w:eastAsia="仿宋_GB2312" w:cs="仿宋_GB2312"/>
          <w:color w:val="000000"/>
          <w:sz w:val="32"/>
          <w:szCs w:val="32"/>
          <w:lang w:val="zh-CN"/>
        </w:rPr>
        <w:t>3年一般公共预算财政拨款支出1130.48万元，主要用于以下方面</w:t>
      </w:r>
      <w:r>
        <w:rPr>
          <w:rFonts w:ascii="仿宋_GB2312" w:hAnsi="Times New Roman" w:eastAsia="仿宋_GB2312" w:cs="仿宋_GB2312"/>
          <w:color w:val="000000"/>
          <w:sz w:val="32"/>
          <w:szCs w:val="32"/>
          <w:lang w:val="zh-CN"/>
        </w:rPr>
        <w:t xml:space="preserve">: </w:t>
      </w:r>
      <w:r>
        <w:rPr>
          <w:rFonts w:hint="eastAsia" w:ascii="仿宋_GB2312" w:hAnsi="Times New Roman" w:eastAsia="仿宋_GB2312" w:cs="仿宋_GB2312"/>
          <w:color w:val="000000"/>
          <w:sz w:val="32"/>
          <w:szCs w:val="32"/>
          <w:lang w:val="zh-CN"/>
        </w:rPr>
        <w:t>一般公共服务支出651.18万元，占57.6</w:t>
      </w:r>
      <w:r>
        <w:rPr>
          <w:rFonts w:ascii="仿宋_GB2312" w:hAnsi="Times New Roman" w:eastAsia="仿宋_GB2312" w:cs="仿宋_GB2312"/>
          <w:color w:val="000000"/>
          <w:sz w:val="32"/>
          <w:szCs w:val="32"/>
          <w:lang w:val="zh-CN"/>
        </w:rPr>
        <w:t>%</w:t>
      </w:r>
      <w:r>
        <w:rPr>
          <w:rFonts w:hint="eastAsia" w:ascii="仿宋_GB2312" w:hAnsi="Times New Roman" w:eastAsia="仿宋_GB2312" w:cs="仿宋_GB2312"/>
          <w:color w:val="000000"/>
          <w:sz w:val="32"/>
          <w:szCs w:val="32"/>
          <w:lang w:val="zh-CN"/>
        </w:rPr>
        <w:t>；外交支出</w:t>
      </w:r>
      <w:r>
        <w:rPr>
          <w:rFonts w:ascii="仿宋_GB2312" w:hAnsi="Times New Roman" w:eastAsia="仿宋_GB2312" w:cs="仿宋_GB2312"/>
          <w:color w:val="000000"/>
          <w:sz w:val="32"/>
          <w:szCs w:val="32"/>
          <w:lang w:val="zh-CN"/>
        </w:rPr>
        <w:t>0</w:t>
      </w:r>
      <w:r>
        <w:rPr>
          <w:rFonts w:hint="eastAsia" w:ascii="仿宋_GB2312" w:hAnsi="Times New Roman" w:eastAsia="仿宋_GB2312" w:cs="仿宋_GB2312"/>
          <w:color w:val="000000"/>
          <w:sz w:val="32"/>
          <w:szCs w:val="32"/>
          <w:lang w:val="zh-CN"/>
        </w:rPr>
        <w:t>万元，占</w:t>
      </w:r>
      <w:r>
        <w:rPr>
          <w:rFonts w:ascii="仿宋_GB2312" w:hAnsi="Times New Roman" w:eastAsia="仿宋_GB2312" w:cs="仿宋_GB2312"/>
          <w:color w:val="000000"/>
          <w:sz w:val="32"/>
          <w:szCs w:val="32"/>
          <w:lang w:val="zh-CN"/>
        </w:rPr>
        <w:t>0%</w:t>
      </w:r>
      <w:r>
        <w:rPr>
          <w:rFonts w:hint="eastAsia" w:ascii="仿宋_GB2312" w:hAnsi="Times New Roman" w:eastAsia="仿宋_GB2312" w:cs="仿宋_GB2312"/>
          <w:color w:val="000000"/>
          <w:sz w:val="32"/>
          <w:szCs w:val="32"/>
          <w:lang w:val="zh-CN"/>
        </w:rPr>
        <w:t>；国防支出</w:t>
      </w:r>
      <w:r>
        <w:rPr>
          <w:rFonts w:ascii="仿宋_GB2312" w:hAnsi="Times New Roman" w:eastAsia="仿宋_GB2312" w:cs="仿宋_GB2312"/>
          <w:color w:val="000000"/>
          <w:sz w:val="32"/>
          <w:szCs w:val="32"/>
          <w:lang w:val="zh-CN"/>
        </w:rPr>
        <w:t>0</w:t>
      </w:r>
      <w:r>
        <w:rPr>
          <w:rFonts w:hint="eastAsia" w:ascii="仿宋_GB2312" w:hAnsi="Times New Roman" w:eastAsia="仿宋_GB2312" w:cs="仿宋_GB2312"/>
          <w:color w:val="000000"/>
          <w:sz w:val="32"/>
          <w:szCs w:val="32"/>
          <w:lang w:val="zh-CN"/>
        </w:rPr>
        <w:t>万元，占</w:t>
      </w:r>
      <w:r>
        <w:rPr>
          <w:rFonts w:ascii="仿宋_GB2312" w:hAnsi="Times New Roman" w:eastAsia="仿宋_GB2312" w:cs="仿宋_GB2312"/>
          <w:color w:val="000000"/>
          <w:sz w:val="32"/>
          <w:szCs w:val="32"/>
          <w:lang w:val="zh-CN"/>
        </w:rPr>
        <w:t>0%</w:t>
      </w:r>
      <w:r>
        <w:rPr>
          <w:rFonts w:hint="eastAsia" w:ascii="仿宋_GB2312" w:hAnsi="Times New Roman" w:eastAsia="仿宋_GB2312" w:cs="仿宋_GB2312"/>
          <w:color w:val="000000"/>
          <w:sz w:val="32"/>
          <w:szCs w:val="32"/>
          <w:lang w:val="zh-CN"/>
        </w:rPr>
        <w:t>；公共安全支出</w:t>
      </w:r>
      <w:r>
        <w:rPr>
          <w:rFonts w:ascii="仿宋_GB2312" w:hAnsi="Times New Roman" w:eastAsia="仿宋_GB2312" w:cs="仿宋_GB2312"/>
          <w:color w:val="000000"/>
          <w:sz w:val="32"/>
          <w:szCs w:val="32"/>
          <w:lang w:val="zh-CN"/>
        </w:rPr>
        <w:t>0</w:t>
      </w:r>
      <w:r>
        <w:rPr>
          <w:rFonts w:hint="eastAsia" w:ascii="仿宋_GB2312" w:hAnsi="Times New Roman" w:eastAsia="仿宋_GB2312" w:cs="仿宋_GB2312"/>
          <w:color w:val="000000"/>
          <w:sz w:val="32"/>
          <w:szCs w:val="32"/>
          <w:lang w:val="zh-CN"/>
        </w:rPr>
        <w:t>万元，占</w:t>
      </w:r>
      <w:r>
        <w:rPr>
          <w:rFonts w:ascii="仿宋_GB2312" w:hAnsi="Times New Roman" w:eastAsia="仿宋_GB2312" w:cs="仿宋_GB2312"/>
          <w:color w:val="000000"/>
          <w:sz w:val="32"/>
          <w:szCs w:val="32"/>
          <w:lang w:val="zh-CN"/>
        </w:rPr>
        <w:t>0%</w:t>
      </w:r>
      <w:r>
        <w:rPr>
          <w:rFonts w:hint="eastAsia" w:ascii="仿宋_GB2312" w:hAnsi="Times New Roman" w:eastAsia="仿宋_GB2312" w:cs="仿宋_GB2312"/>
          <w:color w:val="000000"/>
          <w:sz w:val="32"/>
          <w:szCs w:val="32"/>
          <w:lang w:val="zh-CN"/>
        </w:rPr>
        <w:t>；教育支出</w:t>
      </w:r>
      <w:r>
        <w:rPr>
          <w:rFonts w:ascii="仿宋_GB2312" w:hAnsi="Times New Roman" w:eastAsia="仿宋_GB2312" w:cs="仿宋_GB2312"/>
          <w:color w:val="000000"/>
          <w:sz w:val="32"/>
          <w:szCs w:val="32"/>
          <w:lang w:val="zh-CN"/>
        </w:rPr>
        <w:t>0</w:t>
      </w:r>
      <w:r>
        <w:rPr>
          <w:rFonts w:hint="eastAsia" w:ascii="仿宋_GB2312" w:hAnsi="Times New Roman" w:eastAsia="仿宋_GB2312" w:cs="仿宋_GB2312"/>
          <w:color w:val="000000"/>
          <w:sz w:val="32"/>
          <w:szCs w:val="32"/>
          <w:lang w:val="zh-CN"/>
        </w:rPr>
        <w:t>万元，占</w:t>
      </w:r>
      <w:r>
        <w:rPr>
          <w:rFonts w:ascii="仿宋_GB2312" w:hAnsi="Times New Roman" w:eastAsia="仿宋_GB2312" w:cs="仿宋_GB2312"/>
          <w:color w:val="000000"/>
          <w:sz w:val="32"/>
          <w:szCs w:val="32"/>
          <w:lang w:val="zh-CN"/>
        </w:rPr>
        <w:t>0%</w:t>
      </w:r>
      <w:r>
        <w:rPr>
          <w:rFonts w:hint="eastAsia" w:ascii="仿宋_GB2312" w:hAnsi="Times New Roman" w:eastAsia="仿宋_GB2312" w:cs="仿宋_GB2312"/>
          <w:color w:val="000000"/>
          <w:sz w:val="32"/>
          <w:szCs w:val="32"/>
          <w:lang w:val="zh-CN"/>
        </w:rPr>
        <w:t>；科学技术支出</w:t>
      </w:r>
      <w:r>
        <w:rPr>
          <w:rFonts w:ascii="仿宋_GB2312" w:hAnsi="Times New Roman" w:eastAsia="仿宋_GB2312" w:cs="仿宋_GB2312"/>
          <w:color w:val="000000"/>
          <w:sz w:val="32"/>
          <w:szCs w:val="32"/>
          <w:lang w:val="zh-CN"/>
        </w:rPr>
        <w:t>0</w:t>
      </w:r>
      <w:r>
        <w:rPr>
          <w:rFonts w:hint="eastAsia" w:ascii="仿宋_GB2312" w:hAnsi="Times New Roman" w:eastAsia="仿宋_GB2312" w:cs="仿宋_GB2312"/>
          <w:color w:val="000000"/>
          <w:sz w:val="32"/>
          <w:szCs w:val="32"/>
          <w:lang w:val="zh-CN"/>
        </w:rPr>
        <w:t>万元，占</w:t>
      </w:r>
      <w:r>
        <w:rPr>
          <w:rFonts w:ascii="仿宋_GB2312" w:hAnsi="Times New Roman" w:eastAsia="仿宋_GB2312" w:cs="仿宋_GB2312"/>
          <w:color w:val="000000"/>
          <w:sz w:val="32"/>
          <w:szCs w:val="32"/>
          <w:lang w:val="zh-CN"/>
        </w:rPr>
        <w:t>0%</w:t>
      </w:r>
      <w:r>
        <w:rPr>
          <w:rFonts w:hint="eastAsia" w:ascii="仿宋_GB2312" w:hAnsi="Times New Roman" w:eastAsia="仿宋_GB2312" w:cs="仿宋_GB2312"/>
          <w:color w:val="000000"/>
          <w:sz w:val="32"/>
          <w:szCs w:val="32"/>
          <w:lang w:val="zh-CN"/>
        </w:rPr>
        <w:t>；文化体育与传媒支出</w:t>
      </w:r>
      <w:r>
        <w:rPr>
          <w:rFonts w:ascii="仿宋_GB2312" w:hAnsi="Times New Roman" w:eastAsia="仿宋_GB2312" w:cs="仿宋_GB2312"/>
          <w:color w:val="000000"/>
          <w:sz w:val="32"/>
          <w:szCs w:val="32"/>
          <w:lang w:val="zh-CN"/>
        </w:rPr>
        <w:t>0</w:t>
      </w:r>
      <w:r>
        <w:rPr>
          <w:rFonts w:hint="eastAsia" w:ascii="仿宋_GB2312" w:hAnsi="Times New Roman" w:eastAsia="仿宋_GB2312" w:cs="仿宋_GB2312"/>
          <w:color w:val="000000"/>
          <w:sz w:val="32"/>
          <w:szCs w:val="32"/>
          <w:lang w:val="zh-CN"/>
        </w:rPr>
        <w:t>万元，占</w:t>
      </w:r>
      <w:r>
        <w:rPr>
          <w:rFonts w:ascii="仿宋_GB2312" w:hAnsi="Times New Roman" w:eastAsia="仿宋_GB2312" w:cs="仿宋_GB2312"/>
          <w:color w:val="000000"/>
          <w:sz w:val="32"/>
          <w:szCs w:val="32"/>
          <w:lang w:val="zh-CN"/>
        </w:rPr>
        <w:t>0%</w:t>
      </w:r>
      <w:r>
        <w:rPr>
          <w:rFonts w:hint="eastAsia" w:ascii="仿宋_GB2312" w:hAnsi="Times New Roman" w:eastAsia="仿宋_GB2312" w:cs="仿宋_GB2312"/>
          <w:color w:val="000000"/>
          <w:sz w:val="32"/>
          <w:szCs w:val="32"/>
          <w:lang w:val="zh-CN"/>
        </w:rPr>
        <w:t>；社会保障和就业支出118.94万元，占</w:t>
      </w:r>
      <w:r>
        <w:rPr>
          <w:rFonts w:ascii="仿宋_GB2312" w:hAnsi="Times New Roman" w:eastAsia="仿宋_GB2312" w:cs="仿宋_GB2312"/>
          <w:color w:val="000000"/>
          <w:sz w:val="32"/>
          <w:szCs w:val="32"/>
          <w:lang w:val="zh-CN"/>
        </w:rPr>
        <w:t>10.</w:t>
      </w:r>
      <w:r>
        <w:rPr>
          <w:rFonts w:hint="eastAsia" w:ascii="仿宋_GB2312" w:hAnsi="Times New Roman" w:eastAsia="仿宋_GB2312" w:cs="仿宋_GB2312"/>
          <w:color w:val="000000"/>
          <w:sz w:val="32"/>
          <w:szCs w:val="32"/>
          <w:lang w:val="zh-CN"/>
        </w:rPr>
        <w:t>5</w:t>
      </w:r>
      <w:r>
        <w:rPr>
          <w:rFonts w:ascii="仿宋_GB2312" w:hAnsi="Times New Roman" w:eastAsia="仿宋_GB2312" w:cs="仿宋_GB2312"/>
          <w:color w:val="000000"/>
          <w:sz w:val="32"/>
          <w:szCs w:val="32"/>
          <w:lang w:val="zh-CN"/>
        </w:rPr>
        <w:t>%</w:t>
      </w:r>
      <w:r>
        <w:rPr>
          <w:rFonts w:hint="eastAsia" w:ascii="仿宋_GB2312" w:hAnsi="Times New Roman" w:eastAsia="仿宋_GB2312" w:cs="仿宋_GB2312"/>
          <w:color w:val="000000"/>
          <w:sz w:val="32"/>
          <w:szCs w:val="32"/>
          <w:lang w:val="zh-CN"/>
        </w:rPr>
        <w:t>；卫生健康支出18.07万元，占</w:t>
      </w:r>
      <w:r>
        <w:rPr>
          <w:rFonts w:ascii="仿宋_GB2312" w:hAnsi="Times New Roman" w:eastAsia="仿宋_GB2312" w:cs="仿宋_GB2312"/>
          <w:color w:val="000000"/>
          <w:sz w:val="32"/>
          <w:szCs w:val="32"/>
          <w:lang w:val="zh-CN"/>
        </w:rPr>
        <w:t>1.6%</w:t>
      </w:r>
      <w:r>
        <w:rPr>
          <w:rFonts w:hint="eastAsia" w:ascii="仿宋_GB2312" w:hAnsi="Times New Roman" w:eastAsia="仿宋_GB2312" w:cs="仿宋_GB2312"/>
          <w:color w:val="000000"/>
          <w:sz w:val="32"/>
          <w:szCs w:val="32"/>
          <w:lang w:val="zh-CN"/>
        </w:rPr>
        <w:t>；节能环保支出</w:t>
      </w:r>
      <w:r>
        <w:rPr>
          <w:rFonts w:ascii="仿宋_GB2312" w:hAnsi="Times New Roman" w:eastAsia="仿宋_GB2312" w:cs="仿宋_GB2312"/>
          <w:color w:val="000000"/>
          <w:sz w:val="32"/>
          <w:szCs w:val="32"/>
          <w:lang w:val="zh-CN"/>
        </w:rPr>
        <w:t>0</w:t>
      </w:r>
      <w:r>
        <w:rPr>
          <w:rFonts w:hint="eastAsia" w:ascii="仿宋_GB2312" w:hAnsi="Times New Roman" w:eastAsia="仿宋_GB2312" w:cs="仿宋_GB2312"/>
          <w:color w:val="000000"/>
          <w:sz w:val="32"/>
          <w:szCs w:val="32"/>
          <w:lang w:val="zh-CN"/>
        </w:rPr>
        <w:t>万元，占</w:t>
      </w:r>
      <w:r>
        <w:rPr>
          <w:rFonts w:ascii="仿宋_GB2312" w:hAnsi="Times New Roman" w:eastAsia="仿宋_GB2312" w:cs="仿宋_GB2312"/>
          <w:color w:val="000000"/>
          <w:sz w:val="32"/>
          <w:szCs w:val="32"/>
          <w:lang w:val="zh-CN"/>
        </w:rPr>
        <w:t>0%</w:t>
      </w:r>
      <w:r>
        <w:rPr>
          <w:rFonts w:hint="eastAsia" w:ascii="仿宋_GB2312" w:hAnsi="Times New Roman" w:eastAsia="仿宋_GB2312" w:cs="仿宋_GB2312"/>
          <w:color w:val="000000"/>
          <w:sz w:val="32"/>
          <w:szCs w:val="32"/>
          <w:lang w:val="zh-CN"/>
        </w:rPr>
        <w:t>；城乡社区支出</w:t>
      </w:r>
      <w:r>
        <w:rPr>
          <w:rFonts w:ascii="仿宋_GB2312" w:hAnsi="Times New Roman" w:eastAsia="仿宋_GB2312" w:cs="仿宋_GB2312"/>
          <w:color w:val="000000"/>
          <w:sz w:val="32"/>
          <w:szCs w:val="32"/>
          <w:lang w:val="zh-CN"/>
        </w:rPr>
        <w:t>0</w:t>
      </w:r>
      <w:r>
        <w:rPr>
          <w:rFonts w:hint="eastAsia" w:ascii="仿宋_GB2312" w:hAnsi="Times New Roman" w:eastAsia="仿宋_GB2312" w:cs="仿宋_GB2312"/>
          <w:color w:val="000000"/>
          <w:sz w:val="32"/>
          <w:szCs w:val="32"/>
          <w:lang w:val="zh-CN"/>
        </w:rPr>
        <w:t>万元，占</w:t>
      </w:r>
      <w:r>
        <w:rPr>
          <w:rFonts w:ascii="仿宋_GB2312" w:hAnsi="Times New Roman" w:eastAsia="仿宋_GB2312" w:cs="仿宋_GB2312"/>
          <w:color w:val="000000"/>
          <w:sz w:val="32"/>
          <w:szCs w:val="32"/>
          <w:lang w:val="zh-CN"/>
        </w:rPr>
        <w:t>0%</w:t>
      </w:r>
      <w:r>
        <w:rPr>
          <w:rFonts w:hint="eastAsia" w:ascii="仿宋_GB2312" w:hAnsi="Times New Roman" w:eastAsia="仿宋_GB2312" w:cs="仿宋_GB2312"/>
          <w:color w:val="000000"/>
          <w:sz w:val="32"/>
          <w:szCs w:val="32"/>
          <w:lang w:val="zh-CN"/>
        </w:rPr>
        <w:t>；农林水支出302.1万元，占26.7</w:t>
      </w:r>
      <w:r>
        <w:rPr>
          <w:rFonts w:ascii="仿宋_GB2312" w:hAnsi="Times New Roman" w:eastAsia="仿宋_GB2312" w:cs="仿宋_GB2312"/>
          <w:color w:val="000000"/>
          <w:sz w:val="32"/>
          <w:szCs w:val="32"/>
          <w:lang w:val="zh-CN"/>
        </w:rPr>
        <w:t>%</w:t>
      </w:r>
      <w:r>
        <w:rPr>
          <w:rFonts w:hint="eastAsia" w:ascii="仿宋_GB2312" w:hAnsi="Times New Roman" w:eastAsia="仿宋_GB2312" w:cs="仿宋_GB2312"/>
          <w:color w:val="000000"/>
          <w:sz w:val="32"/>
          <w:szCs w:val="32"/>
          <w:lang w:val="zh-CN"/>
        </w:rPr>
        <w:t>；交通运输支出</w:t>
      </w:r>
      <w:r>
        <w:rPr>
          <w:rFonts w:ascii="仿宋_GB2312" w:hAnsi="Times New Roman" w:eastAsia="仿宋_GB2312" w:cs="仿宋_GB2312"/>
          <w:color w:val="000000"/>
          <w:sz w:val="32"/>
          <w:szCs w:val="32"/>
          <w:lang w:val="zh-CN"/>
        </w:rPr>
        <w:t>0</w:t>
      </w:r>
      <w:r>
        <w:rPr>
          <w:rFonts w:hint="eastAsia" w:ascii="仿宋_GB2312" w:hAnsi="Times New Roman" w:eastAsia="仿宋_GB2312" w:cs="仿宋_GB2312"/>
          <w:color w:val="000000"/>
          <w:sz w:val="32"/>
          <w:szCs w:val="32"/>
          <w:lang w:val="zh-CN"/>
        </w:rPr>
        <w:t>万元，占</w:t>
      </w:r>
      <w:r>
        <w:rPr>
          <w:rFonts w:ascii="仿宋_GB2312" w:hAnsi="Times New Roman" w:eastAsia="仿宋_GB2312" w:cs="仿宋_GB2312"/>
          <w:color w:val="000000"/>
          <w:sz w:val="32"/>
          <w:szCs w:val="32"/>
          <w:lang w:val="zh-CN"/>
        </w:rPr>
        <w:t>0%</w:t>
      </w:r>
      <w:r>
        <w:rPr>
          <w:rFonts w:hint="eastAsia" w:ascii="仿宋_GB2312" w:hAnsi="Times New Roman" w:eastAsia="仿宋_GB2312" w:cs="仿宋_GB2312"/>
          <w:color w:val="000000"/>
          <w:sz w:val="32"/>
          <w:szCs w:val="32"/>
          <w:lang w:val="zh-CN"/>
        </w:rPr>
        <w:t>；资源勘探工业信息等支出</w:t>
      </w:r>
      <w:r>
        <w:rPr>
          <w:rFonts w:ascii="仿宋_GB2312" w:hAnsi="Times New Roman" w:eastAsia="仿宋_GB2312" w:cs="仿宋_GB2312"/>
          <w:color w:val="000000"/>
          <w:sz w:val="32"/>
          <w:szCs w:val="32"/>
          <w:lang w:val="zh-CN"/>
        </w:rPr>
        <w:t>0</w:t>
      </w:r>
      <w:r>
        <w:rPr>
          <w:rFonts w:hint="eastAsia" w:ascii="仿宋_GB2312" w:hAnsi="Times New Roman" w:eastAsia="仿宋_GB2312" w:cs="仿宋_GB2312"/>
          <w:color w:val="000000"/>
          <w:sz w:val="32"/>
          <w:szCs w:val="32"/>
          <w:lang w:val="zh-CN"/>
        </w:rPr>
        <w:t>万元，占</w:t>
      </w:r>
      <w:r>
        <w:rPr>
          <w:rFonts w:ascii="仿宋_GB2312" w:hAnsi="Times New Roman" w:eastAsia="仿宋_GB2312" w:cs="仿宋_GB2312"/>
          <w:color w:val="000000"/>
          <w:sz w:val="32"/>
          <w:szCs w:val="32"/>
          <w:lang w:val="zh-CN"/>
        </w:rPr>
        <w:t>0%</w:t>
      </w:r>
      <w:r>
        <w:rPr>
          <w:rFonts w:hint="eastAsia" w:ascii="仿宋_GB2312" w:hAnsi="Times New Roman" w:eastAsia="仿宋_GB2312" w:cs="仿宋_GB2312"/>
          <w:color w:val="000000"/>
          <w:sz w:val="32"/>
          <w:szCs w:val="32"/>
          <w:lang w:val="zh-CN"/>
        </w:rPr>
        <w:t>；商业服务业等支出</w:t>
      </w:r>
      <w:r>
        <w:rPr>
          <w:rFonts w:ascii="仿宋_GB2312" w:hAnsi="Times New Roman" w:eastAsia="仿宋_GB2312" w:cs="仿宋_GB2312"/>
          <w:color w:val="000000"/>
          <w:sz w:val="32"/>
          <w:szCs w:val="32"/>
          <w:lang w:val="zh-CN"/>
        </w:rPr>
        <w:t>0</w:t>
      </w:r>
      <w:r>
        <w:rPr>
          <w:rFonts w:hint="eastAsia" w:ascii="仿宋_GB2312" w:hAnsi="Times New Roman" w:eastAsia="仿宋_GB2312" w:cs="仿宋_GB2312"/>
          <w:color w:val="000000"/>
          <w:sz w:val="32"/>
          <w:szCs w:val="32"/>
          <w:lang w:val="zh-CN"/>
        </w:rPr>
        <w:t>万元，占</w:t>
      </w:r>
      <w:r>
        <w:rPr>
          <w:rFonts w:ascii="仿宋_GB2312" w:hAnsi="Times New Roman" w:eastAsia="仿宋_GB2312" w:cs="仿宋_GB2312"/>
          <w:color w:val="000000"/>
          <w:sz w:val="32"/>
          <w:szCs w:val="32"/>
          <w:lang w:val="zh-CN"/>
        </w:rPr>
        <w:t>0%</w:t>
      </w:r>
      <w:r>
        <w:rPr>
          <w:rFonts w:hint="eastAsia" w:ascii="仿宋_GB2312" w:hAnsi="Times New Roman" w:eastAsia="仿宋_GB2312" w:cs="仿宋_GB2312"/>
          <w:color w:val="000000"/>
          <w:sz w:val="32"/>
          <w:szCs w:val="32"/>
          <w:lang w:val="zh-CN"/>
        </w:rPr>
        <w:t>；金融支出</w:t>
      </w:r>
      <w:r>
        <w:rPr>
          <w:rFonts w:ascii="仿宋_GB2312" w:hAnsi="Times New Roman" w:eastAsia="仿宋_GB2312" w:cs="仿宋_GB2312"/>
          <w:color w:val="000000"/>
          <w:sz w:val="32"/>
          <w:szCs w:val="32"/>
          <w:lang w:val="zh-CN"/>
        </w:rPr>
        <w:t>0</w:t>
      </w:r>
      <w:r>
        <w:rPr>
          <w:rFonts w:hint="eastAsia" w:ascii="仿宋_GB2312" w:hAnsi="Times New Roman" w:eastAsia="仿宋_GB2312" w:cs="仿宋_GB2312"/>
          <w:color w:val="000000"/>
          <w:sz w:val="32"/>
          <w:szCs w:val="32"/>
          <w:lang w:val="zh-CN"/>
        </w:rPr>
        <w:t>万元，占</w:t>
      </w:r>
      <w:r>
        <w:rPr>
          <w:rFonts w:ascii="仿宋_GB2312" w:hAnsi="Times New Roman" w:eastAsia="仿宋_GB2312" w:cs="仿宋_GB2312"/>
          <w:color w:val="000000"/>
          <w:sz w:val="32"/>
          <w:szCs w:val="32"/>
          <w:lang w:val="zh-CN"/>
        </w:rPr>
        <w:t>0%</w:t>
      </w:r>
      <w:r>
        <w:rPr>
          <w:rFonts w:hint="eastAsia" w:ascii="仿宋_GB2312" w:hAnsi="Times New Roman" w:eastAsia="仿宋_GB2312" w:cs="仿宋_GB2312"/>
          <w:color w:val="000000"/>
          <w:sz w:val="32"/>
          <w:szCs w:val="32"/>
          <w:lang w:val="zh-CN"/>
        </w:rPr>
        <w:t>；援助其他地区支出</w:t>
      </w:r>
      <w:r>
        <w:rPr>
          <w:rFonts w:ascii="仿宋_GB2312" w:hAnsi="Times New Roman" w:eastAsia="仿宋_GB2312" w:cs="仿宋_GB2312"/>
          <w:color w:val="000000"/>
          <w:sz w:val="32"/>
          <w:szCs w:val="32"/>
          <w:lang w:val="zh-CN"/>
        </w:rPr>
        <w:t>0</w:t>
      </w:r>
      <w:r>
        <w:rPr>
          <w:rFonts w:hint="eastAsia" w:ascii="仿宋_GB2312" w:hAnsi="Times New Roman" w:eastAsia="仿宋_GB2312" w:cs="仿宋_GB2312"/>
          <w:color w:val="000000"/>
          <w:sz w:val="32"/>
          <w:szCs w:val="32"/>
          <w:lang w:val="zh-CN"/>
        </w:rPr>
        <w:t>万元，占</w:t>
      </w:r>
      <w:r>
        <w:rPr>
          <w:rFonts w:ascii="仿宋_GB2312" w:hAnsi="Times New Roman" w:eastAsia="仿宋_GB2312" w:cs="仿宋_GB2312"/>
          <w:color w:val="000000"/>
          <w:sz w:val="32"/>
          <w:szCs w:val="32"/>
          <w:lang w:val="zh-CN"/>
        </w:rPr>
        <w:t>0%</w:t>
      </w:r>
      <w:r>
        <w:rPr>
          <w:rFonts w:hint="eastAsia" w:ascii="仿宋_GB2312" w:hAnsi="Times New Roman" w:eastAsia="仿宋_GB2312" w:cs="仿宋_GB2312"/>
          <w:color w:val="000000"/>
          <w:sz w:val="32"/>
          <w:szCs w:val="32"/>
          <w:lang w:val="zh-CN"/>
        </w:rPr>
        <w:t>；自然资源海洋气象等支出</w:t>
      </w:r>
      <w:r>
        <w:rPr>
          <w:rFonts w:ascii="仿宋_GB2312" w:hAnsi="Times New Roman" w:eastAsia="仿宋_GB2312" w:cs="仿宋_GB2312"/>
          <w:color w:val="000000"/>
          <w:sz w:val="32"/>
          <w:szCs w:val="32"/>
          <w:lang w:val="zh-CN"/>
        </w:rPr>
        <w:t>0</w:t>
      </w:r>
      <w:r>
        <w:rPr>
          <w:rFonts w:hint="eastAsia" w:ascii="仿宋_GB2312" w:hAnsi="Times New Roman" w:eastAsia="仿宋_GB2312" w:cs="仿宋_GB2312"/>
          <w:color w:val="000000"/>
          <w:sz w:val="32"/>
          <w:szCs w:val="32"/>
          <w:lang w:val="zh-CN"/>
        </w:rPr>
        <w:t>万元，占</w:t>
      </w:r>
      <w:r>
        <w:rPr>
          <w:rFonts w:ascii="仿宋_GB2312" w:hAnsi="Times New Roman" w:eastAsia="仿宋_GB2312" w:cs="仿宋_GB2312"/>
          <w:color w:val="000000"/>
          <w:sz w:val="32"/>
          <w:szCs w:val="32"/>
          <w:lang w:val="zh-CN"/>
        </w:rPr>
        <w:t>0%</w:t>
      </w:r>
      <w:r>
        <w:rPr>
          <w:rFonts w:hint="eastAsia" w:ascii="仿宋_GB2312" w:hAnsi="Times New Roman" w:eastAsia="仿宋_GB2312" w:cs="仿宋_GB2312"/>
          <w:color w:val="000000"/>
          <w:sz w:val="32"/>
          <w:szCs w:val="32"/>
          <w:lang w:val="zh-CN"/>
        </w:rPr>
        <w:t>；住房保障支出</w:t>
      </w:r>
      <w:r>
        <w:rPr>
          <w:rFonts w:ascii="仿宋_GB2312" w:hAnsi="Times New Roman" w:eastAsia="仿宋_GB2312" w:cs="仿宋_GB2312"/>
          <w:color w:val="000000"/>
          <w:sz w:val="32"/>
          <w:szCs w:val="32"/>
          <w:lang w:val="zh-CN"/>
        </w:rPr>
        <w:t>40.</w:t>
      </w:r>
      <w:r>
        <w:rPr>
          <w:rFonts w:hint="eastAsia" w:ascii="仿宋_GB2312" w:hAnsi="Times New Roman" w:eastAsia="仿宋_GB2312" w:cs="仿宋_GB2312"/>
          <w:color w:val="000000"/>
          <w:sz w:val="32"/>
          <w:szCs w:val="32"/>
          <w:lang w:val="zh-CN"/>
        </w:rPr>
        <w:t>19万元，占3.6</w:t>
      </w:r>
      <w:r>
        <w:rPr>
          <w:rFonts w:ascii="仿宋_GB2312" w:hAnsi="Times New Roman" w:eastAsia="仿宋_GB2312" w:cs="仿宋_GB2312"/>
          <w:color w:val="000000"/>
          <w:sz w:val="32"/>
          <w:szCs w:val="32"/>
          <w:lang w:val="zh-CN"/>
        </w:rPr>
        <w:t>%</w:t>
      </w:r>
      <w:r>
        <w:rPr>
          <w:rFonts w:hint="eastAsia" w:ascii="仿宋_GB2312" w:hAnsi="Times New Roman" w:eastAsia="仿宋_GB2312" w:cs="仿宋_GB2312"/>
          <w:color w:val="000000"/>
          <w:sz w:val="32"/>
          <w:szCs w:val="32"/>
          <w:lang w:val="zh-CN"/>
        </w:rPr>
        <w:t>；粮油物资储备支出</w:t>
      </w:r>
      <w:r>
        <w:rPr>
          <w:rFonts w:ascii="仿宋_GB2312" w:hAnsi="Times New Roman" w:eastAsia="仿宋_GB2312" w:cs="仿宋_GB2312"/>
          <w:color w:val="000000"/>
          <w:sz w:val="32"/>
          <w:szCs w:val="32"/>
          <w:lang w:val="zh-CN"/>
        </w:rPr>
        <w:t>0</w:t>
      </w:r>
      <w:r>
        <w:rPr>
          <w:rFonts w:hint="eastAsia" w:ascii="仿宋_GB2312" w:hAnsi="Times New Roman" w:eastAsia="仿宋_GB2312" w:cs="仿宋_GB2312"/>
          <w:color w:val="000000"/>
          <w:sz w:val="32"/>
          <w:szCs w:val="32"/>
          <w:lang w:val="zh-CN"/>
        </w:rPr>
        <w:t>万元，占</w:t>
      </w:r>
      <w:r>
        <w:rPr>
          <w:rFonts w:ascii="仿宋_GB2312" w:hAnsi="Times New Roman" w:eastAsia="仿宋_GB2312" w:cs="仿宋_GB2312"/>
          <w:color w:val="000000"/>
          <w:sz w:val="32"/>
          <w:szCs w:val="32"/>
          <w:lang w:val="zh-CN"/>
        </w:rPr>
        <w:t>0%</w:t>
      </w:r>
      <w:r>
        <w:rPr>
          <w:rFonts w:hint="eastAsia" w:ascii="仿宋_GB2312" w:hAnsi="Times New Roman" w:eastAsia="仿宋_GB2312" w:cs="仿宋_GB2312"/>
          <w:color w:val="000000"/>
          <w:sz w:val="32"/>
          <w:szCs w:val="32"/>
          <w:lang w:val="zh-CN"/>
        </w:rPr>
        <w:t>；国有资本经营预算支出</w:t>
      </w:r>
      <w:r>
        <w:rPr>
          <w:rFonts w:ascii="仿宋_GB2312" w:hAnsi="Times New Roman" w:eastAsia="仿宋_GB2312" w:cs="仿宋_GB2312"/>
          <w:color w:val="000000"/>
          <w:sz w:val="32"/>
          <w:szCs w:val="32"/>
          <w:lang w:val="zh-CN"/>
        </w:rPr>
        <w:t>0</w:t>
      </w:r>
      <w:r>
        <w:rPr>
          <w:rFonts w:hint="eastAsia" w:ascii="仿宋_GB2312" w:hAnsi="Times New Roman" w:eastAsia="仿宋_GB2312" w:cs="仿宋_GB2312"/>
          <w:color w:val="000000"/>
          <w:sz w:val="32"/>
          <w:szCs w:val="32"/>
          <w:lang w:val="zh-CN"/>
        </w:rPr>
        <w:t>万元，占</w:t>
      </w:r>
      <w:r>
        <w:rPr>
          <w:rFonts w:ascii="仿宋_GB2312" w:hAnsi="Times New Roman" w:eastAsia="仿宋_GB2312" w:cs="仿宋_GB2312"/>
          <w:color w:val="000000"/>
          <w:sz w:val="32"/>
          <w:szCs w:val="32"/>
          <w:lang w:val="zh-CN"/>
        </w:rPr>
        <w:t>0%</w:t>
      </w:r>
      <w:r>
        <w:rPr>
          <w:rFonts w:hint="eastAsia" w:ascii="仿宋_GB2312" w:hAnsi="Times New Roman" w:eastAsia="仿宋_GB2312" w:cs="仿宋_GB2312"/>
          <w:color w:val="000000"/>
          <w:sz w:val="32"/>
          <w:szCs w:val="32"/>
          <w:lang w:val="zh-CN"/>
        </w:rPr>
        <w:t>；灾害防治及应急管理支出</w:t>
      </w:r>
      <w:r>
        <w:rPr>
          <w:rFonts w:ascii="仿宋_GB2312" w:hAnsi="Times New Roman" w:eastAsia="仿宋_GB2312" w:cs="仿宋_GB2312"/>
          <w:color w:val="000000"/>
          <w:sz w:val="32"/>
          <w:szCs w:val="32"/>
          <w:lang w:val="zh-CN"/>
        </w:rPr>
        <w:t>0</w:t>
      </w:r>
      <w:r>
        <w:rPr>
          <w:rFonts w:hint="eastAsia" w:ascii="仿宋_GB2312" w:hAnsi="Times New Roman" w:eastAsia="仿宋_GB2312" w:cs="仿宋_GB2312"/>
          <w:color w:val="000000"/>
          <w:sz w:val="32"/>
          <w:szCs w:val="32"/>
          <w:lang w:val="zh-CN"/>
        </w:rPr>
        <w:t>万元，占</w:t>
      </w:r>
      <w:r>
        <w:rPr>
          <w:rFonts w:ascii="仿宋_GB2312" w:hAnsi="Times New Roman" w:eastAsia="仿宋_GB2312" w:cs="仿宋_GB2312"/>
          <w:color w:val="000000"/>
          <w:sz w:val="32"/>
          <w:szCs w:val="32"/>
          <w:lang w:val="zh-CN"/>
        </w:rPr>
        <w:t>0%</w:t>
      </w:r>
      <w:r>
        <w:rPr>
          <w:rFonts w:hint="eastAsia" w:ascii="仿宋_GB2312" w:hAnsi="Times New Roman" w:eastAsia="仿宋_GB2312" w:cs="仿宋_GB2312"/>
          <w:color w:val="000000"/>
          <w:sz w:val="32"/>
          <w:szCs w:val="32"/>
          <w:lang w:val="zh-CN"/>
        </w:rPr>
        <w:t>；其他支出</w:t>
      </w:r>
      <w:r>
        <w:rPr>
          <w:rFonts w:ascii="仿宋_GB2312" w:hAnsi="Times New Roman" w:eastAsia="仿宋_GB2312" w:cs="仿宋_GB2312"/>
          <w:color w:val="000000"/>
          <w:sz w:val="32"/>
          <w:szCs w:val="32"/>
          <w:lang w:val="zh-CN"/>
        </w:rPr>
        <w:t>0</w:t>
      </w:r>
      <w:r>
        <w:rPr>
          <w:rFonts w:hint="eastAsia" w:ascii="仿宋_GB2312" w:hAnsi="Times New Roman" w:eastAsia="仿宋_GB2312" w:cs="仿宋_GB2312"/>
          <w:color w:val="000000"/>
          <w:sz w:val="32"/>
          <w:szCs w:val="32"/>
          <w:lang w:val="zh-CN"/>
        </w:rPr>
        <w:t>万元，占</w:t>
      </w:r>
      <w:r>
        <w:rPr>
          <w:rFonts w:ascii="仿宋_GB2312" w:hAnsi="Times New Roman" w:eastAsia="仿宋_GB2312" w:cs="仿宋_GB2312"/>
          <w:color w:val="000000"/>
          <w:sz w:val="32"/>
          <w:szCs w:val="32"/>
          <w:lang w:val="zh-CN"/>
        </w:rPr>
        <w:t>0%</w:t>
      </w:r>
      <w:r>
        <w:rPr>
          <w:rFonts w:hint="eastAsia" w:ascii="仿宋_GB2312" w:hAnsi="Times New Roman" w:eastAsia="仿宋_GB2312" w:cs="仿宋_GB2312"/>
          <w:color w:val="000000"/>
          <w:sz w:val="32"/>
          <w:szCs w:val="32"/>
          <w:lang w:val="zh-CN"/>
        </w:rPr>
        <w:t>；债务还本支出</w:t>
      </w:r>
      <w:r>
        <w:rPr>
          <w:rFonts w:ascii="仿宋_GB2312" w:hAnsi="Times New Roman" w:eastAsia="仿宋_GB2312" w:cs="仿宋_GB2312"/>
          <w:color w:val="000000"/>
          <w:sz w:val="32"/>
          <w:szCs w:val="32"/>
          <w:lang w:val="zh-CN"/>
        </w:rPr>
        <w:t>0</w:t>
      </w:r>
      <w:r>
        <w:rPr>
          <w:rFonts w:hint="eastAsia" w:ascii="仿宋_GB2312" w:hAnsi="Times New Roman" w:eastAsia="仿宋_GB2312" w:cs="仿宋_GB2312"/>
          <w:color w:val="000000"/>
          <w:sz w:val="32"/>
          <w:szCs w:val="32"/>
          <w:lang w:val="zh-CN"/>
        </w:rPr>
        <w:t>万元，占</w:t>
      </w:r>
      <w:r>
        <w:rPr>
          <w:rFonts w:ascii="仿宋_GB2312" w:hAnsi="Times New Roman" w:eastAsia="仿宋_GB2312" w:cs="仿宋_GB2312"/>
          <w:color w:val="000000"/>
          <w:sz w:val="32"/>
          <w:szCs w:val="32"/>
          <w:lang w:val="zh-CN"/>
        </w:rPr>
        <w:t>0%</w:t>
      </w:r>
      <w:r>
        <w:rPr>
          <w:rFonts w:hint="eastAsia" w:ascii="仿宋_GB2312" w:hAnsi="Times New Roman" w:eastAsia="仿宋_GB2312" w:cs="仿宋_GB2312"/>
          <w:color w:val="000000"/>
          <w:sz w:val="32"/>
          <w:szCs w:val="32"/>
          <w:lang w:val="zh-CN"/>
        </w:rPr>
        <w:t>；债务付息支出</w:t>
      </w:r>
      <w:r>
        <w:rPr>
          <w:rFonts w:ascii="仿宋_GB2312" w:hAnsi="Times New Roman" w:eastAsia="仿宋_GB2312" w:cs="仿宋_GB2312"/>
          <w:color w:val="000000"/>
          <w:sz w:val="32"/>
          <w:szCs w:val="32"/>
          <w:lang w:val="zh-CN"/>
        </w:rPr>
        <w:t>0</w:t>
      </w:r>
      <w:r>
        <w:rPr>
          <w:rFonts w:hint="eastAsia" w:ascii="仿宋_GB2312" w:hAnsi="Times New Roman" w:eastAsia="仿宋_GB2312" w:cs="仿宋_GB2312"/>
          <w:color w:val="000000"/>
          <w:sz w:val="32"/>
          <w:szCs w:val="32"/>
          <w:lang w:val="zh-CN"/>
        </w:rPr>
        <w:t>万元，占</w:t>
      </w:r>
      <w:r>
        <w:rPr>
          <w:rFonts w:ascii="仿宋_GB2312" w:hAnsi="Times New Roman" w:eastAsia="仿宋_GB2312" w:cs="仿宋_GB2312"/>
          <w:color w:val="000000"/>
          <w:sz w:val="32"/>
          <w:szCs w:val="32"/>
          <w:lang w:val="zh-CN"/>
        </w:rPr>
        <w:t>0%</w:t>
      </w:r>
      <w:r>
        <w:rPr>
          <w:rFonts w:hint="eastAsia" w:ascii="仿宋_GB2312" w:hAnsi="Times New Roman" w:eastAsia="仿宋_GB2312" w:cs="仿宋_GB2312"/>
          <w:color w:val="000000"/>
          <w:sz w:val="32"/>
          <w:szCs w:val="32"/>
          <w:lang w:val="zh-CN"/>
        </w:rPr>
        <w:t>；抗疫特别国债安排的支出</w:t>
      </w:r>
      <w:r>
        <w:rPr>
          <w:rFonts w:ascii="仿宋_GB2312" w:hAnsi="Times New Roman" w:eastAsia="仿宋_GB2312" w:cs="仿宋_GB2312"/>
          <w:color w:val="000000"/>
          <w:sz w:val="32"/>
          <w:szCs w:val="32"/>
          <w:lang w:val="zh-CN"/>
        </w:rPr>
        <w:t>0</w:t>
      </w:r>
      <w:r>
        <w:rPr>
          <w:rFonts w:hint="eastAsia" w:ascii="仿宋_GB2312" w:hAnsi="Times New Roman" w:eastAsia="仿宋_GB2312" w:cs="仿宋_GB2312"/>
          <w:color w:val="000000"/>
          <w:sz w:val="32"/>
          <w:szCs w:val="32"/>
          <w:lang w:val="zh-CN"/>
        </w:rPr>
        <w:t>万元，占</w:t>
      </w:r>
      <w:r>
        <w:rPr>
          <w:rFonts w:ascii="仿宋_GB2312" w:hAnsi="Times New Roman" w:eastAsia="仿宋_GB2312" w:cs="仿宋_GB2312"/>
          <w:color w:val="000000"/>
          <w:sz w:val="32"/>
          <w:szCs w:val="32"/>
          <w:lang w:val="zh-CN"/>
        </w:rPr>
        <w:t>0%</w:t>
      </w:r>
      <w:r>
        <w:rPr>
          <w:rFonts w:hint="eastAsia" w:ascii="仿宋_GB2312" w:hAnsi="Times New Roman" w:eastAsia="仿宋_GB2312" w:cs="仿宋_GB2312"/>
          <w:color w:val="000000"/>
          <w:sz w:val="32"/>
          <w:szCs w:val="32"/>
          <w:lang w:val="zh-CN"/>
        </w:rPr>
        <w:t>。</w:t>
      </w:r>
    </w:p>
    <w:p>
      <w:pPr>
        <w:ind w:firstLine="640" w:firstLineChars="200"/>
        <w:rPr>
          <w:rFonts w:ascii="仿宋" w:hAnsi="Times New Roman" w:eastAsia="仿宋" w:cs="仿宋"/>
          <w:sz w:val="32"/>
          <w:szCs w:val="32"/>
        </w:rPr>
      </w:pPr>
      <w:r>
        <w:rPr>
          <w:rFonts w:hint="eastAsia" w:ascii="仿宋" w:hAnsi="Times New Roman" w:eastAsia="仿宋" w:cs="仿宋"/>
          <w:sz w:val="32"/>
          <w:szCs w:val="32"/>
        </w:rPr>
        <w:t>（图</w:t>
      </w:r>
      <w:r>
        <w:rPr>
          <w:rFonts w:ascii="仿宋" w:hAnsi="Times New Roman" w:eastAsia="仿宋" w:cs="仿宋"/>
          <w:sz w:val="32"/>
          <w:szCs w:val="32"/>
        </w:rPr>
        <w:t>6</w:t>
      </w:r>
      <w:r>
        <w:rPr>
          <w:rFonts w:hint="eastAsia" w:ascii="仿宋" w:hAnsi="Times New Roman" w:eastAsia="仿宋" w:cs="仿宋"/>
          <w:sz w:val="32"/>
          <w:szCs w:val="32"/>
        </w:rPr>
        <w:t>：一般公共预算财政拨款支出决算结构）（饼状图）</w:t>
      </w:r>
    </w:p>
    <w:p>
      <w:pPr>
        <w:spacing w:line="600" w:lineRule="exact"/>
        <w:ind w:left="479" w:leftChars="228" w:firstLine="105" w:firstLineChars="50"/>
        <w:rPr>
          <w:rFonts w:ascii="仿宋_GB2312" w:hAnsi="Times New Roman" w:eastAsia="仿宋_GB2312" w:cs="仿宋_GB2312"/>
          <w:b/>
          <w:bCs/>
          <w:color w:val="000000"/>
          <w:sz w:val="32"/>
          <w:szCs w:val="32"/>
          <w:lang w:val="zh-CN"/>
        </w:rPr>
      </w:pPr>
      <w:r>
        <w:drawing>
          <wp:anchor distT="0" distB="0" distL="114300" distR="114300" simplePos="0" relativeHeight="251659264" behindDoc="0" locked="0" layoutInCell="1" allowOverlap="1">
            <wp:simplePos x="0" y="0"/>
            <wp:positionH relativeFrom="column">
              <wp:posOffset>751840</wp:posOffset>
            </wp:positionH>
            <wp:positionV relativeFrom="paragraph">
              <wp:posOffset>228600</wp:posOffset>
            </wp:positionV>
            <wp:extent cx="4572000" cy="2743200"/>
            <wp:effectExtent l="0" t="0" r="19050" b="19050"/>
            <wp:wrapSquare wrapText="bothSides"/>
            <wp:docPr id="16"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left="479" w:leftChars="228" w:firstLine="161" w:firstLineChars="50"/>
        <w:rPr>
          <w:rFonts w:ascii="仿宋_GB2312" w:hAnsi="Times New Roman" w:eastAsia="仿宋_GB2312" w:cs="仿宋_GB2312"/>
          <w:b/>
          <w:bCs/>
          <w:color w:val="000000"/>
          <w:sz w:val="32"/>
          <w:szCs w:val="32"/>
          <w:lang w:val="zh-CN"/>
        </w:rPr>
      </w:pPr>
    </w:p>
    <w:p>
      <w:pPr>
        <w:spacing w:line="600" w:lineRule="exact"/>
        <w:ind w:left="479" w:leftChars="228" w:firstLine="161" w:firstLineChars="50"/>
        <w:rPr>
          <w:rFonts w:ascii="仿宋_GB2312" w:hAnsi="Times New Roman" w:eastAsia="仿宋_GB2312" w:cs="仿宋_GB2312"/>
          <w:b/>
          <w:bCs/>
          <w:color w:val="000000"/>
          <w:sz w:val="32"/>
          <w:szCs w:val="32"/>
          <w:lang w:val="zh-CN"/>
        </w:rPr>
      </w:pPr>
    </w:p>
    <w:p>
      <w:pPr>
        <w:spacing w:line="600" w:lineRule="exact"/>
        <w:ind w:left="479" w:leftChars="228" w:firstLine="161" w:firstLineChars="50"/>
        <w:rPr>
          <w:rFonts w:ascii="仿宋_GB2312" w:hAnsi="Times New Roman" w:eastAsia="仿宋_GB2312" w:cs="仿宋_GB2312"/>
          <w:b/>
          <w:bCs/>
          <w:color w:val="000000"/>
          <w:sz w:val="32"/>
          <w:szCs w:val="32"/>
          <w:lang w:val="zh-CN"/>
        </w:rPr>
      </w:pPr>
    </w:p>
    <w:p>
      <w:pPr>
        <w:spacing w:line="600" w:lineRule="exact"/>
        <w:ind w:left="479" w:leftChars="228" w:firstLine="161" w:firstLineChars="50"/>
        <w:rPr>
          <w:rFonts w:ascii="仿宋_GB2312" w:hAnsi="Times New Roman" w:eastAsia="仿宋_GB2312" w:cs="仿宋_GB2312"/>
          <w:b/>
          <w:bCs/>
          <w:color w:val="000000"/>
          <w:sz w:val="32"/>
          <w:szCs w:val="32"/>
          <w:lang w:val="zh-CN"/>
        </w:rPr>
      </w:pPr>
    </w:p>
    <w:p>
      <w:pPr>
        <w:spacing w:line="600" w:lineRule="exact"/>
        <w:ind w:left="479" w:leftChars="228" w:firstLine="161" w:firstLineChars="50"/>
        <w:rPr>
          <w:rFonts w:ascii="仿宋_GB2312" w:hAnsi="Times New Roman" w:eastAsia="仿宋_GB2312" w:cs="仿宋_GB2312"/>
          <w:b/>
          <w:bCs/>
          <w:color w:val="000000"/>
          <w:sz w:val="32"/>
          <w:szCs w:val="32"/>
          <w:lang w:val="zh-CN"/>
        </w:rPr>
      </w:pPr>
    </w:p>
    <w:p>
      <w:pPr>
        <w:spacing w:line="600" w:lineRule="exact"/>
        <w:ind w:left="479" w:leftChars="228" w:firstLine="161" w:firstLineChars="50"/>
        <w:rPr>
          <w:rFonts w:ascii="仿宋_GB2312" w:hAnsi="Times New Roman" w:eastAsia="仿宋_GB2312" w:cs="仿宋_GB2312"/>
          <w:b/>
          <w:bCs/>
          <w:color w:val="000000"/>
          <w:sz w:val="32"/>
          <w:szCs w:val="32"/>
          <w:lang w:val="zh-CN"/>
        </w:rPr>
      </w:pPr>
    </w:p>
    <w:p>
      <w:pPr>
        <w:spacing w:line="600" w:lineRule="exact"/>
        <w:ind w:left="479" w:leftChars="228" w:firstLine="161" w:firstLineChars="50"/>
        <w:rPr>
          <w:rFonts w:ascii="仿宋_GB2312" w:hAnsi="Times New Roman" w:eastAsia="仿宋_GB2312" w:cs="仿宋_GB2312"/>
          <w:b/>
          <w:bCs/>
          <w:color w:val="000000"/>
          <w:sz w:val="32"/>
          <w:szCs w:val="32"/>
          <w:lang w:val="zh-CN"/>
        </w:rPr>
      </w:pPr>
      <w:r>
        <w:rPr>
          <w:rFonts w:ascii="仿宋_GB2312" w:hAnsi="Times New Roman" w:eastAsia="仿宋_GB2312" w:cs="仿宋_GB2312"/>
          <w:b/>
          <w:bCs/>
          <w:color w:val="000000"/>
          <w:sz w:val="32"/>
          <w:szCs w:val="32"/>
          <w:lang w:val="zh-CN"/>
        </w:rPr>
        <w:br w:type="textWrapping" w:clear="all"/>
      </w:r>
      <w:r>
        <w:rPr>
          <w:rFonts w:hint="eastAsia" w:ascii="仿宋_GB2312" w:hAnsi="Times New Roman" w:eastAsia="仿宋_GB2312" w:cs="仿宋_GB2312"/>
          <w:b/>
          <w:bCs/>
          <w:color w:val="000000"/>
          <w:sz w:val="32"/>
          <w:szCs w:val="32"/>
          <w:lang w:val="zh-CN"/>
        </w:rPr>
        <w:t>（三）一般公共预算财政拨款支出决算具体情况。</w:t>
      </w:r>
    </w:p>
    <w:p>
      <w:pPr>
        <w:spacing w:line="600" w:lineRule="exact"/>
        <w:ind w:firstLine="640"/>
        <w:rPr>
          <w:rFonts w:ascii="仿宋_GB2312" w:hAnsi="Times New Roman" w:eastAsia="仿宋_GB2312" w:cs="仿宋_GB2312"/>
          <w:b/>
          <w:bCs/>
          <w:color w:val="000000"/>
          <w:sz w:val="32"/>
          <w:szCs w:val="32"/>
          <w:lang w:val="zh-CN"/>
        </w:rPr>
      </w:pPr>
      <w:r>
        <w:rPr>
          <w:rFonts w:ascii="仿宋_GB2312" w:hAnsi="Times New Roman" w:eastAsia="仿宋_GB2312" w:cs="仿宋_GB2312"/>
          <w:b/>
          <w:bCs/>
          <w:color w:val="000000"/>
          <w:sz w:val="32"/>
          <w:szCs w:val="32"/>
          <w:lang w:val="zh-CN"/>
        </w:rPr>
        <w:t>202</w:t>
      </w:r>
      <w:r>
        <w:rPr>
          <w:rFonts w:hint="eastAsia" w:ascii="仿宋_GB2312" w:hAnsi="Times New Roman" w:eastAsia="仿宋_GB2312" w:cs="仿宋_GB2312"/>
          <w:b/>
          <w:bCs/>
          <w:color w:val="000000"/>
          <w:sz w:val="32"/>
          <w:szCs w:val="32"/>
          <w:lang w:val="zh-CN"/>
        </w:rPr>
        <w:t>3年一般公共预算支出决算数为1130.48万元</w:t>
      </w:r>
      <w:r>
        <w:rPr>
          <w:rFonts w:hint="eastAsia" w:ascii="仿宋_GB2312" w:hAnsi="Times New Roman" w:eastAsia="仿宋_GB2312" w:cs="仿宋_GB2312"/>
          <w:color w:val="000000"/>
          <w:sz w:val="32"/>
          <w:szCs w:val="32"/>
          <w:lang w:val="zh-CN"/>
        </w:rPr>
        <w:t>，</w:t>
      </w:r>
      <w:r>
        <w:rPr>
          <w:rFonts w:hint="eastAsia" w:ascii="仿宋_GB2312" w:hAnsi="Times New Roman" w:eastAsia="仿宋_GB2312" w:cs="仿宋_GB2312"/>
          <w:b/>
          <w:bCs/>
          <w:color w:val="000000"/>
          <w:sz w:val="32"/>
          <w:szCs w:val="32"/>
          <w:lang w:val="zh-CN"/>
        </w:rPr>
        <w:t>完成预算104</w:t>
      </w:r>
      <w:r>
        <w:rPr>
          <w:rFonts w:ascii="仿宋_GB2312" w:hAnsi="Times New Roman" w:eastAsia="仿宋_GB2312" w:cs="仿宋_GB2312"/>
          <w:b/>
          <w:bCs/>
          <w:color w:val="000000"/>
          <w:sz w:val="32"/>
          <w:szCs w:val="32"/>
          <w:lang w:val="zh-CN"/>
        </w:rPr>
        <w:t>%</w:t>
      </w:r>
      <w:r>
        <w:rPr>
          <w:rFonts w:hint="eastAsia" w:ascii="仿宋_GB2312" w:hAnsi="Times New Roman" w:eastAsia="仿宋_GB2312" w:cs="仿宋_GB2312"/>
          <w:b/>
          <w:bCs/>
          <w:color w:val="000000"/>
          <w:sz w:val="32"/>
          <w:szCs w:val="32"/>
          <w:lang w:val="zh-CN"/>
        </w:rPr>
        <w:t>。其中：</w:t>
      </w:r>
    </w:p>
    <w:p>
      <w:pPr>
        <w:spacing w:line="600" w:lineRule="exact"/>
        <w:ind w:firstLine="643" w:firstLineChars="200"/>
        <w:rPr>
          <w:rStyle w:val="15"/>
          <w:rFonts w:ascii="仿宋" w:hAnsi="仿宋" w:eastAsia="仿宋"/>
          <w:b w:val="0"/>
          <w:bCs/>
          <w:color w:val="000000"/>
          <w:sz w:val="32"/>
          <w:szCs w:val="32"/>
        </w:rPr>
      </w:pPr>
      <w:r>
        <w:rPr>
          <w:rStyle w:val="15"/>
          <w:rFonts w:ascii="仿宋" w:hAnsi="仿宋" w:eastAsia="仿宋"/>
          <w:bCs/>
          <w:color w:val="000000"/>
          <w:sz w:val="32"/>
          <w:szCs w:val="32"/>
        </w:rPr>
        <w:t>1.</w:t>
      </w:r>
      <w:r>
        <w:rPr>
          <w:rFonts w:hint="eastAsia" w:ascii="仿宋" w:hAnsi="仿宋" w:eastAsia="仿宋"/>
          <w:bCs/>
          <w:color w:val="000000"/>
          <w:sz w:val="32"/>
          <w:szCs w:val="32"/>
        </w:rPr>
        <w:t xml:space="preserve"> </w:t>
      </w:r>
      <w:r>
        <w:rPr>
          <w:rStyle w:val="15"/>
          <w:rFonts w:hint="eastAsia" w:ascii="仿宋" w:hAnsi="仿宋" w:eastAsia="仿宋"/>
          <w:bCs/>
          <w:color w:val="000000"/>
          <w:sz w:val="32"/>
          <w:szCs w:val="32"/>
        </w:rPr>
        <w:t>一般公共服务（类）组织事务（款）行政运行（项）：</w:t>
      </w:r>
      <w:r>
        <w:rPr>
          <w:rStyle w:val="15"/>
          <w:rFonts w:hint="eastAsia" w:ascii="仿宋" w:hAnsi="仿宋" w:eastAsia="仿宋"/>
          <w:b w:val="0"/>
          <w:bCs/>
          <w:color w:val="000000"/>
          <w:sz w:val="32"/>
          <w:szCs w:val="32"/>
        </w:rPr>
        <w:t>支出决算数为357.56万元，完成预算104%</w:t>
      </w:r>
      <w:r>
        <w:rPr>
          <w:rStyle w:val="15"/>
          <w:rFonts w:hint="eastAsia" w:ascii="仿宋" w:hAnsi="仿宋" w:eastAsia="仿宋"/>
          <w:bCs/>
          <w:color w:val="000000"/>
          <w:sz w:val="32"/>
          <w:szCs w:val="32"/>
        </w:rPr>
        <w:t>。一般公共服务（类）组织事务（款）一般行政管理事务（项）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支出决算为111.07万元，完成预算100%。</w:t>
      </w:r>
      <w:r>
        <w:rPr>
          <w:rStyle w:val="15"/>
          <w:rFonts w:hint="eastAsia" w:ascii="仿宋" w:hAnsi="仿宋" w:eastAsia="仿宋"/>
          <w:bCs/>
          <w:color w:val="000000"/>
          <w:sz w:val="32"/>
          <w:szCs w:val="32"/>
        </w:rPr>
        <w:t>一般公共服务（类）组织事务（款）事业运行（项）：</w:t>
      </w:r>
      <w:r>
        <w:rPr>
          <w:rStyle w:val="15"/>
          <w:rFonts w:hint="eastAsia" w:ascii="仿宋" w:hAnsi="仿宋" w:eastAsia="仿宋"/>
          <w:b w:val="0"/>
          <w:bCs/>
          <w:color w:val="000000"/>
          <w:sz w:val="32"/>
          <w:szCs w:val="32"/>
        </w:rPr>
        <w:t>支出决算为71.32万元，完成预算数100%。</w:t>
      </w:r>
      <w:r>
        <w:rPr>
          <w:rStyle w:val="15"/>
          <w:rFonts w:hint="eastAsia" w:ascii="仿宋" w:hAnsi="仿宋" w:eastAsia="仿宋"/>
          <w:bCs/>
          <w:color w:val="000000"/>
          <w:sz w:val="32"/>
          <w:szCs w:val="32"/>
        </w:rPr>
        <w:t>一般公共服务（类）组织事务（款）其他组织事务（项）：</w:t>
      </w:r>
      <w:r>
        <w:rPr>
          <w:rStyle w:val="15"/>
          <w:rFonts w:hint="eastAsia" w:ascii="仿宋" w:hAnsi="仿宋" w:eastAsia="仿宋"/>
          <w:b w:val="0"/>
          <w:bCs/>
          <w:color w:val="000000"/>
          <w:sz w:val="32"/>
          <w:szCs w:val="32"/>
        </w:rPr>
        <w:t>支出决算数为111.24万元，完成预算100%。</w:t>
      </w:r>
    </w:p>
    <w:p>
      <w:pPr>
        <w:spacing w:line="600" w:lineRule="exact"/>
        <w:ind w:firstLine="643" w:firstLineChars="200"/>
        <w:jc w:val="left"/>
        <w:rPr>
          <w:rStyle w:val="15"/>
          <w:rFonts w:ascii="仿宋" w:hAnsi="仿宋" w:eastAsia="仿宋"/>
          <w:b w:val="0"/>
          <w:bCs/>
          <w:color w:val="000000"/>
          <w:sz w:val="32"/>
          <w:szCs w:val="32"/>
        </w:rPr>
      </w:pPr>
      <w:r>
        <w:rPr>
          <w:rStyle w:val="15"/>
          <w:rFonts w:hint="eastAsia" w:ascii="仿宋" w:hAnsi="仿宋" w:eastAsia="仿宋"/>
          <w:bCs/>
          <w:color w:val="000000"/>
          <w:sz w:val="32"/>
          <w:szCs w:val="32"/>
        </w:rPr>
        <w:t>2</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社会保障和就业（类）行政事业单位养老支出（款）机关事业单位养老保险缴费支出（项）</w:t>
      </w:r>
      <w:r>
        <w:rPr>
          <w:rStyle w:val="15"/>
          <w:rFonts w:hint="eastAsia" w:ascii="仿宋" w:hAnsi="仿宋" w:eastAsia="仿宋"/>
          <w:b w:val="0"/>
          <w:bCs/>
          <w:color w:val="000000"/>
          <w:sz w:val="32"/>
          <w:szCs w:val="32"/>
        </w:rPr>
        <w:t>47.3万元，完成预算100%。</w:t>
      </w:r>
      <w:r>
        <w:rPr>
          <w:rStyle w:val="15"/>
          <w:rFonts w:hint="eastAsia" w:ascii="仿宋" w:hAnsi="仿宋" w:eastAsia="仿宋"/>
          <w:bCs/>
          <w:color w:val="000000"/>
          <w:sz w:val="32"/>
          <w:szCs w:val="32"/>
        </w:rPr>
        <w:t>社会保障和就业（类）行政事业单位养老支出（款）机关事业单位职业年金缴费支出（项）：</w:t>
      </w:r>
      <w:r>
        <w:rPr>
          <w:rStyle w:val="15"/>
          <w:rFonts w:hint="eastAsia" w:ascii="仿宋" w:hAnsi="仿宋" w:eastAsia="仿宋"/>
          <w:b w:val="0"/>
          <w:bCs/>
          <w:color w:val="000000"/>
          <w:sz w:val="32"/>
          <w:szCs w:val="32"/>
        </w:rPr>
        <w:t>支出决算为3.99万元，完成预算100%。</w:t>
      </w:r>
      <w:r>
        <w:rPr>
          <w:rStyle w:val="15"/>
          <w:rFonts w:hint="eastAsia" w:ascii="仿宋" w:hAnsi="仿宋" w:eastAsia="仿宋"/>
          <w:bCs/>
          <w:color w:val="000000"/>
          <w:sz w:val="32"/>
          <w:szCs w:val="32"/>
        </w:rPr>
        <w:t>社会保障和就业（类）行政事业单位养老支出（款）其他行政事业单位养老支出（项）：</w:t>
      </w:r>
      <w:r>
        <w:rPr>
          <w:rStyle w:val="15"/>
          <w:rFonts w:hint="eastAsia" w:ascii="仿宋" w:hAnsi="仿宋" w:eastAsia="仿宋"/>
          <w:b w:val="0"/>
          <w:bCs/>
          <w:color w:val="000000"/>
          <w:sz w:val="32"/>
          <w:szCs w:val="32"/>
        </w:rPr>
        <w:t>支出决算为58.1万元，完成预算100%。</w:t>
      </w:r>
    </w:p>
    <w:p>
      <w:pPr>
        <w:spacing w:line="600" w:lineRule="exact"/>
        <w:ind w:firstLine="643" w:firstLineChars="200"/>
        <w:rPr>
          <w:rStyle w:val="15"/>
          <w:rFonts w:ascii="仿宋" w:hAnsi="仿宋" w:eastAsia="仿宋"/>
          <w:b w:val="0"/>
          <w:bCs/>
          <w:color w:val="000000"/>
          <w:sz w:val="32"/>
          <w:szCs w:val="32"/>
        </w:rPr>
      </w:pPr>
      <w:r>
        <w:rPr>
          <w:rStyle w:val="15"/>
          <w:rFonts w:hint="eastAsia" w:ascii="仿宋" w:hAnsi="仿宋" w:eastAsia="仿宋"/>
          <w:bCs/>
          <w:color w:val="000000"/>
          <w:sz w:val="32"/>
          <w:szCs w:val="32"/>
        </w:rPr>
        <w:t>3</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卫生健康支出（类）行政事业单位医疗（款）行政单位医疗（项）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支出决算为15.56万元，完成预算79.62</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Style w:val="15"/>
          <w:rFonts w:hint="eastAsia" w:ascii="仿宋" w:hAnsi="仿宋" w:eastAsia="仿宋"/>
          <w:bCs/>
          <w:color w:val="000000"/>
          <w:sz w:val="32"/>
          <w:szCs w:val="32"/>
        </w:rPr>
        <w:t>卫生健康支出（类）行政事业单位医疗（款）事业单位医疗（项）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支出决算数为2.52万元，完成预算100%。</w:t>
      </w:r>
    </w:p>
    <w:p>
      <w:pPr>
        <w:spacing w:line="600" w:lineRule="exact"/>
        <w:ind w:firstLine="643" w:firstLineChars="200"/>
        <w:rPr>
          <w:rStyle w:val="15"/>
          <w:rFonts w:ascii="仿宋" w:hAnsi="仿宋" w:eastAsia="仿宋"/>
          <w:b w:val="0"/>
          <w:bCs/>
          <w:color w:val="000000"/>
          <w:sz w:val="32"/>
          <w:szCs w:val="32"/>
        </w:rPr>
      </w:pPr>
      <w:r>
        <w:rPr>
          <w:rStyle w:val="15"/>
          <w:rFonts w:hint="eastAsia" w:ascii="仿宋" w:hAnsi="仿宋" w:eastAsia="仿宋"/>
          <w:bCs/>
          <w:color w:val="000000"/>
          <w:sz w:val="32"/>
          <w:szCs w:val="32"/>
        </w:rPr>
        <w:t>4.农林水支出（类）巩固脱贫衔接乡村振兴（款）</w:t>
      </w:r>
      <w:r>
        <w:rPr>
          <w:rStyle w:val="15"/>
          <w:rFonts w:ascii="仿宋" w:hAnsi="仿宋" w:eastAsia="仿宋"/>
          <w:bCs/>
          <w:color w:val="000000"/>
          <w:sz w:val="32"/>
          <w:szCs w:val="32"/>
        </w:rPr>
        <w:t>其他巩固脱贫衔接乡村振兴支出</w:t>
      </w:r>
      <w:r>
        <w:rPr>
          <w:rStyle w:val="15"/>
          <w:rFonts w:hint="eastAsia" w:ascii="仿宋" w:hAnsi="仿宋" w:eastAsia="仿宋"/>
          <w:bCs/>
          <w:color w:val="000000"/>
          <w:sz w:val="32"/>
          <w:szCs w:val="32"/>
        </w:rPr>
        <w:t>（项）：</w:t>
      </w:r>
      <w:r>
        <w:rPr>
          <w:rStyle w:val="15"/>
          <w:rFonts w:hint="eastAsia" w:ascii="仿宋" w:hAnsi="仿宋" w:eastAsia="仿宋"/>
          <w:b w:val="0"/>
          <w:bCs/>
          <w:color w:val="000000"/>
          <w:sz w:val="32"/>
          <w:szCs w:val="32"/>
        </w:rPr>
        <w:t>支出决算数为75.9万元，完成预算100%。</w:t>
      </w:r>
      <w:r>
        <w:rPr>
          <w:rStyle w:val="15"/>
          <w:rFonts w:hint="eastAsia" w:ascii="仿宋" w:hAnsi="仿宋" w:eastAsia="仿宋"/>
          <w:bCs/>
          <w:color w:val="000000"/>
          <w:sz w:val="32"/>
          <w:szCs w:val="32"/>
        </w:rPr>
        <w:t>农林水支出（类）巩固脱贫衔接乡村振兴（款）社会发展（项）</w:t>
      </w:r>
      <w:r>
        <w:rPr>
          <w:rStyle w:val="15"/>
          <w:rFonts w:hint="eastAsia" w:ascii="仿宋" w:hAnsi="仿宋" w:eastAsia="仿宋"/>
          <w:b w:val="0"/>
          <w:bCs/>
          <w:color w:val="000000"/>
          <w:sz w:val="32"/>
          <w:szCs w:val="32"/>
        </w:rPr>
        <w:t>支出决算数为226.2万元，完成预算100%。</w:t>
      </w:r>
    </w:p>
    <w:p>
      <w:pPr>
        <w:spacing w:line="600" w:lineRule="exact"/>
        <w:ind w:firstLine="643" w:firstLineChars="200"/>
        <w:rPr>
          <w:rFonts w:ascii="仿宋" w:hAnsi="仿宋" w:eastAsia="仿宋"/>
          <w:color w:val="000000"/>
          <w:sz w:val="32"/>
          <w:szCs w:val="32"/>
        </w:rPr>
      </w:pPr>
      <w:r>
        <w:rPr>
          <w:rFonts w:hint="eastAsia" w:ascii="仿宋" w:hAnsi="仿宋" w:eastAsia="仿宋"/>
          <w:b/>
          <w:color w:val="000000"/>
          <w:sz w:val="32"/>
          <w:szCs w:val="32"/>
        </w:rPr>
        <w:t>5.住房保障支出（类）住房改革支出（款）住房公积金（项）：</w:t>
      </w:r>
      <w:r>
        <w:rPr>
          <w:rFonts w:hint="eastAsia" w:ascii="仿宋" w:hAnsi="仿宋" w:eastAsia="仿宋"/>
          <w:color w:val="000000"/>
          <w:sz w:val="32"/>
          <w:szCs w:val="32"/>
        </w:rPr>
        <w:t>支出决算数为40.2万元，完成预算100%。</w:t>
      </w:r>
    </w:p>
    <w:p>
      <w:pPr>
        <w:spacing w:line="600" w:lineRule="exact"/>
        <w:ind w:firstLine="643"/>
        <w:rPr>
          <w:rFonts w:ascii="仿宋" w:hAnsi="Times New Roman" w:eastAsia="仿宋" w:cs="仿宋"/>
          <w:b/>
          <w:bCs/>
          <w:sz w:val="32"/>
          <w:szCs w:val="32"/>
        </w:rPr>
      </w:pPr>
      <w:r>
        <w:rPr>
          <w:rFonts w:hint="eastAsia" w:ascii="黑体" w:hAnsi="Times New Roman" w:eastAsia="黑体" w:cs="黑体"/>
          <w:color w:val="000000"/>
          <w:sz w:val="32"/>
          <w:szCs w:val="32"/>
          <w:lang w:val="zh-CN"/>
        </w:rPr>
        <w:t>六</w:t>
      </w:r>
      <w:r>
        <w:rPr>
          <w:rFonts w:hint="eastAsia" w:ascii="黑体" w:hAnsi="Times New Roman" w:eastAsia="黑体" w:cs="黑体"/>
          <w:b/>
          <w:bCs/>
          <w:color w:val="000000"/>
          <w:sz w:val="32"/>
          <w:szCs w:val="32"/>
          <w:lang w:val="zh-CN"/>
        </w:rPr>
        <w:t>、一</w:t>
      </w:r>
      <w:r>
        <w:rPr>
          <w:rFonts w:hint="eastAsia" w:ascii="黑体" w:hAnsi="Times New Roman" w:eastAsia="黑体" w:cs="黑体"/>
          <w:sz w:val="32"/>
          <w:szCs w:val="32"/>
          <w:lang w:val="zh-CN"/>
        </w:rPr>
        <w:t>般公共预算财政拨款基本支出决算情况说明</w:t>
      </w:r>
      <w:r>
        <w:rPr>
          <w:rFonts w:ascii="黑体" w:hAnsi="Times New Roman" w:eastAsia="黑体" w:cs="黑体"/>
          <w:sz w:val="32"/>
          <w:szCs w:val="32"/>
          <w:lang w:val="zh-CN"/>
        </w:rPr>
        <w:tab/>
      </w:r>
    </w:p>
    <w:p>
      <w:pPr>
        <w:spacing w:line="576" w:lineRule="exact"/>
        <w:ind w:firstLine="640"/>
        <w:rPr>
          <w:rFonts w:ascii="仿宋_GB2312" w:hAnsi="Cambria" w:eastAsia="仿宋_GB2312" w:cs="仿宋_GB2312"/>
          <w:color w:val="000000"/>
          <w:sz w:val="32"/>
          <w:szCs w:val="32"/>
          <w:lang w:val="zh-CN"/>
        </w:rPr>
      </w:pPr>
      <w:r>
        <w:rPr>
          <w:rFonts w:ascii="仿宋_GB2312" w:hAnsi="Cambria" w:eastAsia="仿宋_GB2312" w:cs="仿宋_GB2312"/>
          <w:color w:val="000000"/>
          <w:sz w:val="32"/>
          <w:szCs w:val="32"/>
          <w:lang w:val="zh-CN"/>
        </w:rPr>
        <w:t>202</w:t>
      </w:r>
      <w:r>
        <w:rPr>
          <w:rFonts w:hint="eastAsia" w:ascii="仿宋_GB2312" w:hAnsi="Cambria" w:eastAsia="仿宋_GB2312" w:cs="仿宋_GB2312"/>
          <w:color w:val="000000"/>
          <w:sz w:val="32"/>
          <w:szCs w:val="32"/>
          <w:lang w:val="zh-CN"/>
        </w:rPr>
        <w:t>3年一般公共预算财政拨款基本支出606.08万元，其中：</w:t>
      </w:r>
    </w:p>
    <w:p>
      <w:pPr>
        <w:spacing w:line="576" w:lineRule="exact"/>
        <w:ind w:firstLine="643"/>
        <w:rPr>
          <w:rFonts w:ascii="仿宋_GB2312" w:hAnsi="Cambria" w:eastAsia="仿宋_GB2312" w:cs="仿宋_GB2312"/>
          <w:color w:val="000000"/>
          <w:sz w:val="32"/>
          <w:szCs w:val="32"/>
          <w:lang w:val="zh-CN"/>
        </w:rPr>
      </w:pPr>
      <w:r>
        <w:rPr>
          <w:rFonts w:hint="eastAsia" w:ascii="仿宋_GB2312" w:hAnsi="Cambria" w:eastAsia="仿宋_GB2312" w:cs="仿宋_GB2312"/>
          <w:b/>
          <w:bCs/>
          <w:color w:val="000000"/>
          <w:sz w:val="32"/>
          <w:szCs w:val="32"/>
          <w:lang w:val="zh-CN"/>
        </w:rPr>
        <w:t>人员经费</w:t>
      </w:r>
      <w:r>
        <w:rPr>
          <w:rFonts w:ascii="仿宋_GB2312" w:hAnsi="Cambria" w:eastAsia="仿宋_GB2312" w:cs="仿宋_GB2312"/>
          <w:color w:val="000000"/>
          <w:sz w:val="32"/>
          <w:szCs w:val="32"/>
          <w:lang w:val="zh-CN"/>
        </w:rPr>
        <w:t>5</w:t>
      </w:r>
      <w:r>
        <w:rPr>
          <w:rFonts w:hint="eastAsia" w:ascii="仿宋_GB2312" w:hAnsi="Cambria" w:eastAsia="仿宋_GB2312" w:cs="仿宋_GB2312"/>
          <w:color w:val="000000"/>
          <w:sz w:val="32"/>
          <w:szCs w:val="32"/>
          <w:lang w:val="zh-CN"/>
        </w:rPr>
        <w:t>40.87万元，主要包括：</w:t>
      </w:r>
      <w:r>
        <w:rPr>
          <w:rFonts w:hint="eastAsia" w:ascii="仿宋" w:hAnsi="Cambria" w:eastAsia="仿宋" w:cs="仿宋"/>
          <w:sz w:val="32"/>
          <w:szCs w:val="32"/>
        </w:rPr>
        <w:t>基本工资、津贴补贴、奖金、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仿宋_GB2312" w:hAnsi="Cambria" w:eastAsia="仿宋_GB2312" w:cs="仿宋_GB2312"/>
          <w:color w:val="000000"/>
          <w:sz w:val="32"/>
          <w:szCs w:val="32"/>
          <w:lang w:val="zh-CN"/>
        </w:rPr>
        <w:t>。</w:t>
      </w:r>
    </w:p>
    <w:p>
      <w:pPr>
        <w:spacing w:line="576" w:lineRule="exact"/>
        <w:ind w:firstLine="643"/>
        <w:rPr>
          <w:rFonts w:ascii="仿宋_GB2312" w:hAnsi="Cambria" w:eastAsia="仿宋_GB2312" w:cs="仿宋_GB2312"/>
          <w:color w:val="000000"/>
          <w:sz w:val="32"/>
          <w:szCs w:val="32"/>
          <w:lang w:val="zh-CN"/>
        </w:rPr>
      </w:pPr>
      <w:r>
        <w:rPr>
          <w:rFonts w:hint="eastAsia" w:ascii="仿宋_GB2312" w:hAnsi="Cambria" w:eastAsia="仿宋_GB2312" w:cs="仿宋_GB2312"/>
          <w:b/>
          <w:bCs/>
          <w:color w:val="000000"/>
          <w:sz w:val="32"/>
          <w:szCs w:val="32"/>
          <w:lang w:val="zh-CN"/>
        </w:rPr>
        <w:t>公用经费</w:t>
      </w:r>
      <w:r>
        <w:rPr>
          <w:rFonts w:hint="eastAsia" w:ascii="仿宋_GB2312" w:hAnsi="Cambria" w:eastAsia="仿宋_GB2312" w:cs="仿宋_GB2312"/>
          <w:color w:val="000000"/>
          <w:sz w:val="32"/>
          <w:szCs w:val="32"/>
          <w:lang w:val="zh-CN"/>
        </w:rPr>
        <w:t>65.21万元，主要包括：</w:t>
      </w:r>
      <w:r>
        <w:rPr>
          <w:rFonts w:hint="eastAsia" w:ascii="仿宋" w:hAnsi="Cambria" w:eastAsia="仿宋" w:cs="仿宋"/>
          <w:sz w:val="32"/>
          <w:szCs w:val="32"/>
        </w:rPr>
        <w:t>办公费、印刷费、水费、电费、邮电费、物业管理费、差旅费、维修（护）费、租赁费、会议费、培训费、公务接待费、劳务费、委托业务费、工会经费、福利费、其他交通费、其他商品和服务支出、办公设备购置、其他资本性支出等</w:t>
      </w:r>
      <w:r>
        <w:rPr>
          <w:rFonts w:hint="eastAsia" w:ascii="仿宋_GB2312" w:hAnsi="Cambria" w:eastAsia="仿宋_GB2312" w:cs="仿宋_GB2312"/>
          <w:color w:val="000000"/>
          <w:sz w:val="32"/>
          <w:szCs w:val="32"/>
          <w:lang w:val="zh-CN"/>
        </w:rPr>
        <w:t>。</w:t>
      </w:r>
    </w:p>
    <w:p>
      <w:pPr>
        <w:spacing w:line="600" w:lineRule="exact"/>
        <w:ind w:firstLine="645"/>
        <w:rPr>
          <w:rFonts w:ascii="仿宋" w:hAnsi="Cambria" w:eastAsia="仿宋" w:cs="仿宋"/>
          <w:b/>
          <w:bCs/>
          <w:sz w:val="32"/>
          <w:szCs w:val="32"/>
        </w:rPr>
      </w:pPr>
      <w:r>
        <w:rPr>
          <w:rFonts w:hint="eastAsia" w:ascii="黑体" w:hAnsi="Cambria" w:eastAsia="黑体" w:cs="黑体"/>
          <w:color w:val="000000"/>
          <w:sz w:val="32"/>
          <w:szCs w:val="32"/>
          <w:lang w:val="zh-CN"/>
        </w:rPr>
        <w:t>七、</w:t>
      </w:r>
      <w:r>
        <w:rPr>
          <w:rFonts w:ascii="黑体" w:hAnsi="Cambria" w:eastAsia="黑体" w:cs="黑体"/>
          <w:b/>
          <w:bCs/>
          <w:sz w:val="32"/>
          <w:szCs w:val="32"/>
          <w:lang w:val="zh-CN"/>
        </w:rPr>
        <w:t>“</w:t>
      </w:r>
      <w:r>
        <w:rPr>
          <w:rFonts w:hint="eastAsia" w:ascii="黑体" w:hAnsi="Cambria" w:eastAsia="黑体" w:cs="黑体"/>
          <w:sz w:val="32"/>
          <w:szCs w:val="32"/>
          <w:lang w:val="zh-CN"/>
        </w:rPr>
        <w:t>三公</w:t>
      </w:r>
      <w:r>
        <w:rPr>
          <w:rFonts w:ascii="黑体" w:hAnsi="Cambria" w:eastAsia="黑体" w:cs="黑体"/>
          <w:sz w:val="32"/>
          <w:szCs w:val="32"/>
          <w:lang w:val="zh-CN"/>
        </w:rPr>
        <w:t>”</w:t>
      </w:r>
      <w:r>
        <w:rPr>
          <w:rFonts w:hint="eastAsia" w:ascii="黑体" w:hAnsi="Cambria" w:eastAsia="黑体" w:cs="黑体"/>
          <w:sz w:val="32"/>
          <w:szCs w:val="32"/>
          <w:lang w:val="zh-CN"/>
        </w:rPr>
        <w:t>经费财政拨款支出决算情况说明</w:t>
      </w:r>
    </w:p>
    <w:p>
      <w:pPr>
        <w:spacing w:line="600" w:lineRule="exact"/>
        <w:ind w:firstLine="645"/>
        <w:rPr>
          <w:rFonts w:ascii="仿宋" w:hAnsi="Cambria" w:eastAsia="仿宋" w:cs="仿宋"/>
          <w:b/>
          <w:bCs/>
          <w:sz w:val="32"/>
          <w:szCs w:val="32"/>
        </w:rPr>
      </w:pPr>
      <w:r>
        <w:rPr>
          <w:rFonts w:hint="eastAsia" w:ascii="仿宋_GB2312" w:hAnsi="Cambria" w:eastAsia="仿宋_GB2312" w:cs="仿宋_GB2312"/>
          <w:b/>
          <w:bCs/>
          <w:color w:val="000000"/>
          <w:sz w:val="32"/>
          <w:szCs w:val="32"/>
          <w:lang w:val="zh-CN"/>
        </w:rPr>
        <w:t>（一）</w:t>
      </w:r>
      <w:r>
        <w:rPr>
          <w:rFonts w:ascii="仿宋_GB2312" w:hAnsi="Cambria" w:eastAsia="仿宋_GB2312" w:cs="仿宋_GB2312"/>
          <w:b/>
          <w:bCs/>
          <w:color w:val="000000"/>
          <w:sz w:val="32"/>
          <w:szCs w:val="32"/>
          <w:lang w:val="zh-CN"/>
        </w:rPr>
        <w:t>“</w:t>
      </w:r>
      <w:r>
        <w:rPr>
          <w:rFonts w:hint="eastAsia" w:ascii="仿宋_GB2312" w:hAnsi="Cambria" w:eastAsia="仿宋_GB2312" w:cs="仿宋_GB2312"/>
          <w:b/>
          <w:bCs/>
          <w:color w:val="000000"/>
          <w:sz w:val="32"/>
          <w:szCs w:val="32"/>
          <w:lang w:val="zh-CN"/>
        </w:rPr>
        <w:t>三公</w:t>
      </w:r>
      <w:r>
        <w:rPr>
          <w:rFonts w:ascii="仿宋_GB2312" w:hAnsi="Cambria" w:eastAsia="仿宋_GB2312" w:cs="仿宋_GB2312"/>
          <w:b/>
          <w:bCs/>
          <w:color w:val="000000"/>
          <w:sz w:val="32"/>
          <w:szCs w:val="32"/>
          <w:lang w:val="zh-CN"/>
        </w:rPr>
        <w:t>”</w:t>
      </w:r>
      <w:r>
        <w:rPr>
          <w:rFonts w:hint="eastAsia" w:ascii="仿宋_GB2312" w:hAnsi="Cambria" w:eastAsia="仿宋_GB2312" w:cs="仿宋_GB2312"/>
          <w:b/>
          <w:bCs/>
          <w:color w:val="000000"/>
          <w:sz w:val="32"/>
          <w:szCs w:val="32"/>
          <w:lang w:val="zh-CN"/>
        </w:rPr>
        <w:t>经费财政拨款支出决算总体情况说明</w:t>
      </w:r>
    </w:p>
    <w:p>
      <w:pPr>
        <w:spacing w:line="600" w:lineRule="exact"/>
        <w:ind w:firstLine="645"/>
        <w:rPr>
          <w:rFonts w:ascii="仿宋" w:hAnsi="Cambria" w:eastAsia="仿宋" w:cs="仿宋"/>
          <w:b/>
          <w:bCs/>
          <w:sz w:val="32"/>
          <w:szCs w:val="32"/>
        </w:rPr>
      </w:pPr>
      <w:r>
        <w:rPr>
          <w:rFonts w:ascii="仿宋_GB2312" w:hAnsi="Cambria" w:eastAsia="仿宋_GB2312" w:cs="仿宋_GB2312"/>
          <w:color w:val="000000"/>
          <w:sz w:val="32"/>
          <w:szCs w:val="32"/>
          <w:lang w:val="zh-CN"/>
        </w:rPr>
        <w:t>202</w:t>
      </w:r>
      <w:r>
        <w:rPr>
          <w:rFonts w:hint="eastAsia" w:ascii="仿宋_GB2312" w:hAnsi="Cambria" w:eastAsia="仿宋_GB2312" w:cs="仿宋_GB2312"/>
          <w:color w:val="000000"/>
          <w:sz w:val="32"/>
          <w:szCs w:val="32"/>
          <w:lang w:val="zh-CN"/>
        </w:rPr>
        <w:t>3年</w:t>
      </w:r>
      <w:r>
        <w:rPr>
          <w:rFonts w:ascii="仿宋_GB2312" w:hAnsi="Cambria" w:eastAsia="仿宋_GB2312" w:cs="仿宋_GB2312"/>
          <w:color w:val="000000"/>
          <w:sz w:val="32"/>
          <w:szCs w:val="32"/>
          <w:lang w:val="zh-CN"/>
        </w:rPr>
        <w:t>“</w:t>
      </w:r>
      <w:r>
        <w:rPr>
          <w:rFonts w:hint="eastAsia" w:ascii="仿宋_GB2312" w:hAnsi="Cambria" w:eastAsia="仿宋_GB2312" w:cs="仿宋_GB2312"/>
          <w:color w:val="000000"/>
          <w:sz w:val="32"/>
          <w:szCs w:val="32"/>
          <w:lang w:val="zh-CN"/>
        </w:rPr>
        <w:t>三公</w:t>
      </w:r>
      <w:r>
        <w:rPr>
          <w:rFonts w:ascii="仿宋_GB2312" w:hAnsi="Cambria" w:eastAsia="仿宋_GB2312" w:cs="仿宋_GB2312"/>
          <w:color w:val="000000"/>
          <w:sz w:val="32"/>
          <w:szCs w:val="32"/>
          <w:lang w:val="zh-CN"/>
        </w:rPr>
        <w:t>”</w:t>
      </w:r>
      <w:r>
        <w:rPr>
          <w:rFonts w:hint="eastAsia" w:ascii="仿宋_GB2312" w:hAnsi="Cambria" w:eastAsia="仿宋_GB2312" w:cs="仿宋_GB2312"/>
          <w:color w:val="000000"/>
          <w:sz w:val="32"/>
          <w:szCs w:val="32"/>
          <w:lang w:val="zh-CN"/>
        </w:rPr>
        <w:t>经费财政拨款支出决算为5.99万元，完成预算78.8</w:t>
      </w:r>
      <w:r>
        <w:rPr>
          <w:rFonts w:ascii="仿宋_GB2312" w:hAnsi="Cambria" w:eastAsia="仿宋_GB2312" w:cs="仿宋_GB2312"/>
          <w:color w:val="000000"/>
          <w:sz w:val="32"/>
          <w:szCs w:val="32"/>
          <w:lang w:val="zh-CN"/>
        </w:rPr>
        <w:t>%</w:t>
      </w:r>
      <w:r>
        <w:rPr>
          <w:rFonts w:hint="eastAsia" w:ascii="仿宋_GB2312" w:hAnsi="Cambria" w:eastAsia="仿宋_GB2312" w:cs="仿宋_GB2312"/>
          <w:color w:val="000000"/>
          <w:sz w:val="32"/>
          <w:szCs w:val="32"/>
          <w:lang w:val="zh-CN"/>
        </w:rPr>
        <w:t>；较上年增加3.42万元，增加42.9</w:t>
      </w:r>
      <w:r>
        <w:rPr>
          <w:rFonts w:ascii="仿宋_GB2312" w:hAnsi="Cambria" w:eastAsia="仿宋_GB2312" w:cs="仿宋_GB2312"/>
          <w:color w:val="000000"/>
          <w:sz w:val="32"/>
          <w:szCs w:val="32"/>
          <w:lang w:val="zh-CN"/>
        </w:rPr>
        <w:t>%</w:t>
      </w:r>
      <w:r>
        <w:rPr>
          <w:rFonts w:hint="eastAsia" w:ascii="仿宋_GB2312" w:hAnsi="Cambria" w:eastAsia="仿宋_GB2312" w:cs="仿宋_GB2312"/>
          <w:color w:val="000000"/>
          <w:sz w:val="32"/>
          <w:szCs w:val="32"/>
          <w:lang w:val="zh-CN"/>
        </w:rPr>
        <w:t xml:space="preserve">。决算数小于预算数的主要原因是厉行节约。 </w:t>
      </w:r>
    </w:p>
    <w:p>
      <w:pPr>
        <w:spacing w:line="600" w:lineRule="exact"/>
        <w:ind w:firstLine="640"/>
        <w:rPr>
          <w:rFonts w:ascii="仿宋" w:hAnsi="Cambria" w:eastAsia="仿宋" w:cs="仿宋"/>
          <w:b/>
          <w:bCs/>
          <w:sz w:val="32"/>
          <w:szCs w:val="32"/>
        </w:rPr>
      </w:pPr>
      <w:r>
        <w:rPr>
          <w:rFonts w:hint="eastAsia" w:ascii="仿宋_GB2312" w:hAnsi="Cambria" w:eastAsia="仿宋_GB2312" w:cs="仿宋_GB2312"/>
          <w:b/>
          <w:bCs/>
          <w:color w:val="000000"/>
          <w:sz w:val="32"/>
          <w:szCs w:val="32"/>
          <w:lang w:val="zh-CN"/>
        </w:rPr>
        <w:t>（二）</w:t>
      </w:r>
      <w:r>
        <w:rPr>
          <w:rFonts w:ascii="仿宋_GB2312" w:hAnsi="Cambria" w:eastAsia="仿宋_GB2312" w:cs="仿宋_GB2312"/>
          <w:b/>
          <w:bCs/>
          <w:color w:val="000000"/>
          <w:sz w:val="32"/>
          <w:szCs w:val="32"/>
          <w:lang w:val="zh-CN"/>
        </w:rPr>
        <w:t>“</w:t>
      </w:r>
      <w:r>
        <w:rPr>
          <w:rFonts w:hint="eastAsia" w:ascii="仿宋_GB2312" w:hAnsi="Cambria" w:eastAsia="仿宋_GB2312" w:cs="仿宋_GB2312"/>
          <w:b/>
          <w:bCs/>
          <w:color w:val="000000"/>
          <w:sz w:val="32"/>
          <w:szCs w:val="32"/>
          <w:lang w:val="zh-CN"/>
        </w:rPr>
        <w:t>三公</w:t>
      </w:r>
      <w:r>
        <w:rPr>
          <w:rFonts w:ascii="仿宋_GB2312" w:hAnsi="Cambria" w:eastAsia="仿宋_GB2312" w:cs="仿宋_GB2312"/>
          <w:b/>
          <w:bCs/>
          <w:color w:val="000000"/>
          <w:sz w:val="32"/>
          <w:szCs w:val="32"/>
          <w:lang w:val="zh-CN"/>
        </w:rPr>
        <w:t>”</w:t>
      </w:r>
      <w:r>
        <w:rPr>
          <w:rFonts w:hint="eastAsia" w:ascii="仿宋_GB2312" w:hAnsi="Cambria" w:eastAsia="仿宋_GB2312" w:cs="仿宋_GB2312"/>
          <w:b/>
          <w:bCs/>
          <w:color w:val="000000"/>
          <w:sz w:val="32"/>
          <w:szCs w:val="32"/>
          <w:lang w:val="zh-CN"/>
        </w:rPr>
        <w:t>经费财政拨款支出决算具体情况说明</w:t>
      </w:r>
    </w:p>
    <w:p>
      <w:pPr>
        <w:spacing w:line="600" w:lineRule="exact"/>
        <w:ind w:firstLine="640"/>
        <w:rPr>
          <w:rFonts w:ascii="仿宋" w:hAnsi="Cambria" w:eastAsia="仿宋" w:cs="仿宋"/>
          <w:b/>
          <w:bCs/>
          <w:sz w:val="32"/>
          <w:szCs w:val="32"/>
        </w:rPr>
      </w:pPr>
      <w:r>
        <w:rPr>
          <w:rFonts w:ascii="仿宋_GB2312" w:hAnsi="Cambria" w:eastAsia="仿宋_GB2312" w:cs="仿宋_GB2312"/>
          <w:color w:val="000000"/>
          <w:sz w:val="32"/>
          <w:szCs w:val="32"/>
          <w:lang w:val="zh-CN"/>
        </w:rPr>
        <w:t>202</w:t>
      </w:r>
      <w:r>
        <w:rPr>
          <w:rFonts w:hint="eastAsia" w:ascii="仿宋_GB2312" w:hAnsi="Cambria" w:eastAsia="仿宋_GB2312" w:cs="仿宋_GB2312"/>
          <w:color w:val="000000"/>
          <w:sz w:val="32"/>
          <w:szCs w:val="32"/>
          <w:lang w:val="zh-CN"/>
        </w:rPr>
        <w:t>3年</w:t>
      </w:r>
      <w:r>
        <w:rPr>
          <w:rFonts w:ascii="仿宋_GB2312" w:hAnsi="Cambria" w:eastAsia="仿宋_GB2312" w:cs="仿宋_GB2312"/>
          <w:color w:val="000000"/>
          <w:sz w:val="32"/>
          <w:szCs w:val="32"/>
          <w:lang w:val="zh-CN"/>
        </w:rPr>
        <w:t>“</w:t>
      </w:r>
      <w:r>
        <w:rPr>
          <w:rFonts w:hint="eastAsia" w:ascii="仿宋_GB2312" w:hAnsi="Cambria" w:eastAsia="仿宋_GB2312" w:cs="仿宋_GB2312"/>
          <w:color w:val="000000"/>
          <w:sz w:val="32"/>
          <w:szCs w:val="32"/>
          <w:lang w:val="zh-CN"/>
        </w:rPr>
        <w:t>三公</w:t>
      </w:r>
      <w:r>
        <w:rPr>
          <w:rFonts w:ascii="仿宋_GB2312" w:hAnsi="Cambria" w:eastAsia="仿宋_GB2312" w:cs="仿宋_GB2312"/>
          <w:color w:val="000000"/>
          <w:sz w:val="32"/>
          <w:szCs w:val="32"/>
          <w:lang w:val="zh-CN"/>
        </w:rPr>
        <w:t>”</w:t>
      </w:r>
      <w:r>
        <w:rPr>
          <w:rFonts w:hint="eastAsia" w:ascii="仿宋_GB2312" w:hAnsi="Cambria" w:eastAsia="仿宋_GB2312" w:cs="仿宋_GB2312"/>
          <w:color w:val="000000"/>
          <w:sz w:val="32"/>
          <w:szCs w:val="32"/>
          <w:lang w:val="zh-CN"/>
        </w:rPr>
        <w:t>经费财政拨款支出决算中，因公出国（境）费支出决算</w:t>
      </w:r>
      <w:r>
        <w:rPr>
          <w:rFonts w:ascii="仿宋_GB2312" w:hAnsi="Cambria" w:eastAsia="仿宋_GB2312" w:cs="仿宋_GB2312"/>
          <w:color w:val="000000"/>
          <w:sz w:val="32"/>
          <w:szCs w:val="32"/>
          <w:lang w:val="zh-CN"/>
        </w:rPr>
        <w:t>0</w:t>
      </w:r>
      <w:r>
        <w:rPr>
          <w:rFonts w:hint="eastAsia" w:ascii="仿宋_GB2312" w:hAnsi="Cambria" w:eastAsia="仿宋_GB2312" w:cs="仿宋_GB2312"/>
          <w:color w:val="000000"/>
          <w:sz w:val="32"/>
          <w:szCs w:val="32"/>
          <w:lang w:val="zh-CN"/>
        </w:rPr>
        <w:t>万元，占</w:t>
      </w:r>
      <w:r>
        <w:rPr>
          <w:rFonts w:ascii="仿宋_GB2312" w:hAnsi="Cambria" w:eastAsia="仿宋_GB2312" w:cs="仿宋_GB2312"/>
          <w:color w:val="000000"/>
          <w:sz w:val="32"/>
          <w:szCs w:val="32"/>
          <w:lang w:val="zh-CN"/>
        </w:rPr>
        <w:t>0%</w:t>
      </w:r>
      <w:r>
        <w:rPr>
          <w:rFonts w:hint="eastAsia" w:ascii="仿宋_GB2312" w:hAnsi="Cambria" w:eastAsia="仿宋_GB2312" w:cs="仿宋_GB2312"/>
          <w:color w:val="000000"/>
          <w:sz w:val="32"/>
          <w:szCs w:val="32"/>
          <w:lang w:val="zh-CN"/>
        </w:rPr>
        <w:t>；公务用车购置及运行维护费支出决算</w:t>
      </w:r>
      <w:r>
        <w:rPr>
          <w:rFonts w:ascii="仿宋_GB2312" w:hAnsi="Cambria" w:eastAsia="仿宋_GB2312" w:cs="仿宋_GB2312"/>
          <w:color w:val="000000"/>
          <w:sz w:val="32"/>
          <w:szCs w:val="32"/>
          <w:lang w:val="zh-CN"/>
        </w:rPr>
        <w:t>0</w:t>
      </w:r>
      <w:r>
        <w:rPr>
          <w:rFonts w:hint="eastAsia" w:ascii="仿宋_GB2312" w:hAnsi="Cambria" w:eastAsia="仿宋_GB2312" w:cs="仿宋_GB2312"/>
          <w:color w:val="000000"/>
          <w:sz w:val="32"/>
          <w:szCs w:val="32"/>
          <w:lang w:val="zh-CN"/>
        </w:rPr>
        <w:t>万元，占</w:t>
      </w:r>
      <w:r>
        <w:rPr>
          <w:rFonts w:ascii="仿宋_GB2312" w:hAnsi="Cambria" w:eastAsia="仿宋_GB2312" w:cs="仿宋_GB2312"/>
          <w:color w:val="000000"/>
          <w:sz w:val="32"/>
          <w:szCs w:val="32"/>
          <w:lang w:val="zh-CN"/>
        </w:rPr>
        <w:t>0%</w:t>
      </w:r>
      <w:r>
        <w:rPr>
          <w:rFonts w:hint="eastAsia" w:ascii="仿宋_GB2312" w:hAnsi="Cambria" w:eastAsia="仿宋_GB2312" w:cs="仿宋_GB2312"/>
          <w:color w:val="000000"/>
          <w:sz w:val="32"/>
          <w:szCs w:val="32"/>
          <w:lang w:val="zh-CN"/>
        </w:rPr>
        <w:t>；公务接待费支出决算5.99万元，占</w:t>
      </w:r>
      <w:r>
        <w:rPr>
          <w:rFonts w:ascii="仿宋_GB2312" w:hAnsi="Cambria" w:eastAsia="仿宋_GB2312" w:cs="仿宋_GB2312"/>
          <w:color w:val="000000"/>
          <w:sz w:val="32"/>
          <w:szCs w:val="32"/>
          <w:lang w:val="zh-CN"/>
        </w:rPr>
        <w:t>100%</w:t>
      </w:r>
      <w:r>
        <w:rPr>
          <w:rFonts w:hint="eastAsia" w:ascii="仿宋_GB2312" w:hAnsi="Cambria" w:eastAsia="仿宋_GB2312" w:cs="仿宋_GB2312"/>
          <w:color w:val="000000"/>
          <w:sz w:val="32"/>
          <w:szCs w:val="32"/>
          <w:lang w:val="zh-CN"/>
        </w:rPr>
        <w:t>。具体情况如下：</w:t>
      </w:r>
    </w:p>
    <w:p>
      <w:pPr>
        <w:spacing w:line="600" w:lineRule="exact"/>
        <w:ind w:firstLine="640"/>
        <w:rPr>
          <w:rFonts w:ascii="仿宋" w:hAnsi="Cambria" w:eastAsia="仿宋" w:cs="仿宋"/>
          <w:sz w:val="32"/>
          <w:szCs w:val="32"/>
        </w:rPr>
      </w:pPr>
      <w:r>
        <w:rPr>
          <w:rFonts w:hint="eastAsia" w:ascii="仿宋" w:hAnsi="Cambria" w:eastAsia="仿宋" w:cs="仿宋"/>
          <w:sz w:val="32"/>
          <w:szCs w:val="32"/>
        </w:rPr>
        <w:t>（图</w:t>
      </w:r>
      <w:r>
        <w:rPr>
          <w:rFonts w:ascii="仿宋" w:hAnsi="Cambria" w:eastAsia="仿宋" w:cs="仿宋"/>
          <w:sz w:val="32"/>
          <w:szCs w:val="32"/>
        </w:rPr>
        <w:t>7</w:t>
      </w:r>
      <w:r>
        <w:rPr>
          <w:rFonts w:hint="eastAsia" w:ascii="仿宋" w:hAnsi="Cambria" w:eastAsia="仿宋" w:cs="仿宋"/>
          <w:sz w:val="32"/>
          <w:szCs w:val="32"/>
        </w:rPr>
        <w:t>：</w:t>
      </w:r>
      <w:r>
        <w:rPr>
          <w:rFonts w:ascii="仿宋" w:hAnsi="Cambria" w:eastAsia="仿宋" w:cs="仿宋"/>
          <w:sz w:val="32"/>
          <w:szCs w:val="32"/>
        </w:rPr>
        <w:t>“</w:t>
      </w:r>
      <w:r>
        <w:rPr>
          <w:rFonts w:hint="eastAsia" w:ascii="仿宋" w:hAnsi="Cambria" w:eastAsia="仿宋" w:cs="仿宋"/>
          <w:sz w:val="32"/>
          <w:szCs w:val="32"/>
        </w:rPr>
        <w:t>三公</w:t>
      </w:r>
      <w:r>
        <w:rPr>
          <w:rFonts w:ascii="仿宋" w:hAnsi="Cambria" w:eastAsia="仿宋" w:cs="仿宋"/>
          <w:sz w:val="32"/>
          <w:szCs w:val="32"/>
        </w:rPr>
        <w:t>”</w:t>
      </w:r>
      <w:r>
        <w:rPr>
          <w:rFonts w:hint="eastAsia" w:ascii="仿宋" w:hAnsi="Cambria" w:eastAsia="仿宋" w:cs="仿宋"/>
          <w:sz w:val="32"/>
          <w:szCs w:val="32"/>
        </w:rPr>
        <w:t>经费财政拨款支出结构）（饼状图）</w:t>
      </w:r>
    </w:p>
    <w:p>
      <w:pPr>
        <w:ind w:firstLine="641"/>
        <w:rPr>
          <w:rFonts w:ascii="仿宋" w:hAnsi="Cambria" w:eastAsia="仿宋" w:cs="仿宋"/>
          <w:sz w:val="32"/>
          <w:szCs w:val="32"/>
        </w:rPr>
      </w:pPr>
      <w:r>
        <w:drawing>
          <wp:inline distT="0" distB="0" distL="0" distR="0">
            <wp:extent cx="4905375" cy="2790825"/>
            <wp:effectExtent l="0" t="0" r="9525" b="9525"/>
            <wp:docPr id="21" name="图表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rPr>
          <w:rFonts w:ascii="仿宋" w:hAnsi="Cambria" w:eastAsia="仿宋" w:cs="仿宋"/>
          <w:sz w:val="32"/>
          <w:szCs w:val="32"/>
        </w:rPr>
      </w:pPr>
    </w:p>
    <w:p>
      <w:pPr>
        <w:spacing w:line="600" w:lineRule="exact"/>
        <w:ind w:firstLine="643"/>
        <w:rPr>
          <w:rFonts w:ascii="仿宋_GB2312" w:hAnsi="Cambria" w:eastAsia="仿宋_GB2312" w:cs="仿宋_GB2312"/>
          <w:color w:val="000000"/>
          <w:sz w:val="32"/>
          <w:szCs w:val="32"/>
          <w:lang w:val="zh-CN"/>
        </w:rPr>
      </w:pPr>
      <w:r>
        <w:rPr>
          <w:rFonts w:ascii="仿宋_GB2312" w:hAnsi="Cambria" w:eastAsia="仿宋_GB2312" w:cs="仿宋_GB2312"/>
          <w:b/>
          <w:bCs/>
          <w:color w:val="000000"/>
          <w:sz w:val="32"/>
          <w:szCs w:val="32"/>
          <w:lang w:val="zh-CN"/>
        </w:rPr>
        <w:t>1.</w:t>
      </w:r>
      <w:r>
        <w:rPr>
          <w:rFonts w:hint="eastAsia" w:ascii="仿宋_GB2312" w:hAnsi="Cambria" w:eastAsia="仿宋_GB2312" w:cs="仿宋_GB2312"/>
          <w:b/>
          <w:bCs/>
          <w:color w:val="000000"/>
          <w:sz w:val="32"/>
          <w:szCs w:val="32"/>
          <w:lang w:val="zh-CN"/>
        </w:rPr>
        <w:t>因公出国（境）经费</w:t>
      </w:r>
      <w:r>
        <w:rPr>
          <w:rFonts w:hint="eastAsia" w:ascii="仿宋_GB2312" w:hAnsi="Cambria" w:eastAsia="仿宋_GB2312" w:cs="仿宋_GB2312"/>
          <w:color w:val="000000"/>
          <w:sz w:val="32"/>
          <w:szCs w:val="32"/>
          <w:lang w:val="zh-CN"/>
        </w:rPr>
        <w:t>支出</w:t>
      </w:r>
      <w:r>
        <w:rPr>
          <w:rFonts w:ascii="仿宋_GB2312" w:hAnsi="Cambria" w:eastAsia="仿宋_GB2312" w:cs="仿宋_GB2312"/>
          <w:color w:val="000000"/>
          <w:sz w:val="32"/>
          <w:szCs w:val="32"/>
          <w:lang w:val="zh-CN"/>
        </w:rPr>
        <w:t>0</w:t>
      </w:r>
      <w:r>
        <w:rPr>
          <w:rFonts w:hint="eastAsia" w:ascii="仿宋_GB2312" w:hAnsi="Cambria" w:eastAsia="仿宋_GB2312" w:cs="仿宋_GB2312"/>
          <w:color w:val="000000"/>
          <w:sz w:val="32"/>
          <w:szCs w:val="32"/>
          <w:lang w:val="zh-CN"/>
        </w:rPr>
        <w:t>万元，完成预算</w:t>
      </w:r>
      <w:r>
        <w:rPr>
          <w:rFonts w:ascii="仿宋_GB2312" w:hAnsi="Cambria" w:eastAsia="仿宋_GB2312" w:cs="仿宋_GB2312"/>
          <w:color w:val="000000"/>
          <w:sz w:val="32"/>
          <w:szCs w:val="32"/>
          <w:lang w:val="zh-CN"/>
        </w:rPr>
        <w:t>0%</w:t>
      </w:r>
      <w:r>
        <w:rPr>
          <w:rFonts w:hint="eastAsia" w:ascii="仿宋_GB2312" w:hAnsi="Cambria" w:eastAsia="仿宋_GB2312" w:cs="仿宋_GB2312"/>
          <w:color w:val="000000"/>
          <w:sz w:val="32"/>
          <w:szCs w:val="32"/>
          <w:lang w:val="zh-CN"/>
        </w:rPr>
        <w:t>。全年安排因公出国（境）团组</w:t>
      </w:r>
      <w:r>
        <w:rPr>
          <w:rFonts w:ascii="仿宋_GB2312" w:hAnsi="Cambria" w:eastAsia="仿宋_GB2312" w:cs="仿宋_GB2312"/>
          <w:color w:val="000000"/>
          <w:sz w:val="32"/>
          <w:szCs w:val="32"/>
          <w:lang w:val="zh-CN"/>
        </w:rPr>
        <w:t>0</w:t>
      </w:r>
      <w:r>
        <w:rPr>
          <w:rFonts w:hint="eastAsia" w:ascii="仿宋_GB2312" w:hAnsi="Cambria" w:eastAsia="仿宋_GB2312" w:cs="仿宋_GB2312"/>
          <w:color w:val="000000"/>
          <w:sz w:val="32"/>
          <w:szCs w:val="32"/>
          <w:lang w:val="zh-CN"/>
        </w:rPr>
        <w:t>个，出国（境）</w:t>
      </w:r>
      <w:r>
        <w:rPr>
          <w:rFonts w:ascii="仿宋_GB2312" w:hAnsi="Cambria" w:eastAsia="仿宋_GB2312" w:cs="仿宋_GB2312"/>
          <w:color w:val="000000"/>
          <w:sz w:val="32"/>
          <w:szCs w:val="32"/>
          <w:lang w:val="zh-CN"/>
        </w:rPr>
        <w:t>0</w:t>
      </w:r>
      <w:r>
        <w:rPr>
          <w:rFonts w:hint="eastAsia" w:ascii="仿宋_GB2312" w:hAnsi="Cambria" w:eastAsia="仿宋_GB2312" w:cs="仿宋_GB2312"/>
          <w:color w:val="000000"/>
          <w:sz w:val="32"/>
          <w:szCs w:val="32"/>
          <w:lang w:val="zh-CN"/>
        </w:rPr>
        <w:t>人。因公出国（境）支出决算与</w:t>
      </w:r>
      <w:r>
        <w:rPr>
          <w:rFonts w:ascii="仿宋_GB2312" w:hAnsi="Cambria" w:eastAsia="仿宋_GB2312" w:cs="仿宋_GB2312"/>
          <w:color w:val="000000"/>
          <w:sz w:val="32"/>
          <w:szCs w:val="32"/>
          <w:lang w:val="zh-CN"/>
        </w:rPr>
        <w:t>2021</w:t>
      </w:r>
      <w:r>
        <w:rPr>
          <w:rFonts w:hint="eastAsia" w:ascii="仿宋_GB2312" w:hAnsi="Cambria" w:eastAsia="仿宋_GB2312" w:cs="仿宋_GB2312"/>
          <w:color w:val="000000"/>
          <w:sz w:val="32"/>
          <w:szCs w:val="32"/>
          <w:lang w:val="zh-CN"/>
        </w:rPr>
        <w:t>年持平。</w:t>
      </w:r>
    </w:p>
    <w:p>
      <w:pPr>
        <w:spacing w:line="600" w:lineRule="exact"/>
        <w:ind w:firstLine="643"/>
        <w:rPr>
          <w:rFonts w:ascii="仿宋_GB2312" w:hAnsi="Cambria" w:eastAsia="仿宋_GB2312" w:cs="仿宋_GB2312"/>
          <w:color w:val="000000"/>
          <w:sz w:val="32"/>
          <w:szCs w:val="32"/>
          <w:lang w:val="zh-CN"/>
        </w:rPr>
      </w:pPr>
      <w:r>
        <w:rPr>
          <w:rFonts w:ascii="仿宋_GB2312" w:hAnsi="Cambria" w:eastAsia="仿宋_GB2312" w:cs="仿宋_GB2312"/>
          <w:b/>
          <w:bCs/>
          <w:color w:val="000000"/>
          <w:sz w:val="32"/>
          <w:szCs w:val="32"/>
          <w:lang w:val="zh-CN"/>
        </w:rPr>
        <w:t>2.</w:t>
      </w:r>
      <w:r>
        <w:rPr>
          <w:rFonts w:hint="eastAsia" w:ascii="仿宋_GB2312" w:hAnsi="Cambria" w:eastAsia="仿宋_GB2312" w:cs="仿宋_GB2312"/>
          <w:b/>
          <w:bCs/>
          <w:color w:val="000000"/>
          <w:sz w:val="32"/>
          <w:szCs w:val="32"/>
          <w:lang w:val="zh-CN"/>
        </w:rPr>
        <w:t>公务用车购置及运行维护费</w:t>
      </w:r>
      <w:r>
        <w:rPr>
          <w:rFonts w:hint="eastAsia" w:ascii="仿宋_GB2312" w:hAnsi="Cambria" w:eastAsia="仿宋_GB2312" w:cs="仿宋_GB2312"/>
          <w:color w:val="000000"/>
          <w:sz w:val="32"/>
          <w:szCs w:val="32"/>
          <w:lang w:val="zh-CN"/>
        </w:rPr>
        <w:t>支出</w:t>
      </w:r>
      <w:r>
        <w:rPr>
          <w:rFonts w:ascii="仿宋_GB2312" w:hAnsi="Cambria" w:eastAsia="仿宋_GB2312" w:cs="仿宋_GB2312"/>
          <w:color w:val="000000"/>
          <w:sz w:val="32"/>
          <w:szCs w:val="32"/>
          <w:lang w:val="zh-CN"/>
        </w:rPr>
        <w:t>0</w:t>
      </w:r>
      <w:r>
        <w:rPr>
          <w:rFonts w:hint="eastAsia" w:ascii="仿宋_GB2312" w:hAnsi="Cambria" w:eastAsia="仿宋_GB2312" w:cs="仿宋_GB2312"/>
          <w:color w:val="000000"/>
          <w:sz w:val="32"/>
          <w:szCs w:val="32"/>
          <w:lang w:val="zh-CN"/>
        </w:rPr>
        <w:t>万元，完成预算</w:t>
      </w:r>
      <w:r>
        <w:rPr>
          <w:rFonts w:ascii="仿宋_GB2312" w:hAnsi="Cambria" w:eastAsia="仿宋_GB2312" w:cs="仿宋_GB2312"/>
          <w:color w:val="000000"/>
          <w:sz w:val="32"/>
          <w:szCs w:val="32"/>
          <w:lang w:val="zh-CN"/>
        </w:rPr>
        <w:t>0%</w:t>
      </w:r>
      <w:r>
        <w:rPr>
          <w:rFonts w:hint="eastAsia" w:ascii="仿宋_GB2312" w:hAnsi="Cambria" w:eastAsia="仿宋_GB2312" w:cs="仿宋_GB2312"/>
          <w:color w:val="000000"/>
          <w:sz w:val="32"/>
          <w:szCs w:val="32"/>
          <w:lang w:val="zh-CN"/>
        </w:rPr>
        <w:t>。公务用车购置及运行维护费支出决算与</w:t>
      </w:r>
      <w:r>
        <w:rPr>
          <w:rFonts w:ascii="仿宋_GB2312" w:hAnsi="Cambria" w:eastAsia="仿宋_GB2312" w:cs="仿宋_GB2312"/>
          <w:color w:val="000000"/>
          <w:sz w:val="32"/>
          <w:szCs w:val="32"/>
          <w:lang w:val="zh-CN"/>
        </w:rPr>
        <w:t>202</w:t>
      </w:r>
      <w:r>
        <w:rPr>
          <w:rFonts w:hint="eastAsia" w:ascii="仿宋_GB2312" w:hAnsi="Cambria" w:eastAsia="仿宋_GB2312" w:cs="仿宋_GB2312"/>
          <w:color w:val="000000"/>
          <w:sz w:val="32"/>
          <w:szCs w:val="32"/>
          <w:lang w:val="zh-CN"/>
        </w:rPr>
        <w:t>2年持平。</w:t>
      </w:r>
    </w:p>
    <w:p>
      <w:pPr>
        <w:spacing w:line="600" w:lineRule="exact"/>
        <w:ind w:firstLine="643"/>
        <w:rPr>
          <w:rFonts w:ascii="仿宋_GB2312" w:hAnsi="Cambria" w:eastAsia="仿宋_GB2312" w:cs="仿宋_GB2312"/>
          <w:color w:val="000000"/>
          <w:sz w:val="32"/>
          <w:szCs w:val="32"/>
          <w:lang w:val="zh-CN"/>
        </w:rPr>
      </w:pPr>
      <w:r>
        <w:rPr>
          <w:rFonts w:hint="eastAsia" w:ascii="仿宋_GB2312" w:hAnsi="Cambria" w:eastAsia="仿宋_GB2312" w:cs="仿宋_GB2312"/>
          <w:color w:val="000000"/>
          <w:sz w:val="32"/>
          <w:szCs w:val="32"/>
          <w:lang w:val="zh-CN"/>
        </w:rPr>
        <w:t>其中：</w:t>
      </w:r>
      <w:r>
        <w:rPr>
          <w:rFonts w:hint="eastAsia" w:ascii="仿宋_GB2312" w:hAnsi="Cambria" w:eastAsia="仿宋_GB2312" w:cs="仿宋_GB2312"/>
          <w:b/>
          <w:bCs/>
          <w:color w:val="000000"/>
          <w:sz w:val="32"/>
          <w:szCs w:val="32"/>
          <w:lang w:val="zh-CN"/>
        </w:rPr>
        <w:t>公务用车购置费</w:t>
      </w:r>
      <w:r>
        <w:rPr>
          <w:rFonts w:hint="eastAsia" w:ascii="仿宋_GB2312" w:hAnsi="Cambria" w:eastAsia="仿宋_GB2312" w:cs="仿宋_GB2312"/>
          <w:color w:val="000000"/>
          <w:sz w:val="32"/>
          <w:szCs w:val="32"/>
          <w:lang w:val="zh-CN"/>
        </w:rPr>
        <w:t>支出</w:t>
      </w:r>
      <w:r>
        <w:rPr>
          <w:rFonts w:ascii="仿宋_GB2312" w:hAnsi="Cambria" w:eastAsia="仿宋_GB2312" w:cs="仿宋_GB2312"/>
          <w:color w:val="000000"/>
          <w:sz w:val="32"/>
          <w:szCs w:val="32"/>
          <w:lang w:val="zh-CN"/>
        </w:rPr>
        <w:t>0</w:t>
      </w:r>
      <w:r>
        <w:rPr>
          <w:rFonts w:hint="eastAsia" w:ascii="仿宋_GB2312" w:hAnsi="Cambria" w:eastAsia="仿宋_GB2312" w:cs="仿宋_GB2312"/>
          <w:color w:val="000000"/>
          <w:sz w:val="32"/>
          <w:szCs w:val="32"/>
          <w:lang w:val="zh-CN"/>
        </w:rPr>
        <w:t>万元。全年按规定更新购置公务用车</w:t>
      </w:r>
      <w:r>
        <w:rPr>
          <w:rFonts w:ascii="仿宋_GB2312" w:hAnsi="Cambria" w:eastAsia="仿宋_GB2312" w:cs="仿宋_GB2312"/>
          <w:color w:val="000000"/>
          <w:sz w:val="32"/>
          <w:szCs w:val="32"/>
          <w:lang w:val="zh-CN"/>
        </w:rPr>
        <w:t>0</w:t>
      </w:r>
      <w:r>
        <w:rPr>
          <w:rFonts w:hint="eastAsia" w:ascii="仿宋_GB2312" w:hAnsi="Cambria" w:eastAsia="仿宋_GB2312" w:cs="仿宋_GB2312"/>
          <w:color w:val="000000"/>
          <w:sz w:val="32"/>
          <w:szCs w:val="32"/>
          <w:lang w:val="zh-CN"/>
        </w:rPr>
        <w:t>辆，其中：轿车0辆、金额0万元，越野车0辆、金额0万元，小型载客汽车0辆、金额0万元，大中型载客汽车0辆、金额0万元，其他车型0辆、金额0万元。截至</w:t>
      </w:r>
      <w:r>
        <w:rPr>
          <w:rFonts w:ascii="仿宋_GB2312" w:hAnsi="Cambria" w:eastAsia="仿宋_GB2312" w:cs="仿宋_GB2312"/>
          <w:color w:val="000000"/>
          <w:sz w:val="32"/>
          <w:szCs w:val="32"/>
          <w:lang w:val="zh-CN"/>
        </w:rPr>
        <w:t>2022</w:t>
      </w:r>
      <w:r>
        <w:rPr>
          <w:rFonts w:hint="eastAsia" w:ascii="仿宋_GB2312" w:hAnsi="Cambria" w:eastAsia="仿宋_GB2312" w:cs="仿宋_GB2312"/>
          <w:color w:val="000000"/>
          <w:sz w:val="32"/>
          <w:szCs w:val="32"/>
          <w:lang w:val="zh-CN"/>
        </w:rPr>
        <w:t>年</w:t>
      </w:r>
      <w:r>
        <w:rPr>
          <w:rFonts w:ascii="仿宋_GB2312" w:hAnsi="Cambria" w:eastAsia="仿宋_GB2312" w:cs="仿宋_GB2312"/>
          <w:color w:val="000000"/>
          <w:sz w:val="32"/>
          <w:szCs w:val="32"/>
          <w:lang w:val="zh-CN"/>
        </w:rPr>
        <w:t>12</w:t>
      </w:r>
      <w:r>
        <w:rPr>
          <w:rFonts w:hint="eastAsia" w:ascii="仿宋_GB2312" w:hAnsi="Cambria" w:eastAsia="仿宋_GB2312" w:cs="仿宋_GB2312"/>
          <w:color w:val="000000"/>
          <w:sz w:val="32"/>
          <w:szCs w:val="32"/>
          <w:lang w:val="zh-CN"/>
        </w:rPr>
        <w:t>月底，本部门共有公务用车</w:t>
      </w:r>
      <w:r>
        <w:rPr>
          <w:rFonts w:ascii="仿宋_GB2312" w:hAnsi="Cambria" w:eastAsia="仿宋_GB2312" w:cs="仿宋_GB2312"/>
          <w:color w:val="000000"/>
          <w:sz w:val="32"/>
          <w:szCs w:val="32"/>
          <w:lang w:val="zh-CN"/>
        </w:rPr>
        <w:t>0</w:t>
      </w:r>
      <w:r>
        <w:rPr>
          <w:rFonts w:hint="eastAsia" w:ascii="仿宋_GB2312" w:hAnsi="Cambria" w:eastAsia="仿宋_GB2312" w:cs="仿宋_GB2312"/>
          <w:color w:val="000000"/>
          <w:sz w:val="32"/>
          <w:szCs w:val="32"/>
          <w:lang w:val="zh-CN"/>
        </w:rPr>
        <w:t>辆，其中：轿车0辆、越野车0辆、小型载客汽车0辆、大中型载客汽车0辆、其他车型0辆。</w:t>
      </w:r>
    </w:p>
    <w:p>
      <w:pPr>
        <w:spacing w:line="600" w:lineRule="exact"/>
        <w:ind w:firstLine="643"/>
        <w:rPr>
          <w:rFonts w:ascii="仿宋_GB2312" w:hAnsi="Cambria" w:eastAsia="仿宋_GB2312" w:cs="仿宋_GB2312"/>
          <w:color w:val="000000"/>
          <w:sz w:val="32"/>
          <w:szCs w:val="32"/>
          <w:lang w:val="zh-CN"/>
        </w:rPr>
      </w:pPr>
      <w:r>
        <w:rPr>
          <w:rFonts w:hint="eastAsia" w:ascii="仿宋_GB2312" w:hAnsi="Cambria" w:eastAsia="仿宋_GB2312" w:cs="仿宋_GB2312"/>
          <w:b/>
          <w:bCs/>
          <w:color w:val="000000"/>
          <w:sz w:val="32"/>
          <w:szCs w:val="32"/>
          <w:lang w:val="zh-CN"/>
        </w:rPr>
        <w:t>公务用车运行维护费</w:t>
      </w:r>
      <w:r>
        <w:rPr>
          <w:rFonts w:hint="eastAsia" w:ascii="仿宋_GB2312" w:hAnsi="Cambria" w:eastAsia="仿宋_GB2312" w:cs="仿宋_GB2312"/>
          <w:color w:val="000000"/>
          <w:sz w:val="32"/>
          <w:szCs w:val="32"/>
          <w:lang w:val="zh-CN"/>
        </w:rPr>
        <w:t>支出</w:t>
      </w:r>
      <w:r>
        <w:rPr>
          <w:rFonts w:ascii="仿宋_GB2312" w:hAnsi="Cambria" w:eastAsia="仿宋_GB2312" w:cs="仿宋_GB2312"/>
          <w:color w:val="000000"/>
          <w:sz w:val="32"/>
          <w:szCs w:val="32"/>
          <w:lang w:val="zh-CN"/>
        </w:rPr>
        <w:t>0</w:t>
      </w:r>
      <w:r>
        <w:rPr>
          <w:rFonts w:hint="eastAsia" w:ascii="仿宋_GB2312" w:hAnsi="Cambria" w:eastAsia="仿宋_GB2312" w:cs="仿宋_GB2312"/>
          <w:color w:val="000000"/>
          <w:sz w:val="32"/>
          <w:szCs w:val="32"/>
          <w:lang w:val="zh-CN"/>
        </w:rPr>
        <w:t>万元。</w:t>
      </w:r>
    </w:p>
    <w:p>
      <w:pPr>
        <w:spacing w:line="600" w:lineRule="exact"/>
        <w:ind w:firstLine="643"/>
        <w:rPr>
          <w:rFonts w:ascii="仿宋_GB2312" w:hAnsi="Cambria" w:eastAsia="仿宋_GB2312" w:cs="仿宋_GB2312"/>
          <w:color w:val="000000"/>
          <w:sz w:val="32"/>
          <w:szCs w:val="32"/>
          <w:lang w:val="zh-CN"/>
        </w:rPr>
      </w:pPr>
      <w:r>
        <w:rPr>
          <w:rFonts w:ascii="仿宋_GB2312" w:hAnsi="Cambria" w:eastAsia="仿宋_GB2312" w:cs="仿宋_GB2312"/>
          <w:b/>
          <w:bCs/>
          <w:color w:val="000000"/>
          <w:sz w:val="32"/>
          <w:szCs w:val="32"/>
          <w:lang w:val="zh-CN"/>
        </w:rPr>
        <w:t>3.</w:t>
      </w:r>
      <w:r>
        <w:rPr>
          <w:rFonts w:hint="eastAsia" w:ascii="仿宋_GB2312" w:hAnsi="Cambria" w:eastAsia="仿宋_GB2312" w:cs="仿宋_GB2312"/>
          <w:b/>
          <w:bCs/>
          <w:color w:val="000000"/>
          <w:sz w:val="32"/>
          <w:szCs w:val="32"/>
          <w:lang w:val="zh-CN"/>
        </w:rPr>
        <w:t>公务接待费</w:t>
      </w:r>
      <w:r>
        <w:rPr>
          <w:rFonts w:hint="eastAsia" w:ascii="仿宋_GB2312" w:hAnsi="Cambria" w:eastAsia="仿宋_GB2312" w:cs="仿宋_GB2312"/>
          <w:color w:val="000000"/>
          <w:sz w:val="32"/>
          <w:szCs w:val="32"/>
          <w:lang w:val="zh-CN"/>
        </w:rPr>
        <w:t>支出5.99万元，完成预算78.8</w:t>
      </w:r>
      <w:r>
        <w:rPr>
          <w:rFonts w:ascii="仿宋_GB2312" w:hAnsi="Cambria" w:eastAsia="仿宋_GB2312" w:cs="仿宋_GB2312"/>
          <w:color w:val="000000"/>
          <w:sz w:val="32"/>
          <w:szCs w:val="32"/>
          <w:lang w:val="zh-CN"/>
        </w:rPr>
        <w:t>%</w:t>
      </w:r>
      <w:r>
        <w:rPr>
          <w:rFonts w:hint="eastAsia" w:ascii="仿宋_GB2312" w:hAnsi="Cambria" w:eastAsia="仿宋_GB2312" w:cs="仿宋_GB2312"/>
          <w:color w:val="000000"/>
          <w:sz w:val="32"/>
          <w:szCs w:val="32"/>
          <w:lang w:val="zh-CN"/>
        </w:rPr>
        <w:t>。公务接待费支出决算比</w:t>
      </w:r>
      <w:r>
        <w:rPr>
          <w:rFonts w:ascii="仿宋_GB2312" w:hAnsi="Cambria" w:eastAsia="仿宋_GB2312" w:cs="仿宋_GB2312"/>
          <w:color w:val="000000"/>
          <w:sz w:val="32"/>
          <w:szCs w:val="32"/>
          <w:lang w:val="zh-CN"/>
        </w:rPr>
        <w:t>202</w:t>
      </w:r>
      <w:r>
        <w:rPr>
          <w:rFonts w:hint="eastAsia" w:ascii="仿宋_GB2312" w:hAnsi="Cambria" w:eastAsia="仿宋_GB2312" w:cs="仿宋_GB2312"/>
          <w:color w:val="000000"/>
          <w:sz w:val="32"/>
          <w:szCs w:val="32"/>
          <w:lang w:val="zh-CN"/>
        </w:rPr>
        <w:t>2年增加3.42万元，增长42.9</w:t>
      </w:r>
      <w:r>
        <w:rPr>
          <w:rFonts w:ascii="仿宋_GB2312" w:hAnsi="Cambria" w:eastAsia="仿宋_GB2312" w:cs="仿宋_GB2312"/>
          <w:color w:val="000000"/>
          <w:sz w:val="32"/>
          <w:szCs w:val="32"/>
          <w:lang w:val="zh-CN"/>
        </w:rPr>
        <w:t>%</w:t>
      </w:r>
      <w:r>
        <w:rPr>
          <w:rFonts w:hint="eastAsia" w:ascii="仿宋_GB2312" w:hAnsi="Cambria" w:eastAsia="仿宋_GB2312" w:cs="仿宋_GB2312"/>
          <w:color w:val="000000"/>
          <w:sz w:val="32"/>
          <w:szCs w:val="32"/>
          <w:lang w:val="zh-CN"/>
        </w:rPr>
        <w:t>。主要原因是2022年底支出账号错号反清算到2023年。</w:t>
      </w:r>
    </w:p>
    <w:p>
      <w:pPr>
        <w:spacing w:line="600" w:lineRule="exact"/>
        <w:ind w:firstLine="643"/>
        <w:rPr>
          <w:rFonts w:ascii="仿宋_GB2312" w:hAnsi="Cambria" w:eastAsia="仿宋_GB2312" w:cs="仿宋_GB2312"/>
          <w:color w:val="000000"/>
          <w:sz w:val="32"/>
          <w:szCs w:val="32"/>
          <w:lang w:val="zh-CN"/>
        </w:rPr>
      </w:pPr>
      <w:r>
        <w:rPr>
          <w:rFonts w:hint="eastAsia" w:ascii="仿宋_GB2312" w:hAnsi="Cambria" w:eastAsia="仿宋_GB2312" w:cs="仿宋_GB2312"/>
          <w:b/>
          <w:bCs/>
          <w:color w:val="000000"/>
          <w:sz w:val="32"/>
          <w:szCs w:val="32"/>
          <w:lang w:val="zh-CN"/>
        </w:rPr>
        <w:t>国内公务接待</w:t>
      </w:r>
      <w:r>
        <w:rPr>
          <w:rFonts w:hint="eastAsia" w:ascii="仿宋_GB2312" w:hAnsi="Cambria" w:eastAsia="仿宋_GB2312" w:cs="仿宋_GB2312"/>
          <w:color w:val="000000"/>
          <w:sz w:val="32"/>
          <w:szCs w:val="32"/>
          <w:lang w:val="zh-CN"/>
        </w:rPr>
        <w:t>支出5.99万元。主要用于</w:t>
      </w:r>
      <w:r>
        <w:rPr>
          <w:rFonts w:hint="eastAsia" w:ascii="仿宋_GB2312" w:hAnsi="Cambria" w:eastAsia="仿宋_GB2312" w:cs="仿宋_GB2312"/>
          <w:color w:val="000000"/>
          <w:sz w:val="32"/>
          <w:szCs w:val="32"/>
          <w:highlight w:val="white"/>
        </w:rPr>
        <w:t>执行公务、开展业务活动开支的交通费、住宿费、用餐费等。</w:t>
      </w:r>
      <w:r>
        <w:rPr>
          <w:rFonts w:hint="eastAsia" w:ascii="仿宋_GB2312" w:hAnsi="Cambria" w:eastAsia="仿宋_GB2312" w:cs="仿宋_GB2312"/>
          <w:color w:val="000000"/>
          <w:sz w:val="32"/>
          <w:szCs w:val="32"/>
          <w:lang w:val="zh-CN"/>
        </w:rPr>
        <w:t>国内公务接待78批次，590人次，共计支出5.99万元</w:t>
      </w:r>
      <w:r>
        <w:rPr>
          <w:rFonts w:hint="eastAsia" w:ascii="仿宋_GB2312" w:hAnsi="Cambria" w:eastAsia="仿宋_GB2312" w:cs="仿宋_GB2312"/>
          <w:color w:val="000000"/>
          <w:sz w:val="32"/>
          <w:szCs w:val="32"/>
          <w:highlight w:val="white"/>
        </w:rPr>
        <w:t>。</w:t>
      </w:r>
    </w:p>
    <w:p>
      <w:pPr>
        <w:spacing w:line="600" w:lineRule="exact"/>
        <w:ind w:firstLine="643"/>
        <w:rPr>
          <w:rFonts w:ascii="仿宋_GB2312" w:hAnsi="Cambria" w:eastAsia="仿宋_GB2312" w:cs="仿宋_GB2312"/>
          <w:color w:val="000000"/>
          <w:sz w:val="32"/>
          <w:szCs w:val="32"/>
          <w:lang w:val="zh-CN"/>
        </w:rPr>
      </w:pPr>
      <w:r>
        <w:rPr>
          <w:rFonts w:hint="eastAsia" w:ascii="仿宋_GB2312" w:hAnsi="Cambria" w:eastAsia="仿宋_GB2312" w:cs="仿宋_GB2312"/>
          <w:b/>
          <w:bCs/>
          <w:color w:val="000000"/>
          <w:sz w:val="32"/>
          <w:szCs w:val="32"/>
          <w:lang w:val="zh-CN"/>
        </w:rPr>
        <w:t>外事接待</w:t>
      </w:r>
      <w:r>
        <w:rPr>
          <w:rFonts w:hint="eastAsia" w:ascii="仿宋_GB2312" w:hAnsi="Cambria" w:eastAsia="仿宋_GB2312" w:cs="仿宋_GB2312"/>
          <w:color w:val="000000"/>
          <w:sz w:val="32"/>
          <w:szCs w:val="32"/>
          <w:lang w:val="zh-CN"/>
        </w:rPr>
        <w:t>支出</w:t>
      </w:r>
      <w:r>
        <w:rPr>
          <w:rFonts w:ascii="仿宋_GB2312" w:hAnsi="Cambria" w:eastAsia="仿宋_GB2312" w:cs="仿宋_GB2312"/>
          <w:color w:val="000000"/>
          <w:sz w:val="32"/>
          <w:szCs w:val="32"/>
          <w:lang w:val="zh-CN"/>
        </w:rPr>
        <w:t>0</w:t>
      </w:r>
      <w:r>
        <w:rPr>
          <w:rFonts w:hint="eastAsia" w:ascii="仿宋_GB2312" w:hAnsi="Cambria" w:eastAsia="仿宋_GB2312" w:cs="仿宋_GB2312"/>
          <w:color w:val="000000"/>
          <w:sz w:val="32"/>
          <w:szCs w:val="32"/>
          <w:lang w:val="zh-CN"/>
        </w:rPr>
        <w:t>万元，外事接待</w:t>
      </w:r>
      <w:r>
        <w:rPr>
          <w:rFonts w:ascii="仿宋_GB2312" w:hAnsi="Cambria" w:eastAsia="仿宋_GB2312" w:cs="仿宋_GB2312"/>
          <w:color w:val="000000"/>
          <w:sz w:val="32"/>
          <w:szCs w:val="32"/>
          <w:lang w:val="zh-CN"/>
        </w:rPr>
        <w:t>0</w:t>
      </w:r>
      <w:r>
        <w:rPr>
          <w:rFonts w:hint="eastAsia" w:ascii="仿宋_GB2312" w:hAnsi="Cambria" w:eastAsia="仿宋_GB2312" w:cs="仿宋_GB2312"/>
          <w:color w:val="000000"/>
          <w:sz w:val="32"/>
          <w:szCs w:val="32"/>
          <w:lang w:val="zh-CN"/>
        </w:rPr>
        <w:t>批次，</w:t>
      </w:r>
      <w:r>
        <w:rPr>
          <w:rFonts w:ascii="仿宋_GB2312" w:hAnsi="Cambria" w:eastAsia="仿宋_GB2312" w:cs="仿宋_GB2312"/>
          <w:color w:val="000000"/>
          <w:sz w:val="32"/>
          <w:szCs w:val="32"/>
          <w:lang w:val="zh-CN"/>
        </w:rPr>
        <w:t>0</w:t>
      </w:r>
      <w:r>
        <w:rPr>
          <w:rFonts w:hint="eastAsia" w:ascii="仿宋_GB2312" w:hAnsi="Cambria" w:eastAsia="仿宋_GB2312" w:cs="仿宋_GB2312"/>
          <w:color w:val="000000"/>
          <w:sz w:val="32"/>
          <w:szCs w:val="32"/>
          <w:lang w:val="zh-CN"/>
        </w:rPr>
        <w:t>人，共计支出</w:t>
      </w:r>
      <w:r>
        <w:rPr>
          <w:rFonts w:ascii="仿宋_GB2312" w:hAnsi="Cambria" w:eastAsia="仿宋_GB2312" w:cs="仿宋_GB2312"/>
          <w:color w:val="000000"/>
          <w:sz w:val="32"/>
          <w:szCs w:val="32"/>
          <w:lang w:val="zh-CN"/>
        </w:rPr>
        <w:t>0</w:t>
      </w:r>
      <w:r>
        <w:rPr>
          <w:rFonts w:hint="eastAsia" w:ascii="仿宋_GB2312" w:hAnsi="Cambria" w:eastAsia="仿宋_GB2312" w:cs="仿宋_GB2312"/>
          <w:color w:val="000000"/>
          <w:sz w:val="32"/>
          <w:szCs w:val="32"/>
          <w:lang w:val="zh-CN"/>
        </w:rPr>
        <w:t>万元。</w:t>
      </w:r>
    </w:p>
    <w:p>
      <w:pPr>
        <w:spacing w:line="600" w:lineRule="exact"/>
        <w:ind w:firstLine="643"/>
        <w:rPr>
          <w:rFonts w:ascii="黑体" w:hAnsi="Cambria" w:eastAsia="黑体" w:cs="黑体"/>
          <w:b/>
          <w:bCs/>
          <w:sz w:val="32"/>
          <w:szCs w:val="32"/>
          <w:lang w:val="zh-CN"/>
        </w:rPr>
      </w:pPr>
      <w:r>
        <w:rPr>
          <w:rFonts w:hint="eastAsia" w:ascii="黑体" w:hAnsi="Cambria" w:eastAsia="黑体" w:cs="黑体"/>
          <w:color w:val="000000"/>
          <w:sz w:val="32"/>
          <w:szCs w:val="32"/>
          <w:lang w:val="zh-CN"/>
        </w:rPr>
        <w:t>八、</w:t>
      </w:r>
      <w:r>
        <w:rPr>
          <w:rFonts w:hint="eastAsia" w:ascii="黑体" w:hAnsi="Cambria" w:eastAsia="黑体" w:cs="黑体"/>
          <w:sz w:val="32"/>
          <w:szCs w:val="32"/>
          <w:lang w:val="zh-CN"/>
        </w:rPr>
        <w:t>政府性基金预算支出决算情况说明</w:t>
      </w:r>
    </w:p>
    <w:p>
      <w:pPr>
        <w:spacing w:line="576" w:lineRule="exact"/>
        <w:ind w:firstLine="640"/>
        <w:rPr>
          <w:rFonts w:ascii="仿宋_GB2312" w:hAnsi="Cambria" w:eastAsia="仿宋_GB2312" w:cs="仿宋_GB2312"/>
          <w:color w:val="000000"/>
          <w:sz w:val="32"/>
          <w:szCs w:val="32"/>
          <w:lang w:val="zh-CN"/>
        </w:rPr>
      </w:pPr>
      <w:r>
        <w:rPr>
          <w:rFonts w:ascii="仿宋_GB2312" w:hAnsi="Cambria" w:eastAsia="仿宋_GB2312" w:cs="仿宋_GB2312"/>
          <w:color w:val="000000"/>
          <w:sz w:val="32"/>
          <w:szCs w:val="32"/>
          <w:lang w:val="zh-CN"/>
        </w:rPr>
        <w:t>202</w:t>
      </w:r>
      <w:r>
        <w:rPr>
          <w:rFonts w:hint="eastAsia" w:ascii="仿宋_GB2312" w:hAnsi="Cambria" w:eastAsia="仿宋_GB2312" w:cs="仿宋_GB2312"/>
          <w:color w:val="000000"/>
          <w:sz w:val="32"/>
          <w:szCs w:val="32"/>
          <w:lang w:val="zh-CN"/>
        </w:rPr>
        <w:t>3年政府性基金预算拨款支出</w:t>
      </w:r>
      <w:r>
        <w:rPr>
          <w:rFonts w:ascii="仿宋_GB2312" w:hAnsi="Cambria" w:eastAsia="仿宋_GB2312" w:cs="仿宋_GB2312"/>
          <w:color w:val="000000"/>
          <w:sz w:val="32"/>
          <w:szCs w:val="32"/>
          <w:lang w:val="zh-CN"/>
        </w:rPr>
        <w:t>0</w:t>
      </w:r>
      <w:r>
        <w:rPr>
          <w:rFonts w:hint="eastAsia" w:ascii="仿宋_GB2312" w:hAnsi="Cambria" w:eastAsia="仿宋_GB2312" w:cs="仿宋_GB2312"/>
          <w:color w:val="000000"/>
          <w:sz w:val="32"/>
          <w:szCs w:val="32"/>
          <w:lang w:val="zh-CN"/>
        </w:rPr>
        <w:t>万元。</w:t>
      </w:r>
    </w:p>
    <w:p>
      <w:pPr>
        <w:spacing w:line="576" w:lineRule="exact"/>
        <w:ind w:firstLine="640"/>
        <w:rPr>
          <w:rFonts w:ascii="仿宋_GB2312" w:hAnsi="Cambria" w:eastAsia="仿宋_GB2312" w:cs="仿宋_GB2312"/>
          <w:color w:val="000000"/>
          <w:sz w:val="32"/>
          <w:szCs w:val="32"/>
          <w:lang w:val="zh-CN"/>
        </w:rPr>
      </w:pPr>
      <w:r>
        <w:rPr>
          <w:rFonts w:hint="eastAsia" w:ascii="黑体" w:hAnsi="Cambria" w:eastAsia="黑体" w:cs="黑体"/>
          <w:sz w:val="32"/>
          <w:szCs w:val="32"/>
          <w:lang w:val="zh-CN"/>
        </w:rPr>
        <w:t>九、国有资本经营预算支出决算情况说明</w:t>
      </w:r>
    </w:p>
    <w:p>
      <w:pPr>
        <w:spacing w:line="576" w:lineRule="exact"/>
        <w:ind w:firstLine="640"/>
        <w:rPr>
          <w:rFonts w:ascii="仿宋_GB2312" w:hAnsi="Cambria" w:eastAsia="仿宋_GB2312" w:cs="仿宋_GB2312"/>
          <w:color w:val="000000"/>
          <w:sz w:val="32"/>
          <w:szCs w:val="32"/>
          <w:lang w:val="zh-CN"/>
        </w:rPr>
      </w:pPr>
      <w:r>
        <w:rPr>
          <w:rFonts w:ascii="仿宋_GB2312" w:hAnsi="Cambria" w:eastAsia="仿宋_GB2312" w:cs="仿宋_GB2312"/>
          <w:color w:val="000000"/>
          <w:sz w:val="32"/>
          <w:szCs w:val="32"/>
          <w:lang w:val="zh-CN"/>
        </w:rPr>
        <w:t>202</w:t>
      </w:r>
      <w:r>
        <w:rPr>
          <w:rFonts w:hint="eastAsia" w:ascii="仿宋_GB2312" w:hAnsi="Cambria" w:eastAsia="仿宋_GB2312" w:cs="仿宋_GB2312"/>
          <w:color w:val="000000"/>
          <w:sz w:val="32"/>
          <w:szCs w:val="32"/>
          <w:lang w:val="zh-CN"/>
        </w:rPr>
        <w:t>3年国有资本经营预算拨款支出</w:t>
      </w:r>
      <w:r>
        <w:rPr>
          <w:rFonts w:ascii="仿宋_GB2312" w:hAnsi="Cambria" w:eastAsia="仿宋_GB2312" w:cs="仿宋_GB2312"/>
          <w:color w:val="000000"/>
          <w:sz w:val="32"/>
          <w:szCs w:val="32"/>
          <w:lang w:val="zh-CN"/>
        </w:rPr>
        <w:t>0</w:t>
      </w:r>
      <w:r>
        <w:rPr>
          <w:rFonts w:hint="eastAsia" w:ascii="仿宋_GB2312" w:hAnsi="Cambria" w:eastAsia="仿宋_GB2312" w:cs="仿宋_GB2312"/>
          <w:color w:val="000000"/>
          <w:sz w:val="32"/>
          <w:szCs w:val="32"/>
          <w:lang w:val="zh-CN"/>
        </w:rPr>
        <w:t>万元。</w:t>
      </w:r>
    </w:p>
    <w:p>
      <w:pPr>
        <w:spacing w:line="576" w:lineRule="exact"/>
        <w:ind w:firstLine="640"/>
        <w:rPr>
          <w:rFonts w:ascii="仿宋_GB2312" w:hAnsi="Cambria" w:eastAsia="仿宋_GB2312" w:cs="仿宋_GB2312"/>
          <w:color w:val="000000"/>
          <w:sz w:val="32"/>
          <w:szCs w:val="32"/>
          <w:lang w:val="zh-CN"/>
        </w:rPr>
      </w:pPr>
      <w:r>
        <w:rPr>
          <w:rFonts w:hint="eastAsia" w:ascii="黑体" w:hAnsi="Cambria" w:eastAsia="黑体" w:cs="黑体"/>
          <w:color w:val="000000"/>
          <w:sz w:val="32"/>
          <w:szCs w:val="32"/>
          <w:lang w:val="zh-CN"/>
        </w:rPr>
        <w:t>十</w:t>
      </w:r>
      <w:r>
        <w:rPr>
          <w:rFonts w:hint="eastAsia" w:ascii="黑体" w:hAnsi="Cambria" w:eastAsia="黑体" w:cs="黑体"/>
          <w:b/>
          <w:bCs/>
          <w:sz w:val="32"/>
          <w:szCs w:val="32"/>
          <w:lang w:val="zh-CN"/>
        </w:rPr>
        <w:t>、</w:t>
      </w:r>
      <w:r>
        <w:rPr>
          <w:rFonts w:hint="eastAsia" w:ascii="黑体" w:hAnsi="Cambria" w:eastAsia="黑体" w:cs="黑体"/>
          <w:sz w:val="32"/>
          <w:szCs w:val="32"/>
          <w:lang w:val="zh-CN"/>
        </w:rPr>
        <w:t>其他重要事项的情况说明</w:t>
      </w:r>
    </w:p>
    <w:p>
      <w:pPr>
        <w:spacing w:line="576" w:lineRule="exact"/>
        <w:ind w:firstLine="640"/>
        <w:rPr>
          <w:rFonts w:ascii="仿宋_GB2312" w:hAnsi="Cambria" w:eastAsia="仿宋_GB2312" w:cs="仿宋_GB2312"/>
          <w:color w:val="000000"/>
          <w:sz w:val="32"/>
          <w:szCs w:val="32"/>
          <w:lang w:val="zh-CN"/>
        </w:rPr>
      </w:pPr>
      <w:r>
        <w:rPr>
          <w:rFonts w:hint="eastAsia" w:ascii="仿宋_GB2312" w:hAnsi="Cambria" w:eastAsia="仿宋_GB2312" w:cs="仿宋_GB2312"/>
          <w:b/>
          <w:bCs/>
          <w:color w:val="000000"/>
          <w:sz w:val="32"/>
          <w:szCs w:val="32"/>
          <w:lang w:val="zh-CN"/>
        </w:rPr>
        <w:t>（一）机关运行经费支出情况</w:t>
      </w:r>
    </w:p>
    <w:p>
      <w:pPr>
        <w:spacing w:line="576" w:lineRule="exact"/>
        <w:ind w:firstLine="640"/>
        <w:rPr>
          <w:rFonts w:ascii="仿宋_GB2312" w:hAnsi="Cambria" w:eastAsia="仿宋_GB2312" w:cs="仿宋_GB2312"/>
          <w:color w:val="000000"/>
          <w:sz w:val="32"/>
          <w:szCs w:val="32"/>
          <w:lang w:val="zh-CN"/>
        </w:rPr>
      </w:pPr>
      <w:r>
        <w:rPr>
          <w:rFonts w:ascii="仿宋_GB2312" w:hAnsi="Cambria" w:eastAsia="仿宋_GB2312" w:cs="仿宋_GB2312"/>
          <w:color w:val="000000"/>
          <w:sz w:val="32"/>
          <w:szCs w:val="32"/>
          <w:lang w:val="zh-CN"/>
        </w:rPr>
        <w:t>202</w:t>
      </w:r>
      <w:r>
        <w:rPr>
          <w:rFonts w:hint="eastAsia" w:ascii="仿宋_GB2312" w:hAnsi="Cambria" w:eastAsia="仿宋_GB2312" w:cs="仿宋_GB2312"/>
          <w:color w:val="000000"/>
          <w:sz w:val="32"/>
          <w:szCs w:val="32"/>
          <w:lang w:val="zh-CN"/>
        </w:rPr>
        <w:t>3年，中国共产党沐川县委员会组织部机关运行经费支出65.21万元，比</w:t>
      </w:r>
      <w:r>
        <w:rPr>
          <w:rFonts w:ascii="仿宋_GB2312" w:hAnsi="Cambria" w:eastAsia="仿宋_GB2312" w:cs="仿宋_GB2312"/>
          <w:color w:val="000000"/>
          <w:sz w:val="32"/>
          <w:szCs w:val="32"/>
          <w:lang w:val="zh-CN"/>
        </w:rPr>
        <w:t>202</w:t>
      </w:r>
      <w:r>
        <w:rPr>
          <w:rFonts w:hint="eastAsia" w:ascii="仿宋_GB2312" w:hAnsi="Cambria" w:eastAsia="仿宋_GB2312" w:cs="仿宋_GB2312"/>
          <w:color w:val="000000"/>
          <w:sz w:val="32"/>
          <w:szCs w:val="32"/>
          <w:lang w:val="zh-CN"/>
        </w:rPr>
        <w:t>2年增加4.72万元，增长7.2</w:t>
      </w:r>
      <w:r>
        <w:rPr>
          <w:rFonts w:ascii="仿宋_GB2312" w:hAnsi="Cambria" w:eastAsia="仿宋_GB2312" w:cs="仿宋_GB2312"/>
          <w:color w:val="000000"/>
          <w:sz w:val="32"/>
          <w:szCs w:val="32"/>
          <w:lang w:val="zh-CN"/>
        </w:rPr>
        <w:t>%</w:t>
      </w:r>
      <w:r>
        <w:rPr>
          <w:rFonts w:hint="eastAsia" w:ascii="仿宋_GB2312" w:hAnsi="Cambria" w:eastAsia="仿宋_GB2312" w:cs="仿宋_GB2312"/>
          <w:color w:val="000000"/>
          <w:sz w:val="32"/>
          <w:szCs w:val="32"/>
          <w:lang w:val="zh-CN"/>
        </w:rPr>
        <w:t>。主要原因是人员变动 。</w:t>
      </w:r>
    </w:p>
    <w:p>
      <w:pPr>
        <w:spacing w:line="600" w:lineRule="exact"/>
        <w:ind w:firstLine="643"/>
        <w:rPr>
          <w:rFonts w:ascii="仿宋" w:hAnsi="Cambria" w:eastAsia="仿宋" w:cs="仿宋"/>
          <w:b/>
          <w:bCs/>
          <w:sz w:val="32"/>
          <w:szCs w:val="32"/>
        </w:rPr>
      </w:pPr>
      <w:r>
        <w:rPr>
          <w:rFonts w:hint="eastAsia" w:ascii="仿宋_GB2312" w:hAnsi="Cambria" w:eastAsia="仿宋_GB2312" w:cs="仿宋_GB2312"/>
          <w:b/>
          <w:bCs/>
          <w:color w:val="000000"/>
          <w:sz w:val="32"/>
          <w:szCs w:val="32"/>
          <w:lang w:val="zh-CN"/>
        </w:rPr>
        <w:t>（二）政府采购支出情况</w:t>
      </w:r>
    </w:p>
    <w:p>
      <w:pPr>
        <w:spacing w:line="576" w:lineRule="exact"/>
        <w:ind w:firstLine="640"/>
        <w:rPr>
          <w:rFonts w:ascii="仿宋_GB2312" w:hAnsi="Cambria" w:eastAsia="仿宋_GB2312" w:cs="仿宋_GB2312"/>
          <w:color w:val="000000"/>
          <w:sz w:val="32"/>
          <w:szCs w:val="32"/>
          <w:lang w:val="zh-CN"/>
        </w:rPr>
      </w:pPr>
      <w:r>
        <w:rPr>
          <w:rFonts w:ascii="仿宋_GB2312" w:hAnsi="Cambria" w:eastAsia="仿宋_GB2312" w:cs="仿宋_GB2312"/>
          <w:color w:val="000000"/>
          <w:sz w:val="32"/>
          <w:szCs w:val="32"/>
          <w:lang w:val="zh-CN"/>
        </w:rPr>
        <w:t>202</w:t>
      </w:r>
      <w:r>
        <w:rPr>
          <w:rFonts w:hint="eastAsia" w:ascii="仿宋_GB2312" w:hAnsi="Cambria" w:eastAsia="仿宋_GB2312" w:cs="仿宋_GB2312"/>
          <w:color w:val="000000"/>
          <w:sz w:val="32"/>
          <w:szCs w:val="32"/>
          <w:lang w:val="zh-CN"/>
        </w:rPr>
        <w:t>3年，中国共产党沐川县委员会组织部政府采购支出总额</w:t>
      </w:r>
      <w:r>
        <w:rPr>
          <w:rFonts w:ascii="仿宋_GB2312" w:hAnsi="Cambria" w:eastAsia="仿宋_GB2312" w:cs="仿宋_GB2312"/>
          <w:color w:val="000000"/>
          <w:sz w:val="32"/>
          <w:szCs w:val="32"/>
          <w:lang w:val="zh-CN"/>
        </w:rPr>
        <w:t>0</w:t>
      </w:r>
      <w:r>
        <w:rPr>
          <w:rFonts w:hint="eastAsia" w:ascii="仿宋_GB2312" w:hAnsi="Cambria" w:eastAsia="仿宋_GB2312" w:cs="仿宋_GB2312"/>
          <w:color w:val="000000"/>
          <w:sz w:val="32"/>
          <w:szCs w:val="32"/>
          <w:lang w:val="zh-CN"/>
        </w:rPr>
        <w:t>万元，其中：政府采购货物支出</w:t>
      </w:r>
      <w:r>
        <w:rPr>
          <w:rFonts w:ascii="仿宋_GB2312" w:hAnsi="Cambria" w:eastAsia="仿宋_GB2312" w:cs="仿宋_GB2312"/>
          <w:color w:val="000000"/>
          <w:sz w:val="32"/>
          <w:szCs w:val="32"/>
          <w:lang w:val="zh-CN"/>
        </w:rPr>
        <w:t>0</w:t>
      </w:r>
      <w:r>
        <w:rPr>
          <w:rFonts w:hint="eastAsia" w:ascii="仿宋_GB2312" w:hAnsi="Cambria" w:eastAsia="仿宋_GB2312" w:cs="仿宋_GB2312"/>
          <w:color w:val="000000"/>
          <w:sz w:val="32"/>
          <w:szCs w:val="32"/>
          <w:lang w:val="zh-CN"/>
        </w:rPr>
        <w:t>万元、政府采购工程支出</w:t>
      </w:r>
      <w:r>
        <w:rPr>
          <w:rFonts w:ascii="仿宋_GB2312" w:hAnsi="Cambria" w:eastAsia="仿宋_GB2312" w:cs="仿宋_GB2312"/>
          <w:color w:val="000000"/>
          <w:sz w:val="32"/>
          <w:szCs w:val="32"/>
          <w:lang w:val="zh-CN"/>
        </w:rPr>
        <w:t>0</w:t>
      </w:r>
      <w:r>
        <w:rPr>
          <w:rFonts w:hint="eastAsia" w:ascii="仿宋_GB2312" w:hAnsi="Cambria" w:eastAsia="仿宋_GB2312" w:cs="仿宋_GB2312"/>
          <w:color w:val="000000"/>
          <w:sz w:val="32"/>
          <w:szCs w:val="32"/>
          <w:lang w:val="zh-CN"/>
        </w:rPr>
        <w:t>万元、政府采购服务支出</w:t>
      </w:r>
      <w:r>
        <w:rPr>
          <w:rFonts w:ascii="仿宋_GB2312" w:hAnsi="Cambria" w:eastAsia="仿宋_GB2312" w:cs="仿宋_GB2312"/>
          <w:color w:val="000000"/>
          <w:sz w:val="32"/>
          <w:szCs w:val="32"/>
          <w:lang w:val="zh-CN"/>
        </w:rPr>
        <w:t>0</w:t>
      </w:r>
      <w:r>
        <w:rPr>
          <w:rFonts w:hint="eastAsia" w:ascii="仿宋_GB2312" w:hAnsi="Cambria" w:eastAsia="仿宋_GB2312" w:cs="仿宋_GB2312"/>
          <w:color w:val="000000"/>
          <w:sz w:val="32"/>
          <w:szCs w:val="32"/>
          <w:lang w:val="zh-CN"/>
        </w:rPr>
        <w:t>万元。授予中小企业合同金额</w:t>
      </w:r>
      <w:r>
        <w:rPr>
          <w:rFonts w:ascii="仿宋_GB2312" w:hAnsi="Cambria" w:eastAsia="仿宋_GB2312" w:cs="仿宋_GB2312"/>
          <w:color w:val="000000"/>
          <w:sz w:val="32"/>
          <w:szCs w:val="32"/>
          <w:lang w:val="zh-CN"/>
        </w:rPr>
        <w:t>0</w:t>
      </w:r>
      <w:r>
        <w:rPr>
          <w:rFonts w:hint="eastAsia" w:ascii="仿宋_GB2312" w:hAnsi="Cambria" w:eastAsia="仿宋_GB2312" w:cs="仿宋_GB2312"/>
          <w:color w:val="000000"/>
          <w:sz w:val="32"/>
          <w:szCs w:val="32"/>
          <w:lang w:val="zh-CN"/>
        </w:rPr>
        <w:t>万元，占政府采购支出总额的</w:t>
      </w:r>
      <w:r>
        <w:rPr>
          <w:rFonts w:ascii="仿宋_GB2312" w:hAnsi="Cambria" w:eastAsia="仿宋_GB2312" w:cs="仿宋_GB2312"/>
          <w:color w:val="000000"/>
          <w:sz w:val="32"/>
          <w:szCs w:val="32"/>
          <w:lang w:val="zh-CN"/>
        </w:rPr>
        <w:t>0%</w:t>
      </w:r>
      <w:r>
        <w:rPr>
          <w:rFonts w:hint="eastAsia" w:ascii="仿宋_GB2312" w:hAnsi="Cambria" w:eastAsia="仿宋_GB2312" w:cs="仿宋_GB2312"/>
          <w:color w:val="000000"/>
          <w:sz w:val="32"/>
          <w:szCs w:val="32"/>
          <w:lang w:val="zh-CN"/>
        </w:rPr>
        <w:t>，其中：授予小微企业合同金额</w:t>
      </w:r>
      <w:r>
        <w:rPr>
          <w:rFonts w:ascii="仿宋_GB2312" w:hAnsi="Cambria" w:eastAsia="仿宋_GB2312" w:cs="仿宋_GB2312"/>
          <w:color w:val="000000"/>
          <w:sz w:val="32"/>
          <w:szCs w:val="32"/>
          <w:lang w:val="zh-CN"/>
        </w:rPr>
        <w:t>0</w:t>
      </w:r>
      <w:r>
        <w:rPr>
          <w:rFonts w:hint="eastAsia" w:ascii="仿宋_GB2312" w:hAnsi="Cambria" w:eastAsia="仿宋_GB2312" w:cs="仿宋_GB2312"/>
          <w:color w:val="000000"/>
          <w:sz w:val="32"/>
          <w:szCs w:val="32"/>
          <w:lang w:val="zh-CN"/>
        </w:rPr>
        <w:t>万元，</w:t>
      </w:r>
      <w:r>
        <w:rPr>
          <w:rFonts w:hint="eastAsia" w:ascii="仿宋_GB2312" w:hAnsi="Cambria" w:eastAsia="仿宋_GB2312" w:cs="仿宋_GB2312"/>
          <w:sz w:val="32"/>
          <w:szCs w:val="32"/>
        </w:rPr>
        <w:t>占政府采购支出总额的</w:t>
      </w:r>
      <w:r>
        <w:rPr>
          <w:rFonts w:ascii="仿宋_GB2312" w:hAnsi="Cambria" w:eastAsia="仿宋_GB2312" w:cs="仿宋_GB2312"/>
          <w:color w:val="000000"/>
          <w:sz w:val="32"/>
          <w:szCs w:val="32"/>
          <w:lang w:val="zh-CN"/>
        </w:rPr>
        <w:t>0%</w:t>
      </w:r>
      <w:r>
        <w:rPr>
          <w:rFonts w:hint="eastAsia" w:ascii="仿宋_GB2312" w:hAnsi="Cambria" w:eastAsia="仿宋_GB2312" w:cs="仿宋_GB2312"/>
          <w:color w:val="000000"/>
          <w:sz w:val="32"/>
          <w:szCs w:val="32"/>
          <w:lang w:val="zh-CN"/>
        </w:rPr>
        <w:t>。</w:t>
      </w:r>
    </w:p>
    <w:p>
      <w:pPr>
        <w:spacing w:line="600" w:lineRule="exact"/>
        <w:ind w:firstLine="643"/>
        <w:rPr>
          <w:rFonts w:ascii="仿宋_GB2312" w:hAnsi="Cambria" w:eastAsia="仿宋_GB2312" w:cs="仿宋_GB2312"/>
          <w:b/>
          <w:bCs/>
          <w:color w:val="000000"/>
          <w:sz w:val="32"/>
          <w:szCs w:val="32"/>
          <w:lang w:val="zh-CN"/>
        </w:rPr>
      </w:pPr>
      <w:r>
        <w:rPr>
          <w:rFonts w:hint="eastAsia" w:ascii="仿宋_GB2312" w:hAnsi="Cambria" w:eastAsia="仿宋_GB2312" w:cs="仿宋_GB2312"/>
          <w:b/>
          <w:bCs/>
          <w:color w:val="000000"/>
          <w:sz w:val="32"/>
          <w:szCs w:val="32"/>
          <w:lang w:val="zh-CN"/>
        </w:rPr>
        <w:t>（三）国有资产占有使用情况</w:t>
      </w:r>
    </w:p>
    <w:p>
      <w:pPr>
        <w:spacing w:line="576" w:lineRule="exact"/>
        <w:ind w:firstLine="640"/>
        <w:rPr>
          <w:rFonts w:ascii="仿宋_GB2312" w:hAnsi="Cambria" w:eastAsia="仿宋_GB2312" w:cs="仿宋_GB2312"/>
          <w:color w:val="000000"/>
          <w:sz w:val="32"/>
          <w:szCs w:val="32"/>
          <w:lang w:val="zh-CN"/>
        </w:rPr>
      </w:pPr>
      <w:r>
        <w:rPr>
          <w:rFonts w:hint="eastAsia" w:ascii="仿宋_GB2312" w:hAnsi="Cambria" w:eastAsia="仿宋_GB2312" w:cs="仿宋_GB2312"/>
          <w:color w:val="000000"/>
          <w:sz w:val="32"/>
          <w:szCs w:val="32"/>
          <w:lang w:val="zh-CN"/>
        </w:rPr>
        <w:t>截至</w:t>
      </w:r>
      <w:r>
        <w:rPr>
          <w:rFonts w:ascii="仿宋_GB2312" w:hAnsi="Cambria" w:eastAsia="仿宋_GB2312" w:cs="仿宋_GB2312"/>
          <w:color w:val="000000"/>
          <w:sz w:val="32"/>
          <w:szCs w:val="32"/>
          <w:lang w:val="zh-CN"/>
        </w:rPr>
        <w:t>202</w:t>
      </w:r>
      <w:r>
        <w:rPr>
          <w:rFonts w:hint="eastAsia" w:ascii="仿宋_GB2312" w:hAnsi="Cambria" w:eastAsia="仿宋_GB2312" w:cs="仿宋_GB2312"/>
          <w:color w:val="000000"/>
          <w:sz w:val="32"/>
          <w:szCs w:val="32"/>
          <w:lang w:val="zh-CN"/>
        </w:rPr>
        <w:t>3年</w:t>
      </w:r>
      <w:r>
        <w:rPr>
          <w:rFonts w:ascii="仿宋_GB2312" w:hAnsi="Cambria" w:eastAsia="仿宋_GB2312" w:cs="仿宋_GB2312"/>
          <w:color w:val="000000"/>
          <w:sz w:val="32"/>
          <w:szCs w:val="32"/>
          <w:lang w:val="zh-CN"/>
        </w:rPr>
        <w:t>12</w:t>
      </w:r>
      <w:r>
        <w:rPr>
          <w:rFonts w:hint="eastAsia" w:ascii="仿宋_GB2312" w:hAnsi="Cambria" w:eastAsia="仿宋_GB2312" w:cs="仿宋_GB2312"/>
          <w:color w:val="000000"/>
          <w:sz w:val="32"/>
          <w:szCs w:val="32"/>
          <w:lang w:val="zh-CN"/>
        </w:rPr>
        <w:t>月</w:t>
      </w:r>
      <w:r>
        <w:rPr>
          <w:rFonts w:ascii="仿宋_GB2312" w:hAnsi="Cambria" w:eastAsia="仿宋_GB2312" w:cs="仿宋_GB2312"/>
          <w:color w:val="000000"/>
          <w:sz w:val="32"/>
          <w:szCs w:val="32"/>
          <w:lang w:val="zh-CN"/>
        </w:rPr>
        <w:t>31</w:t>
      </w:r>
      <w:r>
        <w:rPr>
          <w:rFonts w:hint="eastAsia" w:ascii="仿宋_GB2312" w:hAnsi="Cambria" w:eastAsia="仿宋_GB2312" w:cs="仿宋_GB2312"/>
          <w:color w:val="000000"/>
          <w:sz w:val="32"/>
          <w:szCs w:val="32"/>
          <w:lang w:val="zh-CN"/>
        </w:rPr>
        <w:t>日，中国共产党沐川县委员会组织部共有车辆</w:t>
      </w:r>
      <w:r>
        <w:rPr>
          <w:rFonts w:ascii="仿宋_GB2312" w:hAnsi="Cambria" w:eastAsia="仿宋_GB2312" w:cs="仿宋_GB2312"/>
          <w:color w:val="000000"/>
          <w:sz w:val="32"/>
          <w:szCs w:val="32"/>
          <w:lang w:val="zh-CN"/>
        </w:rPr>
        <w:t>1</w:t>
      </w:r>
      <w:r>
        <w:rPr>
          <w:rFonts w:hint="eastAsia" w:ascii="仿宋_GB2312" w:hAnsi="Cambria" w:eastAsia="仿宋_GB2312" w:cs="仿宋_GB2312"/>
          <w:color w:val="000000"/>
          <w:sz w:val="32"/>
          <w:szCs w:val="32"/>
          <w:lang w:val="zh-CN"/>
        </w:rPr>
        <w:t>辆，其中：副部（省）级及以上领导用车</w:t>
      </w:r>
      <w:r>
        <w:rPr>
          <w:rFonts w:ascii="仿宋_GB2312" w:hAnsi="Cambria" w:eastAsia="仿宋_GB2312" w:cs="仿宋_GB2312"/>
          <w:color w:val="000000"/>
          <w:sz w:val="32"/>
          <w:szCs w:val="32"/>
          <w:lang w:val="zh-CN"/>
        </w:rPr>
        <w:t>0</w:t>
      </w:r>
      <w:r>
        <w:rPr>
          <w:rFonts w:hint="eastAsia" w:ascii="仿宋_GB2312" w:hAnsi="Cambria" w:eastAsia="仿宋_GB2312" w:cs="仿宋_GB2312"/>
          <w:color w:val="000000"/>
          <w:sz w:val="32"/>
          <w:szCs w:val="32"/>
          <w:lang w:val="zh-CN"/>
        </w:rPr>
        <w:t>辆、主要领导干部用车</w:t>
      </w:r>
      <w:r>
        <w:rPr>
          <w:rFonts w:ascii="仿宋_GB2312" w:hAnsi="Cambria" w:eastAsia="仿宋_GB2312" w:cs="仿宋_GB2312"/>
          <w:color w:val="000000"/>
          <w:sz w:val="32"/>
          <w:szCs w:val="32"/>
          <w:lang w:val="zh-CN"/>
        </w:rPr>
        <w:t>0</w:t>
      </w:r>
      <w:r>
        <w:rPr>
          <w:rFonts w:hint="eastAsia" w:ascii="仿宋_GB2312" w:hAnsi="Cambria" w:eastAsia="仿宋_GB2312" w:cs="仿宋_GB2312"/>
          <w:color w:val="000000"/>
          <w:sz w:val="32"/>
          <w:szCs w:val="32"/>
          <w:lang w:val="zh-CN"/>
        </w:rPr>
        <w:t>辆、机要通信用车</w:t>
      </w:r>
      <w:r>
        <w:rPr>
          <w:rFonts w:ascii="仿宋_GB2312" w:hAnsi="Cambria" w:eastAsia="仿宋_GB2312" w:cs="仿宋_GB2312"/>
          <w:color w:val="000000"/>
          <w:sz w:val="32"/>
          <w:szCs w:val="32"/>
          <w:lang w:val="zh-CN"/>
        </w:rPr>
        <w:t>0</w:t>
      </w:r>
      <w:r>
        <w:rPr>
          <w:rFonts w:hint="eastAsia" w:ascii="仿宋_GB2312" w:hAnsi="Cambria" w:eastAsia="仿宋_GB2312" w:cs="仿宋_GB2312"/>
          <w:color w:val="000000"/>
          <w:sz w:val="32"/>
          <w:szCs w:val="32"/>
          <w:lang w:val="zh-CN"/>
        </w:rPr>
        <w:t>辆、应急保障用车</w:t>
      </w:r>
      <w:r>
        <w:rPr>
          <w:rFonts w:ascii="仿宋_GB2312" w:hAnsi="Cambria" w:eastAsia="仿宋_GB2312" w:cs="仿宋_GB2312"/>
          <w:color w:val="000000"/>
          <w:sz w:val="32"/>
          <w:szCs w:val="32"/>
          <w:lang w:val="zh-CN"/>
        </w:rPr>
        <w:t>0</w:t>
      </w:r>
      <w:r>
        <w:rPr>
          <w:rFonts w:hint="eastAsia" w:ascii="仿宋_GB2312" w:hAnsi="Cambria" w:eastAsia="仿宋_GB2312" w:cs="仿宋_GB2312"/>
          <w:color w:val="000000"/>
          <w:sz w:val="32"/>
          <w:szCs w:val="32"/>
          <w:lang w:val="zh-CN"/>
        </w:rPr>
        <w:t>辆、执法执勤用车</w:t>
      </w:r>
      <w:r>
        <w:rPr>
          <w:rFonts w:ascii="仿宋_GB2312" w:hAnsi="Cambria" w:eastAsia="仿宋_GB2312" w:cs="仿宋_GB2312"/>
          <w:color w:val="000000"/>
          <w:sz w:val="32"/>
          <w:szCs w:val="32"/>
          <w:lang w:val="zh-CN"/>
        </w:rPr>
        <w:t>0</w:t>
      </w:r>
      <w:r>
        <w:rPr>
          <w:rFonts w:hint="eastAsia" w:ascii="仿宋_GB2312" w:hAnsi="Cambria" w:eastAsia="仿宋_GB2312" w:cs="仿宋_GB2312"/>
          <w:color w:val="000000"/>
          <w:sz w:val="32"/>
          <w:szCs w:val="32"/>
          <w:lang w:val="zh-CN"/>
        </w:rPr>
        <w:t>辆、特种专业技术用车</w:t>
      </w:r>
      <w:r>
        <w:rPr>
          <w:rFonts w:ascii="仿宋_GB2312" w:hAnsi="Cambria" w:eastAsia="仿宋_GB2312" w:cs="仿宋_GB2312"/>
          <w:color w:val="000000"/>
          <w:sz w:val="32"/>
          <w:szCs w:val="32"/>
          <w:lang w:val="zh-CN"/>
        </w:rPr>
        <w:t>0</w:t>
      </w:r>
      <w:r>
        <w:rPr>
          <w:rFonts w:hint="eastAsia" w:ascii="仿宋_GB2312" w:hAnsi="Cambria" w:eastAsia="仿宋_GB2312" w:cs="仿宋_GB2312"/>
          <w:color w:val="000000"/>
          <w:sz w:val="32"/>
          <w:szCs w:val="32"/>
          <w:lang w:val="zh-CN"/>
        </w:rPr>
        <w:t>辆、离退休干部用车</w:t>
      </w:r>
      <w:r>
        <w:rPr>
          <w:rFonts w:ascii="仿宋_GB2312" w:hAnsi="Cambria" w:eastAsia="仿宋_GB2312" w:cs="仿宋_GB2312"/>
          <w:color w:val="000000"/>
          <w:sz w:val="32"/>
          <w:szCs w:val="32"/>
          <w:lang w:val="zh-CN"/>
        </w:rPr>
        <w:t>0</w:t>
      </w:r>
      <w:r>
        <w:rPr>
          <w:rFonts w:hint="eastAsia" w:ascii="仿宋_GB2312" w:hAnsi="Cambria" w:eastAsia="仿宋_GB2312" w:cs="仿宋_GB2312"/>
          <w:color w:val="000000"/>
          <w:sz w:val="32"/>
          <w:szCs w:val="32"/>
          <w:lang w:val="zh-CN"/>
        </w:rPr>
        <w:t>辆、其他用车</w:t>
      </w:r>
      <w:r>
        <w:rPr>
          <w:rFonts w:ascii="仿宋_GB2312" w:hAnsi="Cambria" w:eastAsia="仿宋_GB2312" w:cs="仿宋_GB2312"/>
          <w:color w:val="000000"/>
          <w:sz w:val="32"/>
          <w:szCs w:val="32"/>
          <w:lang w:val="zh-CN"/>
        </w:rPr>
        <w:t>1</w:t>
      </w:r>
      <w:r>
        <w:rPr>
          <w:rFonts w:hint="eastAsia" w:ascii="仿宋_GB2312" w:hAnsi="Cambria" w:eastAsia="仿宋_GB2312" w:cs="仿宋_GB2312"/>
          <w:color w:val="000000"/>
          <w:sz w:val="32"/>
          <w:szCs w:val="32"/>
          <w:lang w:val="zh-CN"/>
        </w:rPr>
        <w:t>辆。其中：单价</w:t>
      </w:r>
      <w:r>
        <w:rPr>
          <w:rFonts w:ascii="仿宋_GB2312" w:hAnsi="Cambria" w:eastAsia="仿宋_GB2312" w:cs="仿宋_GB2312"/>
          <w:color w:val="000000"/>
          <w:sz w:val="32"/>
          <w:szCs w:val="32"/>
          <w:lang w:val="zh-CN"/>
        </w:rPr>
        <w:t>100</w:t>
      </w:r>
      <w:r>
        <w:rPr>
          <w:rFonts w:hint="eastAsia" w:ascii="仿宋_GB2312" w:hAnsi="Cambria" w:eastAsia="仿宋_GB2312" w:cs="仿宋_GB2312"/>
          <w:color w:val="000000"/>
          <w:sz w:val="32"/>
          <w:szCs w:val="32"/>
          <w:lang w:val="zh-CN"/>
        </w:rPr>
        <w:t>万元（含）以上设备</w:t>
      </w:r>
      <w:r>
        <w:rPr>
          <w:rFonts w:ascii="仿宋_GB2312" w:hAnsi="Cambria" w:eastAsia="仿宋_GB2312" w:cs="仿宋_GB2312"/>
          <w:color w:val="000000"/>
          <w:sz w:val="32"/>
          <w:szCs w:val="32"/>
          <w:lang w:val="zh-CN"/>
        </w:rPr>
        <w:t>0</w:t>
      </w:r>
      <w:r>
        <w:rPr>
          <w:rFonts w:hint="eastAsia" w:ascii="仿宋_GB2312" w:hAnsi="Cambria" w:eastAsia="仿宋_GB2312" w:cs="仿宋_GB2312"/>
          <w:color w:val="000000"/>
          <w:sz w:val="32"/>
          <w:szCs w:val="32"/>
          <w:lang w:val="zh-CN"/>
        </w:rPr>
        <w:t>台（套</w:t>
      </w:r>
      <w:r>
        <w:rPr>
          <w:rFonts w:ascii="仿宋_GB2312" w:hAnsi="Cambria" w:eastAsia="仿宋_GB2312" w:cs="仿宋_GB2312"/>
          <w:color w:val="000000"/>
          <w:sz w:val="32"/>
          <w:szCs w:val="32"/>
          <w:lang w:val="zh-CN"/>
        </w:rPr>
        <w:t>)</w:t>
      </w:r>
      <w:r>
        <w:rPr>
          <w:rFonts w:hint="eastAsia" w:ascii="仿宋_GB2312" w:hAnsi="Cambria" w:eastAsia="仿宋_GB2312" w:cs="仿宋_GB2312"/>
          <w:color w:val="000000"/>
          <w:sz w:val="32"/>
          <w:szCs w:val="32"/>
          <w:lang w:val="zh-CN"/>
        </w:rPr>
        <w:t>。</w:t>
      </w:r>
    </w:p>
    <w:p>
      <w:pPr>
        <w:spacing w:line="600" w:lineRule="exact"/>
        <w:ind w:firstLine="643"/>
        <w:rPr>
          <w:rFonts w:ascii="仿宋" w:hAnsi="Cambria" w:eastAsia="仿宋" w:cs="仿宋"/>
          <w:b/>
          <w:bCs/>
          <w:sz w:val="32"/>
          <w:szCs w:val="32"/>
        </w:rPr>
      </w:pPr>
      <w:r>
        <w:rPr>
          <w:rFonts w:hint="eastAsia" w:ascii="仿宋_GB2312" w:hAnsi="Cambria" w:eastAsia="仿宋_GB2312" w:cs="仿宋_GB2312"/>
          <w:b/>
          <w:bCs/>
          <w:color w:val="000000"/>
          <w:sz w:val="32"/>
          <w:szCs w:val="32"/>
          <w:lang w:val="zh-CN"/>
        </w:rPr>
        <w:t>（四）预算绩效管理情况。</w:t>
      </w:r>
    </w:p>
    <w:p>
      <w:pPr>
        <w:spacing w:line="576" w:lineRule="exact"/>
        <w:ind w:firstLine="640"/>
        <w:rPr>
          <w:rFonts w:ascii="仿宋_GB2312" w:hAnsi="Cambria" w:eastAsia="仿宋_GB2312" w:cs="仿宋_GB2312"/>
          <w:sz w:val="32"/>
          <w:szCs w:val="32"/>
        </w:rPr>
      </w:pPr>
      <w:r>
        <w:rPr>
          <w:rFonts w:hint="eastAsia" w:ascii="仿宋_GB2312" w:hAnsi="Cambria" w:eastAsia="仿宋_GB2312" w:cs="仿宋_GB2312"/>
          <w:sz w:val="32"/>
          <w:szCs w:val="32"/>
        </w:rPr>
        <w:t>根据预算绩效管理要求，本部门在</w:t>
      </w:r>
      <w:r>
        <w:rPr>
          <w:rFonts w:ascii="仿宋_GB2312" w:hAnsi="Cambria" w:eastAsia="仿宋_GB2312" w:cs="仿宋_GB2312"/>
          <w:sz w:val="32"/>
          <w:szCs w:val="32"/>
        </w:rPr>
        <w:t>202</w:t>
      </w:r>
      <w:r>
        <w:rPr>
          <w:rFonts w:hint="eastAsia" w:ascii="仿宋_GB2312" w:hAnsi="Cambria" w:eastAsia="仿宋_GB2312" w:cs="仿宋_GB2312"/>
          <w:sz w:val="32"/>
          <w:szCs w:val="32"/>
        </w:rPr>
        <w:t>3年度预算编制阶段，组织对老干部关爱慰问经费、县级领导干部体检费、党员教育培训经费等17个项目开展了预算事前绩效评估，对1个项目编制了绩效目标，预算执行过程中，选取1个项目开展绩效监控。</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人才开发及关爱专项资金”项目绩效目标完成情况综述。项目全年预算数200万元，执行数为49.9万元，完成预算的25%。通过项目实施，加大了全县党政干部思想政治教育、提高党员干部人才理论综合素质。发现的主要问题：培训内容方式不够多元。下一步改进措施：丰富载体，保持干部教育管理工作的多样性。逐步改变过去那种机械的、灌输式、说教式的教育方式，采取灵活多样的、干部喜闻乐见的教育方式方法，开展各种学习教育活动，调动干部参与学习的积极性。</w:t>
      </w:r>
    </w:p>
    <w:tbl>
      <w:tblPr>
        <w:tblStyle w:val="13"/>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b/>
                <w:bCs/>
                <w:color w:val="000000"/>
                <w:kern w:val="0"/>
                <w:sz w:val="36"/>
                <w:szCs w:val="36"/>
                <w:lang w:bidi="ar"/>
              </w:rPr>
            </w:pPr>
            <w:r>
              <w:rPr>
                <w:rFonts w:hint="eastAsia" w:ascii="宋体" w:hAnsi="宋体" w:cs="宋体"/>
                <w:b/>
                <w:bCs/>
                <w:color w:val="000000"/>
                <w:kern w:val="0"/>
                <w:sz w:val="36"/>
                <w:szCs w:val="36"/>
                <w:lang w:bidi="ar"/>
              </w:rPr>
              <w:t>项目绩效目标完成情况表</w:t>
            </w:r>
          </w:p>
          <w:p>
            <w:pPr>
              <w:widowControl/>
              <w:jc w:val="center"/>
              <w:textAlignment w:val="center"/>
              <w:rPr>
                <w:rFonts w:ascii="宋体" w:cs="宋体"/>
                <w:color w:val="000000"/>
                <w:sz w:val="36"/>
                <w:szCs w:val="36"/>
              </w:rPr>
            </w:pPr>
            <w:r>
              <w:rPr>
                <w:rFonts w:ascii="宋体" w:hAnsi="宋体" w:cs="宋体"/>
                <w:color w:val="000000"/>
                <w:kern w:val="0"/>
                <w:sz w:val="36"/>
                <w:szCs w:val="36"/>
                <w:lang w:bidi="ar"/>
              </w:rPr>
              <w:t>(202</w:t>
            </w:r>
            <w:r>
              <w:rPr>
                <w:rFonts w:hint="eastAsia" w:ascii="宋体" w:hAnsi="宋体" w:cs="宋体"/>
                <w:color w:val="000000"/>
                <w:kern w:val="0"/>
                <w:sz w:val="36"/>
                <w:szCs w:val="36"/>
                <w:lang w:bidi="ar"/>
              </w:rPr>
              <w:t>3年度</w:t>
            </w:r>
            <w:r>
              <w:rPr>
                <w:rFonts w:ascii="宋体" w:hAnsi="宋体" w:cs="宋体"/>
                <w:color w:val="000000"/>
                <w:kern w:val="0"/>
                <w:sz w:val="36"/>
                <w:szCs w:val="36"/>
                <w:lang w:bidi="ar"/>
              </w:rPr>
              <w:t>)</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color w:val="000000"/>
                <w:sz w:val="24"/>
              </w:rPr>
              <w:t>人才开发及关爱专项资金</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组织部</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预算执行情况</w:t>
            </w:r>
            <w:r>
              <w:rPr>
                <w:rFonts w:ascii="宋体" w:hAnsi="宋体" w:cs="宋体"/>
                <w:color w:val="000000"/>
                <w:kern w:val="0"/>
                <w:sz w:val="24"/>
                <w:lang w:bidi="ar"/>
              </w:rPr>
              <w:t>(</w:t>
            </w:r>
            <w:r>
              <w:rPr>
                <w:rFonts w:hint="eastAsia" w:ascii="宋体" w:hAnsi="宋体" w:cs="宋体"/>
                <w:color w:val="000000"/>
                <w:kern w:val="0"/>
                <w:sz w:val="24"/>
                <w:lang w:bidi="ar"/>
              </w:rPr>
              <w:t>万元</w:t>
            </w:r>
            <w:r>
              <w:rPr>
                <w:rFonts w:ascii="宋体" w:hAnsi="宋体" w:cs="宋体"/>
                <w:color w:val="000000"/>
                <w:kern w:val="0"/>
                <w:sz w:val="24"/>
                <w:lang w:bidi="ar"/>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预算数</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200万元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执行数</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49.9万元</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其中</w:t>
            </w:r>
            <w:r>
              <w:rPr>
                <w:rFonts w:ascii="宋体" w:cs="宋体"/>
                <w:color w:val="000000"/>
                <w:kern w:val="0"/>
                <w:sz w:val="24"/>
                <w:lang w:bidi="ar"/>
              </w:rPr>
              <w:t>-</w:t>
            </w:r>
            <w:r>
              <w:rPr>
                <w:rFonts w:hint="eastAsia" w:ascii="宋体" w:hAnsi="宋体" w:cs="宋体"/>
                <w:color w:val="000000"/>
                <w:kern w:val="0"/>
                <w:sz w:val="24"/>
                <w:lang w:bidi="ar"/>
              </w:rPr>
              <w:t>财政拨款</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其中</w:t>
            </w:r>
            <w:r>
              <w:rPr>
                <w:rFonts w:ascii="宋体" w:cs="宋体"/>
                <w:color w:val="000000"/>
                <w:kern w:val="0"/>
                <w:sz w:val="24"/>
                <w:lang w:bidi="ar"/>
              </w:rPr>
              <w:t>-</w:t>
            </w:r>
            <w:r>
              <w:rPr>
                <w:rFonts w:hint="eastAsia" w:ascii="宋体" w:hAnsi="宋体" w:cs="宋体"/>
                <w:color w:val="000000"/>
                <w:kern w:val="0"/>
                <w:sz w:val="24"/>
                <w:lang w:bidi="ar"/>
              </w:rPr>
              <w:t>财政拨款</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其它资金</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其它资金</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r>
              <w:rPr>
                <w:rFonts w:hint="eastAsia" w:ascii="宋体" w:cs="宋体"/>
                <w:color w:val="000000"/>
                <w:sz w:val="24"/>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全县党员干部培训全覆盖和加大干部关心关爱</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举办形式多样的干部培训班</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预期指标值</w:t>
            </w:r>
            <w:r>
              <w:rPr>
                <w:rFonts w:ascii="宋体" w:hAnsi="宋体" w:cs="宋体"/>
                <w:color w:val="000000"/>
                <w:kern w:val="0"/>
                <w:sz w:val="24"/>
                <w:lang w:bidi="ar"/>
              </w:rPr>
              <w:t>(</w:t>
            </w:r>
            <w:r>
              <w:rPr>
                <w:rFonts w:hint="eastAsia" w:ascii="宋体" w:hAnsi="宋体" w:cs="宋体"/>
                <w:color w:val="000000"/>
                <w:kern w:val="0"/>
                <w:sz w:val="24"/>
                <w:lang w:bidi="ar"/>
              </w:rPr>
              <w:t>包含数字及文字描述</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实际完成指标值</w:t>
            </w:r>
            <w:r>
              <w:rPr>
                <w:rFonts w:ascii="宋体" w:hAnsi="宋体" w:cs="宋体"/>
                <w:color w:val="000000"/>
                <w:kern w:val="0"/>
                <w:sz w:val="24"/>
                <w:lang w:bidi="ar"/>
              </w:rPr>
              <w:t>(</w:t>
            </w:r>
            <w:r>
              <w:rPr>
                <w:rFonts w:hint="eastAsia" w:ascii="宋体" w:hAnsi="宋体" w:cs="宋体"/>
                <w:color w:val="000000"/>
                <w:kern w:val="0"/>
                <w:sz w:val="24"/>
                <w:lang w:bidi="ar"/>
              </w:rPr>
              <w:t>包含数字及文字描述</w:t>
            </w:r>
            <w:r>
              <w:rPr>
                <w:rFonts w:ascii="宋体" w:hAnsi="宋体" w:cs="宋体"/>
                <w:color w:val="000000"/>
                <w:kern w:val="0"/>
                <w:sz w:val="24"/>
                <w:lang w:bidi="ar"/>
              </w:rPr>
              <w:t>)</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完成党员干部培训</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cs="宋体"/>
                <w:color w:val="000000"/>
                <w:sz w:val="24"/>
              </w:rPr>
            </w:pPr>
            <w:r>
              <w:rPr>
                <w:rFonts w:hint="eastAsia" w:ascii="宋体" w:cs="宋体"/>
                <w:color w:val="000000"/>
                <w:sz w:val="24"/>
              </w:rPr>
              <w:t xml:space="preserve">举办入党积极分子培训班、党组织书记培训班、优秀干部递进班 </w:t>
            </w:r>
          </w:p>
          <w:p>
            <w:pPr>
              <w:widowControl/>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100%</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干部理论水平、业务水平进一步提高</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显著提高</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显著提高</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县委县政府、上级业务部门的满意度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95%以上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100%</w:t>
            </w:r>
          </w:p>
        </w:tc>
      </w:tr>
    </w:tbl>
    <w:p>
      <w:pPr>
        <w:spacing w:line="580" w:lineRule="exact"/>
        <w:ind w:firstLine="800" w:firstLineChars="250"/>
        <w:rPr>
          <w:rFonts w:ascii="楷体_GB2312" w:hAnsi="楷体_GB2312" w:eastAsia="楷体_GB2312" w:cs="楷体_GB2312"/>
          <w:sz w:val="32"/>
          <w:szCs w:val="32"/>
        </w:rPr>
      </w:pPr>
    </w:p>
    <w:p>
      <w:pPr>
        <w:spacing w:line="580" w:lineRule="exact"/>
        <w:ind w:firstLine="800" w:firstLineChars="250"/>
        <w:rPr>
          <w:rFonts w:ascii="仿宋_GB2312" w:hAnsi="仿宋_GB2312" w:eastAsia="仿宋_GB2312" w:cs="仿宋_GB2312"/>
          <w:sz w:val="32"/>
          <w:szCs w:val="32"/>
        </w:rPr>
      </w:pPr>
      <w:r>
        <w:rPr>
          <w:rFonts w:ascii="楷体_GB2312" w:hAnsi="楷体_GB2312" w:eastAsia="楷体_GB2312" w:cs="楷体_GB2312"/>
          <w:sz w:val="32"/>
          <w:szCs w:val="32"/>
        </w:rPr>
        <w:t>2.</w:t>
      </w:r>
      <w:r>
        <w:rPr>
          <w:rFonts w:hint="eastAsia" w:ascii="楷体_GB2312" w:hAnsi="楷体_GB2312" w:eastAsia="楷体_GB2312" w:cs="楷体_GB2312"/>
          <w:sz w:val="32"/>
          <w:szCs w:val="32"/>
        </w:rPr>
        <w:t>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202</w:t>
      </w:r>
      <w:r>
        <w:rPr>
          <w:rFonts w:hint="eastAsia" w:ascii="仿宋_GB2312" w:hAnsi="仿宋_GB2312" w:eastAsia="仿宋_GB2312" w:cs="仿宋_GB2312"/>
          <w:sz w:val="32"/>
          <w:szCs w:val="32"/>
        </w:rPr>
        <w:t>3年部门整体支出绩效评价情况开展自评，《组织部</w:t>
      </w:r>
      <w:r>
        <w:rPr>
          <w:rFonts w:ascii="仿宋_GB2312" w:hAnsi="仿宋_GB2312" w:eastAsia="仿宋_GB2312" w:cs="仿宋_GB2312"/>
          <w:sz w:val="32"/>
          <w:szCs w:val="32"/>
        </w:rPr>
        <w:t>202</w:t>
      </w:r>
      <w:r>
        <w:rPr>
          <w:rFonts w:hint="eastAsia" w:ascii="仿宋_GB2312" w:hAnsi="仿宋_GB2312" w:eastAsia="仿宋_GB2312" w:cs="仿宋_GB2312"/>
          <w:sz w:val="32"/>
          <w:szCs w:val="32"/>
        </w:rPr>
        <w:t>3年部门整体支出绩效评价报告》见附件（附件1）。</w:t>
      </w:r>
      <w:r>
        <w:rPr>
          <w:rFonts w:hint="eastAsia" w:ascii="仿宋_GB2312" w:hAnsi="Cambria" w:eastAsia="仿宋_GB2312" w:cs="仿宋_GB2312"/>
          <w:sz w:val="32"/>
          <w:szCs w:val="32"/>
        </w:rPr>
        <w:t>组织对</w:t>
      </w:r>
      <w:r>
        <w:rPr>
          <w:rFonts w:ascii="仿宋_GB2312" w:hAnsi="Cambria" w:eastAsia="仿宋_GB2312" w:cs="仿宋_GB2312"/>
          <w:sz w:val="32"/>
          <w:szCs w:val="32"/>
        </w:rPr>
        <w:t>202</w:t>
      </w:r>
      <w:r>
        <w:rPr>
          <w:rFonts w:hint="eastAsia" w:ascii="仿宋_GB2312" w:hAnsi="Cambria" w:eastAsia="仿宋_GB2312" w:cs="仿宋_GB2312"/>
          <w:sz w:val="32"/>
          <w:szCs w:val="32"/>
        </w:rPr>
        <w:t>3年度一般公共预算全面开展绩效自评，形成组织部绩效自评报告，其中，组织部部门整体绩效自评得分为98分，绩效自评综述：干部人才开发及关爱专项经费自评综合绩效良好，绩效自评报告详见附件。</w:t>
      </w:r>
    </w:p>
    <w:p>
      <w:pPr>
        <w:spacing w:line="600" w:lineRule="exact"/>
        <w:ind w:firstLine="643"/>
        <w:rPr>
          <w:rFonts w:ascii="仿宋" w:hAnsi="Times New Roman" w:eastAsia="仿宋" w:cs="仿宋"/>
          <w:b/>
          <w:bCs/>
          <w:sz w:val="32"/>
          <w:szCs w:val="32"/>
        </w:rPr>
      </w:pPr>
    </w:p>
    <w:p>
      <w:pPr>
        <w:spacing w:line="600" w:lineRule="exact"/>
        <w:ind w:firstLine="1285" w:firstLineChars="400"/>
        <w:rPr>
          <w:rFonts w:ascii="仿宋" w:hAnsi="Times New Roman" w:eastAsia="仿宋" w:cs="仿宋"/>
          <w:b/>
          <w:bCs/>
          <w:sz w:val="32"/>
          <w:szCs w:val="32"/>
        </w:rPr>
      </w:pPr>
      <w:r>
        <w:rPr>
          <w:rFonts w:hint="eastAsia" w:ascii="仿宋" w:hAnsi="Times New Roman" w:eastAsia="仿宋" w:cs="仿宋"/>
          <w:b/>
          <w:bCs/>
          <w:sz w:val="32"/>
          <w:szCs w:val="32"/>
        </w:rPr>
        <w:t xml:space="preserve">     </w:t>
      </w:r>
      <w:r>
        <w:rPr>
          <w:rFonts w:hint="eastAsia" w:ascii="黑体" w:hAnsi="Cambria" w:eastAsia="黑体" w:cs="黑体"/>
          <w:color w:val="000000"/>
          <w:sz w:val="44"/>
          <w:szCs w:val="44"/>
          <w:lang w:val="zh-CN"/>
        </w:rPr>
        <w:t>第三部分</w:t>
      </w:r>
      <w:r>
        <w:rPr>
          <w:rFonts w:ascii="黑体" w:hAnsi="Cambria" w:eastAsia="黑体" w:cs="黑体"/>
          <w:color w:val="000000"/>
          <w:sz w:val="44"/>
          <w:szCs w:val="44"/>
          <w:lang w:val="zh-CN"/>
        </w:rPr>
        <w:t xml:space="preserve"> </w:t>
      </w:r>
      <w:r>
        <w:rPr>
          <w:rFonts w:hint="eastAsia" w:ascii="黑体" w:hAnsi="Cambria" w:eastAsia="黑体" w:cs="黑体"/>
          <w:color w:val="000000"/>
          <w:sz w:val="44"/>
          <w:szCs w:val="44"/>
          <w:lang w:val="zh-CN"/>
        </w:rPr>
        <w:t>名</w:t>
      </w:r>
      <w:r>
        <w:rPr>
          <w:rFonts w:hint="eastAsia" w:ascii="黑体" w:hAnsi="Cambria" w:eastAsia="黑体" w:cs="黑体"/>
          <w:kern w:val="44"/>
          <w:sz w:val="44"/>
          <w:szCs w:val="44"/>
          <w:lang w:val="zh-CN"/>
        </w:rPr>
        <w:t>词解释</w:t>
      </w:r>
    </w:p>
    <w:p>
      <w:pPr>
        <w:pStyle w:val="28"/>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财政拨款收入：反映单位从同级财政部门取得的财政预算资金。</w:t>
      </w:r>
    </w:p>
    <w:p>
      <w:pPr>
        <w:pStyle w:val="28"/>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28"/>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28"/>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p>
    <w:p>
      <w:pPr>
        <w:pStyle w:val="28"/>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pPr>
        <w:pStyle w:val="28"/>
        <w:spacing w:line="560" w:lineRule="exact"/>
        <w:ind w:firstLine="640" w:firstLineChars="200"/>
        <w:rPr>
          <w:rFonts w:ascii="仿宋_GB2312" w:eastAsia="仿宋_GB2312"/>
          <w:sz w:val="32"/>
          <w:szCs w:val="32"/>
        </w:rPr>
      </w:pPr>
      <w:r>
        <w:rPr>
          <w:rFonts w:hint="eastAsia" w:ascii="仿宋_GB2312" w:eastAsia="仿宋_GB2312"/>
          <w:sz w:val="32"/>
          <w:szCs w:val="32"/>
        </w:rPr>
        <w:t>6</w:t>
      </w:r>
      <w:r>
        <w:rPr>
          <w:rFonts w:ascii="仿宋_GB2312" w:eastAsia="仿宋_GB2312"/>
          <w:sz w:val="32"/>
          <w:szCs w:val="32"/>
        </w:rPr>
        <w:t>.</w:t>
      </w:r>
      <w:r>
        <w:rPr>
          <w:rFonts w:hint="eastAsia" w:ascii="仿宋_GB2312" w:eastAsia="仿宋_GB2312"/>
          <w:sz w:val="32"/>
          <w:szCs w:val="32"/>
        </w:rPr>
        <w:t>年初结转和结余：反映以前年度尚未完成、结转到本年按有关规定继续使用的资金。</w:t>
      </w:r>
      <w:r>
        <w:rPr>
          <w:rFonts w:ascii="仿宋_GB2312" w:eastAsia="仿宋_GB2312"/>
          <w:sz w:val="32"/>
          <w:szCs w:val="32"/>
        </w:rPr>
        <w:t xml:space="preserve"> </w:t>
      </w:r>
    </w:p>
    <w:p>
      <w:pPr>
        <w:pStyle w:val="28"/>
        <w:spacing w:line="560" w:lineRule="exact"/>
        <w:ind w:firstLine="640" w:firstLineChars="200"/>
        <w:rPr>
          <w:rFonts w:ascii="仿宋_GB2312" w:eastAsia="仿宋_GB2312"/>
          <w:sz w:val="32"/>
          <w:szCs w:val="32"/>
        </w:rPr>
      </w:pPr>
      <w:r>
        <w:rPr>
          <w:rFonts w:hint="eastAsia" w:ascii="仿宋_GB2312" w:eastAsia="仿宋_GB2312"/>
          <w:sz w:val="32"/>
          <w:szCs w:val="32"/>
        </w:rPr>
        <w:t>7. 结余分配：指事业单位按照会计制度规定缴纳的所得税、提取的专用结余以及转入非财政拨款结余的金额等。</w:t>
      </w:r>
    </w:p>
    <w:p>
      <w:pPr>
        <w:pStyle w:val="28"/>
        <w:spacing w:line="560" w:lineRule="exact"/>
        <w:ind w:firstLine="640" w:firstLineChars="200"/>
        <w:rPr>
          <w:rFonts w:ascii="仿宋_GB2312" w:eastAsia="仿宋_GB2312"/>
          <w:sz w:val="32"/>
          <w:szCs w:val="32"/>
        </w:rPr>
      </w:pPr>
      <w:r>
        <w:rPr>
          <w:rFonts w:hint="eastAsia" w:ascii="仿宋_GB2312" w:eastAsia="仿宋_GB2312"/>
          <w:sz w:val="32"/>
          <w:szCs w:val="32"/>
        </w:rPr>
        <w:t>8.年末结转和结余：反映单位按有关规定结转到下年或以后年度继续使用的资金。</w:t>
      </w:r>
    </w:p>
    <w:p>
      <w:pPr>
        <w:spacing w:line="600" w:lineRule="exact"/>
        <w:ind w:firstLine="640" w:firstLineChars="200"/>
        <w:rPr>
          <w:rFonts w:ascii="仿宋_GB2312" w:eastAsia="仿宋_GB2312"/>
          <w:sz w:val="32"/>
          <w:szCs w:val="32"/>
        </w:rPr>
      </w:pPr>
      <w:r>
        <w:rPr>
          <w:rFonts w:hint="eastAsia" w:ascii="仿宋_GB2312" w:eastAsia="仿宋_GB2312"/>
          <w:color w:val="000000"/>
          <w:sz w:val="32"/>
          <w:szCs w:val="32"/>
        </w:rPr>
        <w:t>9、一般公共服务（类）组织事务（款）行政运行（项）：反映行政单位（包括实行公务员管理的事业单位）用于财政事务方面的基本支出。一般公共服务（类）组织事务（款）一般行政管理事务（项）反映行政单位（包括实行公务员管理的事业单位）未单独设置项级科目的其他用于财政事务方面的项目支出。一般公共服务（类）组织事务（款）事业运行（项）：</w:t>
      </w:r>
      <w:r>
        <w:rPr>
          <w:rFonts w:hint="eastAsia" w:ascii="仿宋_GB2312" w:eastAsia="仿宋_GB2312"/>
          <w:sz w:val="32"/>
          <w:szCs w:val="32"/>
        </w:rPr>
        <w:t>反映事业单位的基本支出。</w:t>
      </w:r>
    </w:p>
    <w:p>
      <w:pPr>
        <w:spacing w:line="600" w:lineRule="exact"/>
        <w:ind w:firstLine="640" w:firstLineChars="200"/>
        <w:rPr>
          <w:rStyle w:val="15"/>
          <w:rFonts w:ascii="仿宋" w:hAnsi="仿宋" w:eastAsia="仿宋"/>
          <w:b w:val="0"/>
          <w:bCs/>
          <w:color w:val="000000"/>
          <w:sz w:val="32"/>
          <w:szCs w:val="32"/>
        </w:rPr>
      </w:pPr>
      <w:r>
        <w:rPr>
          <w:rStyle w:val="15"/>
          <w:rFonts w:hint="eastAsia" w:ascii="仿宋" w:hAnsi="仿宋" w:eastAsia="仿宋"/>
          <w:b w:val="0"/>
          <w:bCs/>
          <w:color w:val="000000"/>
          <w:sz w:val="32"/>
          <w:szCs w:val="32"/>
        </w:rPr>
        <w:t>10.社会保障和就业（类）行政事业单位养支出（款）行政事业单位离退休（项）</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反映未实行归口管理的行政单位开支的离退休支出。社会保障和就业（类）行政事业单位离退休（款）机关事业单位养老保险缴费支出（项）：反映机关事业单位实施养老保险制度由单位缴纳的基本养老保险费支出。社会保障和就业（类）行政事业单位离退休（款）机关事业单位职业年金缴费支出（项）：反映机关事业单位实施职业年金制度由单位缴纳的职业年金支出。社会保障和就业（类）行政事业单位离退休（款）其他行政事业单位离退休支出（项）：反映除其他项目以外用于行政事业单位离退休方面的支出。社会保障和就业（类）抚恤（款）死亡抚恤（项）：反映按规定用于烈士和牺牲、病故人员家属的一次性和定期抚恤金以及丧葬补助费。</w:t>
      </w:r>
    </w:p>
    <w:p>
      <w:pPr>
        <w:spacing w:line="600" w:lineRule="exact"/>
        <w:ind w:firstLine="640" w:firstLineChars="200"/>
        <w:rPr>
          <w:rStyle w:val="15"/>
          <w:rFonts w:ascii="仿宋" w:hAnsi="仿宋" w:eastAsia="仿宋"/>
          <w:b w:val="0"/>
          <w:bCs/>
          <w:color w:val="000000"/>
          <w:sz w:val="32"/>
          <w:szCs w:val="32"/>
        </w:rPr>
      </w:pPr>
      <w:r>
        <w:rPr>
          <w:rStyle w:val="15"/>
          <w:rFonts w:hint="eastAsia" w:ascii="仿宋" w:hAnsi="仿宋" w:eastAsia="仿宋"/>
          <w:b w:val="0"/>
          <w:bCs/>
          <w:color w:val="000000"/>
          <w:sz w:val="32"/>
          <w:szCs w:val="32"/>
        </w:rPr>
        <w:t>11.卫生健康支出（类）行政事业单位医疗（款）行政单位医疗（项）</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反映财政部门安排的行政单位基本医疗保险缴费经费。 卫生健康支出（类）行政事业单位医疗（款）事业单位医疗（项）</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反映财政部门集中安排的事业单位基本医疗保险缴费经费。卫生健康支出（类）老龄卫生健康事务（款）老龄卫生健康事务（项）</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反映老龄卫生健康事务方面的支出。</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12.农林水支出（类）扶贫（款）生产发展（项）：反映用于农村贫困地区发展种植业、养殖业、畜牧业、农副产品加工等生产发展项目以及相关技术推广等方面的项目支出。农林水支出（类）扶贫（款）社会发展（项）：反映用于农村贫困地区中小学教育、文化、广播、电视医疗、卫生等方面的项目支出。农林水支出（类）扶贫（款）其他扶贫支出（项）：反映除规定项目以外其他用于扶贫方面的支出。</w:t>
      </w:r>
    </w:p>
    <w:p>
      <w:pPr>
        <w:spacing w:line="600" w:lineRule="exact"/>
        <w:ind w:firstLine="640" w:firstLineChars="200"/>
        <w:rPr>
          <w:rFonts w:ascii="仿宋_GB2312" w:eastAsia="仿宋_GB2312"/>
          <w:color w:val="000000"/>
          <w:sz w:val="32"/>
          <w:szCs w:val="32"/>
        </w:rPr>
      </w:pPr>
      <w:r>
        <w:rPr>
          <w:rFonts w:hint="eastAsia" w:ascii="仿宋" w:hAnsi="仿宋" w:eastAsia="仿宋"/>
          <w:color w:val="000000"/>
          <w:sz w:val="32"/>
          <w:szCs w:val="32"/>
        </w:rPr>
        <w:t>13.住房保障支出（类）住房改革支出（款）住房公积金（项）：反映行政事业单位按人力资源和社会保障部、财政部规定的基本工资和津补贴以及规定比例为职工缴纳的住房公积金。</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14.基本支出：指为保障机构正常运转、完成日常工作任务而发生的人员支出和公用支出。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15.项目支出：指在基本支出之外为完成特定行政任务和事业发展目标所发生的支出。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16.“三公”经费：纳入县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17.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rPr>
          <w:rFonts w:ascii="黑体" w:hAnsi="Cambria" w:eastAsia="黑体" w:cs="黑体"/>
          <w:sz w:val="44"/>
          <w:szCs w:val="44"/>
        </w:rPr>
      </w:pPr>
    </w:p>
    <w:p>
      <w:pPr>
        <w:spacing w:line="600" w:lineRule="exact"/>
        <w:jc w:val="center"/>
        <w:rPr>
          <w:rFonts w:ascii="黑体" w:hAnsi="Cambria" w:eastAsia="黑体" w:cs="黑体"/>
          <w:kern w:val="44"/>
          <w:sz w:val="44"/>
          <w:szCs w:val="44"/>
        </w:rPr>
      </w:pPr>
      <w:r>
        <w:rPr>
          <w:rFonts w:hint="eastAsia" w:ascii="黑体" w:hAnsi="Cambria" w:eastAsia="黑体" w:cs="黑体"/>
          <w:sz w:val="44"/>
          <w:szCs w:val="44"/>
        </w:rPr>
        <w:t>第</w:t>
      </w:r>
      <w:r>
        <w:rPr>
          <w:rFonts w:hint="eastAsia" w:ascii="黑体" w:hAnsi="Cambria" w:eastAsia="黑体" w:cs="黑体"/>
          <w:kern w:val="44"/>
          <w:sz w:val="44"/>
          <w:szCs w:val="44"/>
        </w:rPr>
        <w:t>四部分</w:t>
      </w:r>
      <w:r>
        <w:rPr>
          <w:rFonts w:ascii="黑体" w:hAnsi="Cambria" w:eastAsia="黑体" w:cs="黑体"/>
          <w:kern w:val="44"/>
          <w:sz w:val="44"/>
          <w:szCs w:val="44"/>
        </w:rPr>
        <w:t xml:space="preserve"> </w:t>
      </w:r>
      <w:r>
        <w:rPr>
          <w:rFonts w:hint="eastAsia" w:ascii="黑体" w:hAnsi="Cambria" w:eastAsia="黑体" w:cs="黑体"/>
          <w:kern w:val="44"/>
          <w:sz w:val="44"/>
          <w:szCs w:val="44"/>
        </w:rPr>
        <w:t>附件</w:t>
      </w:r>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w:t>
      </w:r>
      <w:r>
        <w:rPr>
          <w:rFonts w:ascii="黑体" w:hAnsi="黑体" w:eastAsia="黑体" w:cs="黑体"/>
          <w:sz w:val="32"/>
          <w:szCs w:val="32"/>
        </w:rPr>
        <w:t>1</w:t>
      </w:r>
    </w:p>
    <w:p>
      <w:pPr>
        <w:widowControl/>
        <w:adjustRightInd w:val="0"/>
        <w:snapToGrid w:val="0"/>
        <w:spacing w:line="600" w:lineRule="exact"/>
        <w:ind w:firstLine="720"/>
        <w:jc w:val="center"/>
        <w:rPr>
          <w:rFonts w:ascii="黑体" w:hAnsi="黑体" w:eastAsia="黑体" w:cs="宋体"/>
          <w:b/>
          <w:color w:val="000000"/>
          <w:kern w:val="0"/>
          <w:sz w:val="44"/>
          <w:szCs w:val="44"/>
        </w:rPr>
      </w:pPr>
      <w:r>
        <w:rPr>
          <w:rFonts w:hint="eastAsia" w:ascii="黑体" w:hAnsi="黑体" w:eastAsia="黑体" w:cs="宋体"/>
          <w:b/>
          <w:color w:val="000000"/>
          <w:kern w:val="0"/>
          <w:sz w:val="44"/>
          <w:szCs w:val="44"/>
        </w:rPr>
        <w:t>2023年部门整体支出绩效报告</w:t>
      </w:r>
    </w:p>
    <w:p>
      <w:pPr>
        <w:widowControl/>
        <w:adjustRightInd w:val="0"/>
        <w:snapToGrid w:val="0"/>
        <w:spacing w:line="600" w:lineRule="exact"/>
        <w:ind w:firstLine="720"/>
        <w:jc w:val="left"/>
        <w:rPr>
          <w:rFonts w:ascii="黑体" w:hAnsi="黑体" w:eastAsia="黑体" w:cs="宋体"/>
          <w:b/>
          <w:color w:val="000000"/>
          <w:kern w:val="0"/>
          <w:sz w:val="32"/>
          <w:szCs w:val="32"/>
          <w:lang w:val="zh-CN"/>
        </w:rPr>
      </w:pPr>
      <w:r>
        <w:rPr>
          <w:rFonts w:hint="eastAsia" w:ascii="黑体" w:hAnsi="黑体" w:eastAsia="黑体" w:cs="宋体"/>
          <w:b/>
          <w:color w:val="000000"/>
          <w:kern w:val="0"/>
          <w:sz w:val="32"/>
          <w:szCs w:val="32"/>
        </w:rPr>
        <w:t>一、</w:t>
      </w:r>
      <w:r>
        <w:rPr>
          <w:rFonts w:hint="eastAsia" w:ascii="黑体" w:hAnsi="黑体" w:eastAsia="黑体" w:cs="宋体"/>
          <w:b/>
          <w:color w:val="000000"/>
          <w:kern w:val="0"/>
          <w:sz w:val="32"/>
          <w:szCs w:val="32"/>
          <w:lang w:val="zh-CN"/>
        </w:rPr>
        <w:t>部门概况</w:t>
      </w:r>
    </w:p>
    <w:p>
      <w:pPr>
        <w:ind w:firstLine="643" w:firstLineChars="200"/>
        <w:rPr>
          <w:rFonts w:ascii="仿宋" w:hAnsi="仿宋" w:eastAsia="仿宋"/>
          <w:sz w:val="32"/>
          <w:szCs w:val="32"/>
        </w:rPr>
      </w:pPr>
      <w:r>
        <w:rPr>
          <w:rFonts w:hint="eastAsia" w:ascii="楷体_GB2312" w:hAnsi="仿宋" w:eastAsia="楷体_GB2312" w:cs="宋体"/>
          <w:b/>
          <w:color w:val="000000"/>
          <w:kern w:val="0"/>
          <w:sz w:val="32"/>
          <w:szCs w:val="32"/>
          <w:lang w:val="zh-CN"/>
        </w:rPr>
        <w:t>（一）机构组成。</w:t>
      </w:r>
      <w:r>
        <w:rPr>
          <w:rFonts w:hint="eastAsia" w:ascii="仿宋" w:hAnsi="仿宋" w:eastAsia="仿宋"/>
          <w:sz w:val="32"/>
          <w:szCs w:val="32"/>
        </w:rPr>
        <w:t>组织部属行政单位，其中参照公务员法管理的事业单位</w:t>
      </w:r>
      <w:r>
        <w:rPr>
          <w:rFonts w:hint="eastAsia" w:ascii="仿宋" w:hAnsi="仿宋" w:eastAsia="仿宋"/>
          <w:bCs/>
          <w:sz w:val="32"/>
          <w:szCs w:val="32"/>
        </w:rPr>
        <w:t>2</w:t>
      </w:r>
      <w:r>
        <w:rPr>
          <w:rFonts w:hint="eastAsia" w:ascii="仿宋" w:hAnsi="仿宋" w:eastAsia="仿宋"/>
          <w:sz w:val="32"/>
          <w:szCs w:val="32"/>
        </w:rPr>
        <w:t>个，其他事业单位2个。</w:t>
      </w:r>
    </w:p>
    <w:p>
      <w:pPr>
        <w:spacing w:line="600" w:lineRule="exact"/>
        <w:ind w:firstLine="643" w:firstLineChars="200"/>
        <w:rPr>
          <w:rFonts w:ascii="仿宋" w:hAnsi="仿宋" w:eastAsia="仿宋"/>
          <w:sz w:val="32"/>
          <w:szCs w:val="32"/>
        </w:rPr>
      </w:pPr>
      <w:r>
        <w:rPr>
          <w:rFonts w:hint="eastAsia" w:ascii="楷体_GB2312" w:hAnsi="仿宋" w:eastAsia="楷体_GB2312" w:cs="宋体"/>
          <w:b/>
          <w:color w:val="000000"/>
          <w:kern w:val="0"/>
          <w:sz w:val="32"/>
          <w:szCs w:val="32"/>
          <w:lang w:val="zh-CN"/>
        </w:rPr>
        <w:t>（二）机构职能。</w:t>
      </w:r>
      <w:r>
        <w:rPr>
          <w:rFonts w:hint="eastAsia" w:ascii="仿宋" w:hAnsi="仿宋" w:eastAsia="仿宋"/>
          <w:bCs/>
          <w:sz w:val="32"/>
          <w:szCs w:val="32"/>
        </w:rPr>
        <w:t>贯彻新时代党的建设总要求和新时代党的组织路线，落实党中央的方针政策和省委、市委、县委决策部署。负责全县党的组织体系、组织制度建设，负责基层党组织建设规划指导和党员队伍宏观管理，指导开展党员教育工作。负责全县领导班子和干部队伍建设的总体规划和宏观管理。负责县委管理领导班子和领导干部的考察考核、日常管理，提出调整配备建议，审核办理任免、工资、退休、兼职、待遇等有关事项。负责全县优秀年轻干部队伍建设工作。负责管理全县公务员工作。牵头拟订和组织实施公务员管理政策，承担公务员录用、调配、考核、奖惩、培训、监督、工资福利等工作，指导公务员绩效管理工作。负责全县人才工作的宏观指导、组织协调和督促检查，牵头推进人才发展体制机制改革和政策创新，牵头推进高校（院）战略合作、人才引进，统筹实施重大人才工程和人才表彰奖励。负责全县干部教育培训工作的宏观指导、政策规划、组织协调和督促检查，负责县重点培训项目的策划、实施和管理，指导全县干部教育培训基地建设管理、师资队伍建设等工作。负责组织系统干部监督工作的宏观指导和综合协调，制定和落实干部监督工作制度，组织实施领导干部报告个人有关事项及抽查核实工作。贯彻落实党的老干部工作方针政策，组织老干部开展政治思想理论学习，落实老干部政治、生活待遇，及时发现和掌握老干部中的新问题，向</w:t>
      </w:r>
      <w:bookmarkStart w:id="0" w:name="_GoBack"/>
      <w:bookmarkEnd w:id="0"/>
      <w:r>
        <w:rPr>
          <w:rFonts w:hint="eastAsia" w:ascii="仿宋" w:hAnsi="仿宋" w:eastAsia="仿宋"/>
          <w:bCs/>
          <w:sz w:val="32"/>
          <w:szCs w:val="32"/>
          <w:lang w:eastAsia="zh-CN"/>
        </w:rPr>
        <w:t>县委、县政府</w:t>
      </w:r>
      <w:r>
        <w:rPr>
          <w:rFonts w:hint="eastAsia" w:ascii="仿宋" w:hAnsi="仿宋" w:eastAsia="仿宋"/>
          <w:bCs/>
          <w:sz w:val="32"/>
          <w:szCs w:val="32"/>
        </w:rPr>
        <w:t>提出处理的意见和建议。负责制定县直机关党的建设的规划，指导县直机关党委、党组党的思想、组织和作风建设，抓好党员学习教育管理和发展党员工作。负责审批县直机关党总支、党支部的建设、撤并、换届和任免其组成人员等工作。统一管理县委机构编制委员会办公室。承担县委党建领导小组、县委人才工作领导小组的日常工作。</w:t>
      </w:r>
      <w:r>
        <w:rPr>
          <w:rFonts w:hint="eastAsia" w:ascii="仿宋" w:hAnsi="仿宋" w:eastAsia="仿宋"/>
          <w:sz w:val="32"/>
          <w:szCs w:val="32"/>
        </w:rPr>
        <w:t>负责职责范围内的安全生产和职业健康、生态环境保护等工作。完成县委和上级组织部交办的其他任务。</w:t>
      </w:r>
    </w:p>
    <w:p>
      <w:pPr>
        <w:spacing w:line="560" w:lineRule="exact"/>
        <w:ind w:firstLine="643" w:firstLineChars="200"/>
        <w:rPr>
          <w:rFonts w:ascii="仿宋_GB2312" w:eastAsia="仿宋_GB2312"/>
          <w:sz w:val="32"/>
          <w:szCs w:val="32"/>
        </w:rPr>
      </w:pPr>
      <w:r>
        <w:rPr>
          <w:rFonts w:hint="eastAsia" w:ascii="楷体_GB2312" w:hAnsi="仿宋" w:eastAsia="楷体_GB2312" w:cs="宋体"/>
          <w:b/>
          <w:color w:val="000000"/>
          <w:kern w:val="0"/>
          <w:sz w:val="32"/>
          <w:szCs w:val="32"/>
          <w:lang w:val="zh-CN"/>
        </w:rPr>
        <w:t>（三）人</w:t>
      </w:r>
      <w:r>
        <w:rPr>
          <w:rFonts w:ascii="楷体_GB2312" w:hAnsi="仿宋" w:eastAsia="楷体_GB2312" w:cs="宋体"/>
          <w:b/>
          <w:color w:val="000000"/>
          <w:kern w:val="0"/>
          <w:sz w:val="32"/>
          <w:szCs w:val="32"/>
          <w:lang w:val="zh-CN"/>
        </w:rPr>
        <w:t>员概况。</w:t>
      </w:r>
      <w:r>
        <w:rPr>
          <w:rFonts w:ascii="仿宋" w:hAnsi="仿宋" w:eastAsia="仿宋"/>
          <w:color w:val="000000"/>
          <w:kern w:val="0"/>
          <w:sz w:val="32"/>
          <w:szCs w:val="32"/>
          <w:lang w:val="zh-CN"/>
        </w:rPr>
        <w:t>截止</w:t>
      </w:r>
      <w:r>
        <w:rPr>
          <w:rFonts w:hint="eastAsia" w:ascii="仿宋" w:hAnsi="仿宋" w:eastAsia="仿宋"/>
          <w:color w:val="000000"/>
          <w:kern w:val="0"/>
          <w:sz w:val="32"/>
          <w:szCs w:val="32"/>
          <w:lang w:val="zh-CN"/>
        </w:rPr>
        <w:t>2023</w:t>
      </w:r>
      <w:r>
        <w:rPr>
          <w:rFonts w:ascii="仿宋" w:hAnsi="仿宋" w:eastAsia="仿宋"/>
          <w:color w:val="000000"/>
          <w:kern w:val="0"/>
          <w:sz w:val="32"/>
          <w:szCs w:val="32"/>
          <w:lang w:val="zh-CN"/>
        </w:rPr>
        <w:t>年底，</w:t>
      </w:r>
      <w:r>
        <w:rPr>
          <w:rFonts w:hint="eastAsia" w:ascii="仿宋" w:hAnsi="仿宋" w:eastAsia="仿宋"/>
          <w:kern w:val="0"/>
          <w:sz w:val="32"/>
          <w:szCs w:val="32"/>
        </w:rPr>
        <w:t>组织部总编制36个，其中：行政编制19个、工勤编制1个、参公编制7个、事业编制9个。在职人员总数32人，其中：行政16人、工勤1人、参公6人、事业6人。</w:t>
      </w:r>
      <w:r>
        <w:rPr>
          <w:rFonts w:hint="eastAsia" w:ascii="仿宋_GB2312" w:eastAsia="仿宋_GB2312"/>
          <w:sz w:val="32"/>
          <w:szCs w:val="32"/>
        </w:rPr>
        <w:t>另长骋人员1人，临聘人员1人，遗属1人。</w:t>
      </w:r>
    </w:p>
    <w:p>
      <w:pPr>
        <w:spacing w:line="600" w:lineRule="exact"/>
        <w:ind w:firstLine="643" w:firstLineChars="200"/>
        <w:jc w:val="left"/>
        <w:rPr>
          <w:rFonts w:ascii="黑体" w:hAnsi="黑体" w:eastAsia="黑体"/>
          <w:b/>
          <w:color w:val="000000"/>
          <w:kern w:val="0"/>
          <w:sz w:val="32"/>
          <w:szCs w:val="32"/>
        </w:rPr>
      </w:pPr>
      <w:r>
        <w:rPr>
          <w:rFonts w:hint="eastAsia" w:ascii="黑体" w:hAnsi="黑体" w:eastAsia="黑体" w:cs="宋体"/>
          <w:b/>
          <w:color w:val="000000"/>
          <w:kern w:val="0"/>
          <w:sz w:val="32"/>
          <w:szCs w:val="32"/>
        </w:rPr>
        <w:t>二、部门财政资金收支情况</w:t>
      </w:r>
    </w:p>
    <w:p>
      <w:pPr>
        <w:widowControl/>
        <w:adjustRightInd w:val="0"/>
        <w:snapToGrid w:val="0"/>
        <w:spacing w:line="600" w:lineRule="exact"/>
        <w:ind w:firstLine="720"/>
        <w:rPr>
          <w:rFonts w:ascii="楷体_GB2312" w:hAnsi="仿宋" w:eastAsia="楷体_GB2312" w:cs="宋体"/>
          <w:b/>
          <w:color w:val="000000"/>
          <w:kern w:val="0"/>
          <w:sz w:val="32"/>
          <w:szCs w:val="32"/>
          <w:lang w:val="zh-CN"/>
        </w:rPr>
      </w:pPr>
      <w:r>
        <w:rPr>
          <w:rFonts w:ascii="仿宋" w:hAnsi="仿宋" w:eastAsia="仿宋" w:cs="宋体"/>
          <w:b/>
          <w:color w:val="000000"/>
          <w:kern w:val="0"/>
          <w:sz w:val="32"/>
          <w:szCs w:val="32"/>
        </w:rPr>
        <w:t>（</w:t>
      </w:r>
      <w:r>
        <w:rPr>
          <w:rFonts w:ascii="楷体_GB2312" w:hAnsi="仿宋" w:eastAsia="楷体_GB2312" w:cs="宋体"/>
          <w:b/>
          <w:color w:val="000000"/>
          <w:kern w:val="0"/>
          <w:sz w:val="32"/>
          <w:szCs w:val="32"/>
          <w:lang w:val="zh-CN"/>
        </w:rPr>
        <w:t>一）</w:t>
      </w:r>
      <w:r>
        <w:rPr>
          <w:rFonts w:hint="eastAsia" w:ascii="楷体_GB2312" w:hAnsi="仿宋" w:eastAsia="楷体_GB2312" w:cs="宋体"/>
          <w:b/>
          <w:color w:val="000000"/>
          <w:kern w:val="0"/>
          <w:sz w:val="32"/>
          <w:szCs w:val="32"/>
          <w:lang w:val="zh-CN"/>
        </w:rPr>
        <w:t>部门财政资金收入情况</w:t>
      </w:r>
    </w:p>
    <w:p>
      <w:pPr>
        <w:widowControl/>
        <w:adjustRightInd w:val="0"/>
        <w:snapToGrid w:val="0"/>
        <w:spacing w:line="600" w:lineRule="exact"/>
        <w:ind w:firstLine="720"/>
        <w:rPr>
          <w:rFonts w:ascii="仿宋" w:hAnsi="仿宋" w:eastAsia="仿宋" w:cs="宋体"/>
          <w:color w:val="000000"/>
          <w:kern w:val="0"/>
          <w:sz w:val="32"/>
          <w:szCs w:val="32"/>
        </w:rPr>
      </w:pPr>
      <w:r>
        <w:rPr>
          <w:rFonts w:hint="eastAsia" w:ascii="仿宋" w:hAnsi="仿宋" w:eastAsia="仿宋" w:cs="宋体"/>
          <w:color w:val="000000"/>
          <w:kern w:val="0"/>
          <w:sz w:val="32"/>
          <w:szCs w:val="32"/>
        </w:rPr>
        <w:t>2023年财政拨款总收入1130.48万元。</w:t>
      </w:r>
    </w:p>
    <w:p>
      <w:pPr>
        <w:widowControl/>
        <w:adjustRightInd w:val="0"/>
        <w:snapToGrid w:val="0"/>
        <w:spacing w:line="600" w:lineRule="exact"/>
        <w:ind w:firstLine="720"/>
        <w:rPr>
          <w:rFonts w:ascii="楷体_GB2312" w:hAnsi="仿宋" w:eastAsia="楷体_GB2312" w:cs="宋体"/>
          <w:b/>
          <w:color w:val="000000"/>
          <w:kern w:val="0"/>
          <w:sz w:val="32"/>
          <w:szCs w:val="32"/>
          <w:lang w:val="zh-CN"/>
        </w:rPr>
      </w:pPr>
      <w:r>
        <w:rPr>
          <w:rFonts w:hint="eastAsia" w:ascii="楷体_GB2312" w:hAnsi="仿宋" w:eastAsia="楷体_GB2312" w:cs="宋体"/>
          <w:b/>
          <w:color w:val="000000"/>
          <w:kern w:val="0"/>
          <w:sz w:val="32"/>
          <w:szCs w:val="32"/>
          <w:lang w:val="zh-CN"/>
        </w:rPr>
        <w:t>（二）部门财政资金支出情况</w:t>
      </w:r>
    </w:p>
    <w:p>
      <w:pPr>
        <w:widowControl/>
        <w:adjustRightInd w:val="0"/>
        <w:snapToGrid w:val="0"/>
        <w:spacing w:line="600" w:lineRule="exact"/>
        <w:ind w:firstLine="720"/>
        <w:jc w:val="left"/>
        <w:rPr>
          <w:rFonts w:ascii="仿宋" w:hAnsi="仿宋" w:eastAsia="仿宋"/>
          <w:sz w:val="32"/>
          <w:szCs w:val="32"/>
        </w:rPr>
      </w:pPr>
      <w:r>
        <w:rPr>
          <w:rFonts w:hint="eastAsia" w:ascii="仿宋" w:hAnsi="仿宋" w:eastAsia="仿宋" w:cs="宋体"/>
          <w:color w:val="000000"/>
          <w:kern w:val="0"/>
          <w:sz w:val="32"/>
          <w:szCs w:val="32"/>
          <w:lang w:val="zh-CN"/>
        </w:rPr>
        <w:t>2023年共计支出1130.48万元。</w:t>
      </w:r>
      <w:r>
        <w:rPr>
          <w:rFonts w:hint="eastAsia" w:ascii="仿宋" w:hAnsi="仿宋" w:eastAsia="仿宋"/>
          <w:sz w:val="32"/>
          <w:szCs w:val="32"/>
        </w:rPr>
        <w:t>主要用于人员经费支出540.87万元，日常公用经费支出65.21万元；项目支出524.4万元。</w:t>
      </w:r>
    </w:p>
    <w:p>
      <w:pPr>
        <w:widowControl/>
        <w:adjustRightInd w:val="0"/>
        <w:snapToGrid w:val="0"/>
        <w:spacing w:line="600" w:lineRule="exact"/>
        <w:ind w:firstLine="720"/>
        <w:jc w:val="left"/>
        <w:rPr>
          <w:rFonts w:ascii="黑体" w:hAnsi="黑体" w:eastAsia="黑体" w:cs="宋体"/>
          <w:b/>
          <w:color w:val="000000"/>
          <w:kern w:val="0"/>
          <w:sz w:val="32"/>
          <w:szCs w:val="32"/>
        </w:rPr>
      </w:pPr>
      <w:r>
        <w:rPr>
          <w:rFonts w:hint="eastAsia" w:ascii="黑体" w:hAnsi="黑体" w:eastAsia="黑体" w:cs="宋体"/>
          <w:b/>
          <w:color w:val="000000"/>
          <w:kern w:val="0"/>
          <w:sz w:val="32"/>
          <w:szCs w:val="32"/>
        </w:rPr>
        <w:t>三、部门整体预算绩效管理情况</w:t>
      </w:r>
    </w:p>
    <w:p>
      <w:pPr>
        <w:widowControl/>
        <w:adjustRightInd w:val="0"/>
        <w:snapToGrid w:val="0"/>
        <w:spacing w:line="600" w:lineRule="exact"/>
        <w:ind w:firstLine="720"/>
        <w:rPr>
          <w:rFonts w:ascii="楷体_GB2312" w:hAnsi="仿宋" w:eastAsia="楷体_GB2312" w:cs="宋体"/>
          <w:b/>
          <w:color w:val="000000"/>
          <w:kern w:val="0"/>
          <w:sz w:val="32"/>
          <w:szCs w:val="32"/>
          <w:lang w:val="zh-CN"/>
        </w:rPr>
      </w:pPr>
      <w:r>
        <w:rPr>
          <w:rFonts w:hint="eastAsia" w:ascii="楷体_GB2312" w:hAnsi="仿宋" w:eastAsia="楷体_GB2312" w:cs="宋体"/>
          <w:b/>
          <w:color w:val="000000"/>
          <w:kern w:val="0"/>
          <w:sz w:val="32"/>
          <w:szCs w:val="32"/>
          <w:lang w:val="zh-CN"/>
        </w:rPr>
        <w:t>（一）部门预算管理</w:t>
      </w:r>
    </w:p>
    <w:p>
      <w:pPr>
        <w:widowControl/>
        <w:adjustRightInd w:val="0"/>
        <w:snapToGrid w:val="0"/>
        <w:spacing w:line="600" w:lineRule="exact"/>
        <w:ind w:firstLine="720"/>
        <w:jc w:val="left"/>
        <w:rPr>
          <w:rFonts w:ascii="仿宋" w:hAnsi="仿宋" w:eastAsia="仿宋" w:cs="宋体"/>
          <w:color w:val="000000"/>
          <w:kern w:val="0"/>
          <w:sz w:val="32"/>
          <w:szCs w:val="32"/>
          <w:shd w:val="clear" w:color="auto" w:fill="FFFFFF"/>
          <w:lang w:val="zh-CN"/>
        </w:rPr>
      </w:pPr>
      <w:r>
        <w:rPr>
          <w:rFonts w:hint="eastAsia" w:ascii="仿宋" w:hAnsi="仿宋" w:eastAsia="仿宋"/>
          <w:b/>
          <w:color w:val="000000"/>
          <w:sz w:val="32"/>
          <w:szCs w:val="32"/>
        </w:rPr>
        <w:t xml:space="preserve">1.预算编制  </w:t>
      </w:r>
      <w:r>
        <w:rPr>
          <w:rFonts w:hint="eastAsia" w:ascii="仿宋" w:hAnsi="仿宋" w:eastAsia="仿宋" w:cs="宋体"/>
          <w:color w:val="000000"/>
          <w:kern w:val="0"/>
          <w:sz w:val="32"/>
          <w:szCs w:val="32"/>
          <w:shd w:val="clear" w:color="auto" w:fill="FFFFFF"/>
          <w:lang w:val="zh-CN"/>
        </w:rPr>
        <w:t xml:space="preserve"> </w:t>
      </w:r>
    </w:p>
    <w:p>
      <w:pPr>
        <w:widowControl/>
        <w:adjustRightInd w:val="0"/>
        <w:snapToGrid w:val="0"/>
        <w:spacing w:line="600" w:lineRule="exact"/>
        <w:ind w:firstLine="720"/>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按照县财政局2023年部门预算编制通知要求，按时完成部门年初预算编制工作。在编制过程中，认真核实单位实际财政供养人数和单位实有编制情况，正确编制人员经费和公用经费等，做到尽量细化项目资金支出预算范围和科目，及时报相关股室进行审核，对所编制的预算予以调整。</w:t>
      </w:r>
    </w:p>
    <w:p>
      <w:pPr>
        <w:widowControl/>
        <w:adjustRightInd w:val="0"/>
        <w:snapToGrid w:val="0"/>
        <w:spacing w:line="600" w:lineRule="exact"/>
        <w:ind w:firstLine="720"/>
        <w:jc w:val="left"/>
        <w:rPr>
          <w:rFonts w:ascii="仿宋" w:hAnsi="仿宋" w:eastAsia="仿宋" w:cs="宋体"/>
          <w:color w:val="000000"/>
          <w:kern w:val="0"/>
          <w:sz w:val="32"/>
          <w:szCs w:val="32"/>
          <w:shd w:val="clear" w:color="auto" w:fill="FFFFFF"/>
          <w:lang w:val="zh-CN"/>
        </w:rPr>
      </w:pPr>
      <w:r>
        <w:rPr>
          <w:rFonts w:hint="eastAsia" w:ascii="仿宋" w:hAnsi="仿宋" w:eastAsia="仿宋"/>
          <w:b/>
          <w:color w:val="000000"/>
          <w:sz w:val="32"/>
          <w:szCs w:val="32"/>
        </w:rPr>
        <w:t xml:space="preserve">2.认真编制部门年度决算报表  </w:t>
      </w:r>
      <w:r>
        <w:rPr>
          <w:rFonts w:hint="eastAsia" w:ascii="仿宋" w:hAnsi="仿宋" w:eastAsia="仿宋" w:cs="宋体"/>
          <w:color w:val="000000"/>
          <w:kern w:val="0"/>
          <w:sz w:val="32"/>
          <w:szCs w:val="32"/>
          <w:shd w:val="clear" w:color="auto" w:fill="FFFFFF"/>
          <w:lang w:val="zh-CN"/>
        </w:rPr>
        <w:t xml:space="preserve"> </w:t>
      </w:r>
    </w:p>
    <w:p>
      <w:pPr>
        <w:widowControl/>
        <w:adjustRightInd w:val="0"/>
        <w:snapToGrid w:val="0"/>
        <w:spacing w:line="600" w:lineRule="exact"/>
        <w:ind w:firstLine="720"/>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为真实、准确反应单位年度财务收、支情况，根据县财政的要求，认真开展部门年度决算报表编制工作。按照政府收支分类科目和财务报表支出情况编制部门决算，决算收入、支出口径与财政局国库股、预算股和行政政法股以及一体化核对无误，报表编制无差错。</w:t>
      </w:r>
    </w:p>
    <w:p>
      <w:pPr>
        <w:widowControl/>
        <w:adjustRightInd w:val="0"/>
        <w:snapToGrid w:val="0"/>
        <w:spacing w:line="600" w:lineRule="exact"/>
        <w:ind w:firstLine="720"/>
        <w:rPr>
          <w:rFonts w:ascii="楷体_GB2312" w:hAnsi="仿宋" w:eastAsia="楷体_GB2312" w:cs="宋体"/>
          <w:b/>
          <w:color w:val="000000"/>
          <w:kern w:val="0"/>
          <w:sz w:val="32"/>
          <w:szCs w:val="32"/>
          <w:lang w:val="zh-CN"/>
        </w:rPr>
      </w:pPr>
      <w:r>
        <w:rPr>
          <w:rFonts w:hint="eastAsia" w:ascii="楷体_GB2312" w:hAnsi="仿宋" w:eastAsia="楷体_GB2312" w:cs="宋体"/>
          <w:b/>
          <w:color w:val="000000"/>
          <w:kern w:val="0"/>
          <w:sz w:val="32"/>
          <w:szCs w:val="32"/>
          <w:lang w:val="zh-CN"/>
        </w:rPr>
        <w:t>（二）项目预算管理</w:t>
      </w:r>
    </w:p>
    <w:p>
      <w:pPr>
        <w:widowControl/>
        <w:adjustRightInd w:val="0"/>
        <w:snapToGrid w:val="0"/>
        <w:spacing w:line="600" w:lineRule="exact"/>
        <w:ind w:firstLine="720"/>
        <w:jc w:val="left"/>
        <w:rPr>
          <w:rFonts w:ascii="仿宋" w:hAnsi="仿宋" w:eastAsia="仿宋"/>
          <w:b/>
          <w:color w:val="000000"/>
          <w:sz w:val="32"/>
          <w:szCs w:val="32"/>
        </w:rPr>
      </w:pPr>
      <w:r>
        <w:rPr>
          <w:rFonts w:hint="eastAsia" w:ascii="仿宋" w:hAnsi="仿宋" w:eastAsia="仿宋"/>
          <w:b/>
          <w:color w:val="000000"/>
          <w:sz w:val="32"/>
          <w:szCs w:val="32"/>
        </w:rPr>
        <w:t xml:space="preserve">1.部门预算执行情况   </w:t>
      </w:r>
    </w:p>
    <w:p>
      <w:pPr>
        <w:widowControl/>
        <w:adjustRightInd w:val="0"/>
        <w:snapToGrid w:val="0"/>
        <w:spacing w:line="600" w:lineRule="exact"/>
        <w:ind w:firstLine="720"/>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按《预算法》和财政有关规定，职工工资等人员经费按月发放，公务费按月申报，项目支出按项目实施情况经我单位和县财政审核无误后按项目进度拨付；公用经费申请授权支付并采取转账支付，尽量减少现金支出（零星支出）。</w:t>
      </w:r>
    </w:p>
    <w:p>
      <w:pPr>
        <w:widowControl/>
        <w:adjustRightInd w:val="0"/>
        <w:snapToGrid w:val="0"/>
        <w:spacing w:line="600" w:lineRule="exact"/>
        <w:ind w:firstLine="720"/>
        <w:jc w:val="left"/>
        <w:rPr>
          <w:rFonts w:ascii="仿宋" w:hAnsi="仿宋" w:eastAsia="仿宋"/>
          <w:b/>
          <w:color w:val="000000"/>
          <w:sz w:val="32"/>
          <w:szCs w:val="32"/>
        </w:rPr>
      </w:pPr>
      <w:r>
        <w:rPr>
          <w:rFonts w:hint="eastAsia" w:ascii="仿宋" w:hAnsi="仿宋" w:eastAsia="仿宋"/>
          <w:b/>
          <w:color w:val="000000"/>
          <w:sz w:val="32"/>
          <w:szCs w:val="32"/>
        </w:rPr>
        <w:t xml:space="preserve">2.中期评估   </w:t>
      </w:r>
    </w:p>
    <w:p>
      <w:pPr>
        <w:widowControl/>
        <w:adjustRightInd w:val="0"/>
        <w:snapToGrid w:val="0"/>
        <w:spacing w:line="600" w:lineRule="exact"/>
        <w:ind w:firstLine="720"/>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县委组织部在执行各项资金预算中，严格按照中央、省、市、县各级财务规定，管好、用好每笔资金。在专项项目资金使用过程中，严格按照项目资金管理办法的规定做好项目实施和监管，切实做到专款专用，从而发挥好项目资金对项目实施的促进作用；对涉及专项资金支出额度较大时，必须专题研究决定，杜绝违规违纪违法事件的发生。</w:t>
      </w:r>
    </w:p>
    <w:p>
      <w:pPr>
        <w:widowControl/>
        <w:adjustRightInd w:val="0"/>
        <w:snapToGrid w:val="0"/>
        <w:spacing w:line="600" w:lineRule="exact"/>
        <w:ind w:firstLine="720"/>
        <w:jc w:val="left"/>
        <w:rPr>
          <w:rFonts w:ascii="仿宋" w:hAnsi="仿宋" w:eastAsia="仿宋"/>
          <w:b/>
          <w:color w:val="000000"/>
          <w:sz w:val="32"/>
          <w:szCs w:val="32"/>
        </w:rPr>
      </w:pPr>
      <w:r>
        <w:rPr>
          <w:rFonts w:hint="eastAsia" w:ascii="仿宋" w:hAnsi="仿宋" w:eastAsia="仿宋"/>
          <w:b/>
          <w:color w:val="000000"/>
          <w:sz w:val="32"/>
          <w:szCs w:val="32"/>
        </w:rPr>
        <w:t xml:space="preserve">3.机关节能降耗  </w:t>
      </w:r>
    </w:p>
    <w:p>
      <w:pPr>
        <w:widowControl/>
        <w:adjustRightInd w:val="0"/>
        <w:snapToGrid w:val="0"/>
        <w:spacing w:line="600" w:lineRule="exact"/>
        <w:ind w:firstLine="720"/>
        <w:jc w:val="left"/>
        <w:rPr>
          <w:rFonts w:ascii="仿宋" w:hAnsi="仿宋" w:eastAsia="仿宋" w:cs="Arial"/>
          <w:color w:val="333333"/>
          <w:sz w:val="32"/>
          <w:szCs w:val="32"/>
        </w:rPr>
      </w:pPr>
      <w:r>
        <w:rPr>
          <w:rFonts w:hint="eastAsia" w:ascii="仿宋" w:hAnsi="仿宋" w:eastAsia="仿宋"/>
          <w:sz w:val="32"/>
          <w:szCs w:val="32"/>
        </w:rPr>
        <w:t>认真学习厉行节约反对浪费规定的同时倡导全体机关工作人员弘扬艰苦奋斗、勤俭节约的优良作风，进一步推进节约型机关建设。办公室、会议室等尽量采用自然光，尽可能少开灯或不开灯；做到离开办公室随手关灯，杜绝</w:t>
      </w:r>
      <w:r>
        <w:rPr>
          <w:rFonts w:ascii="仿宋" w:hAnsi="仿宋" w:eastAsia="仿宋"/>
          <w:sz w:val="32"/>
          <w:szCs w:val="32"/>
        </w:rPr>
        <w:t>“</w:t>
      </w:r>
      <w:r>
        <w:rPr>
          <w:rFonts w:hint="eastAsia" w:ascii="仿宋" w:hAnsi="仿宋" w:eastAsia="仿宋"/>
          <w:sz w:val="32"/>
          <w:szCs w:val="32"/>
        </w:rPr>
        <w:t>长明灯</w:t>
      </w:r>
      <w:r>
        <w:rPr>
          <w:rFonts w:ascii="仿宋" w:hAnsi="仿宋" w:eastAsia="仿宋"/>
          <w:sz w:val="32"/>
          <w:szCs w:val="32"/>
        </w:rPr>
        <w:t>”</w:t>
      </w:r>
      <w:r>
        <w:rPr>
          <w:rFonts w:hint="eastAsia" w:ascii="仿宋" w:hAnsi="仿宋" w:eastAsia="仿宋"/>
          <w:sz w:val="32"/>
          <w:szCs w:val="32"/>
        </w:rPr>
        <w:t>、</w:t>
      </w:r>
      <w:r>
        <w:rPr>
          <w:rFonts w:ascii="仿宋" w:hAnsi="仿宋" w:eastAsia="仿宋"/>
          <w:sz w:val="32"/>
          <w:szCs w:val="32"/>
        </w:rPr>
        <w:t>“</w:t>
      </w:r>
      <w:r>
        <w:rPr>
          <w:rFonts w:hint="eastAsia" w:ascii="仿宋" w:hAnsi="仿宋" w:eastAsia="仿宋"/>
          <w:sz w:val="32"/>
          <w:szCs w:val="32"/>
        </w:rPr>
        <w:t>白昼灯</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cs="Arial"/>
          <w:color w:val="333333"/>
          <w:sz w:val="32"/>
          <w:szCs w:val="32"/>
        </w:rPr>
        <w:t>下班后自觉关闭各类电器设备电源；</w:t>
      </w:r>
      <w:r>
        <w:rPr>
          <w:rFonts w:hint="eastAsia" w:ascii="仿宋" w:hAnsi="仿宋" w:eastAsia="仿宋"/>
          <w:sz w:val="32"/>
          <w:szCs w:val="32"/>
        </w:rPr>
        <w:t>强化节水意识，</w:t>
      </w:r>
      <w:r>
        <w:rPr>
          <w:rFonts w:hint="eastAsia" w:ascii="仿宋" w:hAnsi="仿宋" w:eastAsia="仿宋" w:cs="Arial"/>
          <w:color w:val="333333"/>
          <w:sz w:val="32"/>
          <w:szCs w:val="32"/>
        </w:rPr>
        <w:t>切实做到节约每一滴水，使广大干部职工养成良好的节水习惯；加强办公用品的使用管理，规范办公用品的采购，积极推行网络办公，尽量在电子媒介上撰写、修改文稿，推行无纸化办公。</w:t>
      </w:r>
    </w:p>
    <w:p>
      <w:pPr>
        <w:widowControl/>
        <w:adjustRightInd w:val="0"/>
        <w:snapToGrid w:val="0"/>
        <w:spacing w:line="600" w:lineRule="exact"/>
        <w:ind w:firstLine="720"/>
        <w:jc w:val="left"/>
        <w:rPr>
          <w:rFonts w:ascii="仿宋" w:hAnsi="仿宋" w:eastAsia="仿宋"/>
          <w:b/>
          <w:color w:val="000000"/>
          <w:sz w:val="32"/>
          <w:szCs w:val="32"/>
        </w:rPr>
      </w:pPr>
      <w:r>
        <w:rPr>
          <w:rFonts w:hint="eastAsia" w:ascii="仿宋" w:hAnsi="仿宋" w:eastAsia="仿宋"/>
          <w:b/>
          <w:color w:val="000000"/>
          <w:sz w:val="32"/>
          <w:szCs w:val="32"/>
        </w:rPr>
        <w:t xml:space="preserve">4.“三公”支出逐年递减   </w:t>
      </w:r>
    </w:p>
    <w:p>
      <w:pPr>
        <w:widowControl/>
        <w:adjustRightInd w:val="0"/>
        <w:snapToGrid w:val="0"/>
        <w:spacing w:line="600" w:lineRule="exact"/>
        <w:ind w:firstLine="720"/>
        <w:jc w:val="left"/>
        <w:rPr>
          <w:rFonts w:ascii="仿宋" w:hAnsi="仿宋" w:eastAsia="仿宋" w:cs="宋体"/>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严格执行中央八项规定和省、市、县十项规定，着力控制“三公”经费预算支出。全年无因公出国（境）费用支出；精减会议活动，减少会议费支出；严格执行党政机关厉行节约反对浪费条例，加强内部财务管理</w:t>
      </w:r>
      <w:r>
        <w:rPr>
          <w:rFonts w:hint="eastAsia" w:ascii="仿宋" w:hAnsi="仿宋" w:eastAsia="仿宋" w:cs="宋体"/>
          <w:kern w:val="0"/>
          <w:sz w:val="32"/>
          <w:szCs w:val="32"/>
          <w:shd w:val="clear" w:color="auto" w:fill="FFFFFF"/>
          <w:lang w:val="zh-CN"/>
        </w:rPr>
        <w:t>。</w:t>
      </w:r>
    </w:p>
    <w:p>
      <w:pPr>
        <w:widowControl/>
        <w:adjustRightInd w:val="0"/>
        <w:snapToGrid w:val="0"/>
        <w:spacing w:line="600" w:lineRule="exact"/>
        <w:ind w:firstLine="720"/>
        <w:rPr>
          <w:rFonts w:ascii="楷体_GB2312" w:hAnsi="仿宋" w:eastAsia="楷体_GB2312" w:cs="宋体"/>
          <w:b/>
          <w:color w:val="000000"/>
          <w:kern w:val="0"/>
          <w:sz w:val="32"/>
          <w:szCs w:val="32"/>
          <w:lang w:val="zh-CN"/>
        </w:rPr>
      </w:pPr>
      <w:r>
        <w:rPr>
          <w:rFonts w:hint="eastAsia" w:ascii="楷体_GB2312" w:hAnsi="仿宋" w:eastAsia="楷体_GB2312" w:cs="宋体"/>
          <w:b/>
          <w:color w:val="000000"/>
          <w:kern w:val="0"/>
          <w:sz w:val="32"/>
          <w:szCs w:val="32"/>
          <w:lang w:val="zh-CN"/>
        </w:rPr>
        <w:t>（三）综合管理情况</w:t>
      </w:r>
    </w:p>
    <w:p>
      <w:pPr>
        <w:widowControl/>
        <w:adjustRightInd w:val="0"/>
        <w:snapToGrid w:val="0"/>
        <w:spacing w:line="600" w:lineRule="exact"/>
        <w:ind w:firstLine="720"/>
        <w:jc w:val="left"/>
        <w:rPr>
          <w:rFonts w:ascii="仿宋" w:hAnsi="仿宋" w:eastAsia="仿宋"/>
          <w:b/>
          <w:color w:val="000000"/>
          <w:sz w:val="32"/>
          <w:szCs w:val="32"/>
        </w:rPr>
      </w:pPr>
      <w:r>
        <w:rPr>
          <w:rFonts w:hint="eastAsia" w:ascii="仿宋" w:hAnsi="仿宋" w:eastAsia="仿宋"/>
          <w:b/>
          <w:color w:val="000000"/>
          <w:sz w:val="32"/>
          <w:szCs w:val="32"/>
        </w:rPr>
        <w:t>1.有效确保行政运转</w:t>
      </w:r>
    </w:p>
    <w:p>
      <w:pPr>
        <w:spacing w:line="600" w:lineRule="exact"/>
        <w:ind w:firstLine="640" w:firstLineChars="200"/>
        <w:rPr>
          <w:rFonts w:ascii="仿宋" w:hAnsi="仿宋" w:eastAsia="仿宋" w:cs="宋体"/>
          <w:kern w:val="0"/>
          <w:sz w:val="32"/>
          <w:szCs w:val="32"/>
          <w:shd w:val="clear" w:color="auto" w:fill="FFFFFF"/>
          <w:lang w:val="zh-CN"/>
        </w:rPr>
      </w:pPr>
      <w:r>
        <w:rPr>
          <w:rFonts w:hint="eastAsia" w:ascii="仿宋" w:hAnsi="仿宋" w:eastAsia="仿宋" w:cs="宋体"/>
          <w:kern w:val="0"/>
          <w:sz w:val="32"/>
          <w:szCs w:val="32"/>
          <w:shd w:val="clear" w:color="auto" w:fill="FFFFFF"/>
          <w:lang w:val="zh-CN"/>
        </w:rPr>
        <w:t>在保障机关正常运转的同时，认真履行好部门职能职责。</w:t>
      </w:r>
      <w:r>
        <w:rPr>
          <w:rFonts w:ascii="仿宋" w:hAnsi="仿宋" w:eastAsia="仿宋" w:cs="宋体"/>
          <w:kern w:val="0"/>
          <w:sz w:val="32"/>
          <w:szCs w:val="32"/>
          <w:shd w:val="clear" w:color="auto" w:fill="FFFFFF"/>
          <w:lang w:val="zh-CN"/>
        </w:rPr>
        <w:t>一</w:t>
      </w:r>
      <w:r>
        <w:rPr>
          <w:rFonts w:hint="eastAsia" w:ascii="仿宋" w:hAnsi="仿宋" w:eastAsia="仿宋" w:cs="宋体"/>
          <w:kern w:val="0"/>
          <w:sz w:val="32"/>
          <w:szCs w:val="32"/>
          <w:shd w:val="clear" w:color="auto" w:fill="FFFFFF"/>
          <w:lang w:val="zh-CN"/>
        </w:rPr>
        <w:t>是</w:t>
      </w:r>
      <w:r>
        <w:rPr>
          <w:rFonts w:ascii="仿宋" w:hAnsi="仿宋" w:eastAsia="仿宋" w:cs="宋体"/>
          <w:kern w:val="0"/>
          <w:sz w:val="32"/>
          <w:szCs w:val="32"/>
          <w:shd w:val="clear" w:color="auto" w:fill="FFFFFF"/>
          <w:lang w:val="zh-CN"/>
        </w:rPr>
        <w:t>选优配强领导班子。</w:t>
      </w:r>
      <w:r>
        <w:rPr>
          <w:rFonts w:hint="eastAsia" w:ascii="仿宋" w:hAnsi="仿宋" w:eastAsia="仿宋" w:cs="宋体"/>
          <w:kern w:val="0"/>
          <w:sz w:val="32"/>
          <w:szCs w:val="32"/>
          <w:shd w:val="clear" w:color="auto" w:fill="FFFFFF"/>
          <w:lang w:val="zh-CN"/>
        </w:rPr>
        <w:t>坚持把干部政治素质和现实表现考察识别放在日常，通过实地走访、调研座谈、面对面谈心谈话等方式，全覆盖开展乡镇、县级部门领导班子运行及后备干部队伍建设分析研判，精准掌握400余名科级领导干部思想状态和工作表现，建立健全干部信息档案，为县委选人用人提供有力参考依据。二是</w:t>
      </w:r>
      <w:r>
        <w:rPr>
          <w:rFonts w:ascii="仿宋" w:hAnsi="仿宋" w:eastAsia="仿宋" w:cs="宋体"/>
          <w:kern w:val="0"/>
          <w:sz w:val="32"/>
          <w:szCs w:val="32"/>
          <w:shd w:val="clear" w:color="auto" w:fill="FFFFFF"/>
          <w:lang w:val="zh-CN"/>
        </w:rPr>
        <w:t>强化年轻干部培养。继续深入实施“沐兵沙场”干部培训淬炼成长计划，对全县360余名年轻干部开展政治理论水平测试和行为特征评价，全面掌握干部能力表现，分类建立后备干部“蓄水池”。制定印发沐川县年轻干部“红色薪火工程”实施办法，创新实施年轻干部培养“厉兵行动”十二法，建立全链条干部培养机制，相关工作做法被组织人事报报道。创新推出“周一案例说”，以案例讲方法、以案例传经验，提升干部能力素质，目前已开展3期，培训干部600余人次。三</w:t>
      </w:r>
      <w:r>
        <w:rPr>
          <w:rFonts w:hint="eastAsia" w:ascii="仿宋" w:hAnsi="仿宋" w:eastAsia="仿宋" w:cs="宋体"/>
          <w:kern w:val="0"/>
          <w:sz w:val="32"/>
          <w:szCs w:val="32"/>
          <w:shd w:val="clear" w:color="auto" w:fill="FFFFFF"/>
          <w:lang w:val="zh-CN"/>
        </w:rPr>
        <w:t>是强化政策服务引才。以“十四五”人才发展规划需求为导向，设立200万人才专项资金，重点聚焦乡村振兴、产业发展需求招引人才，赴西南大学、西南石油大学、西南医科大学、四川农业大学等省内外高校开展招才引智活动5场，利用“人才专编”编制池，引进硕士研究生5名，对新引进硕士研究生、紧缺性专业人才发放一次性5万元安家补贴。刚性引进公务员（含参公）50余名，事业人员130名，本科及其以上学历达100%。四是持续提升老干部服务管理。开展“老少牵手·温暖同行”暖冬行动，建立“沐源银龄之春”银发人才库。落实县级领导联系老干部制度，坚持重大节日、生病住院、特殊困难时期慰问离休干部。全面完成老干部健康休养工作和离休干部、县处级退休干部“一人一策”档案更新。</w:t>
      </w:r>
    </w:p>
    <w:p>
      <w:pPr>
        <w:ind w:firstLine="639" w:firstLineChars="199"/>
        <w:rPr>
          <w:rFonts w:ascii="仿宋" w:hAnsi="仿宋" w:eastAsia="仿宋"/>
          <w:b/>
          <w:color w:val="000000"/>
          <w:sz w:val="32"/>
          <w:szCs w:val="32"/>
        </w:rPr>
      </w:pPr>
      <w:r>
        <w:rPr>
          <w:rFonts w:hint="eastAsia" w:ascii="仿宋" w:hAnsi="仿宋" w:eastAsia="仿宋"/>
          <w:b/>
          <w:color w:val="000000"/>
          <w:sz w:val="32"/>
          <w:szCs w:val="32"/>
        </w:rPr>
        <w:t>2. 严守财务管理各项制度</w:t>
      </w:r>
    </w:p>
    <w:p>
      <w:pPr>
        <w:widowControl/>
        <w:adjustRightInd w:val="0"/>
        <w:snapToGrid w:val="0"/>
        <w:spacing w:line="600" w:lineRule="exact"/>
        <w:ind w:firstLine="720"/>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严格执行财务管理制度，强化项目资金管理和使用。认真《沐川县财政资金支付管理暂行办法》，并结合部门实际制定了《机关财务管理制度》，严格遵守国家、省、市财务管理法律法规，本着勤俭节约原则，管好用好每笔资金，杜绝违规违法事件的发生。财务活动接受审计、财政、纪检监察等部门的监督检查。</w:t>
      </w:r>
    </w:p>
    <w:p>
      <w:pPr>
        <w:widowControl/>
        <w:adjustRightInd w:val="0"/>
        <w:snapToGrid w:val="0"/>
        <w:spacing w:line="600" w:lineRule="exact"/>
        <w:ind w:firstLine="720"/>
        <w:jc w:val="left"/>
        <w:rPr>
          <w:rFonts w:ascii="仿宋" w:hAnsi="仿宋" w:eastAsia="仿宋"/>
          <w:b/>
          <w:color w:val="000000"/>
          <w:sz w:val="32"/>
          <w:szCs w:val="32"/>
        </w:rPr>
      </w:pPr>
      <w:r>
        <w:rPr>
          <w:rFonts w:hint="eastAsia" w:ascii="仿宋" w:hAnsi="仿宋" w:eastAsia="仿宋"/>
          <w:b/>
          <w:color w:val="000000"/>
          <w:sz w:val="32"/>
          <w:szCs w:val="32"/>
        </w:rPr>
        <w:t>3. 及时开展预、决算公开</w:t>
      </w:r>
    </w:p>
    <w:p>
      <w:pPr>
        <w:widowControl/>
        <w:adjustRightInd w:val="0"/>
        <w:snapToGrid w:val="0"/>
        <w:spacing w:line="600" w:lineRule="exact"/>
        <w:ind w:firstLine="720"/>
        <w:jc w:val="left"/>
        <w:rPr>
          <w:rFonts w:ascii="仿宋" w:hAnsi="仿宋" w:eastAsia="仿宋" w:cs="宋体"/>
          <w:color w:val="000000"/>
          <w:kern w:val="0"/>
          <w:sz w:val="32"/>
          <w:szCs w:val="32"/>
          <w:lang w:val="zh-CN"/>
        </w:rPr>
      </w:pPr>
      <w:r>
        <w:rPr>
          <w:rFonts w:hint="eastAsia" w:ascii="仿宋" w:hAnsi="仿宋" w:eastAsia="仿宋" w:cs="宋体"/>
          <w:color w:val="000000"/>
          <w:kern w:val="0"/>
          <w:sz w:val="32"/>
          <w:szCs w:val="32"/>
          <w:lang w:val="zh-CN"/>
        </w:rPr>
        <w:t>严格按照本单位正常运转的日常费用支出和完成特定专项业务工作的经费进行预算，中期对临时增加的特定工作进行了财政资金追加，年终对全年财政拨入资金进行分类分项目进行决算，并及时在沐川县人民政府网站上进行公开。</w:t>
      </w:r>
    </w:p>
    <w:p>
      <w:pPr>
        <w:widowControl/>
        <w:adjustRightInd w:val="0"/>
        <w:snapToGrid w:val="0"/>
        <w:spacing w:line="600" w:lineRule="exact"/>
        <w:ind w:firstLine="720"/>
        <w:rPr>
          <w:rFonts w:ascii="楷体_GB2312" w:hAnsi="仿宋" w:eastAsia="楷体_GB2312" w:cs="宋体"/>
          <w:b/>
          <w:color w:val="000000"/>
          <w:kern w:val="0"/>
          <w:sz w:val="32"/>
          <w:szCs w:val="32"/>
          <w:lang w:val="zh-CN"/>
        </w:rPr>
      </w:pPr>
      <w:r>
        <w:rPr>
          <w:rFonts w:hint="eastAsia" w:ascii="楷体_GB2312" w:hAnsi="仿宋" w:eastAsia="楷体_GB2312" w:cs="宋体"/>
          <w:b/>
          <w:color w:val="000000"/>
          <w:kern w:val="0"/>
          <w:sz w:val="32"/>
          <w:szCs w:val="32"/>
          <w:lang w:val="zh-CN"/>
        </w:rPr>
        <w:t>（四）整体绩效</w:t>
      </w:r>
    </w:p>
    <w:p>
      <w:pPr>
        <w:widowControl/>
        <w:adjustRightInd w:val="0"/>
        <w:snapToGrid w:val="0"/>
        <w:spacing w:line="600" w:lineRule="exact"/>
        <w:ind w:firstLine="720"/>
        <w:jc w:val="left"/>
        <w:rPr>
          <w:rFonts w:ascii="仿宋" w:hAnsi="仿宋" w:eastAsia="仿宋" w:cs="宋体"/>
          <w:color w:val="000000"/>
          <w:kern w:val="0"/>
          <w:sz w:val="32"/>
          <w:szCs w:val="32"/>
          <w:lang w:val="zh-CN"/>
        </w:rPr>
      </w:pPr>
      <w:r>
        <w:rPr>
          <w:rFonts w:hint="eastAsia" w:ascii="仿宋" w:hAnsi="仿宋" w:eastAsia="仿宋" w:cs="宋体"/>
          <w:color w:val="000000"/>
          <w:kern w:val="0"/>
          <w:sz w:val="32"/>
          <w:szCs w:val="32"/>
          <w:lang w:val="zh-CN"/>
        </w:rPr>
        <w:t>2023年财政拨款支出主要用于保障我部机构正常运转、完成日常工作任务以及承担党的组织、干部、人才开发、老干部工作等相关工作，取得了较好的成效。</w:t>
      </w:r>
    </w:p>
    <w:p>
      <w:pPr>
        <w:spacing w:line="600" w:lineRule="exact"/>
        <w:ind w:firstLine="630" w:firstLineChars="196"/>
        <w:rPr>
          <w:rFonts w:ascii="黑体" w:hAnsi="黑体" w:eastAsia="黑体" w:cs="宋体"/>
          <w:b/>
          <w:color w:val="000000"/>
          <w:kern w:val="0"/>
          <w:sz w:val="32"/>
          <w:szCs w:val="32"/>
        </w:rPr>
      </w:pPr>
      <w:r>
        <w:rPr>
          <w:rFonts w:hint="eastAsia" w:ascii="黑体" w:hAnsi="黑体" w:eastAsia="黑体" w:cs="宋体"/>
          <w:b/>
          <w:color w:val="000000"/>
          <w:kern w:val="0"/>
          <w:sz w:val="32"/>
          <w:szCs w:val="32"/>
        </w:rPr>
        <w:t>四、评价结论及建议</w:t>
      </w:r>
    </w:p>
    <w:p>
      <w:pPr>
        <w:widowControl/>
        <w:adjustRightInd w:val="0"/>
        <w:snapToGrid w:val="0"/>
        <w:spacing w:line="600" w:lineRule="exact"/>
        <w:ind w:firstLine="720"/>
        <w:jc w:val="left"/>
        <w:rPr>
          <w:rFonts w:ascii="仿宋" w:hAnsi="仿宋" w:eastAsia="仿宋"/>
          <w:color w:val="000000"/>
          <w:sz w:val="32"/>
          <w:szCs w:val="32"/>
        </w:rPr>
      </w:pPr>
      <w:r>
        <w:rPr>
          <w:rFonts w:hint="eastAsia" w:ascii="仿宋" w:hAnsi="仿宋" w:eastAsia="仿宋"/>
          <w:color w:val="000000"/>
          <w:sz w:val="32"/>
          <w:szCs w:val="32"/>
        </w:rPr>
        <w:t>2023年，县委组织部认真履行好部门职责，全面保障了机关正常运行，圆满完成了县委、县政府和市委组织部下达的各项业务目标任务，多项工作得到了省委、市委组织部的肯定，党员群众满意，干部满意。</w:t>
      </w:r>
    </w:p>
    <w:p>
      <w:pPr>
        <w:widowControl/>
        <w:adjustRightInd w:val="0"/>
        <w:snapToGrid w:val="0"/>
        <w:spacing w:line="600" w:lineRule="exact"/>
        <w:ind w:firstLine="720"/>
        <w:jc w:val="left"/>
        <w:rPr>
          <w:rFonts w:ascii="仿宋" w:hAnsi="仿宋" w:eastAsia="仿宋"/>
          <w:color w:val="000000"/>
          <w:sz w:val="15"/>
          <w:szCs w:val="15"/>
        </w:rPr>
      </w:pPr>
    </w:p>
    <w:p>
      <w:pPr>
        <w:spacing w:line="580" w:lineRule="exact"/>
        <w:rPr>
          <w:rFonts w:ascii="仿宋_GB2312" w:hAnsi="仿宋_GB2312" w:eastAsia="仿宋_GB2312" w:cs="仿宋_GB2312"/>
          <w:sz w:val="32"/>
          <w:szCs w:val="32"/>
        </w:rPr>
      </w:pPr>
      <w:r>
        <w:rPr>
          <w:rFonts w:hint="eastAsia" w:ascii="黑体" w:hAnsi="黑体" w:eastAsia="黑体" w:cs="黑体"/>
          <w:sz w:val="32"/>
          <w:szCs w:val="32"/>
        </w:rPr>
        <w:t>附件</w:t>
      </w:r>
      <w:r>
        <w:rPr>
          <w:rFonts w:ascii="黑体" w:hAnsi="黑体" w:eastAsia="黑体" w:cs="黑体"/>
          <w:sz w:val="32"/>
          <w:szCs w:val="32"/>
        </w:rPr>
        <w:t>2</w:t>
      </w:r>
    </w:p>
    <w:p>
      <w:pPr>
        <w:pStyle w:val="31"/>
        <w:spacing w:line="580" w:lineRule="exact"/>
        <w:ind w:firstLine="1980" w:firstLineChars="450"/>
        <w:rPr>
          <w:rFonts w:ascii="仿宋_GB2312" w:hAnsi="宋体" w:eastAsia="仿宋_GB2312"/>
          <w:color w:val="auto"/>
          <w:sz w:val="32"/>
          <w:szCs w:val="32"/>
        </w:rPr>
      </w:pPr>
      <w:r>
        <w:rPr>
          <w:rFonts w:hint="eastAsia" w:ascii="方正小标宋简体" w:hAnsi="宋体" w:eastAsia="方正小标宋简体"/>
          <w:sz w:val="44"/>
          <w:szCs w:val="44"/>
        </w:rPr>
        <w:t>组织部项目支出绩效自评报告</w:t>
      </w:r>
    </w:p>
    <w:p>
      <w:pPr>
        <w:pStyle w:val="31"/>
        <w:spacing w:line="580" w:lineRule="exact"/>
        <w:ind w:firstLine="640"/>
        <w:jc w:val="center"/>
        <w:rPr>
          <w:rFonts w:ascii="宋体" w:hAnsi="宋体"/>
          <w:color w:val="auto"/>
          <w:sz w:val="32"/>
          <w:szCs w:val="32"/>
        </w:rPr>
      </w:pPr>
    </w:p>
    <w:p>
      <w:pPr>
        <w:adjustRightInd w:val="0"/>
        <w:snapToGrid w:val="0"/>
        <w:spacing w:line="580" w:lineRule="exact"/>
        <w:ind w:firstLine="720"/>
        <w:rPr>
          <w:rFonts w:ascii="仿宋_GB2312" w:hAnsi="宋体" w:eastAsia="仿宋_GB2312"/>
          <w:b/>
          <w:sz w:val="32"/>
          <w:szCs w:val="32"/>
          <w:lang w:val="zh-CN"/>
        </w:rPr>
      </w:pPr>
      <w:r>
        <w:rPr>
          <w:rFonts w:hint="eastAsia" w:ascii="仿宋_GB2312" w:hAnsi="宋体" w:eastAsia="仿宋_GB2312"/>
          <w:b/>
          <w:sz w:val="32"/>
          <w:szCs w:val="32"/>
        </w:rPr>
        <w:t>一、</w:t>
      </w:r>
      <w:r>
        <w:rPr>
          <w:rFonts w:hint="eastAsia" w:ascii="仿宋_GB2312" w:hAnsi="宋体" w:eastAsia="仿宋_GB2312"/>
          <w:b/>
          <w:sz w:val="32"/>
          <w:szCs w:val="32"/>
          <w:lang w:val="zh-CN"/>
        </w:rPr>
        <w:t>项目概况</w:t>
      </w:r>
    </w:p>
    <w:p>
      <w:pPr>
        <w:adjustRightInd w:val="0"/>
        <w:snapToGrid w:val="0"/>
        <w:spacing w:line="58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离退休党支部书记、委员工作补贴主要用于离退休支部书记和委员工作补贴；县级退休干部医疗补助主要用于县级退休干部医疗补助；老干部关爱慰问经费主要用于春节、中秋、国庆慰问老干部和县级领导联系老干部费；政务运转经费主要用于弥补办公经费不足；党员教育培训经费主要用于全县党员、干部培训；人才开发及关爱慰问经费主要用于人才引进、干部培训和慰问等；《中共执政纪要》《沐川年鉴》出版费主要用于编写县委执政纪要、沐川年鉴和出版费；县级领导干部体检费主要用于县级领导干部体检；到村任职选调生补助主要用于选调生到村任职开展工作；干部人才交流项目主要用于东西部协作干部培训。重点说明以下内容：</w:t>
      </w:r>
    </w:p>
    <w:p>
      <w:pPr>
        <w:adjustRightInd w:val="0"/>
        <w:snapToGrid w:val="0"/>
        <w:spacing w:line="580" w:lineRule="exact"/>
        <w:ind w:firstLine="720"/>
        <w:rPr>
          <w:rFonts w:ascii="仿宋_GB2312" w:hAnsi="宋体" w:eastAsia="仿宋_GB2312"/>
          <w:sz w:val="32"/>
          <w:szCs w:val="32"/>
          <w:lang w:val="zh-CN"/>
        </w:rPr>
      </w:pPr>
      <w:r>
        <w:rPr>
          <w:rFonts w:hint="eastAsia" w:ascii="仿宋_GB2312" w:hAnsi="宋体" w:eastAsia="仿宋_GB2312"/>
          <w:b/>
          <w:sz w:val="32"/>
          <w:szCs w:val="32"/>
          <w:lang w:val="zh-CN"/>
        </w:rPr>
        <w:t>（一）项目资金申报及批复情况。</w:t>
      </w:r>
      <w:r>
        <w:rPr>
          <w:rFonts w:hint="eastAsia" w:ascii="仿宋_GB2312" w:hAnsi="宋体" w:eastAsia="仿宋_GB2312"/>
          <w:sz w:val="32"/>
          <w:szCs w:val="32"/>
          <w:lang w:val="zh-CN"/>
        </w:rPr>
        <w:t>对项目资金实施预算指标，实施项目时按实申报，符合资金管理办法等相关规定。</w:t>
      </w:r>
    </w:p>
    <w:p>
      <w:pPr>
        <w:spacing w:line="600" w:lineRule="exact"/>
        <w:ind w:firstLine="643" w:firstLineChars="200"/>
        <w:rPr>
          <w:rFonts w:ascii="仿宋_GB2312" w:hAnsi="宋体" w:eastAsia="仿宋_GB2312"/>
          <w:b/>
          <w:sz w:val="32"/>
          <w:szCs w:val="32"/>
          <w:lang w:val="zh-CN"/>
        </w:rPr>
      </w:pPr>
      <w:r>
        <w:rPr>
          <w:rFonts w:hint="eastAsia" w:ascii="仿宋_GB2312" w:hAnsi="宋体" w:eastAsia="仿宋_GB2312"/>
          <w:b/>
          <w:sz w:val="32"/>
          <w:szCs w:val="32"/>
          <w:lang w:val="zh-CN"/>
        </w:rPr>
        <w:t>（二）项目绩效目标。</w:t>
      </w:r>
      <w:r>
        <w:rPr>
          <w:rFonts w:hint="eastAsia" w:ascii="仿宋_GB2312" w:hAnsi="仿宋_GB2312" w:eastAsia="仿宋_GB2312" w:cs="仿宋_GB2312"/>
          <w:bCs/>
          <w:sz w:val="32"/>
          <w:szCs w:val="32"/>
        </w:rPr>
        <w:t>强化东西协作育才，持续实施“沐暨飞燕”东西协作干部人才交流工程，选派2名干部到诸暨市挂职，10余名年轻干部到诸暨开展“领题式”跟岗学习，11名专技人才赴浙江开展顶岗锻炼，诸暨市分批选派12名干部人才到医疗、教育等领域开展“订单”援助。</w:t>
      </w:r>
      <w:r>
        <w:rPr>
          <w:rFonts w:ascii="仿宋_GB2312" w:hAnsi="仿宋_GB2312" w:eastAsia="仿宋_GB2312" w:cs="仿宋_GB2312"/>
          <w:bCs/>
          <w:sz w:val="32"/>
          <w:szCs w:val="32"/>
        </w:rPr>
        <w:t>培育强村公司</w:t>
      </w:r>
      <w:r>
        <w:rPr>
          <w:rFonts w:hint="eastAsia" w:ascii="仿宋_GB2312" w:hAnsi="仿宋_GB2312" w:eastAsia="仿宋_GB2312" w:cs="仿宋_GB2312"/>
          <w:bCs/>
          <w:sz w:val="32"/>
          <w:szCs w:val="32"/>
        </w:rPr>
        <w:t>赋能</w:t>
      </w:r>
      <w:r>
        <w:rPr>
          <w:rFonts w:ascii="仿宋_GB2312" w:hAnsi="仿宋_GB2312" w:eastAsia="仿宋_GB2312" w:cs="仿宋_GB2312"/>
          <w:bCs/>
          <w:sz w:val="32"/>
          <w:szCs w:val="32"/>
        </w:rPr>
        <w:t>。借力东西部协作平台，率先在全市试点实施“强村公司”，建成运行“越嘉有味”两地仓，采取村集体经济自办、村企联办、跨村联办等方式，先后组建并实体化运作强村公司10家，目前已签销售订单累计1900余万元。</w:t>
      </w:r>
      <w:r>
        <w:rPr>
          <w:rFonts w:hint="eastAsia" w:ascii="Times New Roman" w:hAnsi="Times New Roman" w:eastAsia="仿宋_GB2312"/>
          <w:sz w:val="32"/>
          <w:szCs w:val="32"/>
        </w:rPr>
        <w:t>举办乡科级干部进修班、中青年干部培训班、到村任职选调生培训班、2023年重大决策部署暨东西部协作乡村振兴专题培训班等特色培训班8期，培训干部人才1010人次。</w:t>
      </w:r>
      <w:r>
        <w:rPr>
          <w:rFonts w:ascii="仿宋_GB2312" w:hAnsi="仿宋_GB2312" w:eastAsia="仿宋_GB2312" w:cs="仿宋_GB2312"/>
          <w:bCs/>
          <w:sz w:val="32"/>
          <w:szCs w:val="32"/>
        </w:rPr>
        <w:t>突出“重大产业项目提升年”经济工作总基调，深入实施“四个倍增”计划，加快推进诸沐共建特色产业园区等80个重点项目建设，完成投资47.43亿元。立足体现沐川特色的“324”产业体系，引进华义茶业投资5000万元新建红茶加工厂，新增3500吨魔芋产品生产线1条，创建省级四星级现代竹产业园区1个，成功举办首届中国沐川紫茶节、民建企业家走进沐川、中国魔芋产业发展大会等重大活动。</w:t>
      </w:r>
      <w:r>
        <w:rPr>
          <w:rFonts w:hint="eastAsia" w:ascii="仿宋_GB2312" w:hAnsi="仿宋_GB2312" w:eastAsia="仿宋_GB2312" w:cs="仿宋_GB2312"/>
          <w:color w:val="000000"/>
          <w:sz w:val="32"/>
          <w:szCs w:val="32"/>
        </w:rPr>
        <w:t>落实县级领导联系老干部制度，坚持重大节日、生病住院、特殊困难时期慰问离休干部。全面完成老干部健康休养工作和离休干部、县处级退休干部“一人一策”档案更新。</w:t>
      </w:r>
    </w:p>
    <w:p>
      <w:pPr>
        <w:adjustRightInd w:val="0"/>
        <w:snapToGrid w:val="0"/>
        <w:spacing w:line="580" w:lineRule="exact"/>
        <w:ind w:firstLine="720"/>
        <w:rPr>
          <w:rFonts w:ascii="仿宋_GB2312" w:hAnsi="宋体" w:eastAsia="仿宋_GB2312"/>
          <w:sz w:val="32"/>
          <w:szCs w:val="32"/>
          <w:lang w:val="zh-CN"/>
        </w:rPr>
      </w:pPr>
      <w:r>
        <w:rPr>
          <w:rFonts w:hint="eastAsia" w:ascii="仿宋_GB2312" w:hAnsi="宋体" w:eastAsia="仿宋_GB2312"/>
          <w:b/>
          <w:sz w:val="32"/>
          <w:szCs w:val="32"/>
          <w:lang w:val="zh-CN"/>
        </w:rPr>
        <w:t>（三）项目资金申报相符性。</w:t>
      </w:r>
      <w:r>
        <w:rPr>
          <w:rFonts w:hint="eastAsia" w:ascii="仿宋_GB2312" w:hAnsi="宋体" w:eastAsia="仿宋_GB2312"/>
          <w:sz w:val="32"/>
          <w:szCs w:val="32"/>
          <w:lang w:val="zh-CN"/>
        </w:rPr>
        <w:t>项目申报内容与具体实施内容相符、申报目标合理可行。</w:t>
      </w:r>
    </w:p>
    <w:p>
      <w:pPr>
        <w:adjustRightInd w:val="0"/>
        <w:snapToGrid w:val="0"/>
        <w:spacing w:line="580" w:lineRule="exact"/>
        <w:ind w:firstLine="720"/>
        <w:rPr>
          <w:rFonts w:ascii="仿宋_GB2312" w:hAnsi="宋体" w:eastAsia="仿宋_GB2312"/>
          <w:b/>
          <w:sz w:val="32"/>
          <w:szCs w:val="32"/>
        </w:rPr>
      </w:pPr>
      <w:r>
        <w:rPr>
          <w:rFonts w:hint="eastAsia" w:ascii="仿宋_GB2312" w:hAnsi="宋体" w:eastAsia="仿宋_GB2312"/>
          <w:b/>
          <w:sz w:val="32"/>
          <w:szCs w:val="32"/>
        </w:rPr>
        <w:t>二、项目实施及管理情况</w:t>
      </w:r>
    </w:p>
    <w:p>
      <w:pPr>
        <w:adjustRightInd w:val="0"/>
        <w:snapToGrid w:val="0"/>
        <w:spacing w:line="580" w:lineRule="exact"/>
        <w:ind w:firstLine="720"/>
        <w:rPr>
          <w:rFonts w:ascii="仿宋_GB2312" w:hAnsi="宋体" w:eastAsia="仿宋_GB2312"/>
          <w:b/>
          <w:sz w:val="32"/>
          <w:szCs w:val="32"/>
          <w:lang w:val="zh-CN"/>
        </w:rPr>
      </w:pPr>
      <w:r>
        <w:rPr>
          <w:rFonts w:hint="eastAsia" w:ascii="仿宋_GB2312" w:hAnsi="宋体" w:eastAsia="仿宋_GB2312"/>
          <w:sz w:val="32"/>
          <w:szCs w:val="32"/>
          <w:lang w:val="zh-CN"/>
        </w:rPr>
        <w:tab/>
      </w:r>
      <w:r>
        <w:rPr>
          <w:rFonts w:hint="eastAsia" w:ascii="仿宋_GB2312" w:hAnsi="宋体" w:eastAsia="仿宋_GB2312"/>
          <w:b/>
          <w:sz w:val="32"/>
          <w:szCs w:val="32"/>
          <w:lang w:val="zh-CN"/>
        </w:rPr>
        <w:t>（一）资金计划、到位及使用情况。</w:t>
      </w:r>
    </w:p>
    <w:p>
      <w:pPr>
        <w:adjustRightInd w:val="0"/>
        <w:snapToGrid w:val="0"/>
        <w:spacing w:line="58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1．资金计划及到位。</w:t>
      </w:r>
      <w:r>
        <w:rPr>
          <w:rFonts w:hint="eastAsia" w:ascii="仿宋_GB2312" w:hAnsi="仿宋" w:eastAsia="仿宋_GB2312"/>
          <w:sz w:val="32"/>
          <w:szCs w:val="32"/>
          <w:lang w:val="zh-CN"/>
        </w:rPr>
        <w:t>截止2023年底，</w:t>
      </w:r>
      <w:r>
        <w:rPr>
          <w:rFonts w:hint="eastAsia" w:ascii="仿宋_GB2312" w:hAnsi="宋体" w:eastAsia="仿宋_GB2312"/>
          <w:sz w:val="32"/>
          <w:szCs w:val="32"/>
          <w:lang w:val="zh-CN"/>
        </w:rPr>
        <w:t>该项目各类资金及时到位。</w:t>
      </w:r>
    </w:p>
    <w:p>
      <w:pPr>
        <w:adjustRightInd w:val="0"/>
        <w:snapToGrid w:val="0"/>
        <w:spacing w:line="58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资金使用。《中共沐川县委执政纪要》《沐川年鉴》出版费预算12万元，实际支付11.87万元，主要用于编辑和出版费；离退休党支部书记、委员工作补贴预算19.92万元，实际支付19.8万元，主要用于离退休支部书记、委员补助；县级退休干部医疗补助预算30万元，实际支付28.05万元，主要用于县级退休干部医疗补助；老干部关爱慰问经费预算21.53万元，实际支付10.4万元，主要用于春节中秋国庆慰问老干部、老干部遗孀和县级领导联系老干部慰问费等；县级领导干部体检费预算12.25万元，实际支出8.51万元，主要用于县级领导干部体检费；党员教育培训经费预算10万元，实际支出1.28万元，主要用于全县党员干部培训；干部人才交流项目预算200万元，实际支出49.9万元，主要用于干部培训。上级下达2023年东西部协作项目资金用于党建引领绍乐同行“百万强村”乡村振兴示范试点建设项目预算200万元，实际支付126.21万元。上级下达2023年东西部协作项目资金用于干部人才交流预算100万元，实际支付100万元。所有项目资金按实际支出，项目实施按进度支付，支付依据合规合法，资金支付与预算相符。</w:t>
      </w:r>
    </w:p>
    <w:p>
      <w:pPr>
        <w:adjustRightInd w:val="0"/>
        <w:snapToGrid w:val="0"/>
        <w:spacing w:line="580" w:lineRule="exact"/>
        <w:ind w:firstLine="720"/>
        <w:rPr>
          <w:rFonts w:ascii="仿宋_GB2312" w:hAnsi="宋体" w:eastAsia="仿宋_GB2312"/>
          <w:b/>
          <w:sz w:val="32"/>
          <w:szCs w:val="32"/>
          <w:lang w:val="zh-CN"/>
        </w:rPr>
      </w:pPr>
      <w:r>
        <w:rPr>
          <w:rFonts w:hint="eastAsia" w:ascii="仿宋_GB2312" w:hAnsi="宋体" w:eastAsia="仿宋_GB2312"/>
          <w:b/>
          <w:sz w:val="32"/>
          <w:szCs w:val="32"/>
          <w:lang w:val="zh-CN"/>
        </w:rPr>
        <w:t>（二）项目财务管理情况。</w:t>
      </w:r>
    </w:p>
    <w:p>
      <w:pPr>
        <w:adjustRightInd w:val="0"/>
        <w:snapToGrid w:val="0"/>
        <w:spacing w:line="58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该项目严格执行财务管理制度、财务处理及时、会计核算规范。</w:t>
      </w:r>
    </w:p>
    <w:p>
      <w:pPr>
        <w:adjustRightInd w:val="0"/>
        <w:snapToGrid w:val="0"/>
        <w:spacing w:line="580" w:lineRule="exact"/>
        <w:ind w:firstLine="720"/>
        <w:rPr>
          <w:rFonts w:ascii="仿宋_GB2312" w:hAnsi="宋体" w:eastAsia="仿宋_GB2312"/>
          <w:b/>
          <w:sz w:val="32"/>
          <w:szCs w:val="32"/>
          <w:lang w:val="zh-CN"/>
        </w:rPr>
      </w:pPr>
      <w:r>
        <w:rPr>
          <w:rFonts w:hint="eastAsia" w:ascii="仿宋_GB2312" w:hAnsi="宋体" w:eastAsia="仿宋_GB2312"/>
          <w:b/>
          <w:sz w:val="32"/>
          <w:szCs w:val="32"/>
          <w:lang w:val="zh-CN"/>
        </w:rPr>
        <w:t>（三）项目组织实施情况。</w:t>
      </w:r>
    </w:p>
    <w:p>
      <w:pPr>
        <w:adjustRightInd w:val="0"/>
        <w:snapToGrid w:val="0"/>
        <w:spacing w:line="58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该项目由县委组织部实施，严格执行财务管理制度和监管责任。</w:t>
      </w:r>
    </w:p>
    <w:p>
      <w:pPr>
        <w:adjustRightInd w:val="0"/>
        <w:snapToGrid w:val="0"/>
        <w:spacing w:line="580" w:lineRule="exact"/>
        <w:ind w:firstLine="720"/>
        <w:rPr>
          <w:rFonts w:ascii="仿宋_GB2312" w:hAnsi="宋体" w:eastAsia="仿宋_GB2312"/>
          <w:b/>
          <w:sz w:val="32"/>
          <w:szCs w:val="32"/>
          <w:lang w:val="zh-CN"/>
        </w:rPr>
      </w:pPr>
      <w:r>
        <w:rPr>
          <w:rFonts w:hint="eastAsia" w:ascii="仿宋_GB2312" w:hAnsi="宋体" w:eastAsia="仿宋_GB2312"/>
          <w:b/>
          <w:sz w:val="32"/>
          <w:szCs w:val="32"/>
        </w:rPr>
        <w:t>三、项目绩效情况</w:t>
      </w:r>
      <w:r>
        <w:rPr>
          <w:rFonts w:hint="eastAsia" w:ascii="仿宋_GB2312" w:hAnsi="宋体" w:eastAsia="仿宋_GB2312"/>
          <w:b/>
          <w:sz w:val="32"/>
          <w:szCs w:val="32"/>
          <w:lang w:val="zh-CN"/>
        </w:rPr>
        <w:tab/>
      </w:r>
    </w:p>
    <w:p>
      <w:pPr>
        <w:adjustRightInd w:val="0"/>
        <w:snapToGrid w:val="0"/>
        <w:spacing w:line="580" w:lineRule="exact"/>
        <w:ind w:firstLine="720"/>
        <w:rPr>
          <w:rFonts w:ascii="仿宋_GB2312" w:hAnsi="仿宋_GB2312" w:eastAsia="仿宋_GB2312" w:cs="仿宋_GB2312"/>
          <w:bCs/>
          <w:sz w:val="32"/>
          <w:szCs w:val="32"/>
        </w:rPr>
      </w:pPr>
      <w:r>
        <w:rPr>
          <w:rFonts w:hint="eastAsia" w:ascii="仿宋_GB2312" w:hAnsi="宋体" w:eastAsia="仿宋_GB2312"/>
          <w:b/>
          <w:sz w:val="32"/>
          <w:szCs w:val="32"/>
          <w:lang w:val="zh-CN"/>
        </w:rPr>
        <w:t>（一）项目完成情况。</w:t>
      </w:r>
      <w:r>
        <w:rPr>
          <w:rFonts w:hint="eastAsia" w:ascii="仿宋_GB2312" w:hAnsi="宋体" w:eastAsia="仿宋_GB2312"/>
          <w:sz w:val="32"/>
          <w:szCs w:val="32"/>
          <w:lang w:val="zh-CN"/>
        </w:rPr>
        <w:t>完成《中共沐川县委执政纪要》《沐川年鉴》出版；</w:t>
      </w:r>
      <w:r>
        <w:rPr>
          <w:rFonts w:hint="eastAsia" w:ascii="仿宋_GB2312" w:eastAsia="仿宋_GB2312"/>
          <w:sz w:val="32"/>
          <w:szCs w:val="32"/>
        </w:rPr>
        <w:t>按时组织老干部定期体检、医药费报销；春节中秋国庆慰问走访老干部及老干部遗孀256人次；</w:t>
      </w:r>
      <w:r>
        <w:rPr>
          <w:rFonts w:hint="eastAsia" w:ascii="仿宋_GB2312" w:hAnsi="仿宋_GB2312" w:eastAsia="仿宋_GB2312" w:cs="仿宋_GB2312"/>
          <w:bCs/>
          <w:sz w:val="32"/>
          <w:szCs w:val="32"/>
        </w:rPr>
        <w:t>刚性引进公务员（含参公）50余名，事业人员130名，本科及其以上学历达100%；</w:t>
      </w:r>
      <w:r>
        <w:rPr>
          <w:rFonts w:hint="eastAsia" w:ascii="仿宋_GB2312" w:eastAsia="仿宋_GB2312"/>
          <w:sz w:val="32"/>
          <w:szCs w:val="32"/>
        </w:rPr>
        <w:t>及时完成离退休支部考核，按时兑现工作补贴；</w:t>
      </w:r>
      <w:r>
        <w:rPr>
          <w:rFonts w:hint="eastAsia" w:ascii="仿宋_GB2312" w:hAnsi="仿宋_GB2312" w:eastAsia="仿宋_GB2312" w:cs="仿宋_GB2312"/>
          <w:bCs/>
          <w:sz w:val="32"/>
          <w:szCs w:val="32"/>
        </w:rPr>
        <w:t>选派2名干部到诸暨市挂职，10余名年轻干部到诸暨开展“领题式”跟岗学习，11名专技人才赴浙江开展顶岗锻炼，诸暨市分批选派12名干部人才到医疗、教育等领域开展“订单”援助。</w:t>
      </w:r>
      <w:r>
        <w:rPr>
          <w:rFonts w:hint="eastAsia" w:ascii="Times New Roman" w:hAnsi="Times New Roman" w:eastAsia="仿宋_GB2312"/>
          <w:sz w:val="32"/>
          <w:szCs w:val="32"/>
        </w:rPr>
        <w:t>举办乡科级干部进修班、中青年干部培训班、到村任职选调生培训班、2023年重大决策部署暨东西部协作乡村振兴专题培训班等特色培训班8期，培训干部人才1010人次。</w:t>
      </w:r>
    </w:p>
    <w:p>
      <w:pPr>
        <w:adjustRightInd w:val="0"/>
        <w:snapToGrid w:val="0"/>
        <w:spacing w:line="580" w:lineRule="exact"/>
        <w:ind w:firstLine="720"/>
        <w:rPr>
          <w:rFonts w:ascii="仿宋_GB2312" w:hAnsi="宋体" w:eastAsia="仿宋_GB2312"/>
          <w:b/>
          <w:sz w:val="32"/>
          <w:szCs w:val="32"/>
          <w:lang w:val="zh-CN"/>
        </w:rPr>
      </w:pPr>
      <w:r>
        <w:rPr>
          <w:rFonts w:hint="eastAsia" w:ascii="仿宋_GB2312" w:hAnsi="宋体" w:eastAsia="仿宋_GB2312"/>
          <w:b/>
          <w:sz w:val="32"/>
          <w:szCs w:val="32"/>
          <w:lang w:val="zh-CN"/>
        </w:rPr>
        <w:t>（二）项目效益情况。</w:t>
      </w:r>
      <w:r>
        <w:rPr>
          <w:rFonts w:hint="eastAsia" w:ascii="仿宋_GB2312" w:hAnsi="仿宋_GB2312" w:eastAsia="仿宋_GB2312" w:cs="仿宋_GB2312"/>
          <w:sz w:val="32"/>
          <w:szCs w:val="32"/>
        </w:rPr>
        <w:t>通过项目实施，干部人才理论综合素质得到提高，老干部更加满意，乡镇领导班子整体功能全面优化提升；各项工作圆满完成目标任务，</w:t>
      </w:r>
      <w:r>
        <w:rPr>
          <w:rFonts w:hint="eastAsia" w:ascii="仿宋_GB2312" w:hAnsi="宋体" w:eastAsia="仿宋_GB2312"/>
          <w:sz w:val="32"/>
          <w:szCs w:val="32"/>
          <w:lang w:val="zh-CN"/>
        </w:rPr>
        <w:t>党员群众满意，社会满意。</w:t>
      </w:r>
    </w:p>
    <w:p>
      <w:pPr>
        <w:adjustRightInd w:val="0"/>
        <w:snapToGrid w:val="0"/>
        <w:spacing w:line="580" w:lineRule="exact"/>
        <w:ind w:firstLine="720"/>
        <w:rPr>
          <w:rFonts w:ascii="仿宋_GB2312" w:hAnsi="宋体" w:eastAsia="仿宋_GB2312"/>
          <w:b/>
          <w:sz w:val="32"/>
          <w:szCs w:val="32"/>
        </w:rPr>
      </w:pPr>
      <w:r>
        <w:rPr>
          <w:rFonts w:hint="eastAsia" w:ascii="仿宋_GB2312" w:hAnsi="宋体" w:eastAsia="仿宋_GB2312"/>
          <w:b/>
          <w:sz w:val="32"/>
          <w:szCs w:val="32"/>
        </w:rPr>
        <w:t>四、问题及建议</w:t>
      </w:r>
    </w:p>
    <w:p>
      <w:pPr>
        <w:spacing w:line="580" w:lineRule="exact"/>
        <w:ind w:firstLine="630" w:firstLineChars="196"/>
        <w:rPr>
          <w:rFonts w:ascii="仿宋_GB2312" w:hAnsi="宋体" w:eastAsia="仿宋_GB2312"/>
          <w:b/>
          <w:sz w:val="32"/>
          <w:szCs w:val="32"/>
          <w:lang w:val="zh-CN"/>
        </w:rPr>
      </w:pPr>
      <w:r>
        <w:rPr>
          <w:rFonts w:hint="eastAsia" w:ascii="仿宋_GB2312" w:hAnsi="宋体" w:eastAsia="仿宋_GB2312"/>
          <w:b/>
          <w:sz w:val="32"/>
          <w:szCs w:val="32"/>
          <w:lang w:val="zh-CN"/>
        </w:rPr>
        <w:t>无</w:t>
      </w:r>
    </w:p>
    <w:p>
      <w:pPr>
        <w:widowControl/>
        <w:adjustRightInd w:val="0"/>
        <w:snapToGrid w:val="0"/>
        <w:spacing w:line="600" w:lineRule="exact"/>
        <w:ind w:firstLine="720"/>
        <w:jc w:val="left"/>
        <w:rPr>
          <w:rFonts w:ascii="黑体" w:hAnsi="Cambria" w:eastAsia="黑体" w:cs="黑体"/>
          <w:kern w:val="44"/>
          <w:sz w:val="44"/>
          <w:szCs w:val="44"/>
        </w:rPr>
      </w:pPr>
    </w:p>
    <w:p>
      <w:pPr>
        <w:widowControl/>
        <w:adjustRightInd w:val="0"/>
        <w:snapToGrid w:val="0"/>
        <w:spacing w:line="600" w:lineRule="exact"/>
        <w:ind w:firstLine="720"/>
        <w:jc w:val="left"/>
        <w:rPr>
          <w:rFonts w:ascii="黑体" w:hAnsi="Cambria" w:eastAsia="黑体" w:cs="黑体"/>
          <w:kern w:val="44"/>
          <w:sz w:val="44"/>
          <w:szCs w:val="44"/>
        </w:rPr>
      </w:pPr>
    </w:p>
    <w:p>
      <w:pPr>
        <w:widowControl/>
        <w:adjustRightInd w:val="0"/>
        <w:snapToGrid w:val="0"/>
        <w:spacing w:line="600" w:lineRule="exact"/>
        <w:ind w:firstLine="720"/>
        <w:jc w:val="left"/>
        <w:rPr>
          <w:rFonts w:ascii="黑体" w:hAnsi="Cambria" w:eastAsia="黑体" w:cs="黑体"/>
          <w:kern w:val="44"/>
          <w:sz w:val="44"/>
          <w:szCs w:val="44"/>
        </w:rPr>
      </w:pPr>
    </w:p>
    <w:p>
      <w:pPr>
        <w:widowControl/>
        <w:adjustRightInd w:val="0"/>
        <w:snapToGrid w:val="0"/>
        <w:spacing w:line="600" w:lineRule="exact"/>
        <w:ind w:firstLine="720"/>
        <w:jc w:val="left"/>
        <w:rPr>
          <w:rFonts w:ascii="黑体" w:hAnsi="Cambria" w:eastAsia="黑体" w:cs="黑体"/>
          <w:kern w:val="44"/>
          <w:sz w:val="44"/>
          <w:szCs w:val="44"/>
        </w:rPr>
      </w:pPr>
    </w:p>
    <w:p>
      <w:pPr>
        <w:widowControl/>
        <w:adjustRightInd w:val="0"/>
        <w:snapToGrid w:val="0"/>
        <w:spacing w:line="600" w:lineRule="exact"/>
        <w:jc w:val="left"/>
        <w:rPr>
          <w:rFonts w:ascii="黑体" w:hAnsi="Cambria" w:eastAsia="黑体" w:cs="黑体"/>
          <w:kern w:val="44"/>
          <w:sz w:val="44"/>
          <w:szCs w:val="44"/>
        </w:rPr>
      </w:pPr>
    </w:p>
    <w:p>
      <w:pPr>
        <w:widowControl/>
        <w:adjustRightInd w:val="0"/>
        <w:snapToGrid w:val="0"/>
        <w:spacing w:line="600" w:lineRule="exact"/>
        <w:jc w:val="left"/>
        <w:rPr>
          <w:rFonts w:ascii="黑体" w:hAnsi="Cambria" w:eastAsia="黑体" w:cs="黑体"/>
          <w:kern w:val="44"/>
          <w:sz w:val="44"/>
          <w:szCs w:val="44"/>
        </w:rPr>
      </w:pPr>
    </w:p>
    <w:p>
      <w:pPr>
        <w:widowControl/>
        <w:adjustRightInd w:val="0"/>
        <w:snapToGrid w:val="0"/>
        <w:spacing w:line="600" w:lineRule="exact"/>
        <w:jc w:val="left"/>
        <w:rPr>
          <w:rFonts w:ascii="黑体" w:hAnsi="Cambria" w:eastAsia="黑体" w:cs="黑体"/>
          <w:kern w:val="44"/>
          <w:sz w:val="44"/>
          <w:szCs w:val="44"/>
        </w:rPr>
      </w:pPr>
    </w:p>
    <w:p>
      <w:pPr>
        <w:widowControl/>
        <w:adjustRightInd w:val="0"/>
        <w:snapToGrid w:val="0"/>
        <w:spacing w:line="600" w:lineRule="exact"/>
        <w:jc w:val="left"/>
        <w:rPr>
          <w:rFonts w:ascii="黑体" w:hAnsi="Cambria" w:eastAsia="黑体" w:cs="黑体"/>
          <w:kern w:val="44"/>
          <w:sz w:val="44"/>
          <w:szCs w:val="44"/>
        </w:rPr>
      </w:pPr>
    </w:p>
    <w:p>
      <w:pPr>
        <w:widowControl/>
        <w:adjustRightInd w:val="0"/>
        <w:snapToGrid w:val="0"/>
        <w:spacing w:line="600" w:lineRule="exact"/>
        <w:jc w:val="left"/>
        <w:rPr>
          <w:rFonts w:ascii="黑体" w:hAnsi="Cambria" w:eastAsia="黑体" w:cs="黑体"/>
          <w:kern w:val="44"/>
          <w:sz w:val="44"/>
          <w:szCs w:val="44"/>
        </w:rPr>
      </w:pPr>
    </w:p>
    <w:p>
      <w:pPr>
        <w:widowControl/>
        <w:adjustRightInd w:val="0"/>
        <w:snapToGrid w:val="0"/>
        <w:spacing w:line="600" w:lineRule="exact"/>
        <w:jc w:val="left"/>
        <w:rPr>
          <w:rFonts w:ascii="黑体" w:hAnsi="Cambria" w:eastAsia="黑体" w:cs="黑体"/>
          <w:kern w:val="44"/>
          <w:sz w:val="44"/>
          <w:szCs w:val="44"/>
        </w:rPr>
      </w:pPr>
    </w:p>
    <w:p>
      <w:pPr>
        <w:widowControl/>
        <w:adjustRightInd w:val="0"/>
        <w:snapToGrid w:val="0"/>
        <w:spacing w:line="600" w:lineRule="exact"/>
        <w:jc w:val="left"/>
        <w:rPr>
          <w:rFonts w:ascii="黑体" w:hAnsi="Cambria" w:eastAsia="黑体" w:cs="黑体"/>
          <w:kern w:val="44"/>
          <w:sz w:val="44"/>
          <w:szCs w:val="44"/>
        </w:rPr>
      </w:pPr>
    </w:p>
    <w:p>
      <w:pPr>
        <w:widowControl/>
        <w:adjustRightInd w:val="0"/>
        <w:snapToGrid w:val="0"/>
        <w:spacing w:line="600" w:lineRule="exact"/>
        <w:jc w:val="left"/>
        <w:rPr>
          <w:rFonts w:ascii="黑体" w:hAnsi="Cambria" w:eastAsia="黑体" w:cs="黑体"/>
          <w:kern w:val="44"/>
          <w:sz w:val="44"/>
          <w:szCs w:val="44"/>
        </w:rPr>
      </w:pPr>
    </w:p>
    <w:p>
      <w:pPr>
        <w:widowControl/>
        <w:adjustRightInd w:val="0"/>
        <w:snapToGrid w:val="0"/>
        <w:spacing w:line="600" w:lineRule="exact"/>
        <w:jc w:val="left"/>
        <w:rPr>
          <w:rFonts w:ascii="黑体" w:hAnsi="Cambria" w:eastAsia="黑体" w:cs="黑体"/>
          <w:kern w:val="44"/>
          <w:sz w:val="44"/>
          <w:szCs w:val="44"/>
        </w:rPr>
      </w:pPr>
    </w:p>
    <w:p>
      <w:pPr>
        <w:widowControl/>
        <w:adjustRightInd w:val="0"/>
        <w:snapToGrid w:val="0"/>
        <w:spacing w:line="600" w:lineRule="exact"/>
        <w:jc w:val="left"/>
        <w:rPr>
          <w:rFonts w:ascii="黑体" w:hAnsi="Cambria" w:eastAsia="黑体" w:cs="黑体"/>
          <w:kern w:val="44"/>
          <w:sz w:val="44"/>
          <w:szCs w:val="44"/>
        </w:rPr>
      </w:pPr>
    </w:p>
    <w:p>
      <w:pPr>
        <w:widowControl/>
        <w:adjustRightInd w:val="0"/>
        <w:snapToGrid w:val="0"/>
        <w:spacing w:line="600" w:lineRule="exact"/>
        <w:jc w:val="left"/>
        <w:rPr>
          <w:rFonts w:ascii="黑体" w:hAnsi="Cambria" w:eastAsia="黑体" w:cs="黑体"/>
          <w:kern w:val="44"/>
          <w:sz w:val="44"/>
          <w:szCs w:val="44"/>
        </w:rPr>
      </w:pPr>
    </w:p>
    <w:p>
      <w:pPr>
        <w:widowControl/>
        <w:adjustRightInd w:val="0"/>
        <w:snapToGrid w:val="0"/>
        <w:spacing w:line="600" w:lineRule="exact"/>
        <w:jc w:val="left"/>
        <w:rPr>
          <w:rFonts w:ascii="黑体" w:hAnsi="Cambria" w:eastAsia="黑体" w:cs="黑体"/>
          <w:kern w:val="44"/>
          <w:sz w:val="44"/>
          <w:szCs w:val="44"/>
        </w:rPr>
      </w:pPr>
    </w:p>
    <w:p>
      <w:pPr>
        <w:widowControl/>
        <w:adjustRightInd w:val="0"/>
        <w:snapToGrid w:val="0"/>
        <w:spacing w:line="600" w:lineRule="exact"/>
        <w:jc w:val="left"/>
        <w:rPr>
          <w:rFonts w:ascii="黑体" w:hAnsi="Cambria" w:eastAsia="黑体" w:cs="黑体"/>
          <w:kern w:val="44"/>
          <w:sz w:val="44"/>
          <w:szCs w:val="44"/>
        </w:rPr>
      </w:pPr>
    </w:p>
    <w:p>
      <w:pPr>
        <w:widowControl/>
        <w:adjustRightInd w:val="0"/>
        <w:snapToGrid w:val="0"/>
        <w:spacing w:line="600" w:lineRule="exact"/>
        <w:jc w:val="left"/>
        <w:rPr>
          <w:rFonts w:ascii="黑体" w:hAnsi="Cambria" w:eastAsia="黑体" w:cs="黑体"/>
          <w:kern w:val="44"/>
          <w:sz w:val="44"/>
          <w:szCs w:val="44"/>
        </w:rPr>
        <w:sectPr>
          <w:footerReference r:id="rId3" w:type="default"/>
          <w:footerReference r:id="rId4" w:type="even"/>
          <w:pgSz w:w="11906" w:h="16838"/>
          <w:pgMar w:top="1440" w:right="1800" w:bottom="1440" w:left="1800" w:header="851" w:footer="992" w:gutter="0"/>
          <w:cols w:space="425" w:num="1"/>
          <w:docGrid w:type="lines" w:linePitch="312" w:charSpace="0"/>
        </w:sectPr>
      </w:pPr>
    </w:p>
    <w:p>
      <w:pPr>
        <w:widowControl/>
        <w:adjustRightInd w:val="0"/>
        <w:snapToGrid w:val="0"/>
        <w:spacing w:line="600" w:lineRule="exact"/>
        <w:jc w:val="left"/>
        <w:rPr>
          <w:rFonts w:ascii="黑体" w:hAnsi="Cambria" w:eastAsia="黑体" w:cs="黑体"/>
          <w:kern w:val="44"/>
          <w:sz w:val="44"/>
          <w:szCs w:val="44"/>
        </w:rPr>
      </w:pPr>
    </w:p>
    <w:tbl>
      <w:tblPr>
        <w:tblStyle w:val="13"/>
        <w:tblW w:w="14260" w:type="dxa"/>
        <w:tblInd w:w="93" w:type="dxa"/>
        <w:tblLayout w:type="autofit"/>
        <w:tblCellMar>
          <w:top w:w="0" w:type="dxa"/>
          <w:left w:w="108" w:type="dxa"/>
          <w:bottom w:w="0" w:type="dxa"/>
          <w:right w:w="108" w:type="dxa"/>
        </w:tblCellMar>
      </w:tblPr>
      <w:tblGrid>
        <w:gridCol w:w="1300"/>
        <w:gridCol w:w="1200"/>
        <w:gridCol w:w="1200"/>
        <w:gridCol w:w="820"/>
        <w:gridCol w:w="1860"/>
        <w:gridCol w:w="2960"/>
        <w:gridCol w:w="820"/>
        <w:gridCol w:w="820"/>
        <w:gridCol w:w="820"/>
        <w:gridCol w:w="820"/>
        <w:gridCol w:w="820"/>
        <w:gridCol w:w="820"/>
      </w:tblGrid>
      <w:tr>
        <w:tblPrEx>
          <w:tblCellMar>
            <w:top w:w="0" w:type="dxa"/>
            <w:left w:w="108" w:type="dxa"/>
            <w:bottom w:w="0" w:type="dxa"/>
            <w:right w:w="108" w:type="dxa"/>
          </w:tblCellMar>
        </w:tblPrEx>
        <w:trPr>
          <w:trHeight w:val="690" w:hRule="atLeast"/>
        </w:trPr>
        <w:tc>
          <w:tcPr>
            <w:tcW w:w="14260" w:type="dxa"/>
            <w:gridSpan w:val="12"/>
            <w:tcBorders>
              <w:top w:val="nil"/>
              <w:left w:val="nil"/>
              <w:bottom w:val="single" w:color="auto" w:sz="4" w:space="0"/>
              <w:right w:val="nil"/>
            </w:tcBorders>
            <w:shd w:val="clear" w:color="auto" w:fill="auto"/>
            <w:vAlign w:val="center"/>
          </w:tcPr>
          <w:p>
            <w:pPr>
              <w:widowControl/>
              <w:jc w:val="center"/>
              <w:rPr>
                <w:rFonts w:ascii="宋体" w:hAnsi="宋体" w:eastAsia="宋体" w:cs="宋体"/>
                <w:b/>
                <w:bCs/>
                <w:kern w:val="0"/>
                <w:sz w:val="32"/>
                <w:szCs w:val="32"/>
              </w:rPr>
            </w:pPr>
            <w:r>
              <w:rPr>
                <w:rFonts w:hint="eastAsia" w:ascii="宋体" w:hAnsi="宋体" w:eastAsia="宋体" w:cs="宋体"/>
                <w:b/>
                <w:bCs/>
                <w:kern w:val="0"/>
                <w:sz w:val="32"/>
                <w:szCs w:val="32"/>
              </w:rPr>
              <w:t>组织部部门整体绩效自评体系</w:t>
            </w:r>
          </w:p>
        </w:tc>
      </w:tr>
      <w:tr>
        <w:tblPrEx>
          <w:tblCellMar>
            <w:top w:w="0" w:type="dxa"/>
            <w:left w:w="108" w:type="dxa"/>
            <w:bottom w:w="0" w:type="dxa"/>
            <w:right w:w="108" w:type="dxa"/>
          </w:tblCellMar>
        </w:tblPrEx>
        <w:trPr>
          <w:trHeight w:val="503" w:hRule="atLeast"/>
        </w:trPr>
        <w:tc>
          <w:tcPr>
            <w:tcW w:w="37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绩效指标</w:t>
            </w:r>
          </w:p>
        </w:tc>
        <w:tc>
          <w:tcPr>
            <w:tcW w:w="8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指标分值</w:t>
            </w:r>
          </w:p>
        </w:tc>
        <w:tc>
          <w:tcPr>
            <w:tcW w:w="18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指标解释</w:t>
            </w:r>
          </w:p>
        </w:tc>
        <w:tc>
          <w:tcPr>
            <w:tcW w:w="296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计分标准</w:t>
            </w:r>
          </w:p>
        </w:tc>
        <w:tc>
          <w:tcPr>
            <w:tcW w:w="164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评价方式</w:t>
            </w:r>
          </w:p>
        </w:tc>
        <w:tc>
          <w:tcPr>
            <w:tcW w:w="164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评价属性</w:t>
            </w:r>
          </w:p>
        </w:tc>
        <w:tc>
          <w:tcPr>
            <w:tcW w:w="820" w:type="dxa"/>
            <w:vMerge w:val="restart"/>
            <w:tcBorders>
              <w:top w:val="nil"/>
              <w:left w:val="single" w:color="auto" w:sz="4" w:space="0"/>
              <w:bottom w:val="single" w:color="000000" w:sz="4" w:space="0"/>
              <w:right w:val="single" w:color="auto" w:sz="4" w:space="0"/>
            </w:tcBorders>
            <w:shd w:val="clear" w:color="000000" w:fill="FDE9D9"/>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部门打分</w:t>
            </w:r>
          </w:p>
        </w:tc>
        <w:tc>
          <w:tcPr>
            <w:tcW w:w="8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备注</w:t>
            </w:r>
          </w:p>
        </w:tc>
      </w:tr>
      <w:tr>
        <w:tblPrEx>
          <w:tblCellMar>
            <w:top w:w="0" w:type="dxa"/>
            <w:left w:w="108" w:type="dxa"/>
            <w:bottom w:w="0" w:type="dxa"/>
            <w:right w:w="108" w:type="dxa"/>
          </w:tblCellMar>
        </w:tblPrEx>
        <w:trPr>
          <w:trHeight w:val="480" w:hRule="atLeast"/>
        </w:trPr>
        <w:tc>
          <w:tcPr>
            <w:tcW w:w="13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一级指标</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二级指标</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三级指标</w:t>
            </w:r>
          </w:p>
        </w:tc>
        <w:tc>
          <w:tcPr>
            <w:tcW w:w="8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18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2960" w:type="dxa"/>
            <w:vMerge w:val="continue"/>
            <w:tcBorders>
              <w:top w:val="nil"/>
              <w:left w:val="nil"/>
              <w:bottom w:val="single" w:color="000000" w:sz="4" w:space="0"/>
              <w:right w:val="single" w:color="auto" w:sz="4" w:space="0"/>
            </w:tcBorders>
            <w:vAlign w:val="center"/>
          </w:tcPr>
          <w:p>
            <w:pPr>
              <w:widowControl/>
              <w:jc w:val="left"/>
              <w:rPr>
                <w:rFonts w:ascii="宋体" w:hAnsi="宋体" w:eastAsia="宋体" w:cs="宋体"/>
                <w:b/>
                <w:bCs/>
                <w:kern w:val="0"/>
                <w:sz w:val="24"/>
                <w:szCs w:val="24"/>
              </w:rPr>
            </w:pP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整体评价</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样本评价</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定性评价</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定量评价</w:t>
            </w:r>
          </w:p>
        </w:tc>
        <w:tc>
          <w:tcPr>
            <w:tcW w:w="8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kern w:val="0"/>
                <w:sz w:val="24"/>
                <w:szCs w:val="24"/>
              </w:rPr>
            </w:pPr>
          </w:p>
        </w:tc>
        <w:tc>
          <w:tcPr>
            <w:tcW w:w="8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kern w:val="0"/>
                <w:sz w:val="24"/>
                <w:szCs w:val="24"/>
              </w:rPr>
            </w:pPr>
          </w:p>
        </w:tc>
      </w:tr>
      <w:tr>
        <w:tblPrEx>
          <w:tblCellMar>
            <w:top w:w="0" w:type="dxa"/>
            <w:left w:w="108" w:type="dxa"/>
            <w:bottom w:w="0" w:type="dxa"/>
            <w:right w:w="108" w:type="dxa"/>
          </w:tblCellMar>
        </w:tblPrEx>
        <w:trPr>
          <w:trHeight w:val="1418" w:hRule="atLeast"/>
        </w:trPr>
        <w:tc>
          <w:tcPr>
            <w:tcW w:w="13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部门预算项目绩效管理（70分）</w:t>
            </w:r>
          </w:p>
        </w:tc>
        <w:tc>
          <w:tcPr>
            <w:tcW w:w="12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目标管理（40分）</w:t>
            </w:r>
          </w:p>
        </w:tc>
        <w:tc>
          <w:tcPr>
            <w:tcW w:w="1200" w:type="dxa"/>
            <w:vMerge w:val="restart"/>
            <w:tcBorders>
              <w:top w:val="nil"/>
              <w:left w:val="single" w:color="auto" w:sz="4" w:space="0"/>
              <w:bottom w:val="nil"/>
              <w:right w:val="single" w:color="auto" w:sz="4" w:space="0"/>
            </w:tcBorders>
            <w:shd w:val="clear" w:color="auto" w:fill="auto"/>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目标制定</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10</w:t>
            </w:r>
          </w:p>
        </w:tc>
        <w:tc>
          <w:tcPr>
            <w:tcW w:w="186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是否开展部门内部绩效目标审核工作。</w:t>
            </w:r>
          </w:p>
        </w:tc>
        <w:tc>
          <w:tcPr>
            <w:tcW w:w="296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部门组织对本部门（含下属单位）绩效目标开展内部审核的，得10分，否则不得分。</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820" w:type="dxa"/>
            <w:tcBorders>
              <w:top w:val="nil"/>
              <w:left w:val="nil"/>
              <w:bottom w:val="single" w:color="auto" w:sz="4" w:space="0"/>
              <w:right w:val="single" w:color="auto" w:sz="4" w:space="0"/>
            </w:tcBorders>
            <w:shd w:val="clear" w:color="000000" w:fill="FDE9D9"/>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10</w:t>
            </w:r>
          </w:p>
        </w:tc>
        <w:tc>
          <w:tcPr>
            <w:tcW w:w="82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　</w:t>
            </w:r>
          </w:p>
        </w:tc>
      </w:tr>
      <w:tr>
        <w:tblPrEx>
          <w:tblCellMar>
            <w:top w:w="0" w:type="dxa"/>
            <w:left w:w="108" w:type="dxa"/>
            <w:bottom w:w="0" w:type="dxa"/>
            <w:right w:w="108" w:type="dxa"/>
          </w:tblCellMar>
        </w:tblPrEx>
        <w:trPr>
          <w:trHeight w:val="1980" w:hRule="atLeast"/>
        </w:trPr>
        <w:tc>
          <w:tcPr>
            <w:tcW w:w="130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Cs w:val="21"/>
              </w:rPr>
            </w:pPr>
          </w:p>
        </w:tc>
        <w:tc>
          <w:tcPr>
            <w:tcW w:w="120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Cs w:val="21"/>
              </w:rPr>
            </w:pPr>
          </w:p>
        </w:tc>
        <w:tc>
          <w:tcPr>
            <w:tcW w:w="1200" w:type="dxa"/>
            <w:vMerge w:val="continue"/>
            <w:tcBorders>
              <w:top w:val="nil"/>
              <w:left w:val="single" w:color="auto" w:sz="4" w:space="0"/>
              <w:bottom w:val="nil"/>
              <w:right w:val="single" w:color="auto" w:sz="4" w:space="0"/>
            </w:tcBorders>
            <w:vAlign w:val="center"/>
          </w:tcPr>
          <w:p>
            <w:pPr>
              <w:widowControl/>
              <w:jc w:val="left"/>
              <w:rPr>
                <w:rFonts w:ascii="仿宋_GB2312" w:hAnsi="仿宋_GB2312" w:eastAsia="仿宋_GB2312" w:cs="仿宋_GB2312"/>
                <w:kern w:val="0"/>
                <w:szCs w:val="21"/>
              </w:rPr>
            </w:pP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10</w:t>
            </w:r>
          </w:p>
        </w:tc>
        <w:tc>
          <w:tcPr>
            <w:tcW w:w="186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根据年度绩效目标实现情况，评价部门绩效目标是否科学合理、规范完整、细化量化并与预算安排相匹配。</w:t>
            </w:r>
          </w:p>
        </w:tc>
        <w:tc>
          <w:tcPr>
            <w:tcW w:w="296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1.绩效目标编制科学合理的，得2分，否则酌情扣分。</w:t>
            </w:r>
            <w:r>
              <w:rPr>
                <w:rFonts w:hint="eastAsia" w:ascii="仿宋_GB2312" w:hAnsi="仿宋_GB2312" w:eastAsia="仿宋_GB2312" w:cs="仿宋_GB2312"/>
                <w:kern w:val="0"/>
                <w:szCs w:val="21"/>
              </w:rPr>
              <w:br w:type="textWrapping"/>
            </w:r>
            <w:r>
              <w:rPr>
                <w:rFonts w:hint="eastAsia" w:ascii="仿宋_GB2312" w:hAnsi="仿宋_GB2312" w:eastAsia="仿宋_GB2312" w:cs="仿宋_GB2312"/>
                <w:kern w:val="0"/>
                <w:szCs w:val="21"/>
              </w:rPr>
              <w:t>2.绩效目标编制规范完整的，得2分，否则酌情扣分。                                                       3.绩效指标编制细化量化的，得2分，否则酌情扣分。</w:t>
            </w:r>
            <w:r>
              <w:rPr>
                <w:rFonts w:hint="eastAsia" w:ascii="仿宋_GB2312" w:hAnsi="仿宋_GB2312" w:eastAsia="仿宋_GB2312" w:cs="仿宋_GB2312"/>
                <w:kern w:val="0"/>
                <w:szCs w:val="21"/>
              </w:rPr>
              <w:br w:type="textWrapping"/>
            </w:r>
            <w:r>
              <w:rPr>
                <w:rFonts w:hint="eastAsia" w:ascii="仿宋_GB2312" w:hAnsi="仿宋_GB2312" w:eastAsia="仿宋_GB2312" w:cs="仿宋_GB2312"/>
                <w:kern w:val="0"/>
                <w:szCs w:val="21"/>
              </w:rPr>
              <w:t xml:space="preserve">4.绩效指标编制与预算安排相匹配的，得2分，否则酌情扣分。 </w:t>
            </w:r>
            <w:r>
              <w:rPr>
                <w:rFonts w:hint="eastAsia" w:ascii="仿宋_GB2312" w:hAnsi="仿宋_GB2312" w:eastAsia="仿宋_GB2312" w:cs="仿宋_GB2312"/>
                <w:kern w:val="0"/>
                <w:szCs w:val="21"/>
              </w:rPr>
              <w:br w:type="textWrapping"/>
            </w:r>
            <w:r>
              <w:rPr>
                <w:rFonts w:hint="eastAsia" w:ascii="仿宋_GB2312" w:hAnsi="仿宋_GB2312" w:eastAsia="仿宋_GB2312" w:cs="仿宋_GB2312"/>
                <w:kern w:val="0"/>
                <w:szCs w:val="21"/>
              </w:rPr>
              <w:t xml:space="preserve">5.评价部门绩效目标纳入部门党组（委）会（办公会）集体决策范围的得2分，否则不得分。                                                                                                                    </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820" w:type="dxa"/>
            <w:tcBorders>
              <w:top w:val="nil"/>
              <w:left w:val="nil"/>
              <w:bottom w:val="single" w:color="auto" w:sz="4" w:space="0"/>
              <w:right w:val="single" w:color="auto" w:sz="4" w:space="0"/>
            </w:tcBorders>
            <w:shd w:val="clear" w:color="000000" w:fill="FDE9D9"/>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10</w:t>
            </w:r>
          </w:p>
        </w:tc>
        <w:tc>
          <w:tcPr>
            <w:tcW w:w="82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　</w:t>
            </w:r>
          </w:p>
        </w:tc>
      </w:tr>
      <w:tr>
        <w:tblPrEx>
          <w:tblCellMar>
            <w:top w:w="0" w:type="dxa"/>
            <w:left w:w="108" w:type="dxa"/>
            <w:bottom w:w="0" w:type="dxa"/>
            <w:right w:w="108" w:type="dxa"/>
          </w:tblCellMar>
        </w:tblPrEx>
        <w:trPr>
          <w:trHeight w:val="1418" w:hRule="atLeast"/>
        </w:trPr>
        <w:tc>
          <w:tcPr>
            <w:tcW w:w="130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Cs w:val="21"/>
              </w:rPr>
            </w:pPr>
          </w:p>
        </w:tc>
        <w:tc>
          <w:tcPr>
            <w:tcW w:w="120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Cs w:val="21"/>
              </w:rPr>
            </w:pPr>
          </w:p>
        </w:tc>
        <w:tc>
          <w:tcPr>
            <w:tcW w:w="120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目标实现</w:t>
            </w:r>
          </w:p>
        </w:tc>
        <w:tc>
          <w:tcPr>
            <w:tcW w:w="82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10</w:t>
            </w:r>
          </w:p>
        </w:tc>
        <w:tc>
          <w:tcPr>
            <w:tcW w:w="186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评价部门整体支出绩效目标实现程度与预期目标的偏离度。</w:t>
            </w:r>
          </w:p>
        </w:tc>
        <w:tc>
          <w:tcPr>
            <w:tcW w:w="296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以部门整体支出绩效为核心，评价部门整体支出实际完成情况与预期绩效目标偏离度，单个数量指标实际完成未达到预期指标或超过预期指标30%以上的，均不计分。该项指标得分=达到预期值的数量指标个数/全部数量指标个数*10。</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82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tc>
        <w:tc>
          <w:tcPr>
            <w:tcW w:w="82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820" w:type="dxa"/>
            <w:tcBorders>
              <w:top w:val="nil"/>
              <w:left w:val="nil"/>
              <w:bottom w:val="single" w:color="auto" w:sz="4" w:space="0"/>
              <w:right w:val="single" w:color="auto" w:sz="4" w:space="0"/>
            </w:tcBorders>
            <w:shd w:val="clear" w:color="000000" w:fill="FDE9D9"/>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10</w:t>
            </w:r>
          </w:p>
        </w:tc>
        <w:tc>
          <w:tcPr>
            <w:tcW w:w="82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　</w:t>
            </w:r>
          </w:p>
        </w:tc>
      </w:tr>
      <w:tr>
        <w:tblPrEx>
          <w:tblCellMar>
            <w:top w:w="0" w:type="dxa"/>
            <w:left w:w="108" w:type="dxa"/>
            <w:bottom w:w="0" w:type="dxa"/>
            <w:right w:w="108" w:type="dxa"/>
          </w:tblCellMar>
        </w:tblPrEx>
        <w:trPr>
          <w:trHeight w:val="1643" w:hRule="atLeast"/>
        </w:trPr>
        <w:tc>
          <w:tcPr>
            <w:tcW w:w="130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Cs w:val="21"/>
              </w:rPr>
            </w:pPr>
          </w:p>
        </w:tc>
        <w:tc>
          <w:tcPr>
            <w:tcW w:w="120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Cs w:val="21"/>
              </w:rPr>
            </w:pPr>
          </w:p>
        </w:tc>
        <w:tc>
          <w:tcPr>
            <w:tcW w:w="120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kern w:val="0"/>
                <w:szCs w:val="21"/>
              </w:rPr>
            </w:pP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10</w:t>
            </w:r>
          </w:p>
        </w:tc>
        <w:tc>
          <w:tcPr>
            <w:tcW w:w="186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评价部门预算项目绩效目标实际实现程度与预期目标的偏离度。</w:t>
            </w:r>
          </w:p>
        </w:tc>
        <w:tc>
          <w:tcPr>
            <w:tcW w:w="296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以部门预算项目绩效为核心，评价部门预算项目实际完成情况与预期绩效目标偏离度，单个数量指标实际完成未达到预期指标或超过预期指标30%以上的，均不计分。该项指标得分=达到预期值的数量指标个数/全部数量指标个数（即评价选取的项目绩效目标包含的所有数量指标）*10。</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820" w:type="dxa"/>
            <w:tcBorders>
              <w:top w:val="nil"/>
              <w:left w:val="nil"/>
              <w:bottom w:val="single" w:color="auto" w:sz="4" w:space="0"/>
              <w:right w:val="single" w:color="auto" w:sz="4" w:space="0"/>
            </w:tcBorders>
            <w:shd w:val="clear" w:color="000000" w:fill="FDE9D9"/>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9</w:t>
            </w:r>
          </w:p>
        </w:tc>
        <w:tc>
          <w:tcPr>
            <w:tcW w:w="82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部门自评范围为部门所有纳入绩效目标管理的部门预算项目</w:t>
            </w:r>
          </w:p>
        </w:tc>
      </w:tr>
      <w:tr>
        <w:tblPrEx>
          <w:tblCellMar>
            <w:top w:w="0" w:type="dxa"/>
            <w:left w:w="108" w:type="dxa"/>
            <w:bottom w:w="0" w:type="dxa"/>
            <w:right w:w="108" w:type="dxa"/>
          </w:tblCellMar>
        </w:tblPrEx>
        <w:trPr>
          <w:trHeight w:val="1658" w:hRule="atLeast"/>
        </w:trPr>
        <w:tc>
          <w:tcPr>
            <w:tcW w:w="130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Cs w:val="21"/>
              </w:rPr>
            </w:pPr>
          </w:p>
        </w:tc>
        <w:tc>
          <w:tcPr>
            <w:tcW w:w="12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 xml:space="preserve">                                                                             动态调整（20分）</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支出控制</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10</w:t>
            </w:r>
          </w:p>
        </w:tc>
        <w:tc>
          <w:tcPr>
            <w:tcW w:w="186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部门公用经费及非定额公用支出控制情况。</w:t>
            </w:r>
          </w:p>
        </w:tc>
        <w:tc>
          <w:tcPr>
            <w:tcW w:w="296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计算部门日常公用经费、项目支出中“办公费、印刷费、水费、电费、物业管理费”等科目年初预算数与决算数偏差程度。                                                            预决算偏差程度在10%以内的，得10分。偏差度在10%-20%之间的，得5分，偏差度超过20%的，不得分。</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82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82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820" w:type="dxa"/>
            <w:tcBorders>
              <w:top w:val="nil"/>
              <w:left w:val="nil"/>
              <w:bottom w:val="single" w:color="auto" w:sz="4" w:space="0"/>
              <w:right w:val="single" w:color="auto" w:sz="4" w:space="0"/>
            </w:tcBorders>
            <w:shd w:val="clear" w:color="000000" w:fill="FDE9D9"/>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9</w:t>
            </w:r>
          </w:p>
        </w:tc>
        <w:tc>
          <w:tcPr>
            <w:tcW w:w="82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　</w:t>
            </w:r>
          </w:p>
        </w:tc>
      </w:tr>
      <w:tr>
        <w:tblPrEx>
          <w:tblCellMar>
            <w:top w:w="0" w:type="dxa"/>
            <w:left w:w="108" w:type="dxa"/>
            <w:bottom w:w="0" w:type="dxa"/>
            <w:right w:w="108" w:type="dxa"/>
          </w:tblCellMar>
        </w:tblPrEx>
        <w:trPr>
          <w:trHeight w:val="1380" w:hRule="atLeast"/>
        </w:trPr>
        <w:tc>
          <w:tcPr>
            <w:tcW w:w="130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Cs w:val="21"/>
              </w:rPr>
            </w:pPr>
          </w:p>
        </w:tc>
        <w:tc>
          <w:tcPr>
            <w:tcW w:w="120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kern w:val="0"/>
                <w:szCs w:val="21"/>
              </w:rPr>
            </w:pP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及时处置</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86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评价部门开展绩效运行监控后，将绩效监控结果应用到预算调整的情况。</w:t>
            </w:r>
          </w:p>
        </w:tc>
        <w:tc>
          <w:tcPr>
            <w:tcW w:w="296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 xml:space="preserve">绩效运行监控未发现问题或对发现问题提出预算收回、调整处置意见并加以落实的得5分。如存在未及时处置落实的，按未进行问题整改的项目数量/监控发现问题的项目总数×5分扣分，直至扣完。                                                </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82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82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820" w:type="dxa"/>
            <w:tcBorders>
              <w:top w:val="nil"/>
              <w:left w:val="nil"/>
              <w:bottom w:val="single" w:color="auto" w:sz="4" w:space="0"/>
              <w:right w:val="single" w:color="auto" w:sz="4" w:space="0"/>
            </w:tcBorders>
            <w:shd w:val="clear" w:color="000000" w:fill="FDE9D9"/>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82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　</w:t>
            </w:r>
          </w:p>
        </w:tc>
      </w:tr>
      <w:tr>
        <w:tblPrEx>
          <w:tblCellMar>
            <w:top w:w="0" w:type="dxa"/>
            <w:left w:w="108" w:type="dxa"/>
            <w:bottom w:w="0" w:type="dxa"/>
            <w:right w:w="108" w:type="dxa"/>
          </w:tblCellMar>
        </w:tblPrEx>
        <w:trPr>
          <w:trHeight w:val="1800" w:hRule="atLeast"/>
        </w:trPr>
        <w:tc>
          <w:tcPr>
            <w:tcW w:w="130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Cs w:val="21"/>
              </w:rPr>
            </w:pPr>
          </w:p>
        </w:tc>
        <w:tc>
          <w:tcPr>
            <w:tcW w:w="120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kern w:val="0"/>
                <w:szCs w:val="21"/>
              </w:rPr>
            </w:pP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执行进度</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86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评价部门在9月、11月的预算执行情况。</w:t>
            </w:r>
          </w:p>
        </w:tc>
        <w:tc>
          <w:tcPr>
            <w:tcW w:w="296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 xml:space="preserve">部门预算执行进度在9月、11月应达到序时进度的70%、90%，即实际支出进度分别达到67.5%、82.5%。                                                     9、11月部门预算执行进度达到量化指标的分别得3分、5分，未达到目标进度的的按其实际进度占目标进度的比重计算得分。                                             </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82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82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820" w:type="dxa"/>
            <w:tcBorders>
              <w:top w:val="nil"/>
              <w:left w:val="nil"/>
              <w:bottom w:val="single" w:color="auto" w:sz="4" w:space="0"/>
              <w:right w:val="single" w:color="auto" w:sz="4" w:space="0"/>
            </w:tcBorders>
            <w:shd w:val="clear" w:color="000000" w:fill="FDE9D9"/>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82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　</w:t>
            </w:r>
          </w:p>
        </w:tc>
      </w:tr>
      <w:tr>
        <w:tblPrEx>
          <w:tblCellMar>
            <w:top w:w="0" w:type="dxa"/>
            <w:left w:w="108" w:type="dxa"/>
            <w:bottom w:w="0" w:type="dxa"/>
            <w:right w:w="108" w:type="dxa"/>
          </w:tblCellMar>
        </w:tblPrEx>
        <w:trPr>
          <w:trHeight w:val="1163" w:hRule="atLeast"/>
        </w:trPr>
        <w:tc>
          <w:tcPr>
            <w:tcW w:w="130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Cs w:val="21"/>
              </w:rPr>
            </w:pPr>
          </w:p>
        </w:tc>
        <w:tc>
          <w:tcPr>
            <w:tcW w:w="12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完成结果（10分）</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资金结余率（低效无效率）</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86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 xml:space="preserve">评价部门预算项目年终资金结余情况。                 </w:t>
            </w:r>
          </w:p>
        </w:tc>
        <w:tc>
          <w:tcPr>
            <w:tcW w:w="296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部门预算项目资金结余率小于0.1的项目数/部门预算项目总数*5。</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82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82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820" w:type="dxa"/>
            <w:tcBorders>
              <w:top w:val="nil"/>
              <w:left w:val="nil"/>
              <w:bottom w:val="single" w:color="auto" w:sz="4" w:space="0"/>
              <w:right w:val="single" w:color="auto" w:sz="4" w:space="0"/>
            </w:tcBorders>
            <w:shd w:val="clear" w:color="000000" w:fill="FDE9D9"/>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82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　</w:t>
            </w:r>
          </w:p>
        </w:tc>
      </w:tr>
      <w:tr>
        <w:tblPrEx>
          <w:tblCellMar>
            <w:top w:w="0" w:type="dxa"/>
            <w:left w:w="108" w:type="dxa"/>
            <w:bottom w:w="0" w:type="dxa"/>
            <w:right w:w="108" w:type="dxa"/>
          </w:tblCellMar>
        </w:tblPrEx>
        <w:trPr>
          <w:trHeight w:val="960" w:hRule="atLeast"/>
        </w:trPr>
        <w:tc>
          <w:tcPr>
            <w:tcW w:w="130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Cs w:val="21"/>
              </w:rPr>
            </w:pPr>
          </w:p>
        </w:tc>
        <w:tc>
          <w:tcPr>
            <w:tcW w:w="120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kern w:val="0"/>
                <w:szCs w:val="21"/>
              </w:rPr>
            </w:pP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违规记录</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86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根据审计监督、财会监督和部门自查结果反映部门上一年度部门预算管理是否存在相关问题。</w:t>
            </w:r>
          </w:p>
        </w:tc>
        <w:tc>
          <w:tcPr>
            <w:tcW w:w="296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依据评价年度审计监督、财会监督和部门自查结果，出现未落实党政机关过紧日子相关要求，以及部门预算管理方面违纪违规等问题的，每个问题扣0.5分，直至扣完。</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82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820" w:type="dxa"/>
            <w:tcBorders>
              <w:top w:val="nil"/>
              <w:left w:val="nil"/>
              <w:bottom w:val="single" w:color="auto" w:sz="4" w:space="0"/>
              <w:right w:val="single" w:color="auto" w:sz="4" w:space="0"/>
            </w:tcBorders>
            <w:shd w:val="clear" w:color="000000" w:fill="FDE9D9"/>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82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tc>
      </w:tr>
      <w:tr>
        <w:tblPrEx>
          <w:tblCellMar>
            <w:top w:w="0" w:type="dxa"/>
            <w:left w:w="108" w:type="dxa"/>
            <w:bottom w:w="0" w:type="dxa"/>
            <w:right w:w="108" w:type="dxa"/>
          </w:tblCellMar>
        </w:tblPrEx>
        <w:trPr>
          <w:trHeight w:val="1223" w:hRule="atLeast"/>
        </w:trPr>
        <w:tc>
          <w:tcPr>
            <w:tcW w:w="13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绩效结果应用（30分）</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内部应用（10分）</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预算挂钩</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10</w:t>
            </w:r>
          </w:p>
        </w:tc>
        <w:tc>
          <w:tcPr>
            <w:tcW w:w="186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部门内部绩效结果与预算挂钩情况</w:t>
            </w:r>
          </w:p>
        </w:tc>
        <w:tc>
          <w:tcPr>
            <w:tcW w:w="296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 xml:space="preserve">将内设机构和下属单位绩效自评情况纳入内部考核体系，得5分；建立对内设机构和下属单位预算与绩效挂钩机制的，得5分；否则酌情扣分。    </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82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820" w:type="dxa"/>
            <w:tcBorders>
              <w:top w:val="nil"/>
              <w:left w:val="nil"/>
              <w:bottom w:val="single" w:color="auto" w:sz="4" w:space="0"/>
              <w:right w:val="single" w:color="auto" w:sz="4" w:space="0"/>
            </w:tcBorders>
            <w:shd w:val="clear" w:color="000000" w:fill="FDE9D9"/>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82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　</w:t>
            </w:r>
          </w:p>
        </w:tc>
      </w:tr>
      <w:tr>
        <w:tblPrEx>
          <w:tblCellMar>
            <w:top w:w="0" w:type="dxa"/>
            <w:left w:w="108" w:type="dxa"/>
            <w:bottom w:w="0" w:type="dxa"/>
            <w:right w:w="108" w:type="dxa"/>
          </w:tblCellMar>
        </w:tblPrEx>
        <w:trPr>
          <w:trHeight w:val="1080" w:hRule="atLeast"/>
        </w:trPr>
        <w:tc>
          <w:tcPr>
            <w:tcW w:w="130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Cs w:val="21"/>
              </w:rPr>
            </w:pP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信息公开（10分)</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自评公开</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10</w:t>
            </w:r>
          </w:p>
        </w:tc>
        <w:tc>
          <w:tcPr>
            <w:tcW w:w="186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评价部门是否按要求将部门整体绩效自评情况和自行组织的评价情况向社会公开。</w:t>
            </w:r>
          </w:p>
        </w:tc>
        <w:tc>
          <w:tcPr>
            <w:tcW w:w="296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按要求将相关绩效信息随同决算公开的，得10分，否则不得分。</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82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82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820" w:type="dxa"/>
            <w:tcBorders>
              <w:top w:val="nil"/>
              <w:left w:val="nil"/>
              <w:bottom w:val="single" w:color="auto" w:sz="4" w:space="0"/>
              <w:right w:val="single" w:color="auto" w:sz="4" w:space="0"/>
            </w:tcBorders>
            <w:shd w:val="clear" w:color="000000" w:fill="FDE9D9"/>
            <w:vAlign w:val="center"/>
          </w:tcPr>
          <w:p>
            <w:pPr>
              <w:widowControl/>
              <w:ind w:right="210"/>
              <w:jc w:val="right"/>
              <w:rPr>
                <w:rFonts w:ascii="仿宋_GB2312" w:hAnsi="仿宋_GB2312" w:eastAsia="仿宋_GB2312" w:cs="仿宋_GB2312"/>
                <w:kern w:val="0"/>
                <w:szCs w:val="21"/>
              </w:rPr>
            </w:pPr>
            <w:r>
              <w:rPr>
                <w:rFonts w:hint="eastAsia" w:ascii="仿宋_GB2312" w:hAnsi="仿宋_GB2312" w:eastAsia="仿宋_GB2312" w:cs="仿宋_GB2312"/>
                <w:kern w:val="0"/>
                <w:szCs w:val="21"/>
              </w:rPr>
              <w:t>10</w:t>
            </w:r>
          </w:p>
        </w:tc>
        <w:tc>
          <w:tcPr>
            <w:tcW w:w="82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　</w:t>
            </w:r>
          </w:p>
        </w:tc>
      </w:tr>
      <w:tr>
        <w:tblPrEx>
          <w:tblCellMar>
            <w:top w:w="0" w:type="dxa"/>
            <w:left w:w="108" w:type="dxa"/>
            <w:bottom w:w="0" w:type="dxa"/>
            <w:right w:w="108" w:type="dxa"/>
          </w:tblCellMar>
        </w:tblPrEx>
        <w:trPr>
          <w:trHeight w:val="1418" w:hRule="atLeast"/>
        </w:trPr>
        <w:tc>
          <w:tcPr>
            <w:tcW w:w="130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Cs w:val="21"/>
              </w:rPr>
            </w:pPr>
          </w:p>
        </w:tc>
        <w:tc>
          <w:tcPr>
            <w:tcW w:w="12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整改反馈（10分）</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问题整改</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86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评价部门根据绩效管理结果整改问题、完善政策、改进管理的情况。</w:t>
            </w:r>
          </w:p>
        </w:tc>
        <w:tc>
          <w:tcPr>
            <w:tcW w:w="296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针对绩效管理过程中（包括绩效目标核查、绩效监控核查和重点绩效评价）提出的问题进行整改，得5分，否则酌情扣分。</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82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820" w:type="dxa"/>
            <w:tcBorders>
              <w:top w:val="nil"/>
              <w:left w:val="nil"/>
              <w:bottom w:val="single" w:color="auto" w:sz="4" w:space="0"/>
              <w:right w:val="single" w:color="auto" w:sz="4" w:space="0"/>
            </w:tcBorders>
            <w:shd w:val="clear" w:color="000000" w:fill="FDE9D9"/>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10</w:t>
            </w:r>
          </w:p>
        </w:tc>
        <w:tc>
          <w:tcPr>
            <w:tcW w:w="82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　</w:t>
            </w:r>
          </w:p>
        </w:tc>
      </w:tr>
      <w:tr>
        <w:tblPrEx>
          <w:tblCellMar>
            <w:top w:w="0" w:type="dxa"/>
            <w:left w:w="108" w:type="dxa"/>
            <w:bottom w:w="0" w:type="dxa"/>
            <w:right w:w="108" w:type="dxa"/>
          </w:tblCellMar>
        </w:tblPrEx>
        <w:trPr>
          <w:trHeight w:val="1298" w:hRule="atLeast"/>
        </w:trPr>
        <w:tc>
          <w:tcPr>
            <w:tcW w:w="130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Cs w:val="21"/>
              </w:rPr>
            </w:pPr>
          </w:p>
        </w:tc>
        <w:tc>
          <w:tcPr>
            <w:tcW w:w="120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kern w:val="0"/>
                <w:szCs w:val="21"/>
              </w:rPr>
            </w:pP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应用反馈</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86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评价部门按要求及时向财政部门反馈结果应用情况。</w:t>
            </w:r>
          </w:p>
        </w:tc>
        <w:tc>
          <w:tcPr>
            <w:tcW w:w="296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部门在规定时间内向财政部门反馈应用绩效结果报告的，得5分，否则不得分。</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82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820" w:type="dxa"/>
            <w:tcBorders>
              <w:top w:val="nil"/>
              <w:left w:val="nil"/>
              <w:bottom w:val="single" w:color="auto" w:sz="4" w:space="0"/>
              <w:right w:val="single" w:color="auto" w:sz="4" w:space="0"/>
            </w:tcBorders>
            <w:shd w:val="clear" w:color="000000" w:fill="FDE9D9"/>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82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　</w:t>
            </w:r>
          </w:p>
        </w:tc>
      </w:tr>
      <w:tr>
        <w:tblPrEx>
          <w:tblCellMar>
            <w:top w:w="0" w:type="dxa"/>
            <w:left w:w="108" w:type="dxa"/>
            <w:bottom w:w="0" w:type="dxa"/>
            <w:right w:w="108" w:type="dxa"/>
          </w:tblCellMar>
        </w:tblPrEx>
        <w:trPr>
          <w:trHeight w:val="1260" w:hRule="atLeast"/>
        </w:trPr>
        <w:tc>
          <w:tcPr>
            <w:tcW w:w="3700"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扣分项（10分）</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10</w:t>
            </w:r>
          </w:p>
        </w:tc>
        <w:tc>
          <w:tcPr>
            <w:tcW w:w="186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被评价单位配合评价工作情况。</w:t>
            </w:r>
          </w:p>
        </w:tc>
        <w:tc>
          <w:tcPr>
            <w:tcW w:w="296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财政重点绩效评价工作开展过程中，评价组发现被评价对象拖延推诿、提交资料不及时等拒不配合评价工作的，经报财政局复核确认后按0.5分/次予以扣分，最高扣10分（此为财政重点绩效评价计分标准，部门参照该标准对部门及下属单位计分）。</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820" w:type="dxa"/>
            <w:tcBorders>
              <w:top w:val="nil"/>
              <w:left w:val="nil"/>
              <w:bottom w:val="single" w:color="auto" w:sz="4" w:space="0"/>
              <w:right w:val="single" w:color="auto" w:sz="4" w:space="0"/>
            </w:tcBorders>
            <w:shd w:val="clear" w:color="000000" w:fill="FDE9D9"/>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82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　</w:t>
            </w:r>
          </w:p>
        </w:tc>
      </w:tr>
      <w:tr>
        <w:tblPrEx>
          <w:tblCellMar>
            <w:top w:w="0" w:type="dxa"/>
            <w:left w:w="108" w:type="dxa"/>
            <w:bottom w:w="0" w:type="dxa"/>
            <w:right w:w="108" w:type="dxa"/>
          </w:tblCellMar>
        </w:tblPrEx>
        <w:trPr>
          <w:trHeight w:val="769" w:hRule="atLeast"/>
        </w:trPr>
        <w:tc>
          <w:tcPr>
            <w:tcW w:w="12620"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部 门 整 体 自 评 得 分</w:t>
            </w:r>
          </w:p>
        </w:tc>
        <w:tc>
          <w:tcPr>
            <w:tcW w:w="820" w:type="dxa"/>
            <w:tcBorders>
              <w:top w:val="nil"/>
              <w:left w:val="nil"/>
              <w:bottom w:val="single" w:color="auto" w:sz="4" w:space="0"/>
              <w:right w:val="single" w:color="auto" w:sz="4" w:space="0"/>
            </w:tcBorders>
            <w:shd w:val="clear" w:color="000000" w:fill="FDE9D9"/>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98</w:t>
            </w:r>
          </w:p>
        </w:tc>
        <w:tc>
          <w:tcPr>
            <w:tcW w:w="8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bl>
    <w:p>
      <w:pPr>
        <w:spacing w:line="600" w:lineRule="exact"/>
        <w:jc w:val="center"/>
        <w:rPr>
          <w:rFonts w:ascii="黑体" w:hAnsi="Cambria" w:eastAsia="黑体" w:cs="黑体"/>
          <w:sz w:val="44"/>
          <w:szCs w:val="44"/>
        </w:rPr>
      </w:pPr>
    </w:p>
    <w:p>
      <w:pPr>
        <w:spacing w:line="600" w:lineRule="exact"/>
        <w:jc w:val="center"/>
        <w:rPr>
          <w:rFonts w:ascii="黑体" w:hAnsi="Cambria" w:eastAsia="黑体" w:cs="黑体"/>
          <w:sz w:val="44"/>
          <w:szCs w:val="44"/>
        </w:rPr>
      </w:pPr>
    </w:p>
    <w:p>
      <w:pPr>
        <w:spacing w:line="600" w:lineRule="exact"/>
        <w:jc w:val="center"/>
        <w:rPr>
          <w:rFonts w:ascii="黑体" w:hAnsi="Cambria" w:eastAsia="黑体" w:cs="黑体"/>
          <w:sz w:val="44"/>
          <w:szCs w:val="44"/>
        </w:rPr>
      </w:pPr>
    </w:p>
    <w:p>
      <w:pPr>
        <w:spacing w:line="600" w:lineRule="exact"/>
        <w:jc w:val="center"/>
        <w:rPr>
          <w:rFonts w:ascii="黑体" w:hAnsi="Cambria" w:eastAsia="黑体" w:cs="黑体"/>
          <w:sz w:val="44"/>
          <w:szCs w:val="44"/>
        </w:rPr>
      </w:pPr>
    </w:p>
    <w:p>
      <w:pPr>
        <w:spacing w:line="600" w:lineRule="exact"/>
        <w:jc w:val="center"/>
        <w:rPr>
          <w:rFonts w:ascii="黑体" w:hAnsi="Cambria" w:eastAsia="黑体" w:cs="黑体"/>
          <w:sz w:val="44"/>
          <w:szCs w:val="44"/>
        </w:rPr>
      </w:pPr>
    </w:p>
    <w:p>
      <w:pPr>
        <w:spacing w:line="600" w:lineRule="exact"/>
        <w:jc w:val="center"/>
        <w:rPr>
          <w:rFonts w:ascii="黑体" w:hAnsi="Cambria" w:eastAsia="黑体" w:cs="黑体"/>
          <w:sz w:val="44"/>
          <w:szCs w:val="44"/>
        </w:rPr>
      </w:pPr>
    </w:p>
    <w:p>
      <w:pPr>
        <w:spacing w:line="600" w:lineRule="exact"/>
        <w:jc w:val="center"/>
        <w:rPr>
          <w:rFonts w:ascii="黑体" w:hAnsi="Cambria" w:eastAsia="黑体" w:cs="黑体"/>
          <w:sz w:val="44"/>
          <w:szCs w:val="44"/>
        </w:rPr>
        <w:sectPr>
          <w:pgSz w:w="16838" w:h="11906" w:orient="landscape"/>
          <w:pgMar w:top="1800" w:right="1440" w:bottom="1800" w:left="1440" w:header="851" w:footer="992" w:gutter="0"/>
          <w:cols w:space="425" w:num="1"/>
          <w:docGrid w:type="lines" w:linePitch="312" w:charSpace="0"/>
        </w:sectPr>
      </w:pPr>
    </w:p>
    <w:p>
      <w:pPr>
        <w:spacing w:line="600" w:lineRule="exact"/>
        <w:rPr>
          <w:rFonts w:ascii="黑体" w:hAnsi="Cambria" w:eastAsia="黑体" w:cs="黑体"/>
          <w:sz w:val="44"/>
          <w:szCs w:val="44"/>
        </w:rPr>
      </w:pPr>
    </w:p>
    <w:p>
      <w:pPr>
        <w:spacing w:line="600" w:lineRule="exact"/>
        <w:jc w:val="center"/>
        <w:rPr>
          <w:rFonts w:ascii="黑体" w:hAnsi="Cambria" w:eastAsia="黑体" w:cs="黑体"/>
          <w:sz w:val="44"/>
          <w:szCs w:val="44"/>
        </w:rPr>
      </w:pPr>
    </w:p>
    <w:p>
      <w:pPr>
        <w:spacing w:line="600" w:lineRule="exact"/>
        <w:jc w:val="center"/>
        <w:rPr>
          <w:rFonts w:ascii="黑体" w:hAnsi="Cambria" w:eastAsia="黑体" w:cs="黑体"/>
          <w:kern w:val="44"/>
          <w:sz w:val="44"/>
          <w:szCs w:val="44"/>
        </w:rPr>
      </w:pPr>
      <w:r>
        <w:rPr>
          <w:rFonts w:hint="eastAsia" w:ascii="黑体" w:hAnsi="Cambria" w:eastAsia="黑体" w:cs="黑体"/>
          <w:sz w:val="44"/>
          <w:szCs w:val="44"/>
        </w:rPr>
        <w:t>第</w:t>
      </w:r>
      <w:r>
        <w:rPr>
          <w:rFonts w:hint="eastAsia" w:ascii="黑体" w:hAnsi="Cambria" w:eastAsia="黑体" w:cs="黑体"/>
          <w:kern w:val="44"/>
          <w:sz w:val="44"/>
          <w:szCs w:val="44"/>
        </w:rPr>
        <w:t>五部分</w:t>
      </w:r>
      <w:r>
        <w:rPr>
          <w:rFonts w:ascii="黑体" w:hAnsi="Cambria" w:eastAsia="黑体" w:cs="黑体"/>
          <w:kern w:val="44"/>
          <w:sz w:val="44"/>
          <w:szCs w:val="44"/>
        </w:rPr>
        <w:t xml:space="preserve"> </w:t>
      </w:r>
      <w:r>
        <w:rPr>
          <w:rFonts w:hint="eastAsia" w:ascii="黑体" w:hAnsi="Cambria" w:eastAsia="黑体" w:cs="黑体"/>
          <w:kern w:val="44"/>
          <w:sz w:val="44"/>
          <w:szCs w:val="44"/>
        </w:rPr>
        <w:t>附表</w:t>
      </w:r>
    </w:p>
    <w:p>
      <w:pPr>
        <w:spacing w:line="600" w:lineRule="exact"/>
        <w:rPr>
          <w:rFonts w:ascii="仿宋" w:hAnsi="Cambria" w:eastAsia="仿宋" w:cs="仿宋"/>
          <w:sz w:val="32"/>
          <w:szCs w:val="32"/>
        </w:rPr>
      </w:pPr>
      <w:r>
        <w:rPr>
          <w:rFonts w:hint="eastAsia" w:ascii="仿宋" w:hAnsi="Cambria" w:eastAsia="仿宋" w:cs="仿宋"/>
          <w:sz w:val="32"/>
          <w:szCs w:val="32"/>
        </w:rPr>
        <w:t>一、收入支出决算总表</w:t>
      </w:r>
    </w:p>
    <w:p>
      <w:pPr>
        <w:spacing w:line="600" w:lineRule="exact"/>
        <w:rPr>
          <w:rFonts w:ascii="仿宋" w:hAnsi="Cambria" w:eastAsia="仿宋" w:cs="仿宋"/>
          <w:sz w:val="32"/>
          <w:szCs w:val="32"/>
        </w:rPr>
      </w:pPr>
      <w:r>
        <w:rPr>
          <w:rFonts w:hint="eastAsia" w:ascii="仿宋" w:hAnsi="Cambria" w:eastAsia="仿宋" w:cs="仿宋"/>
          <w:sz w:val="32"/>
          <w:szCs w:val="32"/>
        </w:rPr>
        <w:t>二、收入决算表</w:t>
      </w:r>
    </w:p>
    <w:p>
      <w:pPr>
        <w:spacing w:line="600" w:lineRule="exact"/>
        <w:rPr>
          <w:rFonts w:ascii="仿宋" w:hAnsi="Cambria" w:eastAsia="仿宋" w:cs="仿宋"/>
          <w:sz w:val="32"/>
          <w:szCs w:val="32"/>
        </w:rPr>
      </w:pPr>
      <w:r>
        <w:rPr>
          <w:rFonts w:hint="eastAsia" w:ascii="仿宋" w:hAnsi="Cambria" w:eastAsia="仿宋" w:cs="仿宋"/>
          <w:sz w:val="32"/>
          <w:szCs w:val="32"/>
        </w:rPr>
        <w:t>三、支出决算表</w:t>
      </w:r>
    </w:p>
    <w:p>
      <w:pPr>
        <w:spacing w:line="600" w:lineRule="exact"/>
        <w:rPr>
          <w:rFonts w:ascii="仿宋" w:hAnsi="Cambria" w:eastAsia="仿宋" w:cs="仿宋"/>
          <w:sz w:val="32"/>
          <w:szCs w:val="32"/>
        </w:rPr>
      </w:pPr>
      <w:r>
        <w:rPr>
          <w:rFonts w:hint="eastAsia" w:ascii="仿宋" w:hAnsi="Cambria" w:eastAsia="仿宋" w:cs="仿宋"/>
          <w:sz w:val="32"/>
          <w:szCs w:val="32"/>
        </w:rPr>
        <w:t>四、财政拨款收入支出决算总表</w:t>
      </w:r>
    </w:p>
    <w:p>
      <w:pPr>
        <w:spacing w:line="600" w:lineRule="exact"/>
        <w:rPr>
          <w:rFonts w:ascii="仿宋" w:hAnsi="Cambria" w:eastAsia="仿宋" w:cs="仿宋"/>
          <w:sz w:val="32"/>
          <w:szCs w:val="32"/>
        </w:rPr>
      </w:pPr>
      <w:r>
        <w:rPr>
          <w:rFonts w:hint="eastAsia" w:ascii="仿宋" w:hAnsi="Cambria" w:eastAsia="仿宋" w:cs="仿宋"/>
          <w:sz w:val="32"/>
          <w:szCs w:val="32"/>
        </w:rPr>
        <w:t>五、财政拨款支出决算明细表</w:t>
      </w:r>
    </w:p>
    <w:p>
      <w:pPr>
        <w:spacing w:line="600" w:lineRule="exact"/>
        <w:rPr>
          <w:rFonts w:ascii="仿宋" w:hAnsi="Cambria" w:eastAsia="仿宋" w:cs="仿宋"/>
          <w:sz w:val="32"/>
          <w:szCs w:val="32"/>
        </w:rPr>
      </w:pPr>
      <w:r>
        <w:rPr>
          <w:rFonts w:hint="eastAsia" w:ascii="仿宋" w:hAnsi="Cambria" w:eastAsia="仿宋" w:cs="仿宋"/>
          <w:sz w:val="32"/>
          <w:szCs w:val="32"/>
        </w:rPr>
        <w:t>六、一般公共预算财政拨款支出决算表</w:t>
      </w:r>
    </w:p>
    <w:p>
      <w:pPr>
        <w:spacing w:line="600" w:lineRule="exact"/>
        <w:rPr>
          <w:rFonts w:ascii="仿宋" w:hAnsi="Cambria" w:eastAsia="仿宋" w:cs="仿宋"/>
          <w:sz w:val="32"/>
          <w:szCs w:val="32"/>
        </w:rPr>
      </w:pPr>
      <w:r>
        <w:rPr>
          <w:rFonts w:hint="eastAsia" w:ascii="仿宋" w:hAnsi="Cambria" w:eastAsia="仿宋" w:cs="仿宋"/>
          <w:sz w:val="32"/>
          <w:szCs w:val="32"/>
        </w:rPr>
        <w:t>七、一般公共预算财政拨款支出决算明细表</w:t>
      </w:r>
    </w:p>
    <w:p>
      <w:pPr>
        <w:spacing w:line="600" w:lineRule="exact"/>
        <w:rPr>
          <w:rFonts w:ascii="仿宋" w:hAnsi="Cambria" w:eastAsia="仿宋" w:cs="仿宋"/>
          <w:sz w:val="32"/>
          <w:szCs w:val="32"/>
        </w:rPr>
      </w:pPr>
      <w:r>
        <w:rPr>
          <w:rFonts w:hint="eastAsia" w:ascii="仿宋" w:hAnsi="Cambria" w:eastAsia="仿宋" w:cs="仿宋"/>
          <w:sz w:val="32"/>
          <w:szCs w:val="32"/>
        </w:rPr>
        <w:t>八、一般公共预算财政拨款基本支出决算表</w:t>
      </w:r>
    </w:p>
    <w:p>
      <w:pPr>
        <w:spacing w:line="600" w:lineRule="exact"/>
        <w:rPr>
          <w:rFonts w:ascii="仿宋" w:hAnsi="Cambria" w:eastAsia="仿宋" w:cs="仿宋"/>
          <w:sz w:val="32"/>
          <w:szCs w:val="32"/>
        </w:rPr>
      </w:pPr>
      <w:r>
        <w:rPr>
          <w:rFonts w:hint="eastAsia" w:ascii="仿宋" w:hAnsi="Cambria" w:eastAsia="仿宋" w:cs="仿宋"/>
          <w:sz w:val="32"/>
          <w:szCs w:val="32"/>
        </w:rPr>
        <w:t>九、一般公共预算财政拨款项目支出决算表</w:t>
      </w:r>
    </w:p>
    <w:p>
      <w:pPr>
        <w:spacing w:line="600" w:lineRule="exact"/>
        <w:rPr>
          <w:rFonts w:ascii="仿宋" w:hAnsi="Cambria" w:eastAsia="仿宋" w:cs="仿宋"/>
          <w:sz w:val="32"/>
          <w:szCs w:val="32"/>
        </w:rPr>
      </w:pPr>
      <w:r>
        <w:rPr>
          <w:rFonts w:hint="eastAsia" w:ascii="仿宋" w:hAnsi="Cambria" w:eastAsia="仿宋" w:cs="仿宋"/>
          <w:sz w:val="32"/>
          <w:szCs w:val="32"/>
        </w:rPr>
        <w:t>十、政府性基金预算财政拨款收入支出决算表</w:t>
      </w:r>
    </w:p>
    <w:p>
      <w:pPr>
        <w:spacing w:line="600" w:lineRule="exact"/>
        <w:rPr>
          <w:rFonts w:ascii="仿宋" w:hAnsi="Cambria" w:eastAsia="仿宋" w:cs="仿宋"/>
          <w:sz w:val="32"/>
          <w:szCs w:val="32"/>
        </w:rPr>
      </w:pPr>
      <w:r>
        <w:rPr>
          <w:rFonts w:hint="eastAsia" w:ascii="仿宋" w:hAnsi="Cambria" w:eastAsia="仿宋" w:cs="仿宋"/>
          <w:sz w:val="32"/>
          <w:szCs w:val="32"/>
        </w:rPr>
        <w:t>十一、国有资本经营预算财政拨款收入支出决算表</w:t>
      </w:r>
    </w:p>
    <w:p>
      <w:pPr>
        <w:spacing w:line="600" w:lineRule="exact"/>
        <w:rPr>
          <w:rFonts w:ascii="仿宋" w:hAnsi="Cambria" w:eastAsia="仿宋" w:cs="仿宋"/>
          <w:sz w:val="32"/>
          <w:szCs w:val="32"/>
        </w:rPr>
      </w:pPr>
      <w:r>
        <w:rPr>
          <w:rFonts w:hint="eastAsia" w:ascii="仿宋" w:hAnsi="Cambria" w:eastAsia="仿宋" w:cs="仿宋"/>
          <w:sz w:val="32"/>
          <w:szCs w:val="32"/>
        </w:rPr>
        <w:t>十二、国有资本经营预算财政拨款支出决算表</w:t>
      </w:r>
    </w:p>
    <w:p>
      <w:pPr>
        <w:spacing w:line="600" w:lineRule="exact"/>
        <w:rPr>
          <w:rFonts w:ascii="仿宋" w:hAnsi="Cambria" w:eastAsia="仿宋" w:cs="仿宋"/>
          <w:b/>
          <w:bCs/>
          <w:sz w:val="32"/>
          <w:szCs w:val="32"/>
        </w:rPr>
      </w:pPr>
      <w:r>
        <w:rPr>
          <w:rFonts w:hint="eastAsia" w:ascii="仿宋" w:hAnsi="Cambria" w:eastAsia="仿宋" w:cs="仿宋"/>
          <w:sz w:val="32"/>
          <w:szCs w:val="32"/>
        </w:rPr>
        <w:t>十三、财政拨款</w:t>
      </w:r>
      <w:r>
        <w:rPr>
          <w:rFonts w:ascii="仿宋" w:hAnsi="Cambria" w:eastAsia="仿宋" w:cs="仿宋"/>
          <w:sz w:val="32"/>
          <w:szCs w:val="32"/>
        </w:rPr>
        <w:t>“</w:t>
      </w:r>
      <w:r>
        <w:rPr>
          <w:rFonts w:hint="eastAsia" w:ascii="仿宋" w:hAnsi="Cambria" w:eastAsia="仿宋" w:cs="仿宋"/>
          <w:sz w:val="32"/>
          <w:szCs w:val="32"/>
        </w:rPr>
        <w:t>三公</w:t>
      </w:r>
      <w:r>
        <w:rPr>
          <w:rFonts w:ascii="仿宋" w:hAnsi="Cambria" w:eastAsia="仿宋" w:cs="仿宋"/>
          <w:sz w:val="32"/>
          <w:szCs w:val="32"/>
        </w:rPr>
        <w:t>”</w:t>
      </w:r>
      <w:r>
        <w:rPr>
          <w:rFonts w:hint="eastAsia" w:ascii="仿宋" w:hAnsi="Cambria" w:eastAsia="仿宋" w:cs="仿宋"/>
          <w:sz w:val="32"/>
          <w:szCs w:val="32"/>
        </w:rPr>
        <w:t>经费支出决算表</w:t>
      </w:r>
    </w:p>
    <w:p>
      <w:pPr>
        <w:ind w:firstLine="643" w:firstLineChars="200"/>
        <w:rPr>
          <w:rFonts w:ascii="楷体_GB2312" w:hAnsi="仿宋" w:eastAsia="楷体_GB2312"/>
          <w:b/>
          <w:sz w:val="32"/>
          <w:szCs w:val="32"/>
        </w:rPr>
      </w:pPr>
    </w:p>
    <w:p>
      <w:pPr>
        <w:ind w:firstLine="643" w:firstLineChars="200"/>
        <w:rPr>
          <w:rFonts w:ascii="楷体_GB2312" w:hAnsi="仿宋" w:eastAsia="楷体_GB2312"/>
          <w:b/>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6"/>
      </w:rPr>
    </w:pPr>
    <w:r>
      <w:rPr>
        <w:rStyle w:val="16"/>
      </w:rPr>
      <w:fldChar w:fldCharType="begin"/>
    </w:r>
    <w:r>
      <w:rPr>
        <w:rStyle w:val="16"/>
      </w:rPr>
      <w:instrText xml:space="preserve">PAGE  </w:instrText>
    </w:r>
    <w:r>
      <w:rPr>
        <w:rStyle w:val="16"/>
      </w:rPr>
      <w:fldChar w:fldCharType="separate"/>
    </w:r>
    <w:r>
      <w:rPr>
        <w:rStyle w:val="16"/>
      </w:rPr>
      <w:t>2</w:t>
    </w:r>
    <w:r>
      <w:rPr>
        <w:rStyle w:val="16"/>
      </w:rPr>
      <w:fldChar w:fldCharType="end"/>
    </w:r>
  </w:p>
  <w:p>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6"/>
      </w:rPr>
    </w:pPr>
    <w:r>
      <w:rPr>
        <w:rStyle w:val="16"/>
      </w:rPr>
      <w:fldChar w:fldCharType="begin"/>
    </w:r>
    <w:r>
      <w:rPr>
        <w:rStyle w:val="16"/>
      </w:rPr>
      <w:instrText xml:space="preserve">PAGE  </w:instrText>
    </w:r>
    <w:r>
      <w:rPr>
        <w:rStyle w:val="16"/>
      </w:rPr>
      <w:fldChar w:fldCharType="end"/>
    </w:r>
  </w:p>
  <w:p>
    <w:pPr>
      <w:pStyle w:val="9"/>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EFC"/>
    <w:rsid w:val="0000125F"/>
    <w:rsid w:val="00001B26"/>
    <w:rsid w:val="00002ECA"/>
    <w:rsid w:val="00011046"/>
    <w:rsid w:val="0001148D"/>
    <w:rsid w:val="0001400A"/>
    <w:rsid w:val="00016571"/>
    <w:rsid w:val="0001728C"/>
    <w:rsid w:val="00025EC7"/>
    <w:rsid w:val="00026E1E"/>
    <w:rsid w:val="0003597B"/>
    <w:rsid w:val="0004429C"/>
    <w:rsid w:val="00046AD7"/>
    <w:rsid w:val="00051C98"/>
    <w:rsid w:val="0005234B"/>
    <w:rsid w:val="00052F8D"/>
    <w:rsid w:val="00055F4D"/>
    <w:rsid w:val="00055F72"/>
    <w:rsid w:val="00057140"/>
    <w:rsid w:val="000632C1"/>
    <w:rsid w:val="00065FBE"/>
    <w:rsid w:val="0007482E"/>
    <w:rsid w:val="00076F03"/>
    <w:rsid w:val="00076F3E"/>
    <w:rsid w:val="000810B7"/>
    <w:rsid w:val="00085657"/>
    <w:rsid w:val="000917EB"/>
    <w:rsid w:val="0009227D"/>
    <w:rsid w:val="000A2994"/>
    <w:rsid w:val="000A2B84"/>
    <w:rsid w:val="000B05B7"/>
    <w:rsid w:val="000B1F2D"/>
    <w:rsid w:val="000B53B6"/>
    <w:rsid w:val="000C0D05"/>
    <w:rsid w:val="000C0FB7"/>
    <w:rsid w:val="000D4308"/>
    <w:rsid w:val="000E5E2D"/>
    <w:rsid w:val="000F3D0A"/>
    <w:rsid w:val="000F67AD"/>
    <w:rsid w:val="00112DBA"/>
    <w:rsid w:val="00122E50"/>
    <w:rsid w:val="001263C9"/>
    <w:rsid w:val="001277C3"/>
    <w:rsid w:val="0013110D"/>
    <w:rsid w:val="001410E9"/>
    <w:rsid w:val="001436F2"/>
    <w:rsid w:val="00144613"/>
    <w:rsid w:val="001479C0"/>
    <w:rsid w:val="00157C34"/>
    <w:rsid w:val="00160F9F"/>
    <w:rsid w:val="00161369"/>
    <w:rsid w:val="00166C24"/>
    <w:rsid w:val="00184084"/>
    <w:rsid w:val="00187B0C"/>
    <w:rsid w:val="00191FC3"/>
    <w:rsid w:val="00197F3C"/>
    <w:rsid w:val="001A05DD"/>
    <w:rsid w:val="001A6AFE"/>
    <w:rsid w:val="001B2518"/>
    <w:rsid w:val="001B37D9"/>
    <w:rsid w:val="001B4078"/>
    <w:rsid w:val="001B5D8B"/>
    <w:rsid w:val="001B7838"/>
    <w:rsid w:val="001C7163"/>
    <w:rsid w:val="001D0DDC"/>
    <w:rsid w:val="001D38CB"/>
    <w:rsid w:val="001D70BE"/>
    <w:rsid w:val="001D7944"/>
    <w:rsid w:val="001E30C5"/>
    <w:rsid w:val="001E70A0"/>
    <w:rsid w:val="001E7430"/>
    <w:rsid w:val="001F0A8C"/>
    <w:rsid w:val="001F6125"/>
    <w:rsid w:val="00207A2C"/>
    <w:rsid w:val="00211052"/>
    <w:rsid w:val="002164AB"/>
    <w:rsid w:val="0022747D"/>
    <w:rsid w:val="00227D71"/>
    <w:rsid w:val="00233277"/>
    <w:rsid w:val="00250AF3"/>
    <w:rsid w:val="0025513A"/>
    <w:rsid w:val="00274C47"/>
    <w:rsid w:val="002755D0"/>
    <w:rsid w:val="002761AD"/>
    <w:rsid w:val="00282CF7"/>
    <w:rsid w:val="00286BAF"/>
    <w:rsid w:val="00291341"/>
    <w:rsid w:val="002918FB"/>
    <w:rsid w:val="00296C90"/>
    <w:rsid w:val="002A50E7"/>
    <w:rsid w:val="002B3DDB"/>
    <w:rsid w:val="002B616A"/>
    <w:rsid w:val="002D2321"/>
    <w:rsid w:val="002D49D9"/>
    <w:rsid w:val="002E22BD"/>
    <w:rsid w:val="002F1C3E"/>
    <w:rsid w:val="002F666E"/>
    <w:rsid w:val="00304C22"/>
    <w:rsid w:val="00311753"/>
    <w:rsid w:val="003118F5"/>
    <w:rsid w:val="003165B6"/>
    <w:rsid w:val="00320677"/>
    <w:rsid w:val="0032185D"/>
    <w:rsid w:val="00333A79"/>
    <w:rsid w:val="00350991"/>
    <w:rsid w:val="00355F9C"/>
    <w:rsid w:val="00357880"/>
    <w:rsid w:val="00361E60"/>
    <w:rsid w:val="00364AE2"/>
    <w:rsid w:val="0036647E"/>
    <w:rsid w:val="00367A7A"/>
    <w:rsid w:val="00373D19"/>
    <w:rsid w:val="00377CB5"/>
    <w:rsid w:val="0038017A"/>
    <w:rsid w:val="00395D37"/>
    <w:rsid w:val="00396C75"/>
    <w:rsid w:val="00397D0B"/>
    <w:rsid w:val="003A00EE"/>
    <w:rsid w:val="003B3D91"/>
    <w:rsid w:val="003C4437"/>
    <w:rsid w:val="003C5BA5"/>
    <w:rsid w:val="003D1414"/>
    <w:rsid w:val="003D72B6"/>
    <w:rsid w:val="003E4E61"/>
    <w:rsid w:val="003F19F0"/>
    <w:rsid w:val="003F20AB"/>
    <w:rsid w:val="003F2B41"/>
    <w:rsid w:val="003F6204"/>
    <w:rsid w:val="00412E52"/>
    <w:rsid w:val="004215EF"/>
    <w:rsid w:val="0042484E"/>
    <w:rsid w:val="004272F3"/>
    <w:rsid w:val="00437D58"/>
    <w:rsid w:val="00441ECB"/>
    <w:rsid w:val="004427B5"/>
    <w:rsid w:val="004448B7"/>
    <w:rsid w:val="004468A8"/>
    <w:rsid w:val="00453F6E"/>
    <w:rsid w:val="00460452"/>
    <w:rsid w:val="0046199E"/>
    <w:rsid w:val="00464321"/>
    <w:rsid w:val="004652D3"/>
    <w:rsid w:val="0047295F"/>
    <w:rsid w:val="00481649"/>
    <w:rsid w:val="00493006"/>
    <w:rsid w:val="00497AA6"/>
    <w:rsid w:val="004A28EB"/>
    <w:rsid w:val="004A66E5"/>
    <w:rsid w:val="004B1447"/>
    <w:rsid w:val="004B49C0"/>
    <w:rsid w:val="004B7850"/>
    <w:rsid w:val="004C0642"/>
    <w:rsid w:val="004C2772"/>
    <w:rsid w:val="004D141F"/>
    <w:rsid w:val="004D18D7"/>
    <w:rsid w:val="004D60DF"/>
    <w:rsid w:val="004D78C1"/>
    <w:rsid w:val="00500F51"/>
    <w:rsid w:val="00503BC7"/>
    <w:rsid w:val="00503C4D"/>
    <w:rsid w:val="00505E79"/>
    <w:rsid w:val="00512751"/>
    <w:rsid w:val="005155B2"/>
    <w:rsid w:val="0051583C"/>
    <w:rsid w:val="005172CE"/>
    <w:rsid w:val="00521DFF"/>
    <w:rsid w:val="0052767A"/>
    <w:rsid w:val="00537E96"/>
    <w:rsid w:val="00550091"/>
    <w:rsid w:val="00552C9C"/>
    <w:rsid w:val="00560ADC"/>
    <w:rsid w:val="00565054"/>
    <w:rsid w:val="00575AB4"/>
    <w:rsid w:val="0059436A"/>
    <w:rsid w:val="005A1223"/>
    <w:rsid w:val="005A7D3C"/>
    <w:rsid w:val="005B1613"/>
    <w:rsid w:val="005C19F9"/>
    <w:rsid w:val="005C3D61"/>
    <w:rsid w:val="005C551A"/>
    <w:rsid w:val="005D193F"/>
    <w:rsid w:val="005F2583"/>
    <w:rsid w:val="006051FC"/>
    <w:rsid w:val="00606519"/>
    <w:rsid w:val="006209AD"/>
    <w:rsid w:val="006247C6"/>
    <w:rsid w:val="00632741"/>
    <w:rsid w:val="00634EBA"/>
    <w:rsid w:val="006356EB"/>
    <w:rsid w:val="006513F2"/>
    <w:rsid w:val="006633C1"/>
    <w:rsid w:val="00663CA6"/>
    <w:rsid w:val="00666E28"/>
    <w:rsid w:val="00670AF8"/>
    <w:rsid w:val="00675A74"/>
    <w:rsid w:val="00676692"/>
    <w:rsid w:val="00676DC3"/>
    <w:rsid w:val="00680439"/>
    <w:rsid w:val="00683350"/>
    <w:rsid w:val="006835BA"/>
    <w:rsid w:val="00683D09"/>
    <w:rsid w:val="006877AC"/>
    <w:rsid w:val="00691907"/>
    <w:rsid w:val="0069207A"/>
    <w:rsid w:val="006972D0"/>
    <w:rsid w:val="00697CCC"/>
    <w:rsid w:val="006A2422"/>
    <w:rsid w:val="006A3A9F"/>
    <w:rsid w:val="006A69BC"/>
    <w:rsid w:val="006B0BE7"/>
    <w:rsid w:val="006B49F1"/>
    <w:rsid w:val="006B6349"/>
    <w:rsid w:val="006B6A1D"/>
    <w:rsid w:val="006C1F53"/>
    <w:rsid w:val="006C2D84"/>
    <w:rsid w:val="006D0AD1"/>
    <w:rsid w:val="006D28DE"/>
    <w:rsid w:val="006D3195"/>
    <w:rsid w:val="006D3C39"/>
    <w:rsid w:val="006E26BB"/>
    <w:rsid w:val="006E6ADE"/>
    <w:rsid w:val="006F06AD"/>
    <w:rsid w:val="007118B1"/>
    <w:rsid w:val="00712E50"/>
    <w:rsid w:val="0071540A"/>
    <w:rsid w:val="00734E0C"/>
    <w:rsid w:val="007350DA"/>
    <w:rsid w:val="0074052A"/>
    <w:rsid w:val="00740639"/>
    <w:rsid w:val="00743680"/>
    <w:rsid w:val="00745100"/>
    <w:rsid w:val="00747CF1"/>
    <w:rsid w:val="0075401F"/>
    <w:rsid w:val="00755E33"/>
    <w:rsid w:val="007632CD"/>
    <w:rsid w:val="00765BA5"/>
    <w:rsid w:val="00767C7A"/>
    <w:rsid w:val="007713DC"/>
    <w:rsid w:val="007725BA"/>
    <w:rsid w:val="00776454"/>
    <w:rsid w:val="0077646F"/>
    <w:rsid w:val="00781DA7"/>
    <w:rsid w:val="00782B94"/>
    <w:rsid w:val="00783574"/>
    <w:rsid w:val="0078522D"/>
    <w:rsid w:val="00794C98"/>
    <w:rsid w:val="00795439"/>
    <w:rsid w:val="007B27AD"/>
    <w:rsid w:val="007B37CA"/>
    <w:rsid w:val="007B3D67"/>
    <w:rsid w:val="007B5A7F"/>
    <w:rsid w:val="007B6DDF"/>
    <w:rsid w:val="007C0708"/>
    <w:rsid w:val="007C144F"/>
    <w:rsid w:val="007C62E7"/>
    <w:rsid w:val="007C69C9"/>
    <w:rsid w:val="007D0C90"/>
    <w:rsid w:val="007D52AB"/>
    <w:rsid w:val="007D5B92"/>
    <w:rsid w:val="007D6BBD"/>
    <w:rsid w:val="007F0FA2"/>
    <w:rsid w:val="007F3825"/>
    <w:rsid w:val="007F47BE"/>
    <w:rsid w:val="007F6E0F"/>
    <w:rsid w:val="007F7709"/>
    <w:rsid w:val="008052D7"/>
    <w:rsid w:val="00807213"/>
    <w:rsid w:val="00811F7C"/>
    <w:rsid w:val="00812DC9"/>
    <w:rsid w:val="00812E1E"/>
    <w:rsid w:val="00813F24"/>
    <w:rsid w:val="00815D66"/>
    <w:rsid w:val="008179B3"/>
    <w:rsid w:val="008250A6"/>
    <w:rsid w:val="00826722"/>
    <w:rsid w:val="00841026"/>
    <w:rsid w:val="008441E8"/>
    <w:rsid w:val="008535D5"/>
    <w:rsid w:val="00855CC4"/>
    <w:rsid w:val="00857FED"/>
    <w:rsid w:val="008644EC"/>
    <w:rsid w:val="00864DC9"/>
    <w:rsid w:val="00867B6E"/>
    <w:rsid w:val="00871295"/>
    <w:rsid w:val="00886941"/>
    <w:rsid w:val="0088787F"/>
    <w:rsid w:val="00893D08"/>
    <w:rsid w:val="00895235"/>
    <w:rsid w:val="008A0772"/>
    <w:rsid w:val="008B3D74"/>
    <w:rsid w:val="008B5B2F"/>
    <w:rsid w:val="008B7017"/>
    <w:rsid w:val="008B7691"/>
    <w:rsid w:val="008C3ED9"/>
    <w:rsid w:val="008D07C3"/>
    <w:rsid w:val="008D2C33"/>
    <w:rsid w:val="008D3DE6"/>
    <w:rsid w:val="008E0042"/>
    <w:rsid w:val="008E5464"/>
    <w:rsid w:val="008F1553"/>
    <w:rsid w:val="008F61DC"/>
    <w:rsid w:val="00901342"/>
    <w:rsid w:val="0091127A"/>
    <w:rsid w:val="00912360"/>
    <w:rsid w:val="00914D43"/>
    <w:rsid w:val="009242B9"/>
    <w:rsid w:val="00926B8D"/>
    <w:rsid w:val="00933103"/>
    <w:rsid w:val="00936C47"/>
    <w:rsid w:val="00940625"/>
    <w:rsid w:val="009516D4"/>
    <w:rsid w:val="00953E7C"/>
    <w:rsid w:val="00961DEA"/>
    <w:rsid w:val="00961EA8"/>
    <w:rsid w:val="009762E0"/>
    <w:rsid w:val="00977145"/>
    <w:rsid w:val="009857C4"/>
    <w:rsid w:val="0099024E"/>
    <w:rsid w:val="009952B8"/>
    <w:rsid w:val="009B4A1D"/>
    <w:rsid w:val="009C4DAD"/>
    <w:rsid w:val="009C5B9F"/>
    <w:rsid w:val="009E7EFB"/>
    <w:rsid w:val="009F1277"/>
    <w:rsid w:val="009F6E5C"/>
    <w:rsid w:val="00A02F6A"/>
    <w:rsid w:val="00A046B9"/>
    <w:rsid w:val="00A0565D"/>
    <w:rsid w:val="00A22CFF"/>
    <w:rsid w:val="00A303E9"/>
    <w:rsid w:val="00A3052C"/>
    <w:rsid w:val="00A564C4"/>
    <w:rsid w:val="00A613B0"/>
    <w:rsid w:val="00A621F1"/>
    <w:rsid w:val="00A62816"/>
    <w:rsid w:val="00A64C1C"/>
    <w:rsid w:val="00A73EC4"/>
    <w:rsid w:val="00A76CDE"/>
    <w:rsid w:val="00A84817"/>
    <w:rsid w:val="00A90B85"/>
    <w:rsid w:val="00A92562"/>
    <w:rsid w:val="00A94426"/>
    <w:rsid w:val="00AA18B8"/>
    <w:rsid w:val="00AA7114"/>
    <w:rsid w:val="00AB5901"/>
    <w:rsid w:val="00AC3C20"/>
    <w:rsid w:val="00AC76BF"/>
    <w:rsid w:val="00AD1129"/>
    <w:rsid w:val="00AE3772"/>
    <w:rsid w:val="00AE3FAC"/>
    <w:rsid w:val="00AE73B0"/>
    <w:rsid w:val="00AF181A"/>
    <w:rsid w:val="00B02391"/>
    <w:rsid w:val="00B07A00"/>
    <w:rsid w:val="00B22B0B"/>
    <w:rsid w:val="00B24734"/>
    <w:rsid w:val="00B318AA"/>
    <w:rsid w:val="00B32059"/>
    <w:rsid w:val="00B332B6"/>
    <w:rsid w:val="00B332C4"/>
    <w:rsid w:val="00B338ED"/>
    <w:rsid w:val="00B35E53"/>
    <w:rsid w:val="00B61BD7"/>
    <w:rsid w:val="00B676D6"/>
    <w:rsid w:val="00B80044"/>
    <w:rsid w:val="00B80F35"/>
    <w:rsid w:val="00B81EF8"/>
    <w:rsid w:val="00B90FEC"/>
    <w:rsid w:val="00BA2DD1"/>
    <w:rsid w:val="00BA5679"/>
    <w:rsid w:val="00BB0CA2"/>
    <w:rsid w:val="00BB489D"/>
    <w:rsid w:val="00BB6DF4"/>
    <w:rsid w:val="00BC0044"/>
    <w:rsid w:val="00BC1BA8"/>
    <w:rsid w:val="00BD3657"/>
    <w:rsid w:val="00BD58BE"/>
    <w:rsid w:val="00BE6925"/>
    <w:rsid w:val="00BF0845"/>
    <w:rsid w:val="00BF1199"/>
    <w:rsid w:val="00BF6B01"/>
    <w:rsid w:val="00C04044"/>
    <w:rsid w:val="00C05A01"/>
    <w:rsid w:val="00C07514"/>
    <w:rsid w:val="00C11933"/>
    <w:rsid w:val="00C130EA"/>
    <w:rsid w:val="00C13B65"/>
    <w:rsid w:val="00C15463"/>
    <w:rsid w:val="00C234F2"/>
    <w:rsid w:val="00C319BD"/>
    <w:rsid w:val="00C32DF3"/>
    <w:rsid w:val="00C33AD9"/>
    <w:rsid w:val="00C437BD"/>
    <w:rsid w:val="00C45039"/>
    <w:rsid w:val="00C46974"/>
    <w:rsid w:val="00C5255F"/>
    <w:rsid w:val="00C55A9E"/>
    <w:rsid w:val="00C57015"/>
    <w:rsid w:val="00C634B7"/>
    <w:rsid w:val="00C86F8C"/>
    <w:rsid w:val="00CA3045"/>
    <w:rsid w:val="00CB527B"/>
    <w:rsid w:val="00CB5E01"/>
    <w:rsid w:val="00CB705F"/>
    <w:rsid w:val="00CC2D90"/>
    <w:rsid w:val="00CD07C0"/>
    <w:rsid w:val="00CE2315"/>
    <w:rsid w:val="00CE26B6"/>
    <w:rsid w:val="00CE4294"/>
    <w:rsid w:val="00CF23DA"/>
    <w:rsid w:val="00CF29A0"/>
    <w:rsid w:val="00CF2A6D"/>
    <w:rsid w:val="00CF6A75"/>
    <w:rsid w:val="00D0132D"/>
    <w:rsid w:val="00D01EC0"/>
    <w:rsid w:val="00D05309"/>
    <w:rsid w:val="00D07AE7"/>
    <w:rsid w:val="00D10106"/>
    <w:rsid w:val="00D11361"/>
    <w:rsid w:val="00D15FDB"/>
    <w:rsid w:val="00D17EFC"/>
    <w:rsid w:val="00D2409D"/>
    <w:rsid w:val="00D26293"/>
    <w:rsid w:val="00D266F0"/>
    <w:rsid w:val="00D27608"/>
    <w:rsid w:val="00D27920"/>
    <w:rsid w:val="00D321AE"/>
    <w:rsid w:val="00D32568"/>
    <w:rsid w:val="00D32660"/>
    <w:rsid w:val="00D36CD6"/>
    <w:rsid w:val="00D37587"/>
    <w:rsid w:val="00D402C1"/>
    <w:rsid w:val="00D422DC"/>
    <w:rsid w:val="00D43320"/>
    <w:rsid w:val="00D44528"/>
    <w:rsid w:val="00D46B6C"/>
    <w:rsid w:val="00D63890"/>
    <w:rsid w:val="00D661A9"/>
    <w:rsid w:val="00D74623"/>
    <w:rsid w:val="00D80C9A"/>
    <w:rsid w:val="00D83476"/>
    <w:rsid w:val="00D96339"/>
    <w:rsid w:val="00DB64D8"/>
    <w:rsid w:val="00DC026E"/>
    <w:rsid w:val="00DD104B"/>
    <w:rsid w:val="00DE6DF5"/>
    <w:rsid w:val="00DF0641"/>
    <w:rsid w:val="00DF0927"/>
    <w:rsid w:val="00DF0B47"/>
    <w:rsid w:val="00DF1D48"/>
    <w:rsid w:val="00DF45E2"/>
    <w:rsid w:val="00E121F8"/>
    <w:rsid w:val="00E12CF0"/>
    <w:rsid w:val="00E22BD0"/>
    <w:rsid w:val="00E24056"/>
    <w:rsid w:val="00E24FF5"/>
    <w:rsid w:val="00E36777"/>
    <w:rsid w:val="00E40E0E"/>
    <w:rsid w:val="00E52B0C"/>
    <w:rsid w:val="00E560CF"/>
    <w:rsid w:val="00E56254"/>
    <w:rsid w:val="00E626DE"/>
    <w:rsid w:val="00E653B9"/>
    <w:rsid w:val="00E71E76"/>
    <w:rsid w:val="00E7734A"/>
    <w:rsid w:val="00E819F9"/>
    <w:rsid w:val="00E863E6"/>
    <w:rsid w:val="00E900B7"/>
    <w:rsid w:val="00E95D0E"/>
    <w:rsid w:val="00EA4C1C"/>
    <w:rsid w:val="00EA7909"/>
    <w:rsid w:val="00EB12A4"/>
    <w:rsid w:val="00EB429C"/>
    <w:rsid w:val="00EB4A53"/>
    <w:rsid w:val="00EC37FA"/>
    <w:rsid w:val="00EC4788"/>
    <w:rsid w:val="00EC5CD4"/>
    <w:rsid w:val="00ED10AF"/>
    <w:rsid w:val="00ED4D32"/>
    <w:rsid w:val="00ED68FA"/>
    <w:rsid w:val="00EE57A8"/>
    <w:rsid w:val="00EE6C14"/>
    <w:rsid w:val="00EF4664"/>
    <w:rsid w:val="00EF5524"/>
    <w:rsid w:val="00F00185"/>
    <w:rsid w:val="00F03B8D"/>
    <w:rsid w:val="00F05931"/>
    <w:rsid w:val="00F10E07"/>
    <w:rsid w:val="00F12517"/>
    <w:rsid w:val="00F20C22"/>
    <w:rsid w:val="00F20D40"/>
    <w:rsid w:val="00F210B4"/>
    <w:rsid w:val="00F273FB"/>
    <w:rsid w:val="00F275C3"/>
    <w:rsid w:val="00F36737"/>
    <w:rsid w:val="00F36B7D"/>
    <w:rsid w:val="00F41660"/>
    <w:rsid w:val="00F52687"/>
    <w:rsid w:val="00F54A9C"/>
    <w:rsid w:val="00F567A2"/>
    <w:rsid w:val="00F57981"/>
    <w:rsid w:val="00F618BE"/>
    <w:rsid w:val="00F64CF9"/>
    <w:rsid w:val="00F65393"/>
    <w:rsid w:val="00F700F9"/>
    <w:rsid w:val="00F751F5"/>
    <w:rsid w:val="00F75DE3"/>
    <w:rsid w:val="00F765E9"/>
    <w:rsid w:val="00F91196"/>
    <w:rsid w:val="00F940F2"/>
    <w:rsid w:val="00F95015"/>
    <w:rsid w:val="00F963CA"/>
    <w:rsid w:val="00FA05D1"/>
    <w:rsid w:val="00FA6D3F"/>
    <w:rsid w:val="00FC0C2C"/>
    <w:rsid w:val="00FD0BFD"/>
    <w:rsid w:val="00FD4722"/>
    <w:rsid w:val="00FE6B9F"/>
    <w:rsid w:val="00FF197C"/>
    <w:rsid w:val="00FF4562"/>
    <w:rsid w:val="00FF4AE0"/>
    <w:rsid w:val="36586920"/>
    <w:rsid w:val="7BD9007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nhideWhenUsed="0" w:uiPriority="99" w:name="annotation text"/>
    <w:lsdException w:qFormat="1" w:unhideWhenUsed="0" w:uiPriority="99" w:name="header"/>
    <w:lsdException w:qFormat="1" w:unhideWhenUsed="0" w:uiPriority="0"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unhideWhenUsed="0"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25"/>
    <w:qFormat/>
    <w:locked/>
    <w:uiPriority w:val="99"/>
    <w:pPr>
      <w:autoSpaceDE w:val="0"/>
      <w:autoSpaceDN w:val="0"/>
      <w:adjustRightInd w:val="0"/>
      <w:jc w:val="left"/>
      <w:outlineLvl w:val="0"/>
    </w:pPr>
    <w:rPr>
      <w:rFonts w:ascii="方正小标宋简体" w:eastAsia="方正小标宋简体" w:hAnsiTheme="minorHAnsi" w:cstheme="minorBidi"/>
      <w:kern w:val="0"/>
      <w:sz w:val="24"/>
      <w:szCs w:val="24"/>
    </w:rPr>
  </w:style>
  <w:style w:type="paragraph" w:styleId="3">
    <w:name w:val="heading 2"/>
    <w:basedOn w:val="1"/>
    <w:next w:val="1"/>
    <w:link w:val="29"/>
    <w:semiHidden/>
    <w:unhideWhenUsed/>
    <w:qFormat/>
    <w:locked/>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4">
    <w:name w:val="caption"/>
    <w:basedOn w:val="1"/>
    <w:next w:val="1"/>
    <w:qFormat/>
    <w:uiPriority w:val="99"/>
    <w:rPr>
      <w:rFonts w:ascii="等线 Light" w:hAnsi="等线 Light" w:eastAsia="黑体"/>
      <w:sz w:val="20"/>
      <w:szCs w:val="20"/>
    </w:rPr>
  </w:style>
  <w:style w:type="paragraph" w:styleId="5">
    <w:name w:val="annotation text"/>
    <w:basedOn w:val="1"/>
    <w:link w:val="18"/>
    <w:semiHidden/>
    <w:uiPriority w:val="99"/>
    <w:pPr>
      <w:jc w:val="left"/>
    </w:pPr>
  </w:style>
  <w:style w:type="paragraph" w:styleId="6">
    <w:name w:val="Plain Text"/>
    <w:basedOn w:val="1"/>
    <w:link w:val="24"/>
    <w:unhideWhenUsed/>
    <w:qFormat/>
    <w:uiPriority w:val="0"/>
    <w:rPr>
      <w:rFonts w:ascii="宋体" w:hAnsi="Courier New" w:eastAsia="仿宋_GB2312" w:cs="Courier New"/>
      <w:sz w:val="32"/>
      <w:szCs w:val="21"/>
    </w:rPr>
  </w:style>
  <w:style w:type="paragraph" w:styleId="7">
    <w:name w:val="Date"/>
    <w:basedOn w:val="1"/>
    <w:next w:val="1"/>
    <w:link w:val="26"/>
    <w:semiHidden/>
    <w:unhideWhenUsed/>
    <w:qFormat/>
    <w:uiPriority w:val="99"/>
    <w:pPr>
      <w:ind w:left="100" w:leftChars="2500"/>
    </w:pPr>
  </w:style>
  <w:style w:type="paragraph" w:styleId="8">
    <w:name w:val="Balloon Text"/>
    <w:basedOn w:val="1"/>
    <w:link w:val="20"/>
    <w:semiHidden/>
    <w:qFormat/>
    <w:uiPriority w:val="99"/>
    <w:rPr>
      <w:sz w:val="18"/>
      <w:szCs w:val="18"/>
    </w:rPr>
  </w:style>
  <w:style w:type="paragraph" w:styleId="9">
    <w:name w:val="footer"/>
    <w:basedOn w:val="1"/>
    <w:link w:val="22"/>
    <w:qFormat/>
    <w:uiPriority w:val="0"/>
    <w:pPr>
      <w:tabs>
        <w:tab w:val="center" w:pos="4153"/>
        <w:tab w:val="right" w:pos="8306"/>
      </w:tabs>
      <w:snapToGrid w:val="0"/>
      <w:jc w:val="left"/>
    </w:pPr>
    <w:rPr>
      <w:sz w:val="18"/>
      <w:szCs w:val="18"/>
    </w:rPr>
  </w:style>
  <w:style w:type="paragraph" w:styleId="10">
    <w:name w:val="header"/>
    <w:basedOn w:val="1"/>
    <w:link w:val="21"/>
    <w:semiHidden/>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2">
    <w:name w:val="annotation subject"/>
    <w:basedOn w:val="5"/>
    <w:next w:val="5"/>
    <w:link w:val="19"/>
    <w:semiHidden/>
    <w:qFormat/>
    <w:uiPriority w:val="99"/>
    <w:rPr>
      <w:b/>
      <w:bCs/>
    </w:rPr>
  </w:style>
  <w:style w:type="character" w:styleId="15">
    <w:name w:val="Strong"/>
    <w:basedOn w:val="14"/>
    <w:qFormat/>
    <w:locked/>
    <w:uiPriority w:val="0"/>
    <w:rPr>
      <w:b/>
    </w:rPr>
  </w:style>
  <w:style w:type="character" w:styleId="16">
    <w:name w:val="page number"/>
    <w:basedOn w:val="14"/>
    <w:uiPriority w:val="99"/>
    <w:rPr>
      <w:rFonts w:cs="Times New Roman"/>
    </w:rPr>
  </w:style>
  <w:style w:type="character" w:styleId="17">
    <w:name w:val="annotation reference"/>
    <w:basedOn w:val="14"/>
    <w:semiHidden/>
    <w:uiPriority w:val="99"/>
    <w:rPr>
      <w:rFonts w:cs="Times New Roman"/>
      <w:sz w:val="21"/>
      <w:szCs w:val="21"/>
    </w:rPr>
  </w:style>
  <w:style w:type="character" w:customStyle="1" w:styleId="18">
    <w:name w:val="批注文字 Char"/>
    <w:basedOn w:val="14"/>
    <w:link w:val="5"/>
    <w:semiHidden/>
    <w:qFormat/>
    <w:locked/>
    <w:uiPriority w:val="99"/>
    <w:rPr>
      <w:rFonts w:cs="Times New Roman"/>
    </w:rPr>
  </w:style>
  <w:style w:type="character" w:customStyle="1" w:styleId="19">
    <w:name w:val="批注主题 Char"/>
    <w:basedOn w:val="18"/>
    <w:link w:val="12"/>
    <w:semiHidden/>
    <w:qFormat/>
    <w:locked/>
    <w:uiPriority w:val="99"/>
    <w:rPr>
      <w:rFonts w:cs="Times New Roman"/>
      <w:b/>
      <w:bCs/>
    </w:rPr>
  </w:style>
  <w:style w:type="character" w:customStyle="1" w:styleId="20">
    <w:name w:val="批注框文本 Char"/>
    <w:basedOn w:val="14"/>
    <w:link w:val="8"/>
    <w:semiHidden/>
    <w:locked/>
    <w:uiPriority w:val="99"/>
    <w:rPr>
      <w:rFonts w:cs="Times New Roman"/>
      <w:sz w:val="18"/>
      <w:szCs w:val="18"/>
    </w:rPr>
  </w:style>
  <w:style w:type="character" w:customStyle="1" w:styleId="21">
    <w:name w:val="页眉 Char"/>
    <w:basedOn w:val="14"/>
    <w:link w:val="10"/>
    <w:semiHidden/>
    <w:qFormat/>
    <w:locked/>
    <w:uiPriority w:val="99"/>
    <w:rPr>
      <w:rFonts w:cs="Times New Roman"/>
      <w:sz w:val="18"/>
      <w:szCs w:val="18"/>
    </w:rPr>
  </w:style>
  <w:style w:type="character" w:customStyle="1" w:styleId="22">
    <w:name w:val="页脚 Char"/>
    <w:basedOn w:val="14"/>
    <w:link w:val="9"/>
    <w:semiHidden/>
    <w:locked/>
    <w:uiPriority w:val="99"/>
    <w:rPr>
      <w:rFonts w:cs="Times New Roman"/>
      <w:sz w:val="18"/>
      <w:szCs w:val="18"/>
    </w:rPr>
  </w:style>
  <w:style w:type="paragraph" w:customStyle="1" w:styleId="23">
    <w:name w:val="Char Char Char"/>
    <w:basedOn w:val="1"/>
    <w:uiPriority w:val="0"/>
    <w:rPr>
      <w:rFonts w:ascii="宋体" w:hAnsi="宋体" w:eastAsia="宋体" w:cs="Courier New"/>
      <w:sz w:val="32"/>
      <w:szCs w:val="32"/>
    </w:rPr>
  </w:style>
  <w:style w:type="character" w:customStyle="1" w:styleId="24">
    <w:name w:val="纯文本 Char"/>
    <w:basedOn w:val="14"/>
    <w:link w:val="6"/>
    <w:qFormat/>
    <w:uiPriority w:val="0"/>
    <w:rPr>
      <w:rFonts w:ascii="宋体" w:hAnsi="Courier New" w:eastAsia="仿宋_GB2312" w:cs="Courier New"/>
      <w:sz w:val="32"/>
      <w:szCs w:val="21"/>
    </w:rPr>
  </w:style>
  <w:style w:type="character" w:customStyle="1" w:styleId="25">
    <w:name w:val="标题 1 Char"/>
    <w:basedOn w:val="14"/>
    <w:link w:val="2"/>
    <w:qFormat/>
    <w:uiPriority w:val="9"/>
    <w:rPr>
      <w:rFonts w:ascii="方正小标宋简体" w:eastAsia="方正小标宋简体" w:hAnsiTheme="minorHAnsi" w:cstheme="minorBidi"/>
      <w:kern w:val="0"/>
      <w:sz w:val="24"/>
      <w:szCs w:val="24"/>
    </w:rPr>
  </w:style>
  <w:style w:type="character" w:customStyle="1" w:styleId="26">
    <w:name w:val="日期 Char"/>
    <w:basedOn w:val="14"/>
    <w:link w:val="7"/>
    <w:semiHidden/>
    <w:qFormat/>
    <w:uiPriority w:val="99"/>
  </w:style>
  <w:style w:type="paragraph" w:styleId="27">
    <w:name w:val="List Paragraph"/>
    <w:basedOn w:val="1"/>
    <w:qFormat/>
    <w:uiPriority w:val="34"/>
    <w:pPr>
      <w:ind w:firstLine="420" w:firstLineChars="200"/>
    </w:pPr>
  </w:style>
  <w:style w:type="paragraph" w:customStyle="1" w:styleId="28">
    <w:name w:val="Default"/>
    <w:qFormat/>
    <w:uiPriority w:val="99"/>
    <w:pPr>
      <w:widowControl w:val="0"/>
      <w:autoSpaceDE w:val="0"/>
      <w:autoSpaceDN w:val="0"/>
      <w:adjustRightInd w:val="0"/>
    </w:pPr>
    <w:rPr>
      <w:rFonts w:ascii="仿宋" w:hAnsi="Times New Roman" w:eastAsia="仿宋" w:cs="仿宋"/>
      <w:color w:val="000000"/>
      <w:sz w:val="24"/>
      <w:szCs w:val="24"/>
      <w:lang w:val="en-US" w:eastAsia="zh-CN" w:bidi="ar-SA"/>
    </w:rPr>
  </w:style>
  <w:style w:type="character" w:customStyle="1" w:styleId="29">
    <w:name w:val="标题 2 Char"/>
    <w:basedOn w:val="14"/>
    <w:link w:val="3"/>
    <w:semiHidden/>
    <w:qFormat/>
    <w:uiPriority w:val="0"/>
    <w:rPr>
      <w:rFonts w:asciiTheme="majorHAnsi" w:hAnsiTheme="majorHAnsi" w:eastAsiaTheme="majorEastAsia" w:cstheme="majorBidi"/>
      <w:b/>
      <w:bCs/>
      <w:sz w:val="32"/>
      <w:szCs w:val="32"/>
    </w:rPr>
  </w:style>
  <w:style w:type="character" w:customStyle="1" w:styleId="30">
    <w:name w:val="四号正文 Char"/>
    <w:link w:val="31"/>
    <w:qFormat/>
    <w:locked/>
    <w:uiPriority w:val="0"/>
    <w:rPr>
      <w:rFonts w:ascii="??" w:hAnsi="??"/>
      <w:color w:val="000000"/>
      <w:sz w:val="28"/>
      <w:szCs w:val="21"/>
    </w:rPr>
  </w:style>
  <w:style w:type="paragraph" w:customStyle="1" w:styleId="31">
    <w:name w:val="四号正文"/>
    <w:basedOn w:val="1"/>
    <w:link w:val="30"/>
    <w:uiPriority w:val="0"/>
    <w:pPr>
      <w:spacing w:line="360" w:lineRule="auto"/>
    </w:pPr>
    <w:rPr>
      <w:rFonts w:ascii="??" w:hAnsi="??"/>
      <w:color w:val="000000"/>
      <w:sz w:val="28"/>
      <w:szCs w:val="21"/>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Sheet1!$I$18:$J$18</c:f>
              <c:strCache>
                <c:ptCount val="2"/>
                <c:pt idx="0">
                  <c:v>2022年收支</c:v>
                </c:pt>
                <c:pt idx="1">
                  <c:v>2023年收支</c:v>
                </c:pt>
              </c:strCache>
            </c:strRef>
          </c:cat>
          <c:val>
            <c:numRef>
              <c:f>Sheet1!$I$19:$J$19</c:f>
              <c:numCache>
                <c:formatCode>General</c:formatCode>
                <c:ptCount val="2"/>
                <c:pt idx="0">
                  <c:v>954.13</c:v>
                </c:pt>
                <c:pt idx="1">
                  <c:v>1130.48</c:v>
                </c:pt>
              </c:numCache>
            </c:numRef>
          </c:val>
        </c:ser>
        <c:dLbls>
          <c:showLegendKey val="0"/>
          <c:showVal val="0"/>
          <c:showCatName val="0"/>
          <c:showSerName val="0"/>
          <c:showPercent val="0"/>
          <c:showBubbleSize val="0"/>
        </c:dLbls>
        <c:gapWidth val="150"/>
        <c:axId val="243057024"/>
        <c:axId val="243058560"/>
      </c:barChart>
      <c:catAx>
        <c:axId val="24305702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43058560"/>
        <c:crosses val="autoZero"/>
        <c:auto val="1"/>
        <c:lblAlgn val="ctr"/>
        <c:lblOffset val="100"/>
        <c:noMultiLvlLbl val="0"/>
      </c:catAx>
      <c:valAx>
        <c:axId val="24305856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43057024"/>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Pt>
            <c:idx val="2"/>
            <c:bubble3D val="0"/>
          </c:dPt>
          <c:dPt>
            <c:idx val="3"/>
            <c:bubble3D val="0"/>
          </c:dPt>
          <c:dPt>
            <c:idx val="4"/>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Sheet1!$E$5:$I$5</c:f>
              <c:strCache>
                <c:ptCount val="5"/>
                <c:pt idx="0">
                  <c:v>一般公共服务支出</c:v>
                </c:pt>
                <c:pt idx="1">
                  <c:v>社会保障和就业支出</c:v>
                </c:pt>
                <c:pt idx="2">
                  <c:v>农林水支出</c:v>
                </c:pt>
                <c:pt idx="3">
                  <c:v>卫生健康支出</c:v>
                </c:pt>
                <c:pt idx="4">
                  <c:v>住房保障支出</c:v>
                </c:pt>
              </c:strCache>
            </c:strRef>
          </c:cat>
          <c:val>
            <c:numRef>
              <c:f>Sheet1!$E$6:$I$6</c:f>
              <c:numCache>
                <c:formatCode>General</c:formatCode>
                <c:ptCount val="5"/>
                <c:pt idx="0">
                  <c:v>651.18</c:v>
                </c:pt>
                <c:pt idx="1">
                  <c:v>118.94</c:v>
                </c:pt>
                <c:pt idx="2">
                  <c:v>302.1</c:v>
                </c:pt>
                <c:pt idx="3">
                  <c:v>18.07</c:v>
                </c:pt>
                <c:pt idx="4">
                  <c:v>40.19</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Sheet1!$E$5:$F$5</c:f>
              <c:strCache>
                <c:ptCount val="2"/>
                <c:pt idx="0">
                  <c:v>基本支出</c:v>
                </c:pt>
                <c:pt idx="1">
                  <c:v>项目支出</c:v>
                </c:pt>
              </c:strCache>
            </c:strRef>
          </c:cat>
          <c:val>
            <c:numRef>
              <c:f>Sheet1!$E$6:$F$6</c:f>
              <c:numCache>
                <c:formatCode>0.00%</c:formatCode>
                <c:ptCount val="2"/>
                <c:pt idx="0">
                  <c:v>0.536</c:v>
                </c:pt>
                <c:pt idx="1">
                  <c:v>0.464</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val>
            <c:numRef>
              <c:f>'财政拨款收支决算总计变动情况-图4'!$P$7:$Q$7</c:f>
              <c:numCache>
                <c:formatCode>General</c:formatCode>
                <c:ptCount val="2"/>
                <c:pt idx="0">
                  <c:v>954.16</c:v>
                </c:pt>
                <c:pt idx="1">
                  <c:v>1130.48</c:v>
                </c:pt>
              </c:numCache>
            </c:numRef>
          </c:val>
        </c:ser>
        <c:dLbls>
          <c:showLegendKey val="0"/>
          <c:showVal val="0"/>
          <c:showCatName val="0"/>
          <c:showSerName val="0"/>
          <c:showPercent val="0"/>
          <c:showBubbleSize val="0"/>
        </c:dLbls>
        <c:gapWidth val="150"/>
        <c:axId val="268387456"/>
        <c:axId val="268388992"/>
      </c:barChart>
      <c:catAx>
        <c:axId val="268387456"/>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68388992"/>
        <c:crosses val="autoZero"/>
        <c:auto val="1"/>
        <c:lblAlgn val="ctr"/>
        <c:lblOffset val="100"/>
        <c:noMultiLvlLbl val="0"/>
      </c:catAx>
      <c:valAx>
        <c:axId val="26838899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68387456"/>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Sheet1!$E$7:$F$7</c:f>
              <c:strCache>
                <c:ptCount val="2"/>
                <c:pt idx="0">
                  <c:v>2022年
一般公共预算财政拔款支出</c:v>
                </c:pt>
                <c:pt idx="1">
                  <c:v>2023年
一般公共预算财政拔款支出</c:v>
                </c:pt>
              </c:strCache>
            </c:strRef>
          </c:cat>
          <c:val>
            <c:numRef>
              <c:f>Sheet1!$E$8:$F$8</c:f>
              <c:numCache>
                <c:formatCode>General</c:formatCode>
                <c:ptCount val="2"/>
                <c:pt idx="0">
                  <c:v>954.16</c:v>
                </c:pt>
                <c:pt idx="1">
                  <c:v>1130.48</c:v>
                </c:pt>
              </c:numCache>
            </c:numRef>
          </c:val>
        </c:ser>
        <c:dLbls>
          <c:showLegendKey val="0"/>
          <c:showVal val="0"/>
          <c:showCatName val="0"/>
          <c:showSerName val="0"/>
          <c:showPercent val="0"/>
          <c:showBubbleSize val="0"/>
        </c:dLbls>
        <c:gapWidth val="150"/>
        <c:axId val="294583296"/>
        <c:axId val="294458112"/>
      </c:barChart>
      <c:catAx>
        <c:axId val="294583296"/>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94458112"/>
        <c:crosses val="autoZero"/>
        <c:auto val="1"/>
        <c:lblAlgn val="ctr"/>
        <c:lblOffset val="100"/>
        <c:noMultiLvlLbl val="0"/>
      </c:catAx>
      <c:valAx>
        <c:axId val="29445811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94583296"/>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Pt>
            <c:idx val="2"/>
            <c:bubble3D val="0"/>
          </c:dPt>
          <c:dPt>
            <c:idx val="3"/>
            <c:bubble3D val="0"/>
          </c:dPt>
          <c:dPt>
            <c:idx val="4"/>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Sheet1!$E$7:$I$7</c:f>
              <c:strCache>
                <c:ptCount val="5"/>
                <c:pt idx="0">
                  <c:v>一般公共服务支出</c:v>
                </c:pt>
                <c:pt idx="1">
                  <c:v>社会保障和就业支出</c:v>
                </c:pt>
                <c:pt idx="2">
                  <c:v>卫生健康支出</c:v>
                </c:pt>
                <c:pt idx="3">
                  <c:v>农林水支出</c:v>
                </c:pt>
                <c:pt idx="4">
                  <c:v>住房保障支出</c:v>
                </c:pt>
              </c:strCache>
            </c:strRef>
          </c:cat>
          <c:val>
            <c:numRef>
              <c:f>Sheet1!$E$8:$I$8</c:f>
              <c:numCache>
                <c:formatCode>0.0%</c:formatCode>
                <c:ptCount val="5"/>
                <c:pt idx="0">
                  <c:v>0.576</c:v>
                </c:pt>
                <c:pt idx="1">
                  <c:v>0.105</c:v>
                </c:pt>
                <c:pt idx="2">
                  <c:v>0.016</c:v>
                </c:pt>
                <c:pt idx="3">
                  <c:v>0.267</c:v>
                </c:pt>
                <c:pt idx="4">
                  <c:v>0.036</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Pt>
            <c:idx val="2"/>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'三公经费财政拨款支出结构-图7'!$L$8:$N$8</c:f>
              <c:strCache>
                <c:ptCount val="3"/>
                <c:pt idx="0">
                  <c:v>因公出国（境）费支出</c:v>
                </c:pt>
                <c:pt idx="1">
                  <c:v>公务用车购置及运行维护费支出</c:v>
                </c:pt>
                <c:pt idx="2">
                  <c:v>公务接待费支出</c:v>
                </c:pt>
              </c:strCache>
            </c:strRef>
          </c:cat>
          <c:val>
            <c:numRef>
              <c:f>'三公经费财政拨款支出结构-图7'!$L$9:$N$9</c:f>
              <c:numCache>
                <c:formatCode>General</c:formatCode>
                <c:ptCount val="3"/>
                <c:pt idx="0">
                  <c:v>0</c:v>
                </c:pt>
                <c:pt idx="1">
                  <c:v>0</c:v>
                </c:pt>
                <c:pt idx="2">
                  <c:v>5.99</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B3273-ACC3-41B5-8A48-477801A77A5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36</Pages>
  <Words>13315</Words>
  <Characters>14260</Characters>
  <Lines>17</Lines>
  <Paragraphs>30</Paragraphs>
  <TotalTime>2</TotalTime>
  <ScaleCrop>false</ScaleCrop>
  <LinksUpToDate>false</LinksUpToDate>
  <CharactersWithSpaces>14860</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2024-09-14T01:25:00Z</dcterms:created>
  <dc:creator>禹恒 宋</dc:creator>
  <cp:lastModifiedBy>WPS_1484572034</cp:lastModifiedBy>
  <cp:lastPrinted>2024-09-13T02:34:00Z</cp:lastPrinted>
  <dcterms:modified xsi:type="dcterms:W3CDTF">2024-12-19T01:34:03Z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6536AF8A4029455993C3771DC4555521</vt:lpwstr>
  </property>
</Properties>
</file>