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AFE57">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78441"/>
      <w:bookmarkStart w:id="2" w:name="_Toc15377193"/>
      <w:bookmarkStart w:id="3" w:name="_Toc15306267"/>
      <w:bookmarkStart w:id="4" w:name="_Toc15396475"/>
      <w:bookmarkStart w:id="5" w:name="_Toc15396597"/>
    </w:p>
    <w:p w14:paraId="721D47F9">
      <w:pPr>
        <w:pStyle w:val="6"/>
        <w:rPr>
          <w:rFonts w:hint="eastAsia" w:ascii="Times New Roman" w:hAnsi="Times New Roman" w:eastAsia="方正小标宋简体" w:cs="Times New Roman"/>
          <w:color w:val="auto"/>
          <w:kern w:val="2"/>
          <w:sz w:val="72"/>
          <w:szCs w:val="72"/>
          <w:highlight w:val="none"/>
          <w:lang w:val="en-US" w:eastAsia="zh-CN" w:bidi="ar-SA"/>
        </w:rPr>
      </w:pPr>
    </w:p>
    <w:p w14:paraId="4CE9916C">
      <w:pPr>
        <w:pStyle w:val="6"/>
        <w:rPr>
          <w:rFonts w:hint="eastAsia" w:ascii="Times New Roman" w:hAnsi="Times New Roman" w:eastAsia="方正小标宋简体" w:cs="Times New Roman"/>
          <w:color w:val="auto"/>
          <w:kern w:val="2"/>
          <w:sz w:val="72"/>
          <w:szCs w:val="72"/>
          <w:highlight w:val="none"/>
          <w:lang w:val="en-US" w:eastAsia="zh-CN" w:bidi="ar-SA"/>
        </w:rPr>
      </w:pPr>
    </w:p>
    <w:p w14:paraId="6E37FFEA">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2024年度沐川县</w:t>
      </w:r>
    </w:p>
    <w:p w14:paraId="48CAF641">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高笋乡人民政府部门决算</w:t>
      </w:r>
    </w:p>
    <w:p w14:paraId="0FCAF7FD">
      <w:pPr>
        <w:spacing w:line="600" w:lineRule="exact"/>
        <w:jc w:val="center"/>
        <w:outlineLvl w:val="0"/>
        <w:rPr>
          <w:rFonts w:ascii="Times New Roman" w:hAnsi="Times New Roman" w:eastAsia="方正小标宋简体"/>
          <w:color w:val="auto"/>
          <w:sz w:val="72"/>
          <w:szCs w:val="72"/>
          <w:highlight w:val="none"/>
        </w:rPr>
      </w:pPr>
    </w:p>
    <w:p w14:paraId="27CB623D">
      <w:pPr>
        <w:pStyle w:val="2"/>
        <w:rPr>
          <w:rFonts w:ascii="Times New Roman" w:hAnsi="Times New Roman"/>
        </w:rPr>
        <w:sectPr>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pPr>
    </w:p>
    <w:p w14:paraId="3568709C">
      <w:pPr>
        <w:rPr>
          <w:rFonts w:ascii="Times New Roman" w:hAnsi="Times New Roman"/>
        </w:rPr>
      </w:pPr>
    </w:p>
    <w:bookmarkEnd w:id="0"/>
    <w:bookmarkEnd w:id="1"/>
    <w:bookmarkEnd w:id="2"/>
    <w:bookmarkEnd w:id="3"/>
    <w:bookmarkEnd w:id="4"/>
    <w:bookmarkEnd w:id="5"/>
    <w:p w14:paraId="0D757C45">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54BD1EAD">
      <w:pPr>
        <w:widowControl/>
        <w:jc w:val="center"/>
        <w:rPr>
          <w:rFonts w:ascii="Times New Roman" w:hAnsi="Times New Roman" w:eastAsia="黑体" w:cstheme="minorBidi"/>
          <w:color w:val="auto"/>
          <w:sz w:val="28"/>
          <w:szCs w:val="28"/>
          <w:highlight w:val="none"/>
        </w:rPr>
      </w:pPr>
    </w:p>
    <w:p w14:paraId="02ADFCCD">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147482311"/>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60214C86">
          <w:pPr>
            <w:spacing w:before="0" w:beforeLines="0" w:after="0" w:afterLines="0" w:line="240" w:lineRule="auto"/>
            <w:ind w:left="0" w:leftChars="0" w:right="0" w:rightChars="0" w:firstLine="0" w:firstLineChars="0"/>
            <w:jc w:val="center"/>
          </w:pPr>
          <w:bookmarkStart w:id="6" w:name="_Toc15377196"/>
          <w:bookmarkStart w:id="7" w:name="_Toc15396599"/>
        </w:p>
        <w:p w14:paraId="1906856A">
          <w:pPr>
            <w:pStyle w:val="13"/>
            <w:tabs>
              <w:tab w:val="right" w:leader="dot" w:pos="8306"/>
              <w:tab w:val="clear" w:pos="8296"/>
            </w:tabs>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default" w:ascii="Times New Roman" w:hAnsi="Times New Roman" w:eastAsia="黑体" w:cs="Times New Roman"/>
              <w:color w:val="000000"/>
              <w:kern w:val="0"/>
              <w:sz w:val="31"/>
              <w:szCs w:val="31"/>
              <w:lang w:val="en-US" w:eastAsia="zh-CN" w:bidi="ar"/>
            </w:rPr>
            <w:fldChar w:fldCharType="begin"/>
          </w:r>
          <w:r>
            <w:rPr>
              <w:rFonts w:hint="default" w:ascii="Times New Roman" w:hAnsi="Times New Roman" w:eastAsia="黑体" w:cs="Times New Roman"/>
              <w:color w:val="000000"/>
              <w:kern w:val="0"/>
              <w:sz w:val="31"/>
              <w:szCs w:val="31"/>
              <w:lang w:val="en-US" w:eastAsia="zh-CN" w:bidi="ar"/>
            </w:rPr>
            <w:instrText xml:space="preserve"> HYPERLINK \l _Toc8964 </w:instrText>
          </w:r>
          <w:r>
            <w:rPr>
              <w:rFonts w:hint="default" w:ascii="Times New Roman" w:hAnsi="Times New Roman" w:eastAsia="黑体" w:cs="Times New Roman"/>
              <w:color w:val="000000"/>
              <w:kern w:val="0"/>
              <w:sz w:val="31"/>
              <w:szCs w:val="31"/>
              <w:lang w:val="en-US" w:eastAsia="zh-CN" w:bidi="ar"/>
            </w:rPr>
            <w:fldChar w:fldCharType="separate"/>
          </w:r>
          <w:r>
            <w:rPr>
              <w:rFonts w:hint="default" w:ascii="Times New Roman" w:hAnsi="Times New Roman" w:eastAsia="黑体" w:cs="Times New Roman"/>
              <w:color w:val="000000"/>
              <w:kern w:val="0"/>
              <w:sz w:val="31"/>
              <w:szCs w:val="31"/>
              <w:lang w:val="en-US" w:eastAsia="zh-CN" w:bidi="ar"/>
            </w:rPr>
            <w:t>第一部分  部门概况</w:t>
          </w:r>
          <w:r>
            <w:rPr>
              <w:rFonts w:hint="default" w:ascii="Times New Roman" w:hAnsi="Times New Roman" w:eastAsia="黑体" w:cs="Times New Roman"/>
              <w:color w:val="000000"/>
              <w:kern w:val="0"/>
              <w:sz w:val="31"/>
              <w:szCs w:val="31"/>
              <w:lang w:val="en-US" w:eastAsia="zh-CN" w:bidi="ar"/>
            </w:rPr>
            <w:tab/>
          </w:r>
          <w:r>
            <w:rPr>
              <w:rFonts w:hint="default" w:ascii="Times New Roman" w:hAnsi="Times New Roman" w:eastAsia="黑体" w:cs="Times New Roman"/>
              <w:color w:val="000000"/>
              <w:kern w:val="0"/>
              <w:sz w:val="31"/>
              <w:szCs w:val="31"/>
              <w:lang w:val="en-US" w:eastAsia="zh-CN" w:bidi="ar"/>
            </w:rPr>
            <w:fldChar w:fldCharType="begin"/>
          </w:r>
          <w:r>
            <w:rPr>
              <w:rFonts w:hint="default" w:ascii="Times New Roman" w:hAnsi="Times New Roman" w:eastAsia="黑体" w:cs="Times New Roman"/>
              <w:color w:val="000000"/>
              <w:kern w:val="0"/>
              <w:sz w:val="31"/>
              <w:szCs w:val="31"/>
              <w:lang w:val="en-US" w:eastAsia="zh-CN" w:bidi="ar"/>
            </w:rPr>
            <w:instrText xml:space="preserve"> PAGEREF _Toc8964 \h </w:instrText>
          </w:r>
          <w:r>
            <w:rPr>
              <w:rFonts w:hint="default" w:ascii="Times New Roman" w:hAnsi="Times New Roman" w:eastAsia="黑体" w:cs="Times New Roman"/>
              <w:color w:val="000000"/>
              <w:kern w:val="0"/>
              <w:sz w:val="31"/>
              <w:szCs w:val="31"/>
              <w:lang w:val="en-US" w:eastAsia="zh-CN" w:bidi="ar"/>
            </w:rPr>
            <w:fldChar w:fldCharType="separate"/>
          </w:r>
          <w:r>
            <w:rPr>
              <w:rFonts w:hint="default" w:ascii="Times New Roman" w:hAnsi="Times New Roman" w:eastAsia="黑体" w:cs="Times New Roman"/>
              <w:color w:val="000000"/>
              <w:kern w:val="0"/>
              <w:sz w:val="31"/>
              <w:szCs w:val="31"/>
              <w:lang w:val="en-US" w:eastAsia="zh-CN" w:bidi="ar"/>
            </w:rPr>
            <w:t>3</w:t>
          </w:r>
          <w:r>
            <w:rPr>
              <w:rFonts w:hint="default" w:ascii="Times New Roman" w:hAnsi="Times New Roman" w:eastAsia="黑体" w:cs="Times New Roman"/>
              <w:color w:val="000000"/>
              <w:kern w:val="0"/>
              <w:sz w:val="31"/>
              <w:szCs w:val="31"/>
              <w:lang w:val="en-US" w:eastAsia="zh-CN" w:bidi="ar"/>
            </w:rPr>
            <w:fldChar w:fldCharType="end"/>
          </w:r>
          <w:r>
            <w:rPr>
              <w:rFonts w:hint="default" w:ascii="Times New Roman" w:hAnsi="Times New Roman" w:eastAsia="黑体" w:cs="Times New Roman"/>
              <w:color w:val="000000"/>
              <w:kern w:val="0"/>
              <w:sz w:val="31"/>
              <w:szCs w:val="31"/>
              <w:lang w:val="en-US" w:eastAsia="zh-CN" w:bidi="ar"/>
            </w:rPr>
            <w:fldChar w:fldCharType="end"/>
          </w:r>
        </w:p>
        <w:p w14:paraId="601DC5BA">
          <w:pPr>
            <w:pStyle w:val="15"/>
            <w:tabs>
              <w:tab w:val="right" w:leader="dot" w:pos="8306"/>
              <w:tab w:val="clear" w:pos="8296"/>
            </w:tabs>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HYPERLINK \l _Toc22751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一、 部门职责</w:t>
          </w:r>
          <w:r>
            <w:rPr>
              <w:rFonts w:hint="default" w:ascii="Times New Roman" w:hAnsi="Times New Roman" w:eastAsia="仿宋_GB2312" w:cs="Times New Roman"/>
              <w:color w:val="000000"/>
              <w:kern w:val="0"/>
              <w:sz w:val="31"/>
              <w:szCs w:val="31"/>
              <w:lang w:val="en-US" w:eastAsia="zh-CN" w:bidi="ar"/>
            </w:rPr>
            <w:tab/>
          </w: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PAGEREF _Toc22751 \h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3</w:t>
          </w:r>
          <w:r>
            <w:rPr>
              <w:rFonts w:hint="default" w:ascii="Times New Roman" w:hAnsi="Times New Roman" w:eastAsia="仿宋_GB2312" w:cs="Times New Roman"/>
              <w:color w:val="000000"/>
              <w:kern w:val="0"/>
              <w:sz w:val="31"/>
              <w:szCs w:val="31"/>
              <w:lang w:val="en-US" w:eastAsia="zh-CN" w:bidi="ar"/>
            </w:rPr>
            <w:fldChar w:fldCharType="end"/>
          </w:r>
          <w:r>
            <w:rPr>
              <w:rFonts w:hint="default" w:ascii="Times New Roman" w:hAnsi="Times New Roman" w:eastAsia="仿宋_GB2312" w:cs="Times New Roman"/>
              <w:color w:val="000000"/>
              <w:kern w:val="0"/>
              <w:sz w:val="31"/>
              <w:szCs w:val="31"/>
              <w:lang w:val="en-US" w:eastAsia="zh-CN" w:bidi="ar"/>
            </w:rPr>
            <w:fldChar w:fldCharType="end"/>
          </w:r>
        </w:p>
        <w:p w14:paraId="0A891758">
          <w:pPr>
            <w:pStyle w:val="15"/>
            <w:tabs>
              <w:tab w:val="right" w:leader="dot" w:pos="8306"/>
              <w:tab w:val="clear" w:pos="8296"/>
            </w:tabs>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HYPERLINK \l _Toc5546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二、 机构设置</w:t>
          </w:r>
          <w:r>
            <w:rPr>
              <w:rFonts w:hint="default" w:ascii="Times New Roman" w:hAnsi="Times New Roman" w:eastAsia="仿宋_GB2312" w:cs="Times New Roman"/>
              <w:color w:val="000000"/>
              <w:kern w:val="0"/>
              <w:sz w:val="31"/>
              <w:szCs w:val="31"/>
              <w:lang w:val="en-US" w:eastAsia="zh-CN" w:bidi="ar"/>
            </w:rPr>
            <w:tab/>
          </w: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PAGEREF _Toc5546 \h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4</w:t>
          </w:r>
          <w:r>
            <w:rPr>
              <w:rFonts w:hint="default" w:ascii="Times New Roman" w:hAnsi="Times New Roman" w:eastAsia="仿宋_GB2312" w:cs="Times New Roman"/>
              <w:color w:val="000000"/>
              <w:kern w:val="0"/>
              <w:sz w:val="31"/>
              <w:szCs w:val="31"/>
              <w:lang w:val="en-US" w:eastAsia="zh-CN" w:bidi="ar"/>
            </w:rPr>
            <w:fldChar w:fldCharType="end"/>
          </w:r>
          <w:r>
            <w:rPr>
              <w:rFonts w:hint="default" w:ascii="Times New Roman" w:hAnsi="Times New Roman" w:eastAsia="仿宋_GB2312" w:cs="Times New Roman"/>
              <w:color w:val="000000"/>
              <w:kern w:val="0"/>
              <w:sz w:val="31"/>
              <w:szCs w:val="31"/>
              <w:lang w:val="en-US" w:eastAsia="zh-CN" w:bidi="ar"/>
            </w:rPr>
            <w:fldChar w:fldCharType="end"/>
          </w:r>
        </w:p>
        <w:p w14:paraId="4944D1E8">
          <w:pPr>
            <w:pStyle w:val="13"/>
            <w:tabs>
              <w:tab w:val="right" w:leader="dot" w:pos="8306"/>
              <w:tab w:val="clear" w:pos="8296"/>
            </w:tabs>
            <w:rPr>
              <w:rFonts w:hint="default" w:ascii="Times New Roman" w:hAnsi="Times New Roman" w:eastAsia="黑体" w:cs="Times New Roman"/>
              <w:color w:val="000000"/>
              <w:kern w:val="0"/>
              <w:sz w:val="31"/>
              <w:szCs w:val="31"/>
              <w:lang w:val="en-US" w:eastAsia="zh-CN" w:bidi="ar"/>
            </w:rPr>
          </w:pPr>
          <w:r>
            <w:rPr>
              <w:rFonts w:hint="default" w:ascii="Times New Roman" w:hAnsi="Times New Roman" w:eastAsia="黑体" w:cs="Times New Roman"/>
              <w:color w:val="000000"/>
              <w:kern w:val="0"/>
              <w:sz w:val="31"/>
              <w:szCs w:val="31"/>
              <w:lang w:val="en-US" w:eastAsia="zh-CN" w:bidi="ar"/>
            </w:rPr>
            <w:fldChar w:fldCharType="begin"/>
          </w:r>
          <w:r>
            <w:rPr>
              <w:rFonts w:hint="default" w:ascii="Times New Roman" w:hAnsi="Times New Roman" w:eastAsia="黑体" w:cs="Times New Roman"/>
              <w:color w:val="000000"/>
              <w:kern w:val="0"/>
              <w:sz w:val="31"/>
              <w:szCs w:val="31"/>
              <w:lang w:val="en-US" w:eastAsia="zh-CN" w:bidi="ar"/>
            </w:rPr>
            <w:instrText xml:space="preserve"> HYPERLINK \l _Toc4703 </w:instrText>
          </w:r>
          <w:r>
            <w:rPr>
              <w:rFonts w:hint="default" w:ascii="Times New Roman" w:hAnsi="Times New Roman" w:eastAsia="黑体" w:cs="Times New Roman"/>
              <w:color w:val="000000"/>
              <w:kern w:val="0"/>
              <w:sz w:val="31"/>
              <w:szCs w:val="31"/>
              <w:lang w:val="en-US" w:eastAsia="zh-CN" w:bidi="ar"/>
            </w:rPr>
            <w:fldChar w:fldCharType="separate"/>
          </w:r>
          <w:r>
            <w:rPr>
              <w:rFonts w:hint="default" w:ascii="Times New Roman" w:hAnsi="Times New Roman" w:eastAsia="黑体" w:cs="Times New Roman"/>
              <w:color w:val="000000"/>
              <w:kern w:val="0"/>
              <w:sz w:val="31"/>
              <w:szCs w:val="31"/>
              <w:lang w:val="en-US" w:eastAsia="zh-CN" w:bidi="ar"/>
            </w:rPr>
            <w:t>第二部分  2024年度部门决算情况说明</w:t>
          </w:r>
          <w:r>
            <w:rPr>
              <w:rFonts w:hint="default" w:ascii="Times New Roman" w:hAnsi="Times New Roman" w:eastAsia="黑体" w:cs="Times New Roman"/>
              <w:color w:val="000000"/>
              <w:kern w:val="0"/>
              <w:sz w:val="31"/>
              <w:szCs w:val="31"/>
              <w:lang w:val="en-US" w:eastAsia="zh-CN" w:bidi="ar"/>
            </w:rPr>
            <w:tab/>
          </w:r>
          <w:r>
            <w:rPr>
              <w:rFonts w:hint="default" w:ascii="Times New Roman" w:hAnsi="Times New Roman" w:eastAsia="黑体" w:cs="Times New Roman"/>
              <w:color w:val="000000"/>
              <w:kern w:val="0"/>
              <w:sz w:val="31"/>
              <w:szCs w:val="31"/>
              <w:lang w:val="en-US" w:eastAsia="zh-CN" w:bidi="ar"/>
            </w:rPr>
            <w:fldChar w:fldCharType="begin"/>
          </w:r>
          <w:r>
            <w:rPr>
              <w:rFonts w:hint="default" w:ascii="Times New Roman" w:hAnsi="Times New Roman" w:eastAsia="黑体" w:cs="Times New Roman"/>
              <w:color w:val="000000"/>
              <w:kern w:val="0"/>
              <w:sz w:val="31"/>
              <w:szCs w:val="31"/>
              <w:lang w:val="en-US" w:eastAsia="zh-CN" w:bidi="ar"/>
            </w:rPr>
            <w:instrText xml:space="preserve"> PAGEREF _Toc4703 \h </w:instrText>
          </w:r>
          <w:r>
            <w:rPr>
              <w:rFonts w:hint="default" w:ascii="Times New Roman" w:hAnsi="Times New Roman" w:eastAsia="黑体" w:cs="Times New Roman"/>
              <w:color w:val="000000"/>
              <w:kern w:val="0"/>
              <w:sz w:val="31"/>
              <w:szCs w:val="31"/>
              <w:lang w:val="en-US" w:eastAsia="zh-CN" w:bidi="ar"/>
            </w:rPr>
            <w:fldChar w:fldCharType="separate"/>
          </w:r>
          <w:r>
            <w:rPr>
              <w:rFonts w:hint="default" w:ascii="Times New Roman" w:hAnsi="Times New Roman" w:eastAsia="黑体" w:cs="Times New Roman"/>
              <w:color w:val="000000"/>
              <w:kern w:val="0"/>
              <w:sz w:val="31"/>
              <w:szCs w:val="31"/>
              <w:lang w:val="en-US" w:eastAsia="zh-CN" w:bidi="ar"/>
            </w:rPr>
            <w:t>4</w:t>
          </w:r>
          <w:r>
            <w:rPr>
              <w:rFonts w:hint="default" w:ascii="Times New Roman" w:hAnsi="Times New Roman" w:eastAsia="黑体" w:cs="Times New Roman"/>
              <w:color w:val="000000"/>
              <w:kern w:val="0"/>
              <w:sz w:val="31"/>
              <w:szCs w:val="31"/>
              <w:lang w:val="en-US" w:eastAsia="zh-CN" w:bidi="ar"/>
            </w:rPr>
            <w:fldChar w:fldCharType="end"/>
          </w:r>
          <w:r>
            <w:rPr>
              <w:rFonts w:hint="default" w:ascii="Times New Roman" w:hAnsi="Times New Roman" w:eastAsia="黑体" w:cs="Times New Roman"/>
              <w:color w:val="000000"/>
              <w:kern w:val="0"/>
              <w:sz w:val="31"/>
              <w:szCs w:val="31"/>
              <w:lang w:val="en-US" w:eastAsia="zh-CN" w:bidi="ar"/>
            </w:rPr>
            <w:fldChar w:fldCharType="end"/>
          </w:r>
        </w:p>
        <w:p w14:paraId="2AA32444">
          <w:pPr>
            <w:pStyle w:val="15"/>
            <w:tabs>
              <w:tab w:val="right" w:leader="dot" w:pos="8306"/>
              <w:tab w:val="clear" w:pos="8296"/>
            </w:tabs>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HYPERLINK \l _Toc22637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一、收入支出决算总体情况说明</w:t>
          </w:r>
          <w:r>
            <w:rPr>
              <w:rFonts w:hint="default" w:ascii="Times New Roman" w:hAnsi="Times New Roman" w:eastAsia="仿宋_GB2312" w:cs="Times New Roman"/>
              <w:color w:val="000000"/>
              <w:kern w:val="0"/>
              <w:sz w:val="31"/>
              <w:szCs w:val="31"/>
              <w:lang w:val="en-US" w:eastAsia="zh-CN" w:bidi="ar"/>
            </w:rPr>
            <w:tab/>
          </w: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PAGEREF _Toc22637 \h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4</w:t>
          </w:r>
          <w:r>
            <w:rPr>
              <w:rFonts w:hint="default" w:ascii="Times New Roman" w:hAnsi="Times New Roman" w:eastAsia="仿宋_GB2312" w:cs="Times New Roman"/>
              <w:color w:val="000000"/>
              <w:kern w:val="0"/>
              <w:sz w:val="31"/>
              <w:szCs w:val="31"/>
              <w:lang w:val="en-US" w:eastAsia="zh-CN" w:bidi="ar"/>
            </w:rPr>
            <w:fldChar w:fldCharType="end"/>
          </w:r>
          <w:r>
            <w:rPr>
              <w:rFonts w:hint="default" w:ascii="Times New Roman" w:hAnsi="Times New Roman" w:eastAsia="仿宋_GB2312" w:cs="Times New Roman"/>
              <w:color w:val="000000"/>
              <w:kern w:val="0"/>
              <w:sz w:val="31"/>
              <w:szCs w:val="31"/>
              <w:lang w:val="en-US" w:eastAsia="zh-CN" w:bidi="ar"/>
            </w:rPr>
            <w:fldChar w:fldCharType="end"/>
          </w:r>
        </w:p>
        <w:p w14:paraId="314FF5C9">
          <w:pPr>
            <w:pStyle w:val="15"/>
            <w:tabs>
              <w:tab w:val="right" w:leader="dot" w:pos="8306"/>
              <w:tab w:val="clear" w:pos="8296"/>
            </w:tabs>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HYPERLINK \l _Toc4464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二、收入决算情况说明</w:t>
          </w:r>
          <w:r>
            <w:rPr>
              <w:rFonts w:hint="default" w:ascii="Times New Roman" w:hAnsi="Times New Roman" w:eastAsia="仿宋_GB2312" w:cs="Times New Roman"/>
              <w:color w:val="000000"/>
              <w:kern w:val="0"/>
              <w:sz w:val="31"/>
              <w:szCs w:val="31"/>
              <w:lang w:val="en-US" w:eastAsia="zh-CN" w:bidi="ar"/>
            </w:rPr>
            <w:tab/>
          </w: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PAGEREF _Toc4464 \h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5</w:t>
          </w:r>
          <w:r>
            <w:rPr>
              <w:rFonts w:hint="default" w:ascii="Times New Roman" w:hAnsi="Times New Roman" w:eastAsia="仿宋_GB2312" w:cs="Times New Roman"/>
              <w:color w:val="000000"/>
              <w:kern w:val="0"/>
              <w:sz w:val="31"/>
              <w:szCs w:val="31"/>
              <w:lang w:val="en-US" w:eastAsia="zh-CN" w:bidi="ar"/>
            </w:rPr>
            <w:fldChar w:fldCharType="end"/>
          </w:r>
          <w:r>
            <w:rPr>
              <w:rFonts w:hint="default" w:ascii="Times New Roman" w:hAnsi="Times New Roman" w:eastAsia="仿宋_GB2312" w:cs="Times New Roman"/>
              <w:color w:val="000000"/>
              <w:kern w:val="0"/>
              <w:sz w:val="31"/>
              <w:szCs w:val="31"/>
              <w:lang w:val="en-US" w:eastAsia="zh-CN" w:bidi="ar"/>
            </w:rPr>
            <w:fldChar w:fldCharType="end"/>
          </w:r>
        </w:p>
        <w:p w14:paraId="5254C653">
          <w:pPr>
            <w:pStyle w:val="15"/>
            <w:tabs>
              <w:tab w:val="right" w:leader="dot" w:pos="8306"/>
              <w:tab w:val="clear" w:pos="8296"/>
            </w:tabs>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HYPERLINK \l _Toc18318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三、支出决算情况说明</w:t>
          </w:r>
          <w:r>
            <w:rPr>
              <w:rFonts w:hint="default" w:ascii="Times New Roman" w:hAnsi="Times New Roman" w:eastAsia="仿宋_GB2312" w:cs="Times New Roman"/>
              <w:color w:val="000000"/>
              <w:kern w:val="0"/>
              <w:sz w:val="31"/>
              <w:szCs w:val="31"/>
              <w:lang w:val="en-US" w:eastAsia="zh-CN" w:bidi="ar"/>
            </w:rPr>
            <w:tab/>
          </w: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PAGEREF _Toc18318 \h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5</w:t>
          </w:r>
          <w:r>
            <w:rPr>
              <w:rFonts w:hint="default" w:ascii="Times New Roman" w:hAnsi="Times New Roman" w:eastAsia="仿宋_GB2312" w:cs="Times New Roman"/>
              <w:color w:val="000000"/>
              <w:kern w:val="0"/>
              <w:sz w:val="31"/>
              <w:szCs w:val="31"/>
              <w:lang w:val="en-US" w:eastAsia="zh-CN" w:bidi="ar"/>
            </w:rPr>
            <w:fldChar w:fldCharType="end"/>
          </w:r>
          <w:r>
            <w:rPr>
              <w:rFonts w:hint="default" w:ascii="Times New Roman" w:hAnsi="Times New Roman" w:eastAsia="仿宋_GB2312" w:cs="Times New Roman"/>
              <w:color w:val="000000"/>
              <w:kern w:val="0"/>
              <w:sz w:val="31"/>
              <w:szCs w:val="31"/>
              <w:lang w:val="en-US" w:eastAsia="zh-CN" w:bidi="ar"/>
            </w:rPr>
            <w:fldChar w:fldCharType="end"/>
          </w:r>
        </w:p>
        <w:p w14:paraId="7CEC8208">
          <w:pPr>
            <w:pStyle w:val="15"/>
            <w:tabs>
              <w:tab w:val="right" w:leader="dot" w:pos="8306"/>
              <w:tab w:val="clear" w:pos="8296"/>
            </w:tabs>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HYPERLINK \l _Toc7672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四、财政拨款收入支出决算总体情况说明</w:t>
          </w:r>
          <w:r>
            <w:rPr>
              <w:rFonts w:hint="default" w:ascii="Times New Roman" w:hAnsi="Times New Roman" w:eastAsia="仿宋_GB2312" w:cs="Times New Roman"/>
              <w:color w:val="000000"/>
              <w:kern w:val="0"/>
              <w:sz w:val="31"/>
              <w:szCs w:val="31"/>
              <w:lang w:val="en-US" w:eastAsia="zh-CN" w:bidi="ar"/>
            </w:rPr>
            <w:tab/>
          </w: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PAGEREF _Toc7672 \h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6</w:t>
          </w:r>
          <w:r>
            <w:rPr>
              <w:rFonts w:hint="default" w:ascii="Times New Roman" w:hAnsi="Times New Roman" w:eastAsia="仿宋_GB2312" w:cs="Times New Roman"/>
              <w:color w:val="000000"/>
              <w:kern w:val="0"/>
              <w:sz w:val="31"/>
              <w:szCs w:val="31"/>
              <w:lang w:val="en-US" w:eastAsia="zh-CN" w:bidi="ar"/>
            </w:rPr>
            <w:fldChar w:fldCharType="end"/>
          </w:r>
          <w:r>
            <w:rPr>
              <w:rFonts w:hint="default" w:ascii="Times New Roman" w:hAnsi="Times New Roman" w:eastAsia="仿宋_GB2312" w:cs="Times New Roman"/>
              <w:color w:val="000000"/>
              <w:kern w:val="0"/>
              <w:sz w:val="31"/>
              <w:szCs w:val="31"/>
              <w:lang w:val="en-US" w:eastAsia="zh-CN" w:bidi="ar"/>
            </w:rPr>
            <w:fldChar w:fldCharType="end"/>
          </w:r>
        </w:p>
        <w:p w14:paraId="1BF20BA2">
          <w:pPr>
            <w:pStyle w:val="15"/>
            <w:tabs>
              <w:tab w:val="right" w:leader="dot" w:pos="8306"/>
              <w:tab w:val="clear" w:pos="8296"/>
            </w:tabs>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HYPERLINK \l _Toc28616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五、一般公共预算财政拨款支出决算情况说明</w:t>
          </w:r>
          <w:r>
            <w:rPr>
              <w:rFonts w:hint="default" w:ascii="Times New Roman" w:hAnsi="Times New Roman" w:eastAsia="仿宋_GB2312" w:cs="Times New Roman"/>
              <w:color w:val="000000"/>
              <w:kern w:val="0"/>
              <w:sz w:val="31"/>
              <w:szCs w:val="31"/>
              <w:lang w:val="en-US" w:eastAsia="zh-CN" w:bidi="ar"/>
            </w:rPr>
            <w:tab/>
          </w: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PAGEREF _Toc28616 \h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7</w:t>
          </w:r>
          <w:r>
            <w:rPr>
              <w:rFonts w:hint="default" w:ascii="Times New Roman" w:hAnsi="Times New Roman" w:eastAsia="仿宋_GB2312" w:cs="Times New Roman"/>
              <w:color w:val="000000"/>
              <w:kern w:val="0"/>
              <w:sz w:val="31"/>
              <w:szCs w:val="31"/>
              <w:lang w:val="en-US" w:eastAsia="zh-CN" w:bidi="ar"/>
            </w:rPr>
            <w:fldChar w:fldCharType="end"/>
          </w:r>
          <w:r>
            <w:rPr>
              <w:rFonts w:hint="default" w:ascii="Times New Roman" w:hAnsi="Times New Roman" w:eastAsia="仿宋_GB2312" w:cs="Times New Roman"/>
              <w:color w:val="000000"/>
              <w:kern w:val="0"/>
              <w:sz w:val="31"/>
              <w:szCs w:val="31"/>
              <w:lang w:val="en-US" w:eastAsia="zh-CN" w:bidi="ar"/>
            </w:rPr>
            <w:fldChar w:fldCharType="end"/>
          </w:r>
        </w:p>
        <w:p w14:paraId="6732B721">
          <w:pPr>
            <w:pStyle w:val="15"/>
            <w:tabs>
              <w:tab w:val="right" w:leader="dot" w:pos="8306"/>
              <w:tab w:val="clear" w:pos="8296"/>
            </w:tabs>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HYPERLINK \l _Toc12877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六、一般公共预算财政拨款基本支出决算情况说明</w:t>
          </w:r>
          <w:r>
            <w:rPr>
              <w:rFonts w:hint="default" w:ascii="Times New Roman" w:hAnsi="Times New Roman" w:eastAsia="仿宋_GB2312" w:cs="Times New Roman"/>
              <w:color w:val="000000"/>
              <w:kern w:val="0"/>
              <w:sz w:val="31"/>
              <w:szCs w:val="31"/>
              <w:lang w:val="en-US" w:eastAsia="zh-CN" w:bidi="ar"/>
            </w:rPr>
            <w:tab/>
          </w: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PAGEREF _Toc12877 \h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11</w:t>
          </w:r>
          <w:r>
            <w:rPr>
              <w:rFonts w:hint="default" w:ascii="Times New Roman" w:hAnsi="Times New Roman" w:eastAsia="仿宋_GB2312" w:cs="Times New Roman"/>
              <w:color w:val="000000"/>
              <w:kern w:val="0"/>
              <w:sz w:val="31"/>
              <w:szCs w:val="31"/>
              <w:lang w:val="en-US" w:eastAsia="zh-CN" w:bidi="ar"/>
            </w:rPr>
            <w:fldChar w:fldCharType="end"/>
          </w:r>
          <w:r>
            <w:rPr>
              <w:rFonts w:hint="default" w:ascii="Times New Roman" w:hAnsi="Times New Roman" w:eastAsia="仿宋_GB2312" w:cs="Times New Roman"/>
              <w:color w:val="000000"/>
              <w:kern w:val="0"/>
              <w:sz w:val="31"/>
              <w:szCs w:val="31"/>
              <w:lang w:val="en-US" w:eastAsia="zh-CN" w:bidi="ar"/>
            </w:rPr>
            <w:fldChar w:fldCharType="end"/>
          </w:r>
        </w:p>
        <w:p w14:paraId="51BD59B7">
          <w:pPr>
            <w:pStyle w:val="15"/>
            <w:tabs>
              <w:tab w:val="right" w:leader="dot" w:pos="8306"/>
              <w:tab w:val="clear" w:pos="8296"/>
            </w:tabs>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HYPERLINK \l _Toc28243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七、财政拨款“三公”经费支出决算情况说明</w:t>
          </w:r>
          <w:r>
            <w:rPr>
              <w:rFonts w:hint="default" w:ascii="Times New Roman" w:hAnsi="Times New Roman" w:eastAsia="仿宋_GB2312" w:cs="Times New Roman"/>
              <w:color w:val="000000"/>
              <w:kern w:val="0"/>
              <w:sz w:val="31"/>
              <w:szCs w:val="31"/>
              <w:lang w:val="en-US" w:eastAsia="zh-CN" w:bidi="ar"/>
            </w:rPr>
            <w:tab/>
          </w: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PAGEREF _Toc28243 \h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12</w:t>
          </w:r>
          <w:r>
            <w:rPr>
              <w:rFonts w:hint="default" w:ascii="Times New Roman" w:hAnsi="Times New Roman" w:eastAsia="仿宋_GB2312" w:cs="Times New Roman"/>
              <w:color w:val="000000"/>
              <w:kern w:val="0"/>
              <w:sz w:val="31"/>
              <w:szCs w:val="31"/>
              <w:lang w:val="en-US" w:eastAsia="zh-CN" w:bidi="ar"/>
            </w:rPr>
            <w:fldChar w:fldCharType="end"/>
          </w:r>
          <w:r>
            <w:rPr>
              <w:rFonts w:hint="default" w:ascii="Times New Roman" w:hAnsi="Times New Roman" w:eastAsia="仿宋_GB2312" w:cs="Times New Roman"/>
              <w:color w:val="000000"/>
              <w:kern w:val="0"/>
              <w:sz w:val="31"/>
              <w:szCs w:val="31"/>
              <w:lang w:val="en-US" w:eastAsia="zh-CN" w:bidi="ar"/>
            </w:rPr>
            <w:fldChar w:fldCharType="end"/>
          </w:r>
        </w:p>
        <w:p w14:paraId="31810871">
          <w:pPr>
            <w:pStyle w:val="15"/>
            <w:tabs>
              <w:tab w:val="right" w:leader="dot" w:pos="8306"/>
              <w:tab w:val="clear" w:pos="8296"/>
            </w:tabs>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HYPERLINK \l _Toc27958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八、政府性基金预算支出决算情况说明</w:t>
          </w:r>
          <w:r>
            <w:rPr>
              <w:rFonts w:hint="default" w:ascii="Times New Roman" w:hAnsi="Times New Roman" w:eastAsia="仿宋_GB2312" w:cs="Times New Roman"/>
              <w:color w:val="000000"/>
              <w:kern w:val="0"/>
              <w:sz w:val="31"/>
              <w:szCs w:val="31"/>
              <w:lang w:val="en-US" w:eastAsia="zh-CN" w:bidi="ar"/>
            </w:rPr>
            <w:tab/>
          </w: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PAGEREF _Toc27958 \h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14</w:t>
          </w:r>
          <w:r>
            <w:rPr>
              <w:rFonts w:hint="default" w:ascii="Times New Roman" w:hAnsi="Times New Roman" w:eastAsia="仿宋_GB2312" w:cs="Times New Roman"/>
              <w:color w:val="000000"/>
              <w:kern w:val="0"/>
              <w:sz w:val="31"/>
              <w:szCs w:val="31"/>
              <w:lang w:val="en-US" w:eastAsia="zh-CN" w:bidi="ar"/>
            </w:rPr>
            <w:fldChar w:fldCharType="end"/>
          </w:r>
          <w:r>
            <w:rPr>
              <w:rFonts w:hint="default" w:ascii="Times New Roman" w:hAnsi="Times New Roman" w:eastAsia="仿宋_GB2312" w:cs="Times New Roman"/>
              <w:color w:val="000000"/>
              <w:kern w:val="0"/>
              <w:sz w:val="31"/>
              <w:szCs w:val="31"/>
              <w:lang w:val="en-US" w:eastAsia="zh-CN" w:bidi="ar"/>
            </w:rPr>
            <w:fldChar w:fldCharType="end"/>
          </w:r>
        </w:p>
        <w:p w14:paraId="19CFF9FA">
          <w:pPr>
            <w:pStyle w:val="15"/>
            <w:tabs>
              <w:tab w:val="right" w:leader="dot" w:pos="8306"/>
              <w:tab w:val="clear" w:pos="8296"/>
            </w:tabs>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HYPERLINK \l _Toc24221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九、国有资本经营预算支出决算情况说明</w:t>
          </w:r>
          <w:r>
            <w:rPr>
              <w:rFonts w:hint="default" w:ascii="Times New Roman" w:hAnsi="Times New Roman" w:eastAsia="仿宋_GB2312" w:cs="Times New Roman"/>
              <w:color w:val="000000"/>
              <w:kern w:val="0"/>
              <w:sz w:val="31"/>
              <w:szCs w:val="31"/>
              <w:lang w:val="en-US" w:eastAsia="zh-CN" w:bidi="ar"/>
            </w:rPr>
            <w:tab/>
          </w: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PAGEREF _Toc24221 \h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14</w:t>
          </w:r>
          <w:r>
            <w:rPr>
              <w:rFonts w:hint="default" w:ascii="Times New Roman" w:hAnsi="Times New Roman" w:eastAsia="仿宋_GB2312" w:cs="Times New Roman"/>
              <w:color w:val="000000"/>
              <w:kern w:val="0"/>
              <w:sz w:val="31"/>
              <w:szCs w:val="31"/>
              <w:lang w:val="en-US" w:eastAsia="zh-CN" w:bidi="ar"/>
            </w:rPr>
            <w:fldChar w:fldCharType="end"/>
          </w:r>
          <w:r>
            <w:rPr>
              <w:rFonts w:hint="default" w:ascii="Times New Roman" w:hAnsi="Times New Roman" w:eastAsia="仿宋_GB2312" w:cs="Times New Roman"/>
              <w:color w:val="000000"/>
              <w:kern w:val="0"/>
              <w:sz w:val="31"/>
              <w:szCs w:val="31"/>
              <w:lang w:val="en-US" w:eastAsia="zh-CN" w:bidi="ar"/>
            </w:rPr>
            <w:fldChar w:fldCharType="end"/>
          </w:r>
        </w:p>
        <w:p w14:paraId="69D359AC">
          <w:pPr>
            <w:pStyle w:val="15"/>
            <w:tabs>
              <w:tab w:val="right" w:leader="dot" w:pos="8306"/>
              <w:tab w:val="clear" w:pos="8296"/>
            </w:tabs>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HYPERLINK \l _Toc27493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十、其他重要事项的情况说明</w:t>
          </w:r>
          <w:r>
            <w:rPr>
              <w:rFonts w:hint="default" w:ascii="Times New Roman" w:hAnsi="Times New Roman" w:eastAsia="仿宋_GB2312" w:cs="Times New Roman"/>
              <w:color w:val="000000"/>
              <w:kern w:val="0"/>
              <w:sz w:val="31"/>
              <w:szCs w:val="31"/>
              <w:lang w:val="en-US" w:eastAsia="zh-CN" w:bidi="ar"/>
            </w:rPr>
            <w:tab/>
          </w: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PAGEREF _Toc27493 \h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14</w:t>
          </w:r>
          <w:r>
            <w:rPr>
              <w:rFonts w:hint="default" w:ascii="Times New Roman" w:hAnsi="Times New Roman" w:eastAsia="仿宋_GB2312" w:cs="Times New Roman"/>
              <w:color w:val="000000"/>
              <w:kern w:val="0"/>
              <w:sz w:val="31"/>
              <w:szCs w:val="31"/>
              <w:lang w:val="en-US" w:eastAsia="zh-CN" w:bidi="ar"/>
            </w:rPr>
            <w:fldChar w:fldCharType="end"/>
          </w:r>
          <w:r>
            <w:rPr>
              <w:rFonts w:hint="default" w:ascii="Times New Roman" w:hAnsi="Times New Roman" w:eastAsia="仿宋_GB2312" w:cs="Times New Roman"/>
              <w:color w:val="000000"/>
              <w:kern w:val="0"/>
              <w:sz w:val="31"/>
              <w:szCs w:val="31"/>
              <w:lang w:val="en-US" w:eastAsia="zh-CN" w:bidi="ar"/>
            </w:rPr>
            <w:fldChar w:fldCharType="end"/>
          </w:r>
        </w:p>
        <w:p w14:paraId="5A92BED9">
          <w:pPr>
            <w:pStyle w:val="13"/>
            <w:tabs>
              <w:tab w:val="right" w:leader="dot" w:pos="8306"/>
              <w:tab w:val="clear" w:pos="8296"/>
            </w:tabs>
            <w:rPr>
              <w:rFonts w:hint="default" w:ascii="Times New Roman" w:hAnsi="Times New Roman" w:eastAsia="黑体" w:cs="Times New Roman"/>
              <w:color w:val="000000"/>
              <w:kern w:val="0"/>
              <w:sz w:val="31"/>
              <w:szCs w:val="31"/>
              <w:lang w:val="en-US" w:eastAsia="zh-CN" w:bidi="ar"/>
            </w:rPr>
          </w:pPr>
          <w:r>
            <w:rPr>
              <w:rFonts w:hint="default" w:ascii="Times New Roman" w:hAnsi="Times New Roman" w:eastAsia="黑体" w:cs="Times New Roman"/>
              <w:color w:val="000000"/>
              <w:kern w:val="0"/>
              <w:sz w:val="31"/>
              <w:szCs w:val="31"/>
              <w:lang w:val="en-US" w:eastAsia="zh-CN" w:bidi="ar"/>
            </w:rPr>
            <w:fldChar w:fldCharType="begin"/>
          </w:r>
          <w:r>
            <w:rPr>
              <w:rFonts w:hint="default" w:ascii="Times New Roman" w:hAnsi="Times New Roman" w:eastAsia="黑体" w:cs="Times New Roman"/>
              <w:color w:val="000000"/>
              <w:kern w:val="0"/>
              <w:sz w:val="31"/>
              <w:szCs w:val="31"/>
              <w:lang w:val="en-US" w:eastAsia="zh-CN" w:bidi="ar"/>
            </w:rPr>
            <w:instrText xml:space="preserve"> HYPERLINK \l _Toc24711 </w:instrText>
          </w:r>
          <w:r>
            <w:rPr>
              <w:rFonts w:hint="default" w:ascii="Times New Roman" w:hAnsi="Times New Roman" w:eastAsia="黑体" w:cs="Times New Roman"/>
              <w:color w:val="000000"/>
              <w:kern w:val="0"/>
              <w:sz w:val="31"/>
              <w:szCs w:val="31"/>
              <w:lang w:val="en-US" w:eastAsia="zh-CN" w:bidi="ar"/>
            </w:rPr>
            <w:fldChar w:fldCharType="separate"/>
          </w:r>
          <w:r>
            <w:rPr>
              <w:rFonts w:hint="default" w:ascii="Times New Roman" w:hAnsi="Times New Roman" w:eastAsia="黑体" w:cs="Times New Roman"/>
              <w:color w:val="000000"/>
              <w:kern w:val="0"/>
              <w:sz w:val="31"/>
              <w:szCs w:val="31"/>
              <w:lang w:val="en-US" w:eastAsia="zh-CN" w:bidi="ar"/>
            </w:rPr>
            <w:t>第三部分  名词解释</w:t>
          </w:r>
          <w:r>
            <w:rPr>
              <w:rFonts w:hint="default" w:ascii="Times New Roman" w:hAnsi="Times New Roman" w:eastAsia="黑体" w:cs="Times New Roman"/>
              <w:color w:val="000000"/>
              <w:kern w:val="0"/>
              <w:sz w:val="31"/>
              <w:szCs w:val="31"/>
              <w:lang w:val="en-US" w:eastAsia="zh-CN" w:bidi="ar"/>
            </w:rPr>
            <w:tab/>
          </w:r>
          <w:r>
            <w:rPr>
              <w:rFonts w:hint="default" w:ascii="Times New Roman" w:hAnsi="Times New Roman" w:eastAsia="黑体" w:cs="Times New Roman"/>
              <w:color w:val="000000"/>
              <w:kern w:val="0"/>
              <w:sz w:val="31"/>
              <w:szCs w:val="31"/>
              <w:lang w:val="en-US" w:eastAsia="zh-CN" w:bidi="ar"/>
            </w:rPr>
            <w:fldChar w:fldCharType="begin"/>
          </w:r>
          <w:r>
            <w:rPr>
              <w:rFonts w:hint="default" w:ascii="Times New Roman" w:hAnsi="Times New Roman" w:eastAsia="黑体" w:cs="Times New Roman"/>
              <w:color w:val="000000"/>
              <w:kern w:val="0"/>
              <w:sz w:val="31"/>
              <w:szCs w:val="31"/>
              <w:lang w:val="en-US" w:eastAsia="zh-CN" w:bidi="ar"/>
            </w:rPr>
            <w:instrText xml:space="preserve"> PAGEREF _Toc24711 \h </w:instrText>
          </w:r>
          <w:r>
            <w:rPr>
              <w:rFonts w:hint="default" w:ascii="Times New Roman" w:hAnsi="Times New Roman" w:eastAsia="黑体" w:cs="Times New Roman"/>
              <w:color w:val="000000"/>
              <w:kern w:val="0"/>
              <w:sz w:val="31"/>
              <w:szCs w:val="31"/>
              <w:lang w:val="en-US" w:eastAsia="zh-CN" w:bidi="ar"/>
            </w:rPr>
            <w:fldChar w:fldCharType="separate"/>
          </w:r>
          <w:r>
            <w:rPr>
              <w:rFonts w:hint="default" w:ascii="Times New Roman" w:hAnsi="Times New Roman" w:eastAsia="黑体" w:cs="Times New Roman"/>
              <w:color w:val="000000"/>
              <w:kern w:val="0"/>
              <w:sz w:val="31"/>
              <w:szCs w:val="31"/>
              <w:lang w:val="en-US" w:eastAsia="zh-CN" w:bidi="ar"/>
            </w:rPr>
            <w:t>17</w:t>
          </w:r>
          <w:r>
            <w:rPr>
              <w:rFonts w:hint="default" w:ascii="Times New Roman" w:hAnsi="Times New Roman" w:eastAsia="黑体" w:cs="Times New Roman"/>
              <w:color w:val="000000"/>
              <w:kern w:val="0"/>
              <w:sz w:val="31"/>
              <w:szCs w:val="31"/>
              <w:lang w:val="en-US" w:eastAsia="zh-CN" w:bidi="ar"/>
            </w:rPr>
            <w:fldChar w:fldCharType="end"/>
          </w:r>
          <w:r>
            <w:rPr>
              <w:rFonts w:hint="default" w:ascii="Times New Roman" w:hAnsi="Times New Roman" w:eastAsia="黑体" w:cs="Times New Roman"/>
              <w:color w:val="000000"/>
              <w:kern w:val="0"/>
              <w:sz w:val="31"/>
              <w:szCs w:val="31"/>
              <w:lang w:val="en-US" w:eastAsia="zh-CN" w:bidi="ar"/>
            </w:rPr>
            <w:fldChar w:fldCharType="end"/>
          </w:r>
        </w:p>
        <w:p w14:paraId="330C357C">
          <w:pPr>
            <w:pStyle w:val="15"/>
            <w:bidi w:val="0"/>
            <w:ind w:left="0" w:leftChars="0" w:firstLine="0" w:firstLineChars="0"/>
            <w:jc w:val="left"/>
            <w:rPr>
              <w:rFonts w:hint="default" w:ascii="Times New Roman" w:hAnsi="Times New Roman" w:eastAsia="黑体" w:cs="Times New Roman"/>
              <w:color w:val="000000"/>
              <w:kern w:val="0"/>
              <w:sz w:val="31"/>
              <w:szCs w:val="31"/>
              <w:lang w:val="en-US" w:eastAsia="zh-CN" w:bidi="ar"/>
            </w:rPr>
          </w:pPr>
          <w:r>
            <w:rPr>
              <w:rFonts w:hint="default" w:ascii="Times New Roman" w:hAnsi="Times New Roman" w:eastAsia="黑体" w:cs="Times New Roman"/>
              <w:color w:val="000000"/>
              <w:kern w:val="0"/>
              <w:sz w:val="31"/>
              <w:szCs w:val="31"/>
              <w:lang w:val="en-US" w:eastAsia="zh-CN" w:bidi="ar"/>
            </w:rPr>
            <w:t>第</w:t>
          </w:r>
          <w:r>
            <w:rPr>
              <w:rFonts w:hint="default" w:ascii="Times New Roman" w:hAnsi="Times New Roman" w:eastAsia="黑体" w:cs="Times New Roman"/>
              <w:color w:val="000000"/>
              <w:kern w:val="0"/>
              <w:sz w:val="31"/>
              <w:szCs w:val="31"/>
              <w:lang w:val="en-US" w:eastAsia="zh-CN" w:bidi="ar"/>
            </w:rPr>
            <w:fldChar w:fldCharType="end"/>
          </w:r>
          <w:r>
            <w:rPr>
              <w:rFonts w:hint="default" w:ascii="Times New Roman" w:hAnsi="Times New Roman" w:eastAsia="黑体" w:cs="Times New Roman"/>
              <w:color w:val="000000"/>
              <w:kern w:val="0"/>
              <w:sz w:val="31"/>
              <w:szCs w:val="31"/>
              <w:lang w:val="en-US" w:eastAsia="zh-CN" w:bidi="ar"/>
            </w:rPr>
            <w:t>四部分</w:t>
          </w:r>
          <w:r>
            <w:rPr>
              <w:rFonts w:hint="eastAsia" w:eastAsia="黑体" w:cs="Times New Roman"/>
              <w:color w:val="000000"/>
              <w:kern w:val="0"/>
              <w:sz w:val="31"/>
              <w:szCs w:val="31"/>
              <w:lang w:val="en-US" w:eastAsia="zh-CN" w:bidi="ar"/>
            </w:rPr>
            <w:t xml:space="preserve"> </w:t>
          </w:r>
          <w:r>
            <w:rPr>
              <w:rFonts w:hint="default" w:ascii="Times New Roman" w:hAnsi="Times New Roman" w:eastAsia="黑体" w:cs="Times New Roman"/>
              <w:color w:val="000000"/>
              <w:kern w:val="0"/>
              <w:sz w:val="31"/>
              <w:szCs w:val="31"/>
              <w:lang w:val="en-US" w:eastAsia="zh-CN" w:bidi="ar"/>
            </w:rPr>
            <w:t xml:space="preserve"> </w:t>
          </w:r>
          <w:r>
            <w:rPr>
              <w:rFonts w:hint="eastAsia" w:ascii="Times New Roman" w:hAnsi="Times New Roman" w:eastAsia="黑体" w:cs="Times New Roman"/>
              <w:color w:val="000000"/>
              <w:kern w:val="0"/>
              <w:sz w:val="31"/>
              <w:szCs w:val="31"/>
              <w:lang w:val="en-US" w:eastAsia="zh-CN" w:bidi="ar"/>
            </w:rPr>
            <w:t>附件</w:t>
          </w:r>
          <w:r>
            <w:rPr>
              <w:rFonts w:hint="default" w:ascii="Times New Roman" w:hAnsi="Times New Roman" w:eastAsia="黑体" w:cs="Times New Roman"/>
              <w:color w:val="000000"/>
              <w:kern w:val="0"/>
              <w:sz w:val="31"/>
              <w:szCs w:val="31"/>
              <w:lang w:val="en-US" w:eastAsia="zh-CN" w:bidi="ar"/>
            </w:rPr>
            <w:t>............................</w:t>
          </w:r>
          <w:r>
            <w:rPr>
              <w:rFonts w:hint="eastAsia" w:eastAsia="黑体" w:cs="Times New Roman"/>
              <w:color w:val="000000"/>
              <w:kern w:val="0"/>
              <w:sz w:val="31"/>
              <w:szCs w:val="31"/>
              <w:lang w:val="en-US" w:eastAsia="zh-CN" w:bidi="ar"/>
            </w:rPr>
            <w:t>....</w:t>
          </w:r>
          <w:r>
            <w:rPr>
              <w:rFonts w:hint="default" w:ascii="Times New Roman" w:hAnsi="Times New Roman" w:eastAsia="黑体" w:cs="Times New Roman"/>
              <w:color w:val="000000"/>
              <w:kern w:val="0"/>
              <w:sz w:val="31"/>
              <w:szCs w:val="31"/>
              <w:lang w:val="en-US" w:eastAsia="zh-CN" w:bidi="ar"/>
            </w:rPr>
            <w:t>...........................................</w:t>
          </w:r>
          <w:r>
            <w:rPr>
              <w:rFonts w:hint="eastAsia" w:ascii="Times New Roman" w:hAnsi="Times New Roman" w:eastAsia="黑体" w:cs="Times New Roman"/>
              <w:color w:val="000000"/>
              <w:kern w:val="0"/>
              <w:sz w:val="31"/>
              <w:szCs w:val="31"/>
              <w:lang w:val="en-US" w:eastAsia="zh-CN" w:bidi="ar"/>
            </w:rPr>
            <w:t>2</w:t>
          </w:r>
          <w:r>
            <w:rPr>
              <w:rFonts w:hint="eastAsia" w:eastAsia="黑体" w:cs="Times New Roman"/>
              <w:color w:val="000000"/>
              <w:kern w:val="0"/>
              <w:sz w:val="31"/>
              <w:szCs w:val="31"/>
              <w:lang w:val="en-US" w:eastAsia="zh-CN" w:bidi="ar"/>
            </w:rPr>
            <w:t>3</w:t>
          </w:r>
        </w:p>
        <w:p w14:paraId="140D3569">
          <w:pPr>
            <w:keepNext w:val="0"/>
            <w:keepLines w:val="0"/>
            <w:widowControl/>
            <w:suppressLineNumbers w:val="0"/>
            <w:ind w:firstLine="310" w:firstLineChars="1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附件 </w:t>
          </w:r>
          <w:r>
            <w:rPr>
              <w:rFonts w:hint="default" w:ascii="Times New Roman" w:hAnsi="Times New Roman" w:eastAsia="宋体" w:cs="Times New Roman"/>
              <w:color w:val="000000"/>
              <w:kern w:val="0"/>
              <w:sz w:val="31"/>
              <w:szCs w:val="31"/>
              <w:lang w:val="en-US" w:eastAsia="zh-CN" w:bidi="ar"/>
            </w:rPr>
            <w:t xml:space="preserve">1 </w:t>
          </w:r>
          <w:r>
            <w:rPr>
              <w:rFonts w:hint="default" w:ascii="Times New Roman" w:hAnsi="Times New Roman" w:eastAsia="仿宋_GB2312" w:cs="Times New Roman"/>
              <w:color w:val="000000"/>
              <w:kern w:val="0"/>
              <w:sz w:val="31"/>
              <w:szCs w:val="31"/>
              <w:lang w:val="en-US" w:eastAsia="zh-CN" w:bidi="ar"/>
            </w:rPr>
            <w:t>部门预算绩效评价报告</w:t>
          </w:r>
          <w:r>
            <w:rPr>
              <w:rFonts w:hint="default" w:ascii="Times New Roman" w:hAnsi="Times New Roman" w:eastAsia="宋体" w:cs="Times New Roman"/>
              <w:color w:val="000000"/>
              <w:kern w:val="0"/>
              <w:sz w:val="31"/>
              <w:szCs w:val="31"/>
              <w:lang w:val="en-US" w:eastAsia="zh-CN" w:bidi="ar"/>
            </w:rPr>
            <w:t>............................................ 2</w:t>
          </w:r>
          <w:r>
            <w:rPr>
              <w:rFonts w:hint="eastAsia" w:cs="Times New Roman"/>
              <w:color w:val="000000"/>
              <w:kern w:val="0"/>
              <w:sz w:val="31"/>
              <w:szCs w:val="31"/>
              <w:lang w:val="en-US" w:eastAsia="zh-CN" w:bidi="ar"/>
            </w:rPr>
            <w:t>3</w:t>
          </w:r>
          <w:r>
            <w:rPr>
              <w:rFonts w:hint="default" w:ascii="Times New Roman" w:hAnsi="Times New Roman" w:eastAsia="宋体" w:cs="Times New Roman"/>
              <w:color w:val="000000"/>
              <w:kern w:val="0"/>
              <w:sz w:val="31"/>
              <w:szCs w:val="31"/>
              <w:lang w:val="en-US" w:eastAsia="zh-CN" w:bidi="ar"/>
            </w:rPr>
            <w:t xml:space="preserve"> </w:t>
          </w:r>
        </w:p>
        <w:p w14:paraId="1F5D0644">
          <w:pPr>
            <w:keepNext w:val="0"/>
            <w:keepLines w:val="0"/>
            <w:widowControl/>
            <w:suppressLineNumbers w:val="0"/>
            <w:ind w:firstLine="310" w:firstLineChars="1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附件 </w:t>
          </w:r>
          <w:r>
            <w:rPr>
              <w:rFonts w:hint="default" w:ascii="Times New Roman" w:hAnsi="Times New Roman" w:eastAsia="宋体" w:cs="Times New Roman"/>
              <w:color w:val="000000"/>
              <w:kern w:val="0"/>
              <w:sz w:val="31"/>
              <w:szCs w:val="31"/>
              <w:lang w:val="en-US" w:eastAsia="zh-CN" w:bidi="ar"/>
            </w:rPr>
            <w:t xml:space="preserve">2 </w:t>
          </w:r>
          <w:r>
            <w:rPr>
              <w:rFonts w:hint="default" w:ascii="Times New Roman" w:hAnsi="Times New Roman" w:eastAsia="仿宋_GB2312" w:cs="Times New Roman"/>
              <w:color w:val="000000"/>
              <w:kern w:val="0"/>
              <w:sz w:val="31"/>
              <w:szCs w:val="31"/>
              <w:lang w:val="en-US" w:eastAsia="zh-CN" w:bidi="ar"/>
            </w:rPr>
            <w:t>专项预算项目绩效评价报告</w:t>
          </w:r>
          <w:r>
            <w:rPr>
              <w:rFonts w:hint="default" w:ascii="Times New Roman" w:hAnsi="Times New Roman" w:eastAsia="宋体" w:cs="Times New Roman"/>
              <w:color w:val="000000"/>
              <w:kern w:val="0"/>
              <w:sz w:val="31"/>
              <w:szCs w:val="31"/>
              <w:lang w:val="en-US" w:eastAsia="zh-CN" w:bidi="ar"/>
            </w:rPr>
            <w:t>............</w:t>
          </w:r>
          <w:r>
            <w:rPr>
              <w:rFonts w:hint="eastAsia"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.....................3</w:t>
          </w:r>
          <w:r>
            <w:rPr>
              <w:rFonts w:hint="eastAsia" w:cs="Times New Roman"/>
              <w:color w:val="000000"/>
              <w:kern w:val="0"/>
              <w:sz w:val="31"/>
              <w:szCs w:val="31"/>
              <w:lang w:val="en-US" w:eastAsia="zh-CN" w:bidi="ar"/>
            </w:rPr>
            <w:t>2</w:t>
          </w:r>
          <w:r>
            <w:rPr>
              <w:rFonts w:hint="default" w:ascii="Times New Roman" w:hAnsi="Times New Roman" w:eastAsia="宋体" w:cs="Times New Roman"/>
              <w:color w:val="000000"/>
              <w:kern w:val="0"/>
              <w:sz w:val="31"/>
              <w:szCs w:val="31"/>
              <w:lang w:val="en-US" w:eastAsia="zh-CN" w:bidi="ar"/>
            </w:rPr>
            <w:t xml:space="preserve"> </w:t>
          </w:r>
        </w:p>
        <w:p w14:paraId="64C49BC8">
          <w:pPr>
            <w:keepNext w:val="0"/>
            <w:keepLines w:val="0"/>
            <w:widowControl/>
            <w:suppressLineNumbers w:val="0"/>
            <w:jc w:val="left"/>
            <w:rPr>
              <w:rFonts w:hint="default" w:ascii="Times New Roman" w:hAnsi="Times New Roman" w:cs="Times New Roman"/>
              <w:lang w:val="en-US"/>
            </w:rPr>
          </w:pPr>
          <w:r>
            <w:rPr>
              <w:rFonts w:hint="default" w:ascii="Times New Roman" w:hAnsi="Times New Roman" w:eastAsia="黑体" w:cs="Times New Roman"/>
              <w:color w:val="000000"/>
              <w:kern w:val="0"/>
              <w:sz w:val="31"/>
              <w:szCs w:val="31"/>
              <w:lang w:val="en-US" w:eastAsia="zh-CN" w:bidi="ar"/>
            </w:rPr>
            <w:t>第五部分 附表</w:t>
          </w:r>
          <w:r>
            <w:rPr>
              <w:rFonts w:hint="default" w:ascii="Times New Roman" w:hAnsi="Times New Roman" w:eastAsia="宋体" w:cs="Times New Roman"/>
              <w:color w:val="000000"/>
              <w:kern w:val="0"/>
              <w:sz w:val="31"/>
              <w:szCs w:val="31"/>
              <w:lang w:val="en-US" w:eastAsia="zh-CN" w:bidi="ar"/>
            </w:rPr>
            <w:t>..........................................................................4</w:t>
          </w:r>
          <w:r>
            <w:rPr>
              <w:rFonts w:hint="eastAsia" w:ascii="Times New Roman" w:hAnsi="Times New Roman" w:eastAsia="宋体" w:cs="Times New Roman"/>
              <w:color w:val="000000"/>
              <w:kern w:val="0"/>
              <w:sz w:val="31"/>
              <w:szCs w:val="31"/>
              <w:lang w:val="en-US" w:eastAsia="zh-CN" w:bidi="ar"/>
            </w:rPr>
            <w:t>0</w:t>
          </w:r>
        </w:p>
        <w:p w14:paraId="0B4AFD5C">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一、收入支出决算总表</w:t>
          </w:r>
          <w:r>
            <w:rPr>
              <w:rFonts w:hint="default" w:ascii="Times New Roman" w:hAnsi="Times New Roman" w:eastAsia="宋体" w:cs="Times New Roman"/>
              <w:color w:val="000000"/>
              <w:kern w:val="0"/>
              <w:sz w:val="31"/>
              <w:szCs w:val="31"/>
              <w:lang w:val="en-US" w:eastAsia="zh-CN" w:bidi="ar"/>
            </w:rPr>
            <w:t>............................................................4</w:t>
          </w:r>
          <w:r>
            <w:rPr>
              <w:rFonts w:hint="eastAsia" w:ascii="Times New Roman" w:hAnsi="Times New Roman" w:cs="Times New Roman"/>
              <w:color w:val="000000"/>
              <w:kern w:val="0"/>
              <w:sz w:val="31"/>
              <w:szCs w:val="31"/>
              <w:lang w:val="en-US" w:eastAsia="zh-CN" w:bidi="ar"/>
            </w:rPr>
            <w:t>0</w:t>
          </w:r>
          <w:r>
            <w:rPr>
              <w:rFonts w:hint="default" w:ascii="Times New Roman" w:hAnsi="Times New Roman" w:eastAsia="宋体" w:cs="Times New Roman"/>
              <w:color w:val="000000"/>
              <w:kern w:val="0"/>
              <w:sz w:val="31"/>
              <w:szCs w:val="31"/>
              <w:lang w:val="en-US" w:eastAsia="zh-CN" w:bidi="ar"/>
            </w:rPr>
            <w:t xml:space="preserve"> </w:t>
          </w:r>
        </w:p>
        <w:p w14:paraId="237CCCF3">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二、收入决算表</w:t>
          </w:r>
          <w:r>
            <w:rPr>
              <w:rFonts w:hint="default" w:ascii="Times New Roman" w:hAnsi="Times New Roman" w:eastAsia="宋体" w:cs="Times New Roman"/>
              <w:color w:val="000000"/>
              <w:kern w:val="0"/>
              <w:sz w:val="31"/>
              <w:szCs w:val="31"/>
              <w:lang w:val="en-US" w:eastAsia="zh-CN" w:bidi="ar"/>
            </w:rPr>
            <w:t>........................................................................4</w:t>
          </w:r>
          <w:r>
            <w:rPr>
              <w:rFonts w:hint="eastAsia" w:ascii="Times New Roman" w:hAnsi="Times New Roman" w:cs="Times New Roman"/>
              <w:color w:val="000000"/>
              <w:kern w:val="0"/>
              <w:sz w:val="31"/>
              <w:szCs w:val="31"/>
              <w:lang w:val="en-US" w:eastAsia="zh-CN" w:bidi="ar"/>
            </w:rPr>
            <w:t>0</w:t>
          </w:r>
          <w:r>
            <w:rPr>
              <w:rFonts w:hint="default" w:ascii="Times New Roman" w:hAnsi="Times New Roman" w:eastAsia="宋体" w:cs="Times New Roman"/>
              <w:color w:val="000000"/>
              <w:kern w:val="0"/>
              <w:sz w:val="31"/>
              <w:szCs w:val="31"/>
              <w:lang w:val="en-US" w:eastAsia="zh-CN" w:bidi="ar"/>
            </w:rPr>
            <w:t xml:space="preserve"> </w:t>
          </w:r>
        </w:p>
        <w:p w14:paraId="47C10801">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三、支出决算表</w:t>
          </w:r>
          <w:r>
            <w:rPr>
              <w:rFonts w:hint="default" w:ascii="Times New Roman" w:hAnsi="Times New Roman" w:eastAsia="宋体" w:cs="Times New Roman"/>
              <w:color w:val="000000"/>
              <w:kern w:val="0"/>
              <w:sz w:val="31"/>
              <w:szCs w:val="31"/>
              <w:lang w:val="en-US" w:eastAsia="zh-CN" w:bidi="ar"/>
            </w:rPr>
            <w:t>........................................................................4</w:t>
          </w:r>
          <w:r>
            <w:rPr>
              <w:rFonts w:hint="eastAsia" w:ascii="Times New Roman" w:hAnsi="Times New Roman" w:cs="Times New Roman"/>
              <w:color w:val="000000"/>
              <w:kern w:val="0"/>
              <w:sz w:val="31"/>
              <w:szCs w:val="31"/>
              <w:lang w:val="en-US" w:eastAsia="zh-CN" w:bidi="ar"/>
            </w:rPr>
            <w:t>0</w:t>
          </w:r>
        </w:p>
        <w:p w14:paraId="42C9DAC6">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四、财政拨款收入支出决算总表</w:t>
          </w:r>
          <w:r>
            <w:rPr>
              <w:rFonts w:hint="default" w:ascii="Times New Roman" w:hAnsi="Times New Roman" w:eastAsia="宋体" w:cs="Times New Roman"/>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.40</w:t>
          </w:r>
          <w:r>
            <w:rPr>
              <w:rFonts w:hint="default" w:ascii="Times New Roman" w:hAnsi="Times New Roman" w:eastAsia="宋体" w:cs="Times New Roman"/>
              <w:color w:val="000000"/>
              <w:kern w:val="0"/>
              <w:sz w:val="31"/>
              <w:szCs w:val="31"/>
              <w:lang w:val="en-US" w:eastAsia="zh-CN" w:bidi="ar"/>
            </w:rPr>
            <w:t xml:space="preserve"> </w:t>
          </w:r>
        </w:p>
        <w:p w14:paraId="74B1D721">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五、财政拨款支出决算明细表</w:t>
          </w:r>
          <w:r>
            <w:rPr>
              <w:rFonts w:hint="default" w:ascii="Times New Roman" w:hAnsi="Times New Roman" w:eastAsia="宋体" w:cs="Times New Roman"/>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.40</w:t>
          </w:r>
          <w:r>
            <w:rPr>
              <w:rFonts w:hint="default" w:ascii="Times New Roman" w:hAnsi="Times New Roman" w:eastAsia="宋体" w:cs="Times New Roman"/>
              <w:color w:val="000000"/>
              <w:kern w:val="0"/>
              <w:sz w:val="31"/>
              <w:szCs w:val="31"/>
              <w:lang w:val="en-US" w:eastAsia="zh-CN" w:bidi="ar"/>
            </w:rPr>
            <w:t xml:space="preserve"> </w:t>
          </w:r>
        </w:p>
        <w:p w14:paraId="63D6DD3D">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六、一般公共预算财政拨款支出决算表</w:t>
          </w:r>
          <w:r>
            <w:rPr>
              <w:rFonts w:hint="default" w:ascii="Times New Roman" w:hAnsi="Times New Roman" w:eastAsia="宋体" w:cs="Times New Roman"/>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.40</w:t>
          </w:r>
          <w:r>
            <w:rPr>
              <w:rFonts w:hint="default" w:ascii="Times New Roman" w:hAnsi="Times New Roman" w:eastAsia="宋体" w:cs="Times New Roman"/>
              <w:color w:val="000000"/>
              <w:kern w:val="0"/>
              <w:sz w:val="31"/>
              <w:szCs w:val="31"/>
              <w:lang w:val="en-US" w:eastAsia="zh-CN" w:bidi="ar"/>
            </w:rPr>
            <w:t xml:space="preserve"> </w:t>
          </w:r>
        </w:p>
        <w:p w14:paraId="57C8E1E5">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七、一般公共预算财政拨款支出决算明细表</w:t>
          </w:r>
          <w:r>
            <w:rPr>
              <w:rFonts w:hint="default" w:ascii="Times New Roman" w:hAnsi="Times New Roman" w:eastAsia="宋体" w:cs="Times New Roman"/>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.40</w:t>
          </w:r>
          <w:r>
            <w:rPr>
              <w:rFonts w:hint="default" w:ascii="Times New Roman" w:hAnsi="Times New Roman" w:eastAsia="宋体" w:cs="Times New Roman"/>
              <w:color w:val="000000"/>
              <w:kern w:val="0"/>
              <w:sz w:val="31"/>
              <w:szCs w:val="31"/>
              <w:lang w:val="en-US" w:eastAsia="zh-CN" w:bidi="ar"/>
            </w:rPr>
            <w:t xml:space="preserve"> </w:t>
          </w:r>
        </w:p>
        <w:p w14:paraId="06445AE0">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八、一般公共预算财政拨款基本支出决算表</w:t>
          </w:r>
          <w:r>
            <w:rPr>
              <w:rFonts w:hint="default" w:ascii="Times New Roman" w:hAnsi="Times New Roman" w:eastAsia="宋体" w:cs="Times New Roman"/>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.40</w:t>
          </w:r>
          <w:r>
            <w:rPr>
              <w:rFonts w:hint="default" w:ascii="Times New Roman" w:hAnsi="Times New Roman" w:eastAsia="宋体" w:cs="Times New Roman"/>
              <w:color w:val="000000"/>
              <w:kern w:val="0"/>
              <w:sz w:val="31"/>
              <w:szCs w:val="31"/>
              <w:lang w:val="en-US" w:eastAsia="zh-CN" w:bidi="ar"/>
            </w:rPr>
            <w:t xml:space="preserve"> </w:t>
          </w:r>
        </w:p>
        <w:p w14:paraId="3D82C5D8">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九、一般公共预算财政拨款项目支出决算表</w:t>
          </w:r>
          <w:r>
            <w:rPr>
              <w:rFonts w:hint="default" w:ascii="Times New Roman" w:hAnsi="Times New Roman" w:eastAsia="宋体" w:cs="Times New Roman"/>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.40</w:t>
          </w:r>
          <w:r>
            <w:rPr>
              <w:rFonts w:hint="default" w:ascii="Times New Roman" w:hAnsi="Times New Roman" w:eastAsia="宋体" w:cs="Times New Roman"/>
              <w:color w:val="000000"/>
              <w:kern w:val="0"/>
              <w:sz w:val="31"/>
              <w:szCs w:val="31"/>
              <w:lang w:val="en-US" w:eastAsia="zh-CN" w:bidi="ar"/>
            </w:rPr>
            <w:t xml:space="preserve"> </w:t>
          </w:r>
        </w:p>
        <w:p w14:paraId="592BA109">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十、政府性基金预算财政拨款收入支出决算表</w:t>
          </w:r>
          <w:r>
            <w:rPr>
              <w:rFonts w:hint="default" w:ascii="Times New Roman" w:hAnsi="Times New Roman" w:eastAsia="宋体" w:cs="Times New Roman"/>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.40</w:t>
          </w:r>
          <w:r>
            <w:rPr>
              <w:rFonts w:hint="default" w:ascii="Times New Roman" w:hAnsi="Times New Roman" w:eastAsia="宋体" w:cs="Times New Roman"/>
              <w:color w:val="000000"/>
              <w:kern w:val="0"/>
              <w:sz w:val="31"/>
              <w:szCs w:val="31"/>
              <w:lang w:val="en-US" w:eastAsia="zh-CN" w:bidi="ar"/>
            </w:rPr>
            <w:t xml:space="preserve"> </w:t>
          </w:r>
        </w:p>
        <w:p w14:paraId="125423D8">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十一、国有资本经营预算财政拨款收入支出决算表</w:t>
          </w:r>
          <w:r>
            <w:rPr>
              <w:rFonts w:hint="default" w:ascii="Times New Roman" w:hAnsi="Times New Roman" w:eastAsia="宋体" w:cs="Times New Roman"/>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.40</w:t>
          </w:r>
          <w:r>
            <w:rPr>
              <w:rFonts w:hint="default" w:ascii="Times New Roman" w:hAnsi="Times New Roman" w:eastAsia="宋体" w:cs="Times New Roman"/>
              <w:color w:val="000000"/>
              <w:kern w:val="0"/>
              <w:sz w:val="31"/>
              <w:szCs w:val="31"/>
              <w:lang w:val="en-US" w:eastAsia="zh-CN" w:bidi="ar"/>
            </w:rPr>
            <w:t xml:space="preserve"> </w:t>
          </w:r>
        </w:p>
        <w:p w14:paraId="31FECE05">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十二、国有资本经营预算财政拨款支出决算表</w:t>
          </w:r>
          <w:r>
            <w:rPr>
              <w:rFonts w:hint="default" w:ascii="Times New Roman" w:hAnsi="Times New Roman" w:eastAsia="宋体" w:cs="Times New Roman"/>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.40</w:t>
          </w:r>
          <w:r>
            <w:rPr>
              <w:rFonts w:hint="default" w:ascii="Times New Roman" w:hAnsi="Times New Roman" w:eastAsia="宋体" w:cs="Times New Roman"/>
              <w:color w:val="000000"/>
              <w:kern w:val="0"/>
              <w:sz w:val="31"/>
              <w:szCs w:val="31"/>
              <w:lang w:val="en-US" w:eastAsia="zh-CN" w:bidi="ar"/>
            </w:rPr>
            <w:t xml:space="preserve"> </w:t>
          </w:r>
        </w:p>
        <w:p w14:paraId="038C8895">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十三、财政拨款“三公”经费支出决算表</w:t>
          </w:r>
          <w:r>
            <w:rPr>
              <w:rFonts w:hint="default" w:ascii="Times New Roman" w:hAnsi="Times New Roman" w:eastAsia="宋体" w:cs="Times New Roman"/>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.40</w:t>
          </w:r>
        </w:p>
        <w:p w14:paraId="256A230E"/>
      </w:sdtContent>
    </w:sdt>
    <w:p w14:paraId="52DE885E"/>
    <w:p w14:paraId="2BD148BC">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112B7593">
      <w:pPr>
        <w:pStyle w:val="3"/>
        <w:jc w:val="center"/>
        <w:rPr>
          <w:rStyle w:val="29"/>
          <w:rFonts w:hint="eastAsia" w:ascii="Times New Roman" w:hAnsi="Times New Roman" w:eastAsia="方正小标宋简体" w:cs="方正小标宋简体"/>
          <w:b/>
          <w:bCs w:val="0"/>
          <w:color w:val="auto"/>
          <w:highlight w:val="none"/>
        </w:rPr>
      </w:pPr>
      <w:bookmarkStart w:id="8" w:name="_Toc8964"/>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6"/>
      <w:bookmarkEnd w:id="7"/>
      <w:bookmarkEnd w:id="8"/>
    </w:p>
    <w:p w14:paraId="628E1E1A">
      <w:pPr>
        <w:widowControl/>
        <w:jc w:val="left"/>
        <w:rPr>
          <w:rFonts w:ascii="Times New Roman" w:hAnsi="Times New Roman" w:eastAsia="黑体"/>
          <w:color w:val="auto"/>
          <w:sz w:val="32"/>
          <w:szCs w:val="32"/>
          <w:highlight w:val="none"/>
        </w:rPr>
      </w:pPr>
    </w:p>
    <w:p w14:paraId="04E9BAEA">
      <w:pPr>
        <w:pStyle w:val="4"/>
        <w:keepNext/>
        <w:keepLines/>
        <w:pageBreakBefore w:val="0"/>
        <w:widowControl w:val="0"/>
        <w:numPr>
          <w:ilvl w:val="0"/>
          <w:numId w:val="1"/>
        </w:numPr>
        <w:kinsoku/>
        <w:wordWrap/>
        <w:overflowPunct/>
        <w:topLinePunct w:val="0"/>
        <w:autoSpaceDE/>
        <w:autoSpaceDN/>
        <w:bidi w:val="0"/>
        <w:adjustRightInd/>
        <w:snapToGrid/>
        <w:spacing w:line="416" w:lineRule="auto"/>
        <w:ind w:firstLine="640" w:firstLineChars="200"/>
        <w:textAlignment w:val="auto"/>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val="en-US" w:eastAsia="zh-CN"/>
        </w:rPr>
        <w:t xml:space="preserve"> </w:t>
      </w:r>
      <w:bookmarkStart w:id="9" w:name="_Toc22751"/>
      <w:r>
        <w:rPr>
          <w:rFonts w:hint="eastAsia" w:ascii="Times New Roman" w:hAnsi="Times New Roman" w:eastAsia="黑体"/>
          <w:b w:val="0"/>
          <w:color w:val="auto"/>
          <w:highlight w:val="none"/>
          <w:lang w:eastAsia="zh-CN"/>
        </w:rPr>
        <w:t>部门职责</w:t>
      </w:r>
      <w:bookmarkEnd w:id="9"/>
    </w:p>
    <w:p w14:paraId="27DF96B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贯彻落实党的路线方针政策和国家法律法规以及上级党委、政府的决议、决定和命令，执行</w:t>
      </w:r>
      <w:r>
        <w:rPr>
          <w:rFonts w:hint="eastAsia" w:eastAsia="仿宋_GB2312" w:cs="仿宋_GB2312"/>
          <w:color w:val="auto"/>
          <w:kern w:val="2"/>
          <w:sz w:val="32"/>
          <w:szCs w:val="32"/>
          <w:highlight w:val="none"/>
          <w:lang w:val="en-US" w:eastAsia="zh-CN" w:bidi="ar-SA"/>
        </w:rPr>
        <w:t>乡</w:t>
      </w:r>
      <w:r>
        <w:rPr>
          <w:rFonts w:hint="eastAsia" w:ascii="Times New Roman" w:hAnsi="Times New Roman" w:eastAsia="仿宋_GB2312" w:cs="仿宋_GB2312"/>
          <w:color w:val="auto"/>
          <w:kern w:val="2"/>
          <w:sz w:val="32"/>
          <w:szCs w:val="32"/>
          <w:highlight w:val="none"/>
          <w:lang w:val="en-US" w:eastAsia="zh-CN" w:bidi="ar-SA"/>
        </w:rPr>
        <w:t>党委和</w:t>
      </w:r>
      <w:r>
        <w:rPr>
          <w:rFonts w:hint="eastAsia" w:eastAsia="仿宋_GB2312" w:cs="仿宋_GB2312"/>
          <w:color w:val="auto"/>
          <w:kern w:val="2"/>
          <w:sz w:val="32"/>
          <w:szCs w:val="32"/>
          <w:highlight w:val="none"/>
          <w:lang w:val="en-US" w:eastAsia="zh-CN" w:bidi="ar-SA"/>
        </w:rPr>
        <w:t>乡</w:t>
      </w:r>
      <w:r>
        <w:rPr>
          <w:rFonts w:hint="eastAsia" w:ascii="Times New Roman" w:hAnsi="Times New Roman" w:eastAsia="仿宋_GB2312" w:cs="仿宋_GB2312"/>
          <w:color w:val="auto"/>
          <w:kern w:val="2"/>
          <w:sz w:val="32"/>
          <w:szCs w:val="32"/>
          <w:highlight w:val="none"/>
          <w:lang w:val="en-US" w:eastAsia="zh-CN" w:bidi="ar-SA"/>
        </w:rPr>
        <w:t>人民代表大会的决议，加强农村基层政权建设，巩固党在农村的执政基础。</w:t>
      </w:r>
    </w:p>
    <w:p w14:paraId="5517BD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组织编制本行政区域经济社会发展规划和</w:t>
      </w:r>
      <w:r>
        <w:rPr>
          <w:rFonts w:hint="eastAsia" w:eastAsia="仿宋_GB2312" w:cs="仿宋_GB2312"/>
          <w:color w:val="auto"/>
          <w:kern w:val="2"/>
          <w:sz w:val="32"/>
          <w:szCs w:val="32"/>
          <w:highlight w:val="none"/>
          <w:lang w:val="en-US" w:eastAsia="zh-CN" w:bidi="ar-SA"/>
        </w:rPr>
        <w:t>乡</w:t>
      </w:r>
      <w:r>
        <w:rPr>
          <w:rFonts w:hint="eastAsia" w:ascii="Times New Roman" w:hAnsi="Times New Roman" w:eastAsia="仿宋_GB2312" w:cs="仿宋_GB2312"/>
          <w:color w:val="auto"/>
          <w:kern w:val="2"/>
          <w:sz w:val="32"/>
          <w:szCs w:val="32"/>
          <w:highlight w:val="none"/>
          <w:lang w:val="en-US" w:eastAsia="zh-CN" w:bidi="ar-SA"/>
        </w:rPr>
        <w:t>国土空间规划。负责农村基础设施和各项公益事业建设，推进脱贫攻坚，实施乡村振兴战略，加快经济社会发展，改善群众生产生活环境。</w:t>
      </w:r>
    </w:p>
    <w:p w14:paraId="1A4E204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3.指导农村经济发展，推进农业经济结构调整，促进经济增长、农业增效、农民增收。</w:t>
      </w:r>
    </w:p>
    <w:p w14:paraId="1633C37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加强农村公共服务体系建设，抓好基础教育、科技、文化、体育、卫生健康、食（药）品安全等工作，做好民政事务、残疾、老龄、就业创业、社会保障、劳动关系协调、民族宗教、退役军人事务、统计等工作，促进农村社会事业健康发展。</w:t>
      </w:r>
    </w:p>
    <w:p w14:paraId="67C8415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5.负责辖区内自然资源、生态环境保护、森林防火、防汛抗旱、粮食安全、供销合作社等工作。</w:t>
      </w:r>
    </w:p>
    <w:p w14:paraId="40447C5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6.推进基层民主法治建设，加强普法依法治理，指导村（居）民委员会工作，维护群众合法权益。</w:t>
      </w:r>
    </w:p>
    <w:p w14:paraId="7CB8D1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7.承担辖区平安建设、社会治安综合治理、安全和应急管理有关工作。负责群众来信来访，</w:t>
      </w:r>
      <w:r>
        <w:rPr>
          <w:rFonts w:hint="eastAsia" w:eastAsia="仿宋_GB2312" w:cs="仿宋_GB2312"/>
          <w:color w:val="auto"/>
          <w:kern w:val="2"/>
          <w:sz w:val="32"/>
          <w:szCs w:val="32"/>
          <w:highlight w:val="none"/>
          <w:lang w:val="en-US" w:eastAsia="zh-CN" w:bidi="ar-SA"/>
        </w:rPr>
        <w:t>反映</w:t>
      </w:r>
      <w:r>
        <w:rPr>
          <w:rFonts w:hint="eastAsia" w:ascii="Times New Roman" w:hAnsi="Times New Roman" w:eastAsia="仿宋_GB2312" w:cs="仿宋_GB2312"/>
          <w:color w:val="auto"/>
          <w:kern w:val="2"/>
          <w:sz w:val="32"/>
          <w:szCs w:val="32"/>
          <w:highlight w:val="none"/>
          <w:lang w:val="en-US" w:eastAsia="zh-CN" w:bidi="ar-SA"/>
        </w:rPr>
        <w:t>社情民意，化解矛盾纠纷，维护社会安全稳定。</w:t>
      </w:r>
    </w:p>
    <w:p w14:paraId="30C5324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8.负责清理编制权责清单、公共服务清单事项，建立清单动态调整和公示机制，推进政务公开，接受群众监督，增强政府公信力。</w:t>
      </w:r>
    </w:p>
    <w:p w14:paraId="7650B7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9.负责国防教育、兵役征集、民兵预备役等有关工作。</w:t>
      </w:r>
    </w:p>
    <w:p w14:paraId="342693B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10.承担法律、法规、规章规定的其他职能和上级党委、政府交办的其他工作。</w:t>
      </w:r>
    </w:p>
    <w:p w14:paraId="00BBF1A9">
      <w:pPr>
        <w:pStyle w:val="4"/>
        <w:keepNext/>
        <w:keepLines/>
        <w:pageBreakBefore w:val="0"/>
        <w:widowControl w:val="0"/>
        <w:numPr>
          <w:ilvl w:val="0"/>
          <w:numId w:val="1"/>
        </w:numPr>
        <w:kinsoku/>
        <w:wordWrap/>
        <w:overflowPunct/>
        <w:topLinePunct w:val="0"/>
        <w:autoSpaceDE/>
        <w:autoSpaceDN/>
        <w:bidi w:val="0"/>
        <w:adjustRightInd/>
        <w:snapToGrid/>
        <w:spacing w:line="416" w:lineRule="auto"/>
        <w:ind w:firstLine="640" w:firstLineChars="200"/>
        <w:textAlignment w:val="auto"/>
        <w:rPr>
          <w:rFonts w:hint="eastAsia" w:ascii="Times New Roman" w:hAnsi="Times New Roman" w:eastAsia="黑体"/>
          <w:b w:val="0"/>
          <w:color w:val="auto"/>
          <w:highlight w:val="none"/>
          <w:lang w:val="en-US" w:eastAsia="zh-CN"/>
        </w:rPr>
      </w:pPr>
      <w:bookmarkStart w:id="10" w:name="_Toc15396601"/>
      <w:bookmarkStart w:id="11" w:name="_Toc15377200"/>
      <w:bookmarkStart w:id="12" w:name="_Toc5546"/>
      <w:r>
        <w:rPr>
          <w:rFonts w:hint="eastAsia" w:ascii="Times New Roman" w:hAnsi="Times New Roman" w:eastAsia="黑体"/>
          <w:b w:val="0"/>
          <w:color w:val="auto"/>
          <w:highlight w:val="none"/>
          <w:lang w:val="en-US" w:eastAsia="zh-CN"/>
        </w:rPr>
        <w:t>机构设置</w:t>
      </w:r>
      <w:bookmarkEnd w:id="10"/>
      <w:bookmarkEnd w:id="11"/>
      <w:bookmarkEnd w:id="12"/>
    </w:p>
    <w:p w14:paraId="621FF419">
      <w:pPr>
        <w:pStyle w:val="16"/>
        <w:ind w:firstLine="640" w:firstLineChars="200"/>
        <w:rPr>
          <w:rFonts w:hint="eastAsia" w:ascii="Times New Roman" w:hAnsi="Times New Roman" w:eastAsia="仿宋_GB2312" w:cs="仿宋_GB2312"/>
          <w:color w:val="auto"/>
          <w:kern w:val="2"/>
          <w:sz w:val="32"/>
          <w:szCs w:val="32"/>
          <w:highlight w:val="none"/>
          <w:lang w:val="en-US" w:eastAsia="zh-CN" w:bidi="ar-SA"/>
        </w:rPr>
      </w:pPr>
      <w:bookmarkStart w:id="13" w:name="_Toc15396602"/>
      <w:bookmarkStart w:id="14" w:name="_Toc15377204"/>
      <w:r>
        <w:rPr>
          <w:rFonts w:hint="eastAsia" w:ascii="Times New Roman" w:hAnsi="Times New Roman" w:eastAsia="仿宋_GB2312" w:cs="仿宋_GB2312"/>
          <w:color w:val="auto"/>
          <w:kern w:val="2"/>
          <w:sz w:val="32"/>
          <w:szCs w:val="32"/>
          <w:highlight w:val="none"/>
          <w:lang w:val="en-US" w:eastAsia="zh-CN" w:bidi="ar-SA"/>
        </w:rPr>
        <w:t>高笋乡人民政府无下属二级单位，无纳入2024年度部门决算编制范围的二级预算单位。</w:t>
      </w:r>
    </w:p>
    <w:p w14:paraId="657D97A1">
      <w:pPr>
        <w:pStyle w:val="3"/>
        <w:jc w:val="center"/>
        <w:rPr>
          <w:rFonts w:hint="eastAsia" w:ascii="Times New Roman" w:hAnsi="Times New Roman" w:eastAsia="方正小标宋简体" w:cs="方正小标宋简体"/>
          <w:b w:val="0"/>
          <w:color w:val="auto"/>
          <w:highlight w:val="none"/>
        </w:rPr>
      </w:pPr>
      <w:bookmarkStart w:id="15" w:name="_Toc4703"/>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3"/>
      <w:bookmarkEnd w:id="14"/>
      <w:bookmarkEnd w:id="15"/>
    </w:p>
    <w:p w14:paraId="464D9312">
      <w:pPr>
        <w:rPr>
          <w:rFonts w:ascii="Times New Roman" w:hAnsi="Times New Roman"/>
          <w:color w:val="auto"/>
          <w:highlight w:val="none"/>
        </w:rPr>
      </w:pPr>
    </w:p>
    <w:p w14:paraId="5D2ED60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6" w:name="_Toc22637"/>
      <w:bookmarkStart w:id="17" w:name="_Toc15377205"/>
      <w:bookmarkStart w:id="18"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6"/>
      <w:bookmarkEnd w:id="17"/>
      <w:bookmarkEnd w:id="18"/>
    </w:p>
    <w:p w14:paraId="411405A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2024年度收、支总计965.88万元（含当年一般公共预算财政拨款收入944.65万元、其他收入20.91万元）。与2023年961.71万元相比，收、支总计增加4.17万元，增加0.43%。主要变动原因是本年基本支出增加。其中基本支出657.21万元，与上年度637.19万元相比，增加了20.02万元；项目支出308.67万元，与上年度324.52万元相比，减少了15.85万元。</w:t>
      </w:r>
    </w:p>
    <w:p w14:paraId="5E750B6B">
      <w:pPr>
        <w:pStyle w:val="4"/>
        <w:keepNext/>
        <w:keepLines/>
        <w:pageBreakBefore w:val="0"/>
        <w:widowControl w:val="0"/>
        <w:numPr>
          <w:ilvl w:val="0"/>
          <w:numId w:val="0"/>
        </w:numPr>
        <w:kinsoku/>
        <w:wordWrap/>
        <w:overflowPunct/>
        <w:topLinePunct w:val="0"/>
        <w:autoSpaceDE/>
        <w:autoSpaceDN/>
        <w:bidi w:val="0"/>
        <w:adjustRightInd/>
        <w:snapToGrid/>
        <w:spacing w:line="416" w:lineRule="auto"/>
        <w:textAlignment w:val="auto"/>
        <w:rPr>
          <w:rFonts w:hint="eastAsia" w:ascii="Times New Roman" w:hAnsi="Times New Roman" w:eastAsia="黑体"/>
          <w:b w:val="0"/>
          <w:color w:val="auto"/>
          <w:highlight w:val="none"/>
          <w:lang w:val="en-US" w:eastAsia="zh-CN"/>
        </w:rPr>
      </w:pPr>
      <w:bookmarkStart w:id="19" w:name="_Toc15377206"/>
      <w:bookmarkStart w:id="20" w:name="_Toc4464"/>
      <w:bookmarkStart w:id="21" w:name="_Toc15396604"/>
      <w:r>
        <w:rPr>
          <w:rFonts w:hint="default" w:ascii="Times New Roman" w:hAnsi="Times New Roman" w:eastAsia="黑体"/>
          <w:b w:val="0"/>
          <w:color w:val="auto"/>
          <w:highlight w:val="none"/>
          <w:lang w:val="en-US" w:eastAsia="zh-CN"/>
        </w:rPr>
        <w:drawing>
          <wp:anchor distT="0" distB="0" distL="114300" distR="114300" simplePos="0" relativeHeight="251659264" behindDoc="0" locked="0" layoutInCell="1" allowOverlap="1">
            <wp:simplePos x="0" y="0"/>
            <wp:positionH relativeFrom="column">
              <wp:posOffset>161290</wp:posOffset>
            </wp:positionH>
            <wp:positionV relativeFrom="paragraph">
              <wp:posOffset>111760</wp:posOffset>
            </wp:positionV>
            <wp:extent cx="4800600" cy="2400300"/>
            <wp:effectExtent l="4445" t="4445" r="14605" b="1460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Times New Roman" w:hAnsi="Times New Roman" w:eastAsia="黑体"/>
          <w:b w:val="0"/>
          <w:color w:val="auto"/>
          <w:highlight w:val="none"/>
          <w:lang w:val="en-US" w:eastAsia="zh-CN"/>
        </w:rPr>
        <w:t xml:space="preserve">  二、收入决算情况说明</w:t>
      </w:r>
      <w:bookmarkEnd w:id="19"/>
      <w:bookmarkEnd w:id="20"/>
      <w:bookmarkEnd w:id="21"/>
    </w:p>
    <w:p w14:paraId="15E6EAA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kern w:val="2"/>
          <w:sz w:val="32"/>
          <w:szCs w:val="32"/>
          <w:highlight w:val="none"/>
          <w:lang w:val="en-US" w:eastAsia="zh-CN" w:bidi="ar-SA"/>
        </w:rPr>
      </w:pPr>
      <w:bookmarkStart w:id="22" w:name="_Toc17876"/>
      <w:r>
        <w:rPr>
          <w:rFonts w:hint="eastAsia" w:ascii="Times New Roman" w:hAnsi="Times New Roman" w:eastAsia="仿宋_GB2312" w:cs="仿宋_GB2312"/>
          <w:color w:val="auto"/>
          <w:kern w:val="2"/>
          <w:sz w:val="32"/>
          <w:szCs w:val="32"/>
          <w:highlight w:val="none"/>
          <w:lang w:val="en-US" w:eastAsia="zh-CN" w:bidi="ar-SA"/>
        </w:rPr>
        <w:t>2024年度本年收入合计965.57万元，其中：一般公共预算财政拨款收入944.65万元，占97.83%；政府性基金预算财政拨款收入0万元，占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；国有资本经营预算财政拨款收入0万元，占0%；上级补助收入0万元，占0%；事业收入0万元，占0%；经营收入0万元，占0%；附属单位上缴收入0万元，占0%；其他收入20.91万元，占2.17%。</w:t>
      </w:r>
      <w:bookmarkEnd w:id="22"/>
    </w:p>
    <w:p w14:paraId="3C71849C">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3976370" cy="1974850"/>
            <wp:effectExtent l="5080" t="4445" r="19050" b="2095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C7792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3" w:name="_Toc18318"/>
      <w:bookmarkStart w:id="24" w:name="_Toc15377207"/>
      <w:bookmarkStart w:id="25"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3"/>
      <w:bookmarkEnd w:id="24"/>
      <w:bookmarkEnd w:id="25"/>
    </w:p>
    <w:p w14:paraId="50E127C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kern w:val="2"/>
          <w:sz w:val="32"/>
          <w:szCs w:val="32"/>
          <w:highlight w:val="none"/>
          <w:lang w:val="en-US" w:eastAsia="zh-CN" w:bidi="ar-SA"/>
        </w:rPr>
      </w:pPr>
      <w:bookmarkStart w:id="26" w:name="_Toc28186"/>
      <w:r>
        <w:rPr>
          <w:rFonts w:hint="eastAsia" w:ascii="Times New Roman" w:hAnsi="Times New Roman" w:eastAsia="仿宋_GB2312" w:cs="仿宋_GB2312"/>
          <w:color w:val="auto"/>
          <w:kern w:val="2"/>
          <w:sz w:val="32"/>
          <w:szCs w:val="32"/>
          <w:highlight w:val="none"/>
          <w:lang w:val="en-US" w:eastAsia="zh-CN" w:bidi="ar-SA"/>
        </w:rPr>
        <w:t>2024年度本年支出合计965.88万元，其中：基本支出657.21万元，占68.04%；项目支出308.67万元，占31.96%；上缴上级支出0万元，占0%；经营支出0万元，占0%；对附属单位补助支出0万元，占0%。</w:t>
      </w:r>
      <w:bookmarkEnd w:id="26"/>
    </w:p>
    <w:p w14:paraId="17AE4EFF">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194175" cy="2213610"/>
            <wp:effectExtent l="4445" t="4445" r="11430" b="1079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CC1E3F">
      <w:pPr>
        <w:spacing w:line="600" w:lineRule="exact"/>
        <w:ind w:firstLine="640" w:firstLineChars="200"/>
        <w:outlineLvl w:val="1"/>
        <w:rPr>
          <w:rStyle w:val="30"/>
          <w:rFonts w:ascii="Times New Roman" w:hAnsi="Times New Roman" w:eastAsia="黑体"/>
          <w:b w:val="0"/>
          <w:color w:val="auto"/>
          <w:highlight w:val="none"/>
        </w:rPr>
      </w:pPr>
      <w:bookmarkStart w:id="27" w:name="_Toc7672"/>
      <w:bookmarkStart w:id="28" w:name="_Toc15377208"/>
      <w:bookmarkStart w:id="29"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7"/>
      <w:bookmarkEnd w:id="28"/>
      <w:bookmarkEnd w:id="29"/>
    </w:p>
    <w:p w14:paraId="6D511F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2024年度财政拨款收入、支出总计均为944.97万元。与2023年度相比，财政拨款收入总计、支出总计各减少0.57万元，下降0.06%。主要变动原因是项目减少。</w:t>
      </w:r>
    </w:p>
    <w:p w14:paraId="143620C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29EB02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C0D63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0288" behindDoc="0" locked="0" layoutInCell="1" allowOverlap="1">
            <wp:simplePos x="0" y="0"/>
            <wp:positionH relativeFrom="column">
              <wp:posOffset>669290</wp:posOffset>
            </wp:positionH>
            <wp:positionV relativeFrom="paragraph">
              <wp:posOffset>124460</wp:posOffset>
            </wp:positionV>
            <wp:extent cx="4302125" cy="1784350"/>
            <wp:effectExtent l="4445" t="4445" r="17780" b="20955"/>
            <wp:wrapTopAndBottom/>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39E03E33">
      <w:pPr>
        <w:spacing w:line="600" w:lineRule="exact"/>
        <w:ind w:firstLine="640" w:firstLineChars="200"/>
        <w:outlineLvl w:val="1"/>
        <w:rPr>
          <w:rStyle w:val="30"/>
          <w:rFonts w:ascii="Times New Roman" w:hAnsi="Times New Roman" w:eastAsia="黑体"/>
          <w:b w:val="0"/>
          <w:color w:val="auto"/>
          <w:highlight w:val="none"/>
        </w:rPr>
      </w:pPr>
      <w:bookmarkStart w:id="30" w:name="_Toc15396607"/>
      <w:bookmarkStart w:id="31" w:name="_Toc15377209"/>
      <w:bookmarkStart w:id="32" w:name="_Toc28616"/>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30"/>
      <w:bookmarkEnd w:id="31"/>
      <w:bookmarkEnd w:id="32"/>
    </w:p>
    <w:p w14:paraId="0BAC715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3"/>
    </w:p>
    <w:p w14:paraId="364780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2024年度一般公共预算财政拨款支出944.97万元，占本年支出合计的97.83%。与2023年度一般公共预算财政拨款支出940.54万元相比，一般公共预算财政拨款支出增加4.43万元，增长0.47%。主要变动原因是</w:t>
      </w:r>
      <w:r>
        <w:rPr>
          <w:rFonts w:hint="eastAsia" w:eastAsia="仿宋_GB2312" w:cs="仿宋_GB2312"/>
          <w:color w:val="auto"/>
          <w:kern w:val="2"/>
          <w:sz w:val="32"/>
          <w:szCs w:val="32"/>
          <w:highlight w:val="none"/>
          <w:lang w:val="en-US" w:eastAsia="zh-CN" w:bidi="ar-SA"/>
        </w:rPr>
        <w:t>项目增加。</w:t>
      </w:r>
    </w:p>
    <w:p w14:paraId="63B6BA5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0" locked="0" layoutInCell="1" allowOverlap="1">
            <wp:simplePos x="0" y="0"/>
            <wp:positionH relativeFrom="column">
              <wp:posOffset>397510</wp:posOffset>
            </wp:positionH>
            <wp:positionV relativeFrom="paragraph">
              <wp:posOffset>118110</wp:posOffset>
            </wp:positionV>
            <wp:extent cx="4826000" cy="2743200"/>
            <wp:effectExtent l="4445" t="4445" r="8255" b="14605"/>
            <wp:wrapTopAndBottom/>
            <wp:docPr id="5"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263843F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4"/>
    </w:p>
    <w:p w14:paraId="701D906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2024年度一般公共预算财政拨款支出944.97万元，主要用于以下方面：一般公共服务支出529.04万元，占55.98%；国防支出0.88万元，占0.09%；公共安全支出0</w:t>
      </w:r>
      <w:r>
        <w:rPr>
          <w:rFonts w:hint="eastAsia" w:eastAsia="仿宋_GB2312" w:cs="仿宋_GB2312"/>
          <w:color w:val="auto"/>
          <w:kern w:val="2"/>
          <w:sz w:val="32"/>
          <w:szCs w:val="32"/>
          <w:highlight w:val="none"/>
          <w:lang w:val="en-US" w:eastAsia="zh-CN" w:bidi="ar-SA"/>
        </w:rPr>
        <w:t>.40</w:t>
      </w:r>
      <w:r>
        <w:rPr>
          <w:rFonts w:hint="eastAsia" w:ascii="Times New Roman" w:hAnsi="Times New Roman" w:eastAsia="仿宋_GB2312" w:cs="仿宋_GB2312"/>
          <w:color w:val="auto"/>
          <w:kern w:val="2"/>
          <w:sz w:val="32"/>
          <w:szCs w:val="32"/>
          <w:highlight w:val="none"/>
          <w:lang w:val="en-US" w:eastAsia="zh-CN" w:bidi="ar-SA"/>
        </w:rPr>
        <w:t>万元，占0.04%；文化旅游体育与传媒支出9.39万元，占0.99%；社会保障和就业支出68.63万元，占7.26%；卫生健康支出33.34万元，占3.53%；农林水支出252.61万元，占26.73%；交通运输支出3万元</w:t>
      </w:r>
      <w:r>
        <w:rPr>
          <w:rFonts w:hint="eastAsia" w:eastAsia="仿宋_GB2312" w:cs="仿宋_GB2312"/>
          <w:color w:val="auto"/>
          <w:kern w:val="2"/>
          <w:sz w:val="32"/>
          <w:szCs w:val="32"/>
          <w:highlight w:val="none"/>
          <w:lang w:val="en-US" w:eastAsia="zh-CN" w:bidi="ar-SA"/>
        </w:rPr>
        <w:t>，占</w:t>
      </w:r>
      <w:r>
        <w:rPr>
          <w:rFonts w:hint="eastAsia" w:ascii="Times New Roman" w:hAnsi="Times New Roman" w:eastAsia="仿宋_GB2312" w:cs="仿宋_GB2312"/>
          <w:color w:val="auto"/>
          <w:kern w:val="2"/>
          <w:sz w:val="32"/>
          <w:szCs w:val="32"/>
          <w:highlight w:val="none"/>
          <w:lang w:val="en-US" w:eastAsia="zh-CN" w:bidi="ar-SA"/>
        </w:rPr>
        <w:t>0.32%；资源勘探工业信息等支出2.66万元，占0.28%；住房保障支出43.04万元，占4.55%；灾害防治及应急管理支出1.96万元</w:t>
      </w:r>
      <w:r>
        <w:rPr>
          <w:rFonts w:hint="eastAsia" w:eastAsia="仿宋_GB2312" w:cs="仿宋_GB2312"/>
          <w:color w:val="auto"/>
          <w:kern w:val="2"/>
          <w:sz w:val="32"/>
          <w:szCs w:val="32"/>
          <w:highlight w:val="none"/>
          <w:lang w:val="en-US" w:eastAsia="zh-CN" w:bidi="ar-SA"/>
        </w:rPr>
        <w:t>，占</w:t>
      </w:r>
      <w:r>
        <w:rPr>
          <w:rFonts w:hint="eastAsia" w:ascii="Times New Roman" w:hAnsi="Times New Roman" w:eastAsia="仿宋_GB2312" w:cs="仿宋_GB2312"/>
          <w:color w:val="auto"/>
          <w:kern w:val="2"/>
          <w:sz w:val="32"/>
          <w:szCs w:val="32"/>
          <w:highlight w:val="none"/>
          <w:lang w:val="en-US" w:eastAsia="zh-CN" w:bidi="ar-SA"/>
        </w:rPr>
        <w:t>0.21%。</w:t>
      </w:r>
    </w:p>
    <w:p w14:paraId="69302DA9">
      <w:pPr>
        <w:spacing w:line="600" w:lineRule="exact"/>
        <w:ind w:firstLine="640" w:firstLineChars="200"/>
        <w:outlineLvl w:val="2"/>
        <w:rPr>
          <w:rFonts w:hint="eastAsia" w:ascii="Times New Roman" w:hAnsi="Times New Roman" w:eastAsia="楷体_GB2312" w:cs="楷体_GB2312"/>
          <w:b/>
          <w:color w:val="auto"/>
          <w:sz w:val="32"/>
          <w:szCs w:val="32"/>
          <w:highlight w:val="none"/>
        </w:rPr>
      </w:pPr>
      <w:bookmarkStart w:id="35" w:name="_Toc15377212"/>
      <w:r>
        <w:rPr>
          <w:rFonts w:hint="eastAsia" w:ascii="Times New Roman" w:hAnsi="Times New Roman" w:eastAsia="仿宋_GB2312" w:cs="仿宋_GB2312"/>
          <w:color w:val="auto"/>
          <w:kern w:val="2"/>
          <w:sz w:val="32"/>
          <w:szCs w:val="32"/>
          <w:highlight w:val="none"/>
          <w:lang w:val="en-US" w:eastAsia="zh-CN" w:bidi="ar-SA"/>
        </w:rPr>
        <w:drawing>
          <wp:anchor distT="0" distB="0" distL="114935" distR="114935" simplePos="0" relativeHeight="251662336" behindDoc="0" locked="0" layoutInCell="1" allowOverlap="1">
            <wp:simplePos x="0" y="0"/>
            <wp:positionH relativeFrom="column">
              <wp:posOffset>-77470</wp:posOffset>
            </wp:positionH>
            <wp:positionV relativeFrom="paragraph">
              <wp:posOffset>194310</wp:posOffset>
            </wp:positionV>
            <wp:extent cx="5138420" cy="3089910"/>
            <wp:effectExtent l="4445" t="4445" r="19685" b="10795"/>
            <wp:wrapTopAndBottom/>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Times New Roman" w:hAnsi="Times New Roman" w:eastAsia="楷体_GB2312" w:cs="楷体_GB2312"/>
          <w:b/>
          <w:color w:val="auto"/>
          <w:sz w:val="32"/>
          <w:szCs w:val="32"/>
          <w:highlight w:val="none"/>
        </w:rPr>
        <w:t>（三）一般公共预算财政拨款支出决算具体情况</w:t>
      </w:r>
      <w:bookmarkEnd w:id="35"/>
    </w:p>
    <w:p w14:paraId="4230816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6" w:name="_Toc15377213"/>
      <w:bookmarkStart w:id="37" w:name="_Toc15378460"/>
      <w:bookmarkStart w:id="38"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2024年度一般公共预算财政拨款支出决算数为944.97万元，完成预算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6"/>
      <w:bookmarkEnd w:id="37"/>
      <w:bookmarkEnd w:id="38"/>
    </w:p>
    <w:p w14:paraId="0E5597B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一般公共服务（类）人大事务（款）人大会议（项）：支出决算为1.67万元，完成预算100%。</w:t>
      </w:r>
    </w:p>
    <w:p w14:paraId="055670A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一般公共服务（类）人大事务（款）代表工作（项）：支出决算为2.02万元，完成预算100%。</w:t>
      </w:r>
    </w:p>
    <w:p w14:paraId="6E03C2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一般公共服务（类）政协事务（款）一般行政管理事务（项）：支出决算为0.5万元，完成预算100%。</w:t>
      </w:r>
    </w:p>
    <w:p w14:paraId="1B8FD9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一般公共服务（类）政协事务（款）其他政协事务支出（项）：支出决算为0.6万元，完成预算100%。</w:t>
      </w:r>
    </w:p>
    <w:p w14:paraId="2981CF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一般公共服务（类）政府办公厅（室）及相关机构事务（款）行政运行（项）：支出决算为361.87万元，完成预算100%。</w:t>
      </w:r>
    </w:p>
    <w:p w14:paraId="3DF2F96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一般公共服务（类）政府办公厅（室）及相关机构事务（款）一般行政管理事务（项）：支出决算为0.85万元，完成预算100%。</w:t>
      </w:r>
    </w:p>
    <w:p w14:paraId="682FADF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一般公共服务（类）政府办公厅（室）及相关机构事务（款）事业运行（项）：支出决算为160.14万元，完成预算100%。</w:t>
      </w:r>
    </w:p>
    <w:p w14:paraId="04A2CD4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一般公共服务（类）信访事务（款）信访业务（项）：支出决算为1.4万元，完成预算100%。</w:t>
      </w:r>
    </w:p>
    <w:p w14:paraId="48E6AC9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国防支出（类）国防动员（款）民兵（项）：决算数为0.88万元，完成预算100%。</w:t>
      </w:r>
    </w:p>
    <w:p w14:paraId="0BD33C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公共安全支出（类）司法（款）普法宣传（项）：决算数为0</w:t>
      </w:r>
      <w:r>
        <w:rPr>
          <w:rFonts w:hint="eastAsia" w:eastAsia="仿宋_GB2312" w:cs="仿宋_GB2312"/>
          <w:color w:val="auto"/>
          <w:kern w:val="2"/>
          <w:sz w:val="32"/>
          <w:szCs w:val="32"/>
          <w:highlight w:val="none"/>
          <w:lang w:val="en-US" w:eastAsia="zh-CN" w:bidi="ar-SA"/>
        </w:rPr>
        <w:t>.40</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4CD2AB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文化旅游体育与传媒支出（类）文化和旅游（款）群众文化（项）：决算数为8.79万元，完成预算100%。</w:t>
      </w:r>
    </w:p>
    <w:p w14:paraId="2828B9B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文化旅游体育与传媒支出（类）文化和旅游（款）其他文化和旅游支出（项）：决算数为0.6万元，完成预算100%。</w:t>
      </w:r>
    </w:p>
    <w:p w14:paraId="5AFABF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A1E4F4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社会保障和就业支出（类）行政事业单位养老支出（款）机关事业单位基本养老保险缴费支出（项）：决算数为51.53万元，完成预算100%。</w:t>
      </w:r>
    </w:p>
    <w:p w14:paraId="37998B8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社会保障和就业支出（类）行政事业单位养老支出（款）机关事业单位职业年金缴费支出（项）：决算数为10.03万元，完成预算100%。</w:t>
      </w:r>
    </w:p>
    <w:p w14:paraId="11E6712D">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社会保障和就业支出（类）临时救助（款）临时救助支出（项）：决算数为1.68万元，完成预算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F07F3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社会保障和就业支出（类）其他社会保障和就业支出（款）其他社会保障和就业支出（项）：决算数为5.39万元，完成预算100%。</w:t>
      </w:r>
    </w:p>
    <w:p w14:paraId="3CB73FB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卫生健康支出（类）公共卫生（款）其他公共卫生支出（项）：决算数为10万元，完成预算100%。</w:t>
      </w:r>
    </w:p>
    <w:p w14:paraId="4149E5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卫生健康支出（类）行政事业单位医疗（款）行政单位医疗（项）：决算数为13.5万元，完成预算100%。</w:t>
      </w:r>
    </w:p>
    <w:p w14:paraId="29E9978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卫生健康支出（类）行政事业单位医疗（款）事业单位医疗（项）：决算数为6.15万元，完成预算100%。</w:t>
      </w:r>
    </w:p>
    <w:p w14:paraId="4B7844A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卫生健康支出（类）行政事业单位医疗（款）公务员医疗补助（项）：决算数为2.9万元，完成预算100%。</w:t>
      </w:r>
    </w:p>
    <w:p w14:paraId="648C5F0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卫生健康支出（类）老龄卫生健康事务（款）老龄卫生健康事务（项）：决算数为0.79万元，完成预算100%。</w:t>
      </w:r>
    </w:p>
    <w:p w14:paraId="06AB5BC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农林水支出（类）巩固拓展脱贫攻坚成果衔接乡村振兴（款）其他巩固脱贫攻坚成果衔接乡村振兴支出（项）：决算数为20.32万元，完成预算100%。</w:t>
      </w:r>
    </w:p>
    <w:p w14:paraId="614BF62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农林水支出（类）农村综合改革（款）对村民委员会和村党支部的补助（项）：决算数为232.29万元，完成预算100%。</w:t>
      </w:r>
    </w:p>
    <w:p w14:paraId="757CBE3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交通运输支出（类）公路水路运输（款）水路运输管理支出（项）：决算数为3万元，完成预算100%。</w:t>
      </w:r>
    </w:p>
    <w:p w14:paraId="5763832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资源勘探工业信息等支出（类）制造业（款）行政运行（项）：决算数为2.66万元，完成预算100%。</w:t>
      </w:r>
    </w:p>
    <w:p w14:paraId="6DD766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住房保障支出（类）住房改革支出（款）住房公积金（项）：决算数为43.04万元，完成预算100%。</w:t>
      </w:r>
    </w:p>
    <w:p w14:paraId="661F45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灾害防治及应急管理支出（类）应急管理事务（款）安全监管（项）：决算数为1.64万元，完成预算100%。</w:t>
      </w:r>
    </w:p>
    <w:p w14:paraId="60F318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灾害防治及应急管理支出（类）自然灾害救灾及恢复重建支出（款）其他自然灾害救灾及恢复重建支出（项）：决算数为0.32万元，完成预算100%。</w:t>
      </w:r>
    </w:p>
    <w:p w14:paraId="154E6D8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BB423DE">
      <w:pPr>
        <w:tabs>
          <w:tab w:val="right" w:pos="8306"/>
        </w:tabs>
        <w:spacing w:line="600" w:lineRule="exact"/>
        <w:ind w:firstLine="640"/>
        <w:outlineLvl w:val="1"/>
        <w:rPr>
          <w:rStyle w:val="30"/>
          <w:rFonts w:ascii="Times New Roman" w:hAnsi="Times New Roman"/>
          <w:color w:val="auto"/>
          <w:highlight w:val="none"/>
        </w:rPr>
      </w:pPr>
      <w:bookmarkStart w:id="39" w:name="_Toc15377214"/>
      <w:bookmarkStart w:id="40" w:name="_Toc15396608"/>
      <w:bookmarkStart w:id="41" w:name="_Toc12877"/>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9"/>
      <w:bookmarkEnd w:id="40"/>
      <w:bookmarkEnd w:id="41"/>
      <w:r>
        <w:rPr>
          <w:rStyle w:val="30"/>
          <w:rFonts w:ascii="Times New Roman" w:hAnsi="Times New Roman" w:eastAsia="黑体"/>
          <w:b w:val="0"/>
          <w:color w:val="auto"/>
          <w:highlight w:val="none"/>
        </w:rPr>
        <w:tab/>
      </w:r>
    </w:p>
    <w:p w14:paraId="31918A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2024年度一般公共预算财政拨款基本支出657.21万元，其中：</w:t>
      </w:r>
    </w:p>
    <w:p w14:paraId="3413761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人员经费582.91万元，主要包括：基本工资、津贴补贴、奖金、伙食补助费、绩效工资、机关事业单位基本养老保险缴费、职业年金缴费、其他社会保障缴费、其他工资福利支出、生活补助、医疗费补助、奖励金、住房公积金等。　　   </w:t>
      </w:r>
    </w:p>
    <w:p w14:paraId="0BC309A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公用经费74.3万元，主要包括：办公费、印刷费、水费、电费、邮电费、差旅费、会议费、公务接待费、劳务费、委托业务费、工会经费、福利费、公务用车运行维护费、其他交通费、其他商品和服务支出、</w:t>
      </w:r>
      <w:r>
        <w:rPr>
          <w:rFonts w:hint="default" w:ascii="Times New Roman" w:hAnsi="Times New Roman" w:eastAsia="仿宋_GB2312" w:cs="仿宋_GB2312"/>
          <w:color w:val="auto"/>
          <w:kern w:val="2"/>
          <w:sz w:val="32"/>
          <w:szCs w:val="32"/>
          <w:highlight w:val="none"/>
          <w:lang w:val="en-US" w:eastAsia="zh-CN" w:bidi="ar-SA"/>
        </w:rPr>
        <w:t>其他对个人和家庭的补助支出</w:t>
      </w:r>
      <w:r>
        <w:rPr>
          <w:rFonts w:hint="eastAsia" w:ascii="Times New Roman" w:hAnsi="Times New Roman" w:eastAsia="仿宋_GB2312" w:cs="仿宋_GB2312"/>
          <w:color w:val="auto"/>
          <w:kern w:val="2"/>
          <w:sz w:val="32"/>
          <w:szCs w:val="32"/>
          <w:highlight w:val="none"/>
          <w:lang w:val="en-US" w:eastAsia="zh-CN" w:bidi="ar-SA"/>
        </w:rPr>
        <w:t>、办公设备购置等。</w:t>
      </w:r>
    </w:p>
    <w:p w14:paraId="78EE5E53">
      <w:pPr>
        <w:spacing w:line="600" w:lineRule="exact"/>
        <w:ind w:firstLine="640"/>
        <w:outlineLvl w:val="1"/>
        <w:rPr>
          <w:rStyle w:val="30"/>
          <w:rFonts w:ascii="Times New Roman" w:hAnsi="Times New Roman" w:eastAsia="黑体"/>
          <w:b w:val="0"/>
          <w:color w:val="auto"/>
          <w:highlight w:val="none"/>
        </w:rPr>
      </w:pPr>
      <w:bookmarkStart w:id="42" w:name="_Toc15377215"/>
      <w:bookmarkStart w:id="43" w:name="_Toc15396609"/>
      <w:bookmarkStart w:id="44" w:name="_Toc28243"/>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42"/>
      <w:bookmarkEnd w:id="43"/>
      <w:bookmarkEnd w:id="44"/>
    </w:p>
    <w:p w14:paraId="74FA22B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5"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5"/>
    </w:p>
    <w:p w14:paraId="07FBBA7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2024年度“三公”经费财政拨款支出决算为3.31万元，完成预算100%，较上年度</w:t>
      </w:r>
      <w:r>
        <w:rPr>
          <w:rFonts w:hint="default" w:ascii="Times New Roman" w:hAnsi="Times New Roman" w:eastAsia="仿宋_GB2312" w:cs="仿宋_GB2312"/>
          <w:color w:val="auto"/>
          <w:kern w:val="2"/>
          <w:sz w:val="32"/>
          <w:szCs w:val="32"/>
          <w:highlight w:val="none"/>
          <w:lang w:val="en-US" w:eastAsia="zh-CN" w:bidi="ar-SA"/>
        </w:rPr>
        <w:t>减少0.36</w:t>
      </w:r>
      <w:r>
        <w:rPr>
          <w:rFonts w:hint="eastAsia" w:ascii="Times New Roman" w:hAnsi="Times New Roman" w:eastAsia="仿宋_GB2312" w:cs="仿宋_GB2312"/>
          <w:color w:val="auto"/>
          <w:kern w:val="2"/>
          <w:sz w:val="32"/>
          <w:szCs w:val="32"/>
          <w:highlight w:val="none"/>
          <w:lang w:val="en-US" w:eastAsia="zh-CN" w:bidi="ar-SA"/>
        </w:rPr>
        <w:t>万元，下降9.81%。决算数与预算数持平。</w:t>
      </w:r>
    </w:p>
    <w:p w14:paraId="63834C1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6"/>
    </w:p>
    <w:p w14:paraId="4192571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2024年度“三公”经费财政拨款支出决算中，因公出国（境）费支出决算0万元，占0%；公务用车购置及运行维护费支出决算3.16万元，占95.47%；公务接待费支出决算0.15万元，占4.53%。具体情况如下：</w:t>
      </w:r>
    </w:p>
    <w:p w14:paraId="28331F0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rPr>
        <w:drawing>
          <wp:anchor distT="0" distB="0" distL="114300" distR="114300" simplePos="0" relativeHeight="251663360" behindDoc="0" locked="0" layoutInCell="1" allowOverlap="1">
            <wp:simplePos x="0" y="0"/>
            <wp:positionH relativeFrom="column">
              <wp:posOffset>556895</wp:posOffset>
            </wp:positionH>
            <wp:positionV relativeFrom="paragraph">
              <wp:posOffset>137795</wp:posOffset>
            </wp:positionV>
            <wp:extent cx="4187190" cy="2240280"/>
            <wp:effectExtent l="5080" t="4445" r="17780" b="22225"/>
            <wp:wrapTopAndBottom/>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default" w:ascii="Times New Roman" w:hAnsi="Times New Roman" w:eastAsia="仿宋_GB2312" w:cs="Times New Roman"/>
          <w:b/>
          <w:bCs/>
          <w:color w:val="auto"/>
          <w:kern w:val="2"/>
          <w:sz w:val="32"/>
          <w:szCs w:val="32"/>
          <w:highlight w:val="none"/>
          <w:lang w:val="en-US" w:eastAsia="zh-CN" w:bidi="ar-SA"/>
        </w:rPr>
        <w:t>1.因公出国（境）经费支出0万元，完成预算0%。</w:t>
      </w:r>
      <w:r>
        <w:rPr>
          <w:rFonts w:hint="default" w:ascii="Times New Roman" w:hAnsi="Times New Roman" w:eastAsia="仿宋_GB2312" w:cs="Times New Roman"/>
          <w:color w:val="auto"/>
          <w:kern w:val="2"/>
          <w:sz w:val="32"/>
          <w:szCs w:val="32"/>
          <w:highlight w:val="none"/>
          <w:lang w:val="en-US" w:eastAsia="zh-CN" w:bidi="ar-SA"/>
        </w:rPr>
        <w:t>全年安排因公出国（境）团组0次，出国（境）0人。因公出国（境）支出决算比2023年增加/减少0万元，增长/下降0%。</w:t>
      </w:r>
    </w:p>
    <w:p w14:paraId="1F64667E">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2.公务用车购置及运行维护费支出3.16万元，完成预算</w:t>
      </w:r>
      <w:r>
        <w:rPr>
          <w:rFonts w:hint="default" w:ascii="Times New Roman" w:hAnsi="Times New Roman" w:eastAsia="仿宋_GB2312" w:cs="Times New Roman"/>
          <w:color w:val="auto"/>
          <w:kern w:val="2"/>
          <w:sz w:val="32"/>
          <w:szCs w:val="32"/>
          <w:highlight w:val="none"/>
          <w:lang w:val="en-US" w:eastAsia="zh-CN" w:bidi="ar-SA"/>
        </w:rPr>
        <w:t>100%。公务用车购置及运行维护费支出决算比2023年度增减少0.05万元，下降1.56%。主要原因是厉行节约。</w:t>
      </w:r>
    </w:p>
    <w:p w14:paraId="7EE56D8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w:t>
      </w:r>
    </w:p>
    <w:p w14:paraId="748AAA68">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截至2024年12月31日，单位共有公务用车3辆，其中：轿车0辆、越野车1辆、其他车辆2辆。</w:t>
      </w:r>
    </w:p>
    <w:p w14:paraId="14C8387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公务用车运行维护费支出3.16万元。主要用于乡村振兴、产业发展等公务活动所需的公务用车燃料费、维修费、过路过桥费、保险费等支出。</w:t>
      </w:r>
    </w:p>
    <w:p w14:paraId="28EF624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3.公务接待费支出0.15万元，完成预算100%。</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0.31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67.39</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厉行节约，减少公务接待开支</w:t>
      </w:r>
      <w:r>
        <w:rPr>
          <w:rFonts w:hint="eastAsia" w:ascii="Times New Roman" w:hAnsi="Times New Roman" w:eastAsia="仿宋_GB2312" w:cs="仿宋_GB2312"/>
          <w:color w:val="auto"/>
          <w:kern w:val="2"/>
          <w:sz w:val="32"/>
          <w:szCs w:val="32"/>
          <w:highlight w:val="none"/>
          <w:lang w:val="en-US" w:eastAsia="zh-CN" w:bidi="ar-SA"/>
        </w:rPr>
        <w:t>。其中：</w:t>
      </w:r>
    </w:p>
    <w:p w14:paraId="2A9BA0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国内公务接待支出0.15万元，</w:t>
      </w:r>
      <w:r>
        <w:rPr>
          <w:rFonts w:hint="eastAsia" w:eastAsia="仿宋_GB2312" w:cs="仿宋_GB2312"/>
          <w:color w:val="auto"/>
          <w:kern w:val="2"/>
          <w:sz w:val="32"/>
          <w:szCs w:val="32"/>
          <w:highlight w:val="none"/>
          <w:lang w:val="en-US" w:eastAsia="zh-CN" w:bidi="ar-SA"/>
        </w:rPr>
        <w:t>主要用于</w:t>
      </w:r>
      <w:r>
        <w:rPr>
          <w:rFonts w:hint="eastAsia" w:ascii="Times New Roman" w:hAnsi="Times New Roman" w:eastAsia="仿宋_GB2312" w:cs="仿宋_GB2312"/>
          <w:color w:val="auto"/>
          <w:kern w:val="2"/>
          <w:sz w:val="32"/>
          <w:szCs w:val="32"/>
          <w:highlight w:val="none"/>
          <w:lang w:val="en-US" w:eastAsia="zh-CN" w:bidi="ar-SA"/>
        </w:rPr>
        <w:t>开展警示教育等接待用餐费用。国内公务接待2批次，37人次（不包括陪同人员），共计支出0.15万元，具体内容包括：乐山市金口河区人力资源和社会保障局到我乡开展警示教育活动13人，接待支出0.042万元；沐川县富新镇班子成员、机关支部成员到我乡开展警示教育活动24人，接待支出0.108万元。</w:t>
      </w:r>
    </w:p>
    <w:p w14:paraId="4651ACF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外事接待支出0万元。外事接待0批次，0人次（不包括陪同人员），共计支出0万元。</w:t>
      </w:r>
      <w:bookmarkStart w:id="47" w:name="_Toc15377218"/>
      <w:bookmarkStart w:id="48" w:name="_Toc15396610"/>
    </w:p>
    <w:p w14:paraId="21207E08">
      <w:pPr>
        <w:spacing w:line="600" w:lineRule="exact"/>
        <w:ind w:firstLine="640"/>
        <w:outlineLvl w:val="1"/>
        <w:rPr>
          <w:rStyle w:val="30"/>
          <w:rFonts w:ascii="Times New Roman" w:hAnsi="Times New Roman" w:eastAsia="黑体"/>
          <w:color w:val="auto"/>
          <w:highlight w:val="none"/>
        </w:rPr>
      </w:pPr>
      <w:bookmarkStart w:id="49" w:name="_Toc27958"/>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47"/>
      <w:bookmarkEnd w:id="48"/>
      <w:bookmarkEnd w:id="49"/>
    </w:p>
    <w:p w14:paraId="7B6EE7E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2024年度政府性基金预算财政拨款支出0万元，占本年支出合计的0%。与2023年度相比，政府性基金预算财政拨款支出减少5万元，下降100%。主要变动原因是本年无政府性基金预算收入和支出计划。</w:t>
      </w:r>
    </w:p>
    <w:p w14:paraId="7E5CDBB2">
      <w:pPr>
        <w:pStyle w:val="2"/>
        <w:rPr>
          <w:rFonts w:hint="eastAsia"/>
          <w:lang w:val="en-US" w:eastAsia="zh-CN"/>
        </w:rPr>
      </w:pPr>
    </w:p>
    <w:p w14:paraId="1B628EF7">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50" w:name="_Toc15396611"/>
      <w:bookmarkStart w:id="51" w:name="_Toc24221"/>
      <w:bookmarkStart w:id="52"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50"/>
      <w:bookmarkEnd w:id="51"/>
      <w:bookmarkEnd w:id="52"/>
    </w:p>
    <w:p w14:paraId="1DBCB93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w:t>
      </w:r>
      <w:r>
        <w:rPr>
          <w:rFonts w:hint="eastAsia" w:ascii="Times New Roman" w:hAnsi="Times New Roman" w:eastAsia="仿宋_GB2312" w:cs="仿宋_GB2312"/>
          <w:color w:val="auto"/>
          <w:kern w:val="2"/>
          <w:sz w:val="32"/>
          <w:szCs w:val="32"/>
          <w:highlight w:val="none"/>
          <w:lang w:val="en-US" w:eastAsia="zh-CN" w:bidi="ar-SA"/>
        </w:rPr>
        <w:t>出合计的0%。与2023年度相比，国有资本经营预算财政拨款支出增加/减少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2CA803B7">
      <w:pPr>
        <w:pStyle w:val="2"/>
        <w:rPr>
          <w:rFonts w:hint="eastAsia"/>
          <w:lang w:val="en-US" w:eastAsia="zh-CN"/>
        </w:rPr>
      </w:pPr>
    </w:p>
    <w:p w14:paraId="36A4A309">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53" w:name="_Toc27493"/>
      <w:bookmarkStart w:id="54" w:name="_Toc15396612"/>
      <w:bookmarkStart w:id="55" w:name="_Toc15377221"/>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53"/>
      <w:bookmarkEnd w:id="54"/>
      <w:bookmarkEnd w:id="55"/>
    </w:p>
    <w:p w14:paraId="0B96A5F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6" w:name="_Toc15377222"/>
      <w:r>
        <w:rPr>
          <w:rFonts w:hint="eastAsia" w:ascii="Times New Roman" w:hAnsi="Times New Roman" w:eastAsia="楷体_GB2312" w:cs="楷体_GB2312"/>
          <w:b/>
          <w:color w:val="auto"/>
          <w:sz w:val="32"/>
          <w:szCs w:val="32"/>
          <w:highlight w:val="none"/>
        </w:rPr>
        <w:t>（一）机关运行经费支出情况</w:t>
      </w:r>
      <w:bookmarkEnd w:id="56"/>
    </w:p>
    <w:p w14:paraId="2A1BAA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2024年度，沐川县高笋乡人民政府机关运行经费支出74.3万元，比2023年度减少2.11万元，下降2.76%。主要原因是厉行节约。</w:t>
      </w:r>
    </w:p>
    <w:p w14:paraId="215472A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7" w:name="_Toc15377223"/>
      <w:r>
        <w:rPr>
          <w:rFonts w:hint="eastAsia" w:ascii="Times New Roman" w:hAnsi="Times New Roman" w:eastAsia="楷体_GB2312" w:cs="楷体_GB2312"/>
          <w:b/>
          <w:color w:val="auto"/>
          <w:sz w:val="32"/>
          <w:szCs w:val="32"/>
          <w:highlight w:val="none"/>
        </w:rPr>
        <w:t>（二）政府采购支出情况</w:t>
      </w:r>
      <w:bookmarkEnd w:id="57"/>
    </w:p>
    <w:p w14:paraId="49BC0A7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沐川县高笋乡人民政府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65FBD0D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8" w:name="_Toc15377224"/>
      <w:r>
        <w:rPr>
          <w:rFonts w:hint="eastAsia" w:ascii="Times New Roman" w:hAnsi="Times New Roman" w:eastAsia="楷体_GB2312" w:cs="楷体_GB2312"/>
          <w:b/>
          <w:color w:val="auto"/>
          <w:sz w:val="32"/>
          <w:szCs w:val="32"/>
          <w:highlight w:val="none"/>
        </w:rPr>
        <w:t>（三）国有资产占有使用情况</w:t>
      </w:r>
      <w:bookmarkEnd w:id="58"/>
    </w:p>
    <w:p w14:paraId="7CE8636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2024年12月31日，沐川县高笋乡人民政府共有车辆3辆，其中：主要负责人用车0辆、机要通信用车0辆、应急保障用车0辆、其他用车3辆，其他用车主要是用于公务往返、农技服务中心农业用车、抗旱及森林防灭火洒水车。单价100万元（含）以上设备（不含车辆）0台（套）。</w:t>
      </w:r>
    </w:p>
    <w:p w14:paraId="2B730A1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3C660E7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高笋乡在2024年度预算编制阶段，组织对人大主席团经费、乡镇人代会会议费、人大代表活动经费、乡镇人大代表之家经费、政协乡镇联络站工作经费、村（社区）“有事来协商”工作经费、乡镇便民服务中心（站）日常运维费、2023年AKTD经费补助资金、高笋乡信访工作经费、乡镇民兵业务经费、乡镇普法依法治理经费、2023年中央文化站免费开放资金、2023年省级文化资金、2024年中央文化站免费开放资金、2024年省级文化站免费开放资金、2024年县级文化站免费开放资金、困难群众临时救助资金、国家卫生乡镇创建工作经费、乡镇老协活动经费、2023年耕地恢复补充资金（第一批）、第一书记和工作队工作经费、社区干部居民小组长报酬、绩效考核奖励经费、村级公共服务经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办公运转、基层活动</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办公经费、村级公共服务经费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办公运转、基层活动</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报刊费、村级公共服务经费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服务群众</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“一村一警”补贴、村级公共服务经费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服务群众</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社区网格员补贴、村级公共服务经费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公共运维</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社区环境治理经费、村级公共服务经费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公共运维</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农村生活垃圾治理资金、村级公共服务经费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公共运维</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村级运维经费、村组干部报酬、绩效考核奖励经费、公益船舶运营补贴、乡镇安全监管工作经费、自然灾害短期应急避让补助、东西部协作资金等34个项目开展了预算事前绩效评估，对34个项目编制了绩效目标，预算执行过程中，选取34个项目开展绩效监控。</w:t>
      </w:r>
    </w:p>
    <w:p w14:paraId="226898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沐川县高笋乡人民政府预算34个专项项目，包括组织对2024年度一般公共预算、政府性基金预算、国有资本经营预算、社会保险基金预算以及资本资产、债券资金等全面开展绩效自评，形成高笋乡部门整体（含部门预算项目）绩效自评报告、高笋乡等专项预算项目绩效自评报告，其中，高笋乡部门整体（含部门预算项目）绩效自评得分为100分；高笋乡专项预算项目绩效自评得分为100分。绩效。绩效自评报告详见附件。</w:t>
      </w:r>
    </w:p>
    <w:p w14:paraId="2C2EAFDC">
      <w:pP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br w:type="page"/>
      </w:r>
    </w:p>
    <w:p w14:paraId="738EFE17">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9" w:name="_Toc15396613"/>
      <w:bookmarkStart w:id="60" w:name="_Toc15377225"/>
      <w:bookmarkStart w:id="61" w:name="_Toc24711"/>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9"/>
      <w:bookmarkEnd w:id="60"/>
      <w:bookmarkEnd w:id="61"/>
    </w:p>
    <w:p w14:paraId="65838A73">
      <w:pPr>
        <w:spacing w:line="600" w:lineRule="exact"/>
        <w:jc w:val="left"/>
        <w:rPr>
          <w:rFonts w:ascii="Times New Roman" w:hAnsi="Times New Roman"/>
          <w:b/>
          <w:color w:val="auto"/>
          <w:sz w:val="44"/>
          <w:szCs w:val="44"/>
          <w:highlight w:val="none"/>
        </w:rPr>
      </w:pPr>
    </w:p>
    <w:p w14:paraId="05AAF0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 财政拨款收入：指单位从同级财政部门取得的财政</w:t>
      </w:r>
    </w:p>
    <w:p w14:paraId="5CDA3B98">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预算资金。</w:t>
      </w:r>
    </w:p>
    <w:p w14:paraId="6D1D146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 事业收入：指事业单位开展专业业务活动及辅助活</w:t>
      </w:r>
    </w:p>
    <w:p w14:paraId="3ACE5864">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动取得的收入。</w:t>
      </w:r>
    </w:p>
    <w:p w14:paraId="47344B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 经营收入：指事业单位在专业业务活动及其辅助活</w:t>
      </w:r>
    </w:p>
    <w:p w14:paraId="1E57A600">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动之外开展非独立核算经营活动取得的收入。</w:t>
      </w:r>
    </w:p>
    <w:p w14:paraId="4286672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 其他收入：指单位取得的除上述收入以外的各项收入。</w:t>
      </w:r>
    </w:p>
    <w:p w14:paraId="2CB97D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 使用非财政拨款结余（含专用结余）：指事业单位使用以前年度积累的非财政拨款结余弥补当年收支差额的金额。</w:t>
      </w:r>
    </w:p>
    <w:p w14:paraId="7D9D9A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 年初结转和结余：指以前年度尚未完成、结转到本</w:t>
      </w:r>
    </w:p>
    <w:p w14:paraId="60C18686">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年</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按有关规定继续使用的资金。</w:t>
      </w:r>
    </w:p>
    <w:p w14:paraId="465344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 结余分配：指事业单位按照会计制度规定缴纳的所</w:t>
      </w:r>
    </w:p>
    <w:p w14:paraId="27F7D0A9">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得税、提取的专用结余以及转入非财政拨款结余的金额等。</w:t>
      </w:r>
    </w:p>
    <w:p w14:paraId="064E31D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 年末结转和结余：指单位按有关规定结转到下年或</w:t>
      </w:r>
    </w:p>
    <w:p w14:paraId="31F91183">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以后年度继续使用的资金。</w:t>
      </w:r>
    </w:p>
    <w:p w14:paraId="3FCD51B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 一般公共服务（类）人大事务（款）人大会议（项）：</w:t>
      </w:r>
    </w:p>
    <w:p w14:paraId="3F65D6BB">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反映各级人大召开人民代表大会等专门会议的支出。</w:t>
      </w:r>
    </w:p>
    <w:p w14:paraId="428911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 一般公共服务（类）人大事务（款）代表工作（项）：</w:t>
      </w:r>
    </w:p>
    <w:p w14:paraId="603F1DDC">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反映人大代表开展各类视察等方面的支出。</w:t>
      </w:r>
    </w:p>
    <w:p w14:paraId="2EF55A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 一般公共服务（类）政协事务（款）一般行政管理</w:t>
      </w:r>
    </w:p>
    <w:p w14:paraId="34F4E6F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BFD3D4F">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事务（项）：反映行政单位（包括实行公务员管理的事业单</w:t>
      </w:r>
    </w:p>
    <w:p w14:paraId="54D63734">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未单独设置项级科目的其他项目支出。</w:t>
      </w:r>
    </w:p>
    <w:p w14:paraId="3A79011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 一般公共服务（类）政协事务（款）其他政协事务</w:t>
      </w:r>
    </w:p>
    <w:p w14:paraId="61217579">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支出（项）：反映除上述项目以外的其他政协事务支出。</w:t>
      </w:r>
    </w:p>
    <w:p w14:paraId="68DBF82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 一般公共服务（类）政府办公厅（室）及相关机构</w:t>
      </w:r>
    </w:p>
    <w:p w14:paraId="1DFBDE13">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事务（款）行政运行（项）：反映行政单位（包括实行公务</w:t>
      </w:r>
    </w:p>
    <w:p w14:paraId="134F68E4">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员管理的事业单位）的基本支出。</w:t>
      </w:r>
    </w:p>
    <w:p w14:paraId="0E039F0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 一般公共服务（类）政府办公厅（室）及相关机构</w:t>
      </w:r>
    </w:p>
    <w:p w14:paraId="2D3A9708">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事务（款）一般行政管理事务（项）：反映行政单位（包括</w:t>
      </w:r>
    </w:p>
    <w:p w14:paraId="6FA5C7CB">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实行公务员管理的事业单位）未单独设置项级科目的其他项</w:t>
      </w:r>
    </w:p>
    <w:p w14:paraId="430DD64D">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目支出。</w:t>
      </w:r>
    </w:p>
    <w:p w14:paraId="29BE1141">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 一般公共服务（类）政府办公厅（室）及相关机构</w:t>
      </w:r>
    </w:p>
    <w:p w14:paraId="1A1EF8F0">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事务（款）事业运行（项）：反映事业单位的基本支出，不包括行政单位（包括实行公务员管理的事业单位）后勤服务中心、医务室等附属事业单位。</w:t>
      </w:r>
    </w:p>
    <w:p w14:paraId="644C371F">
      <w:pPr>
        <w:spacing w:line="600" w:lineRule="exact"/>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 一般公共服务（类）信访事务（款）信访业务（项）：反映各级政府用于接待群众来信来访方面的支出。</w:t>
      </w:r>
    </w:p>
    <w:p w14:paraId="07ABB4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 国防支出（类）国防动员（款）民兵（项）：反映用于民兵建设与管理等方面的支出。</w:t>
      </w:r>
    </w:p>
    <w:p w14:paraId="186E58D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 公共安全支出（类）司法（款）普法宣传（项）：</w:t>
      </w:r>
    </w:p>
    <w:p w14:paraId="7ED0D1A7">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反映各级司法行政部门用于组织各种媒体的宣传、普法装备</w:t>
      </w:r>
    </w:p>
    <w:p w14:paraId="1FFD075E">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与设施、宣传资料、对外宣传、法制作品的审读评审等方面</w:t>
      </w:r>
    </w:p>
    <w:p w14:paraId="780EC44E">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的支出。</w:t>
      </w:r>
    </w:p>
    <w:p w14:paraId="7100506C">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 文化旅游体育与传媒支出（类）文化和旅游（款）</w:t>
      </w:r>
    </w:p>
    <w:p w14:paraId="693EC44F">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群众文化（项）：反映群众文化方面的支出，包括基层文化馆（站）、群众艺术馆支出等。</w:t>
      </w:r>
    </w:p>
    <w:p w14:paraId="31457ED0">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 文化旅游体育与传媒支出（类）文化和旅游（款）</w:t>
      </w:r>
    </w:p>
    <w:p w14:paraId="71FD113F">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其他文化和旅游支出（项）：反映除上述项目以外其他用于文化和旅游方面的支出。</w:t>
      </w:r>
    </w:p>
    <w:p w14:paraId="2DFB63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 社会保障和就业支出（类）行政事业单位养老支出（款）机关事业单位基本养老保险缴费支出（项）：反映机关事业单位实施养老保险制度由单位缴纳的基本养老保险费支出。</w:t>
      </w:r>
    </w:p>
    <w:p w14:paraId="2CB333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 社会保障和就业支出（类）行政事业单位养老支出（款）机关事业单位职业年金缴费支出（项）：反映机关事业单位实施养老保险制度由单位实际缴纳的职业年金支出（含职业年金补记支出）。</w:t>
      </w:r>
    </w:p>
    <w:p w14:paraId="529F0F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 社会保障和就业支出（类）临时救助（款）临时救助支出（项）：反映用于城乡生活困难居民的临时救助支出。</w:t>
      </w:r>
    </w:p>
    <w:p w14:paraId="2D5A833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 社会保障和就业支出（类）其他社会保障和就业支出（款）其他社会保障和就业支出（项）：反映除上述项目以外其他用于社会保障和就业方面的支出。</w:t>
      </w:r>
    </w:p>
    <w:p w14:paraId="016F6BAA">
      <w:pPr>
        <w:spacing w:line="600" w:lineRule="exact"/>
        <w:ind w:firstLine="640"/>
        <w:rPr>
          <w:rFonts w:hint="default" w:ascii="Times New Roman" w:hAnsi="Times New Roman" w:eastAsia="仿宋_GB2312" w:cs="仿宋_GB2312"/>
          <w:color w:val="auto"/>
          <w:kern w:val="2"/>
          <w:sz w:val="32"/>
          <w:szCs w:val="32"/>
          <w:highlight w:val="none"/>
          <w:lang w:eastAsia="zh-CN" w:bidi="ar-SA"/>
        </w:rPr>
      </w:pPr>
      <w:r>
        <w:rPr>
          <w:rFonts w:hint="eastAsia" w:ascii="Times New Roman" w:hAnsi="Times New Roman" w:eastAsia="仿宋_GB2312" w:cs="仿宋_GB2312"/>
          <w:color w:val="auto"/>
          <w:kern w:val="2"/>
          <w:sz w:val="32"/>
          <w:szCs w:val="32"/>
          <w:highlight w:val="none"/>
          <w:lang w:val="en-US" w:eastAsia="zh-CN" w:bidi="ar-SA"/>
        </w:rPr>
        <w:t>25. 卫生健康支出（类）公共卫生（款）其他公共卫生支出（项）：反映</w:t>
      </w:r>
      <w:r>
        <w:rPr>
          <w:rFonts w:hint="default" w:eastAsia="仿宋_GB2312" w:cs="仿宋_GB2312"/>
          <w:color w:val="auto"/>
          <w:kern w:val="2"/>
          <w:sz w:val="32"/>
          <w:szCs w:val="32"/>
          <w:highlight w:val="none"/>
          <w:lang w:eastAsia="zh-CN" w:bidi="ar-SA"/>
        </w:rPr>
        <w:t>除上述项目以外的其他用于公共卫生方面的支出。</w:t>
      </w:r>
    </w:p>
    <w:p w14:paraId="20E7941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 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14:paraId="725D611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 卫生健康支出（类）行政事业单位医疗（款）事业单位医疗（项）：反映财政部门安排的事业单位基本医疗保险缴费经费，未参加医疗保险的事业单位的公费医疗经费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按国家规定享受离休人员待遇的医疗经费。</w:t>
      </w:r>
    </w:p>
    <w:p w14:paraId="014B3AC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 卫生健康支出（类）行政事业单位医疗（款）公务员医疗补助（项）：反映财政部门安排的公务员医疗补助经费。</w:t>
      </w:r>
    </w:p>
    <w:p w14:paraId="2E706F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 卫生健康支出（类）老龄卫生健康事务（款）老龄卫生健康事务（项）：反映老龄卫生健康事务方面的支出。</w:t>
      </w:r>
    </w:p>
    <w:p w14:paraId="349CD7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30</w:t>
      </w:r>
      <w:r>
        <w:rPr>
          <w:rFonts w:hint="eastAsia" w:ascii="Times New Roman" w:hAnsi="Times New Roman" w:eastAsia="仿宋_GB2312" w:cs="仿宋_GB2312"/>
          <w:color w:val="auto"/>
          <w:kern w:val="2"/>
          <w:sz w:val="32"/>
          <w:szCs w:val="32"/>
          <w:highlight w:val="none"/>
          <w:lang w:val="en-US" w:eastAsia="zh-CN" w:bidi="ar-SA"/>
        </w:rPr>
        <w:t>. 农林水支出（类）巩固拓展脱贫攻坚成果衔接乡村振兴（款）其他巩固拓展脱贫攻坚成果衔接乡村振兴支出（项）：反映除上述项目以外其他用于巩固拓展脱贫攻坚成果同乡村振兴有效衔接方面的支出。</w:t>
      </w:r>
    </w:p>
    <w:p w14:paraId="1377C92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31</w:t>
      </w:r>
      <w:r>
        <w:rPr>
          <w:rFonts w:hint="eastAsia" w:ascii="Times New Roman" w:hAnsi="Times New Roman" w:eastAsia="仿宋_GB2312" w:cs="仿宋_GB2312"/>
          <w:color w:val="auto"/>
          <w:kern w:val="2"/>
          <w:sz w:val="32"/>
          <w:szCs w:val="32"/>
          <w:highlight w:val="none"/>
          <w:lang w:val="en-US" w:eastAsia="zh-CN" w:bidi="ar-SA"/>
        </w:rPr>
        <w:t>. 农林水支出（类）农村综合改革（款）对村民委员会和村党支部的补助（项）：反映各级财政对村民委员会和村党支部的补助支出，以及支持建立县级基本财力保障机制安排的村级组织运转奖补资金。</w:t>
      </w:r>
    </w:p>
    <w:p w14:paraId="4BBAEC7D">
      <w:pPr>
        <w:spacing w:line="600" w:lineRule="exact"/>
        <w:ind w:firstLine="640"/>
        <w:rPr>
          <w:rFonts w:hint="default" w:eastAsia="仿宋_GB2312" w:cs="仿宋_GB2312"/>
          <w:color w:val="auto"/>
          <w:kern w:val="2"/>
          <w:sz w:val="32"/>
          <w:szCs w:val="32"/>
          <w:highlight w:val="none"/>
          <w:lang w:eastAsia="zh-CN" w:bidi="ar-SA"/>
        </w:rPr>
      </w:pPr>
      <w:r>
        <w:rPr>
          <w:rFonts w:hint="eastAsia" w:ascii="Times New Roman" w:hAnsi="Times New Roman" w:eastAsia="仿宋_GB2312" w:cs="仿宋_GB2312"/>
          <w:color w:val="auto"/>
          <w:kern w:val="2"/>
          <w:sz w:val="32"/>
          <w:szCs w:val="32"/>
          <w:highlight w:val="none"/>
          <w:lang w:val="en-US" w:eastAsia="zh-CN" w:bidi="ar-SA"/>
        </w:rPr>
        <w:t>32. 交通运输支出（类）公路水路运输（款）水路运输管理支出（项）：反映</w:t>
      </w:r>
      <w:r>
        <w:rPr>
          <w:rFonts w:hint="default" w:eastAsia="仿宋_GB2312" w:cs="仿宋_GB2312"/>
          <w:color w:val="auto"/>
          <w:kern w:val="2"/>
          <w:sz w:val="32"/>
          <w:szCs w:val="32"/>
          <w:highlight w:val="none"/>
          <w:lang w:eastAsia="zh-CN" w:bidi="ar-SA"/>
        </w:rPr>
        <w:t>水路运输管理方面</w:t>
      </w:r>
      <w:r>
        <w:rPr>
          <w:rFonts w:hint="eastAsia" w:eastAsia="仿宋_GB2312" w:cs="仿宋_GB2312"/>
          <w:color w:val="auto"/>
          <w:kern w:val="2"/>
          <w:sz w:val="32"/>
          <w:szCs w:val="32"/>
          <w:highlight w:val="none"/>
          <w:lang w:eastAsia="zh-CN" w:bidi="ar-SA"/>
        </w:rPr>
        <w:t>的支出。</w:t>
      </w:r>
    </w:p>
    <w:p w14:paraId="00629E17">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33. 资源勘探工业信息等支出（类）制造业（款）行政运行（项）：反映</w:t>
      </w:r>
      <w:r>
        <w:rPr>
          <w:rFonts w:hint="eastAsia" w:eastAsia="仿宋_GB2312" w:cs="仿宋_GB2312"/>
          <w:color w:val="auto"/>
          <w:kern w:val="2"/>
          <w:sz w:val="32"/>
          <w:szCs w:val="32"/>
          <w:highlight w:val="none"/>
          <w:lang w:val="en-US" w:eastAsia="zh-CN" w:bidi="ar-SA"/>
        </w:rPr>
        <w:t>行政单位（包括实行公务员管理的事业单位的基本支出）。</w:t>
      </w:r>
    </w:p>
    <w:p w14:paraId="6BCE714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 住房保障支出（类）住房改革支出（款）住房公积金（项）：反映行政事业单位按人力资源和社会保障部、财政部规定的基本工资和津贴补贴以及规定比例为职工缴纳的住房公积金。</w:t>
      </w:r>
    </w:p>
    <w:p w14:paraId="5F470D6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 灾害防治及应急管理支出（类）应急管理事务（款</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安全监管（项）：反映安全生产综合监督管理和工贸行业安全生产监督管理等方面的支出。</w:t>
      </w:r>
    </w:p>
    <w:p w14:paraId="34B46D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 灾害防治及应急管理支出（类）自然灾害救灾及恢复重建支出（款）其他自然灾害救灾及恢复重建支出（项）：反映除上述项目以外其他用于自然灾害救灾、灾后恢复重建等方面的支出。</w:t>
      </w:r>
    </w:p>
    <w:p w14:paraId="53246D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 基本支出：指为保障机构正常运转、完成日常工作任务而发生的人员支出和公用支出。</w:t>
      </w:r>
    </w:p>
    <w:p w14:paraId="7F31C31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 项目支出：指在基本支出之外为完成特定行政任务和事业发展目标所发生的支出。</w:t>
      </w:r>
    </w:p>
    <w:p w14:paraId="37BD12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 经营支出：指事业单位在专业业务活动及其辅助活动之外开展非独立核算经营活动发生的支出。</w:t>
      </w:r>
    </w:p>
    <w:p w14:paraId="7578D20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40</w:t>
      </w:r>
      <w:r>
        <w:rPr>
          <w:rFonts w:hint="eastAsia" w:ascii="Times New Roman" w:hAnsi="Times New Roman" w:eastAsia="仿宋_GB2312" w:cs="仿宋_GB2312"/>
          <w:color w:val="auto"/>
          <w:kern w:val="2"/>
          <w:sz w:val="32"/>
          <w:szCs w:val="32"/>
          <w:highlight w:val="none"/>
          <w:lang w:val="en-US" w:eastAsia="zh-CN" w:bidi="ar-SA"/>
        </w:rPr>
        <w:t>. “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w:t>
      </w:r>
      <w:r>
        <w:rPr>
          <w:rFonts w:hint="eastAsia" w:eastAsia="仿宋_GB2312" w:cs="仿宋_GB2312"/>
          <w:color w:val="auto"/>
          <w:kern w:val="2"/>
          <w:sz w:val="32"/>
          <w:szCs w:val="32"/>
          <w:highlight w:val="none"/>
          <w:lang w:val="en-US" w:eastAsia="zh-CN" w:bidi="ar-SA"/>
        </w:rPr>
        <w:t>含</w:t>
      </w:r>
      <w:r>
        <w:rPr>
          <w:rFonts w:hint="eastAsia" w:ascii="Times New Roman" w:hAnsi="Times New Roman" w:eastAsia="仿宋_GB2312" w:cs="仿宋_GB2312"/>
          <w:color w:val="auto"/>
          <w:kern w:val="2"/>
          <w:sz w:val="32"/>
          <w:szCs w:val="32"/>
          <w:highlight w:val="none"/>
          <w:lang w:val="en-US" w:eastAsia="zh-CN" w:bidi="ar-SA"/>
        </w:rPr>
        <w:t>车辆购置税）及租用费、燃料费、维修费、过路过桥费、保险费等支出；公务接待费反映单位按规定开支的各类公务</w:t>
      </w:r>
      <w:r>
        <w:rPr>
          <w:rFonts w:hint="eastAsia" w:eastAsia="仿宋_GB2312" w:cs="仿宋_GB2312"/>
          <w:color w:val="auto"/>
          <w:kern w:val="2"/>
          <w:sz w:val="32"/>
          <w:szCs w:val="32"/>
          <w:highlight w:val="none"/>
          <w:lang w:val="en-US" w:eastAsia="zh-CN" w:bidi="ar-SA"/>
        </w:rPr>
        <w:t>接</w:t>
      </w:r>
      <w:r>
        <w:rPr>
          <w:rFonts w:hint="eastAsia" w:ascii="Times New Roman" w:hAnsi="Times New Roman" w:eastAsia="仿宋_GB2312" w:cs="仿宋_GB2312"/>
          <w:color w:val="auto"/>
          <w:kern w:val="2"/>
          <w:sz w:val="32"/>
          <w:szCs w:val="32"/>
          <w:highlight w:val="none"/>
          <w:lang w:val="en-US" w:eastAsia="zh-CN" w:bidi="ar-SA"/>
        </w:rPr>
        <w:t>待（含外宾接待）支出。</w:t>
      </w:r>
    </w:p>
    <w:p w14:paraId="7D6C0BC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41</w:t>
      </w:r>
      <w:r>
        <w:rPr>
          <w:rFonts w:hint="eastAsia" w:ascii="Times New Roman" w:hAnsi="Times New Roman" w:eastAsia="仿宋_GB2312" w:cs="仿宋_GB2312"/>
          <w:color w:val="auto"/>
          <w:kern w:val="2"/>
          <w:sz w:val="32"/>
          <w:szCs w:val="32"/>
          <w:highlight w:val="none"/>
          <w:lang w:val="en-US" w:eastAsia="zh-CN" w:bidi="ar-SA"/>
        </w:rPr>
        <w:t>. 机关运行经费：为保障行政单位（含参照公务员法管理的事业单位）运行用于购买货物和服务的各项资金，包括办公及印刷费、邮电费、差旅费、会议费、福利费、日常维修费、专用材料及一般设备购置费、办公用房水电费、公务用车运行维护费</w:t>
      </w:r>
      <w:r>
        <w:rPr>
          <w:rFonts w:hint="eastAsia" w:eastAsia="仿宋_GB2312" w:cs="仿宋_GB2312"/>
          <w:color w:val="auto"/>
          <w:kern w:val="2"/>
          <w:sz w:val="32"/>
          <w:szCs w:val="32"/>
          <w:highlight w:val="none"/>
          <w:lang w:val="en-US" w:eastAsia="zh-CN" w:bidi="ar-SA"/>
        </w:rPr>
        <w:t>以及其他费用。</w:t>
      </w:r>
    </w:p>
    <w:p w14:paraId="5608B5D0">
      <w:pPr>
        <w:spacing w:line="600" w:lineRule="exact"/>
        <w:jc w:val="center"/>
        <w:rPr>
          <w:rStyle w:val="29"/>
          <w:rFonts w:hint="eastAsia" w:ascii="Times New Roman" w:hAnsi="Times New Roman" w:eastAsia="黑体"/>
          <w:b w:val="0"/>
          <w:color w:val="auto"/>
          <w:highlight w:val="none"/>
          <w:lang w:eastAsia="zh-CN"/>
        </w:rPr>
      </w:pPr>
      <w:bookmarkStart w:id="62"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63"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63"/>
    </w:p>
    <w:p w14:paraId="0520A79C">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8762E81">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bookmarkStart w:id="64" w:name="_Toc13157"/>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64"/>
    </w:p>
    <w:p w14:paraId="4FC45E29">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19A9B3F1">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3D9E4B2D">
      <w:pPr>
        <w:widowControl/>
        <w:spacing w:line="590" w:lineRule="exact"/>
        <w:ind w:firstLine="660" w:firstLineChars="200"/>
        <w:contextualSpacing/>
        <w:rPr>
          <w:rFonts w:hint="default" w:ascii="Times New Roman" w:hAnsi="Times New Roman" w:eastAsia="黑体" w:cs="Times New Roman"/>
          <w:color w:val="000000"/>
          <w:kern w:val="0"/>
          <w:sz w:val="33"/>
          <w:szCs w:val="33"/>
          <w:shd w:val="clear" w:color="auto" w:fill="FFFFFF"/>
        </w:rPr>
      </w:pPr>
    </w:p>
    <w:p w14:paraId="513A6207">
      <w:pPr>
        <w:widowControl/>
        <w:spacing w:line="590" w:lineRule="exact"/>
        <w:ind w:firstLine="660" w:firstLineChars="200"/>
        <w:contextualSpacing/>
        <w:rPr>
          <w:rFonts w:hint="default" w:ascii="Times New Roman" w:hAnsi="Times New Roman" w:cs="Times New Roman"/>
          <w:sz w:val="33"/>
          <w:szCs w:val="33"/>
        </w:rPr>
      </w:pPr>
      <w:r>
        <w:rPr>
          <w:rFonts w:hint="default" w:ascii="Times New Roman" w:hAnsi="Times New Roman" w:eastAsia="黑体" w:cs="Times New Roman"/>
          <w:color w:val="000000"/>
          <w:kern w:val="0"/>
          <w:sz w:val="33"/>
          <w:szCs w:val="33"/>
          <w:shd w:val="clear" w:color="auto" w:fill="FFFFFF"/>
          <w:lang w:val="zh-CN"/>
        </w:rPr>
        <w:t>一、部门（单位）基本情况</w:t>
      </w:r>
    </w:p>
    <w:p w14:paraId="339C2F2E">
      <w:pPr>
        <w:widowControl/>
        <w:spacing w:line="590" w:lineRule="exact"/>
        <w:ind w:firstLine="663" w:firstLineChars="200"/>
        <w:contextualSpacing/>
        <w:rPr>
          <w:rFonts w:hint="default" w:ascii="Times New Roman" w:hAnsi="Times New Roman" w:eastAsia="仿宋_GB2312" w:cs="Times New Roman"/>
          <w:sz w:val="33"/>
          <w:szCs w:val="33"/>
          <w:highlight w:val="none"/>
          <w:lang w:val="en-US" w:eastAsia="zh-CN"/>
        </w:rPr>
      </w:pPr>
      <w:r>
        <w:rPr>
          <w:rFonts w:hint="default" w:ascii="Times New Roman" w:hAnsi="Times New Roman" w:eastAsia="楷体_GB2312" w:cs="Times New Roman"/>
          <w:b/>
          <w:bCs/>
          <w:color w:val="000000"/>
          <w:kern w:val="0"/>
          <w:sz w:val="33"/>
          <w:szCs w:val="33"/>
          <w:shd w:val="clear" w:color="auto" w:fill="FFFFFF"/>
          <w:lang w:val="zh-CN"/>
        </w:rPr>
        <w:t>（一）机构组成。</w:t>
      </w:r>
      <w:r>
        <w:rPr>
          <w:rFonts w:hint="default" w:ascii="Times New Roman" w:hAnsi="Times New Roman" w:eastAsia="仿宋_GB2312" w:cs="Times New Roman"/>
          <w:sz w:val="33"/>
          <w:szCs w:val="33"/>
          <w:highlight w:val="none"/>
          <w:lang w:val="en-US" w:eastAsia="zh-CN"/>
        </w:rPr>
        <w:t>高笋乡</w:t>
      </w:r>
      <w:r>
        <w:rPr>
          <w:rFonts w:hint="default" w:ascii="Times New Roman" w:hAnsi="Times New Roman" w:eastAsia="仿宋_GB2312" w:cs="Times New Roman"/>
          <w:sz w:val="33"/>
          <w:szCs w:val="33"/>
          <w:highlight w:val="none"/>
        </w:rPr>
        <w:t>内设股室及下属单位情况</w:t>
      </w:r>
      <w:r>
        <w:rPr>
          <w:rFonts w:hint="default" w:ascii="Times New Roman" w:hAnsi="Times New Roman" w:eastAsia="仿宋_GB2312" w:cs="Times New Roman"/>
          <w:sz w:val="33"/>
          <w:szCs w:val="33"/>
          <w:highlight w:val="none"/>
          <w:lang w:eastAsia="zh-CN"/>
        </w:rPr>
        <w:t>：</w:t>
      </w:r>
      <w:r>
        <w:rPr>
          <w:rFonts w:hint="default" w:ascii="Times New Roman" w:hAnsi="Times New Roman" w:eastAsia="仿宋_GB2312" w:cs="Times New Roman"/>
          <w:sz w:val="33"/>
          <w:szCs w:val="33"/>
          <w:highlight w:val="none"/>
          <w:lang w:val="en-US" w:eastAsia="zh-CN"/>
        </w:rPr>
        <w:t>1、</w:t>
      </w:r>
      <w:r>
        <w:rPr>
          <w:rFonts w:hint="default" w:ascii="Times New Roman" w:hAnsi="Times New Roman" w:eastAsia="仿宋_GB2312" w:cs="Times New Roman"/>
          <w:sz w:val="33"/>
          <w:szCs w:val="33"/>
          <w:highlight w:val="none"/>
        </w:rPr>
        <w:t>党政</w:t>
      </w:r>
      <w:r>
        <w:rPr>
          <w:rFonts w:hint="default" w:ascii="Times New Roman" w:hAnsi="Times New Roman" w:eastAsia="仿宋_GB2312" w:cs="Times New Roman"/>
          <w:sz w:val="33"/>
          <w:szCs w:val="33"/>
          <w:highlight w:val="none"/>
          <w:lang w:val="en-US" w:eastAsia="zh-CN"/>
        </w:rPr>
        <w:t>办公室；2、</w:t>
      </w:r>
      <w:r>
        <w:rPr>
          <w:rFonts w:hint="default" w:ascii="Times New Roman" w:hAnsi="Times New Roman" w:eastAsia="仿宋_GB2312" w:cs="Times New Roman"/>
          <w:sz w:val="33"/>
          <w:szCs w:val="33"/>
          <w:highlight w:val="none"/>
        </w:rPr>
        <w:t>党建</w:t>
      </w:r>
      <w:r>
        <w:rPr>
          <w:rFonts w:hint="default" w:ascii="Times New Roman" w:hAnsi="Times New Roman" w:eastAsia="仿宋_GB2312" w:cs="Times New Roman"/>
          <w:sz w:val="33"/>
          <w:szCs w:val="33"/>
          <w:highlight w:val="none"/>
          <w:lang w:eastAsia="zh-CN"/>
        </w:rPr>
        <w:t>工作</w:t>
      </w:r>
      <w:r>
        <w:rPr>
          <w:rFonts w:hint="default" w:ascii="Times New Roman" w:hAnsi="Times New Roman" w:eastAsia="仿宋_GB2312" w:cs="Times New Roman"/>
          <w:sz w:val="33"/>
          <w:szCs w:val="33"/>
          <w:highlight w:val="none"/>
          <w:lang w:val="en-US" w:eastAsia="zh-CN"/>
        </w:rPr>
        <w:t>办公室；3、</w:t>
      </w:r>
      <w:r>
        <w:rPr>
          <w:rFonts w:hint="default" w:ascii="Times New Roman" w:hAnsi="Times New Roman" w:eastAsia="仿宋_GB2312" w:cs="Times New Roman"/>
          <w:sz w:val="33"/>
          <w:szCs w:val="33"/>
          <w:highlight w:val="none"/>
          <w:lang w:eastAsia="zh-CN"/>
        </w:rPr>
        <w:t>经济发展</w:t>
      </w:r>
      <w:r>
        <w:rPr>
          <w:rFonts w:hint="default" w:ascii="Times New Roman" w:hAnsi="Times New Roman" w:eastAsia="仿宋_GB2312" w:cs="Times New Roman"/>
          <w:sz w:val="33"/>
          <w:szCs w:val="33"/>
          <w:highlight w:val="none"/>
        </w:rPr>
        <w:t>办</w:t>
      </w:r>
      <w:r>
        <w:rPr>
          <w:rFonts w:hint="default" w:ascii="Times New Roman" w:hAnsi="Times New Roman" w:eastAsia="仿宋_GB2312" w:cs="Times New Roman"/>
          <w:sz w:val="33"/>
          <w:szCs w:val="33"/>
          <w:highlight w:val="none"/>
          <w:lang w:val="en-US" w:eastAsia="zh-CN"/>
        </w:rPr>
        <w:t>公室</w:t>
      </w:r>
      <w:r>
        <w:rPr>
          <w:rFonts w:hint="default" w:ascii="Times New Roman" w:hAnsi="Times New Roman" w:eastAsia="仿宋_GB2312" w:cs="Times New Roman"/>
          <w:sz w:val="33"/>
          <w:szCs w:val="33"/>
          <w:highlight w:val="none"/>
          <w:lang w:eastAsia="zh-CN"/>
        </w:rPr>
        <w:t>；</w:t>
      </w:r>
      <w:r>
        <w:rPr>
          <w:rFonts w:hint="default" w:ascii="Times New Roman" w:hAnsi="Times New Roman" w:eastAsia="仿宋_GB2312" w:cs="Times New Roman"/>
          <w:sz w:val="33"/>
          <w:szCs w:val="33"/>
          <w:highlight w:val="none"/>
          <w:lang w:val="en-US" w:eastAsia="zh-CN"/>
        </w:rPr>
        <w:t>4、</w:t>
      </w:r>
      <w:r>
        <w:rPr>
          <w:rFonts w:hint="default" w:ascii="Times New Roman" w:hAnsi="Times New Roman" w:eastAsia="仿宋_GB2312" w:cs="Times New Roman"/>
          <w:sz w:val="33"/>
          <w:szCs w:val="33"/>
          <w:highlight w:val="none"/>
          <w:lang w:eastAsia="zh-CN"/>
        </w:rPr>
        <w:t>社会事务</w:t>
      </w:r>
      <w:r>
        <w:rPr>
          <w:rFonts w:hint="default" w:ascii="Times New Roman" w:hAnsi="Times New Roman" w:eastAsia="仿宋_GB2312" w:cs="Times New Roman"/>
          <w:sz w:val="33"/>
          <w:szCs w:val="33"/>
          <w:highlight w:val="none"/>
          <w:lang w:val="en-US" w:eastAsia="zh-CN"/>
        </w:rPr>
        <w:t>办公室；5社会治理和综合执法办公室；6、</w:t>
      </w:r>
      <w:r>
        <w:rPr>
          <w:rFonts w:hint="default" w:ascii="Times New Roman" w:hAnsi="Times New Roman" w:eastAsia="仿宋_GB2312" w:cs="Times New Roman"/>
          <w:sz w:val="33"/>
          <w:szCs w:val="33"/>
          <w:highlight w:val="none"/>
          <w:lang w:eastAsia="zh-CN"/>
        </w:rPr>
        <w:t>应急管理</w:t>
      </w:r>
      <w:r>
        <w:rPr>
          <w:rFonts w:hint="default" w:ascii="Times New Roman" w:hAnsi="Times New Roman" w:eastAsia="仿宋_GB2312" w:cs="Times New Roman"/>
          <w:sz w:val="33"/>
          <w:szCs w:val="33"/>
          <w:highlight w:val="none"/>
          <w:lang w:val="en-US" w:eastAsia="zh-CN"/>
        </w:rPr>
        <w:t>办公室。</w:t>
      </w:r>
    </w:p>
    <w:p w14:paraId="4042917A">
      <w:pPr>
        <w:widowControl/>
        <w:spacing w:line="590" w:lineRule="exact"/>
        <w:ind w:firstLine="660" w:firstLineChars="200"/>
        <w:contextualSpacing/>
        <w:rPr>
          <w:rFonts w:hint="default" w:ascii="Times New Roman" w:hAnsi="Times New Roman" w:eastAsia="仿宋_GB2312" w:cs="Times New Roman"/>
          <w:sz w:val="33"/>
          <w:szCs w:val="33"/>
          <w:highlight w:val="none"/>
          <w:lang w:val="en-US" w:eastAsia="zh-CN"/>
        </w:rPr>
      </w:pPr>
      <w:r>
        <w:rPr>
          <w:rFonts w:hint="default" w:ascii="Times New Roman" w:hAnsi="Times New Roman" w:eastAsia="仿宋_GB2312" w:cs="Times New Roman"/>
          <w:sz w:val="33"/>
          <w:szCs w:val="33"/>
          <w:highlight w:val="none"/>
          <w:lang w:val="en-US" w:eastAsia="zh-CN"/>
        </w:rPr>
        <w:t>高笋乡设下列直属事业机构：1、便民服务中心（退役军人服务站、新时代文明实践所）；2、农业综合服务中心。</w:t>
      </w:r>
    </w:p>
    <w:p w14:paraId="034CB42E">
      <w:pPr>
        <w:widowControl/>
        <w:spacing w:line="590" w:lineRule="exact"/>
        <w:ind w:firstLine="663" w:firstLineChars="200"/>
        <w:contextualSpacing/>
        <w:rPr>
          <w:rFonts w:hint="default" w:ascii="Times New Roman" w:hAnsi="Times New Roman" w:eastAsia="仿宋_GB2312" w:cs="Times New Roman"/>
          <w:sz w:val="33"/>
          <w:szCs w:val="33"/>
          <w:highlight w:val="none"/>
          <w:lang w:val="en-US" w:eastAsia="zh-CN"/>
        </w:rPr>
      </w:pPr>
      <w:r>
        <w:rPr>
          <w:rFonts w:hint="default" w:ascii="Times New Roman" w:hAnsi="Times New Roman" w:eastAsia="楷体_GB2312" w:cs="Times New Roman"/>
          <w:b/>
          <w:bCs/>
          <w:color w:val="000000"/>
          <w:kern w:val="0"/>
          <w:sz w:val="33"/>
          <w:szCs w:val="33"/>
          <w:shd w:val="clear" w:color="auto" w:fill="FFFFFF"/>
          <w:lang w:val="zh-CN"/>
        </w:rPr>
        <w:t>（二）机构职能。</w:t>
      </w:r>
      <w:r>
        <w:rPr>
          <w:rFonts w:hint="default" w:ascii="Times New Roman" w:hAnsi="Times New Roman" w:eastAsia="仿宋_GB2312" w:cs="Times New Roman"/>
          <w:sz w:val="33"/>
          <w:szCs w:val="33"/>
          <w:highlight w:val="none"/>
          <w:lang w:val="en-US" w:eastAsia="zh-CN"/>
        </w:rPr>
        <w:t>高笋乡人民政府为乡镇工作部门，负责全乡的财政收支、财税政策、国有资产管理等工作。</w:t>
      </w:r>
    </w:p>
    <w:p w14:paraId="41B7CF57">
      <w:pPr>
        <w:widowControl/>
        <w:spacing w:line="590" w:lineRule="exact"/>
        <w:ind w:firstLine="660" w:firstLineChars="200"/>
        <w:contextualSpacing/>
        <w:rPr>
          <w:rFonts w:hint="default" w:ascii="Times New Roman" w:hAnsi="Times New Roman" w:eastAsia="仿宋_GB2312" w:cs="Times New Roman"/>
          <w:sz w:val="33"/>
          <w:szCs w:val="33"/>
          <w:highlight w:val="none"/>
          <w:lang w:val="en-US" w:eastAsia="zh-CN"/>
        </w:rPr>
      </w:pPr>
      <w:r>
        <w:rPr>
          <w:rFonts w:hint="eastAsia" w:eastAsia="仿宋_GB2312" w:cs="Times New Roman"/>
          <w:sz w:val="33"/>
          <w:szCs w:val="33"/>
          <w:highlight w:val="none"/>
          <w:lang w:val="en-US" w:eastAsia="zh-CN"/>
        </w:rPr>
        <w:t>1.</w:t>
      </w:r>
      <w:r>
        <w:rPr>
          <w:rFonts w:hint="default" w:ascii="Times New Roman" w:hAnsi="Times New Roman" w:eastAsia="仿宋_GB2312" w:cs="Times New Roman"/>
          <w:sz w:val="33"/>
          <w:szCs w:val="33"/>
          <w:highlight w:val="none"/>
          <w:lang w:val="en-US" w:eastAsia="zh-CN"/>
        </w:rPr>
        <w:t>贯彻落实党的路线方针政策和国家法律法规以及上级党委、政府的决议、决定和命令，执行乡党委和乡人民代表大会的决议，加强农村基层政权建设，巩固党在农村的执政基础。</w:t>
      </w:r>
    </w:p>
    <w:p w14:paraId="30EB0469">
      <w:pPr>
        <w:widowControl/>
        <w:spacing w:line="590" w:lineRule="exact"/>
        <w:ind w:firstLine="660" w:firstLineChars="200"/>
        <w:contextualSpacing/>
        <w:rPr>
          <w:rFonts w:hint="default" w:ascii="Times New Roman" w:hAnsi="Times New Roman" w:eastAsia="仿宋_GB2312" w:cs="Times New Roman"/>
          <w:sz w:val="33"/>
          <w:szCs w:val="33"/>
          <w:highlight w:val="none"/>
          <w:lang w:val="en-US" w:eastAsia="zh-CN"/>
        </w:rPr>
      </w:pPr>
      <w:r>
        <w:rPr>
          <w:rFonts w:hint="eastAsia" w:eastAsia="仿宋_GB2312" w:cs="Times New Roman"/>
          <w:sz w:val="33"/>
          <w:szCs w:val="33"/>
          <w:highlight w:val="none"/>
          <w:lang w:val="en-US" w:eastAsia="zh-CN"/>
        </w:rPr>
        <w:t>2.</w:t>
      </w:r>
      <w:r>
        <w:rPr>
          <w:rFonts w:hint="default" w:ascii="Times New Roman" w:hAnsi="Times New Roman" w:eastAsia="仿宋_GB2312" w:cs="Times New Roman"/>
          <w:sz w:val="33"/>
          <w:szCs w:val="33"/>
          <w:highlight w:val="none"/>
          <w:lang w:val="en-US" w:eastAsia="zh-CN"/>
        </w:rPr>
        <w:t>组织编制本行政区域经济社会发展规划和乡国土空间规划。负责农村</w:t>
      </w:r>
      <w:r>
        <w:rPr>
          <w:rFonts w:hint="eastAsia" w:eastAsia="仿宋_GB2312" w:cs="Times New Roman"/>
          <w:sz w:val="33"/>
          <w:szCs w:val="33"/>
          <w:highlight w:val="none"/>
          <w:lang w:val="en-US" w:eastAsia="zh-CN"/>
        </w:rPr>
        <w:t>基础设施</w:t>
      </w:r>
      <w:r>
        <w:rPr>
          <w:rFonts w:hint="default" w:ascii="Times New Roman" w:hAnsi="Times New Roman" w:eastAsia="仿宋_GB2312" w:cs="Times New Roman"/>
          <w:sz w:val="33"/>
          <w:szCs w:val="33"/>
          <w:highlight w:val="none"/>
          <w:lang w:val="en-US" w:eastAsia="zh-CN"/>
        </w:rPr>
        <w:t>和各项公益事业建设，推进脱贫攻坚，实施乡村振兴战略，加强经济社会发展，改善群众生产生活环境。</w:t>
      </w:r>
    </w:p>
    <w:p w14:paraId="0E414484">
      <w:pPr>
        <w:widowControl/>
        <w:spacing w:line="590" w:lineRule="exact"/>
        <w:ind w:firstLine="660" w:firstLineChars="200"/>
        <w:contextualSpacing/>
        <w:rPr>
          <w:rFonts w:hint="default" w:ascii="Times New Roman" w:hAnsi="Times New Roman" w:eastAsia="仿宋_GB2312" w:cs="Times New Roman"/>
          <w:sz w:val="33"/>
          <w:szCs w:val="33"/>
          <w:highlight w:val="none"/>
          <w:lang w:val="en-US" w:eastAsia="zh-CN"/>
        </w:rPr>
      </w:pPr>
      <w:r>
        <w:rPr>
          <w:rFonts w:hint="eastAsia" w:eastAsia="仿宋_GB2312" w:cs="Times New Roman"/>
          <w:sz w:val="33"/>
          <w:szCs w:val="33"/>
          <w:highlight w:val="none"/>
          <w:lang w:val="en-US" w:eastAsia="zh-CN"/>
        </w:rPr>
        <w:t>3.</w:t>
      </w:r>
      <w:r>
        <w:rPr>
          <w:rFonts w:hint="default" w:ascii="Times New Roman" w:hAnsi="Times New Roman" w:eastAsia="仿宋_GB2312" w:cs="Times New Roman"/>
          <w:sz w:val="33"/>
          <w:szCs w:val="33"/>
          <w:highlight w:val="none"/>
          <w:lang w:val="en-US" w:eastAsia="zh-CN"/>
        </w:rPr>
        <w:t>指导农村经济发展，推进农业经济结构调整，促进经济增长、农业增效、农民增收。</w:t>
      </w:r>
    </w:p>
    <w:p w14:paraId="1A6DDEA1">
      <w:pPr>
        <w:widowControl/>
        <w:spacing w:line="590" w:lineRule="exact"/>
        <w:ind w:firstLine="660" w:firstLineChars="200"/>
        <w:contextualSpacing/>
        <w:rPr>
          <w:rFonts w:hint="default" w:ascii="Times New Roman" w:hAnsi="Times New Roman" w:eastAsia="仿宋_GB2312" w:cs="Times New Roman"/>
          <w:sz w:val="33"/>
          <w:szCs w:val="33"/>
          <w:highlight w:val="none"/>
          <w:lang w:val="en-US" w:eastAsia="zh-CN"/>
        </w:rPr>
      </w:pPr>
      <w:r>
        <w:rPr>
          <w:rFonts w:hint="eastAsia" w:eastAsia="仿宋_GB2312" w:cs="Times New Roman"/>
          <w:sz w:val="33"/>
          <w:szCs w:val="33"/>
          <w:highlight w:val="none"/>
          <w:lang w:val="en-US" w:eastAsia="zh-CN"/>
        </w:rPr>
        <w:t>4.</w:t>
      </w:r>
      <w:r>
        <w:rPr>
          <w:rFonts w:hint="default" w:ascii="Times New Roman" w:hAnsi="Times New Roman" w:eastAsia="仿宋_GB2312" w:cs="Times New Roman"/>
          <w:sz w:val="33"/>
          <w:szCs w:val="33"/>
          <w:highlight w:val="none"/>
          <w:lang w:val="en-US" w:eastAsia="zh-CN"/>
        </w:rPr>
        <w:t>加强农村公共服务体系建设，抓好基础教育、科技、文化、体育、卫生健康、食（药）品安全等工作，做好民政事务、残疾、老龄、就业培训、社会保障、劳动关系协调、民族宗教、退役军人事务、统计等工作，促进农村社会事业健康发展。</w:t>
      </w:r>
    </w:p>
    <w:p w14:paraId="76245DD2">
      <w:pPr>
        <w:widowControl/>
        <w:spacing w:line="590" w:lineRule="exact"/>
        <w:ind w:firstLine="660" w:firstLineChars="200"/>
        <w:contextualSpacing/>
        <w:rPr>
          <w:rFonts w:hint="default" w:ascii="Times New Roman" w:hAnsi="Times New Roman" w:eastAsia="仿宋_GB2312" w:cs="Times New Roman"/>
          <w:sz w:val="33"/>
          <w:szCs w:val="33"/>
          <w:highlight w:val="none"/>
          <w:lang w:val="en-US" w:eastAsia="zh-CN"/>
        </w:rPr>
      </w:pPr>
      <w:r>
        <w:rPr>
          <w:rFonts w:hint="eastAsia" w:eastAsia="仿宋_GB2312" w:cs="Times New Roman"/>
          <w:sz w:val="33"/>
          <w:szCs w:val="33"/>
          <w:highlight w:val="none"/>
          <w:lang w:val="en-US" w:eastAsia="zh-CN"/>
        </w:rPr>
        <w:t>5.</w:t>
      </w:r>
      <w:r>
        <w:rPr>
          <w:rFonts w:hint="default" w:ascii="Times New Roman" w:hAnsi="Times New Roman" w:eastAsia="仿宋_GB2312" w:cs="Times New Roman"/>
          <w:sz w:val="33"/>
          <w:szCs w:val="33"/>
          <w:highlight w:val="none"/>
          <w:lang w:val="en-US" w:eastAsia="zh-CN"/>
        </w:rPr>
        <w:t>负责辖区内自然资源、生态环境保护、森林防火、防汛抗旱、粮食安全、供销合作社等工作。</w:t>
      </w:r>
    </w:p>
    <w:p w14:paraId="63E61872">
      <w:pPr>
        <w:widowControl/>
        <w:spacing w:line="590" w:lineRule="exact"/>
        <w:ind w:firstLine="660" w:firstLineChars="200"/>
        <w:contextualSpacing/>
        <w:rPr>
          <w:rFonts w:hint="default" w:ascii="Times New Roman" w:hAnsi="Times New Roman" w:eastAsia="仿宋_GB2312" w:cs="Times New Roman"/>
          <w:sz w:val="33"/>
          <w:szCs w:val="33"/>
          <w:highlight w:val="none"/>
          <w:lang w:val="en-US" w:eastAsia="zh-CN"/>
        </w:rPr>
      </w:pPr>
      <w:r>
        <w:rPr>
          <w:rFonts w:hint="eastAsia" w:eastAsia="仿宋_GB2312" w:cs="Times New Roman"/>
          <w:sz w:val="33"/>
          <w:szCs w:val="33"/>
          <w:highlight w:val="none"/>
          <w:lang w:val="en-US" w:eastAsia="zh-CN"/>
        </w:rPr>
        <w:t>6.</w:t>
      </w:r>
      <w:r>
        <w:rPr>
          <w:rFonts w:hint="default" w:ascii="Times New Roman" w:hAnsi="Times New Roman" w:eastAsia="仿宋_GB2312" w:cs="Times New Roman"/>
          <w:sz w:val="33"/>
          <w:szCs w:val="33"/>
          <w:highlight w:val="none"/>
          <w:lang w:val="en-US" w:eastAsia="zh-CN"/>
        </w:rPr>
        <w:t>推进基层民主法治建设，加强普法依法治理，指导村（居）民委员会工作，维护群众合法权益。</w:t>
      </w:r>
    </w:p>
    <w:p w14:paraId="79F0DD5E">
      <w:pPr>
        <w:widowControl/>
        <w:spacing w:line="590" w:lineRule="exact"/>
        <w:ind w:firstLine="660" w:firstLineChars="200"/>
        <w:contextualSpacing/>
        <w:rPr>
          <w:rFonts w:hint="default" w:ascii="Times New Roman" w:hAnsi="Times New Roman" w:eastAsia="仿宋_GB2312" w:cs="Times New Roman"/>
          <w:sz w:val="33"/>
          <w:szCs w:val="33"/>
          <w:highlight w:val="none"/>
          <w:lang w:val="en-US" w:eastAsia="zh-CN"/>
        </w:rPr>
      </w:pPr>
      <w:r>
        <w:rPr>
          <w:rFonts w:hint="eastAsia" w:eastAsia="仿宋_GB2312" w:cs="Times New Roman"/>
          <w:sz w:val="33"/>
          <w:szCs w:val="33"/>
          <w:highlight w:val="none"/>
          <w:lang w:val="en-US" w:eastAsia="zh-CN"/>
        </w:rPr>
        <w:t>7.</w:t>
      </w:r>
      <w:r>
        <w:rPr>
          <w:rFonts w:hint="default" w:ascii="Times New Roman" w:hAnsi="Times New Roman" w:eastAsia="仿宋_GB2312" w:cs="Times New Roman"/>
          <w:sz w:val="33"/>
          <w:szCs w:val="33"/>
          <w:highlight w:val="none"/>
          <w:lang w:val="en-US" w:eastAsia="zh-CN"/>
        </w:rPr>
        <w:t>承担辖区平安建设、社会治安综合治理、安全和应急管理等有关工作，处理群众来信来访，反映社情民意，化解矛盾纠纷，维护社会安全稳定。</w:t>
      </w:r>
    </w:p>
    <w:p w14:paraId="59E0C01B">
      <w:pPr>
        <w:widowControl/>
        <w:spacing w:line="590" w:lineRule="exact"/>
        <w:ind w:firstLine="660" w:firstLineChars="200"/>
        <w:contextualSpacing/>
        <w:rPr>
          <w:rFonts w:hint="default" w:ascii="Times New Roman" w:hAnsi="Times New Roman" w:eastAsia="仿宋_GB2312" w:cs="Times New Roman"/>
          <w:sz w:val="33"/>
          <w:szCs w:val="33"/>
          <w:highlight w:val="none"/>
          <w:lang w:val="en-US" w:eastAsia="zh-CN"/>
        </w:rPr>
      </w:pPr>
      <w:r>
        <w:rPr>
          <w:rFonts w:hint="eastAsia" w:eastAsia="仿宋_GB2312" w:cs="Times New Roman"/>
          <w:sz w:val="33"/>
          <w:szCs w:val="33"/>
          <w:highlight w:val="none"/>
          <w:lang w:val="en-US" w:eastAsia="zh-CN"/>
        </w:rPr>
        <w:t>8.</w:t>
      </w:r>
      <w:r>
        <w:rPr>
          <w:rFonts w:hint="default" w:ascii="Times New Roman" w:hAnsi="Times New Roman" w:eastAsia="仿宋_GB2312" w:cs="Times New Roman"/>
          <w:sz w:val="33"/>
          <w:szCs w:val="33"/>
          <w:highlight w:val="none"/>
          <w:lang w:val="en-US" w:eastAsia="zh-CN"/>
        </w:rPr>
        <w:t>负责清理编制权责清单、公共服务清单事项，建立清单动态调整和公示机制，推进政务公开，接受群众监督，增强政府公信力。</w:t>
      </w:r>
    </w:p>
    <w:p w14:paraId="3AC74251">
      <w:pPr>
        <w:widowControl/>
        <w:spacing w:line="590" w:lineRule="exact"/>
        <w:ind w:firstLine="660" w:firstLineChars="200"/>
        <w:contextualSpacing/>
        <w:rPr>
          <w:rFonts w:hint="default" w:ascii="Times New Roman" w:hAnsi="Times New Roman" w:eastAsia="仿宋_GB2312" w:cs="Times New Roman"/>
          <w:sz w:val="33"/>
          <w:szCs w:val="33"/>
          <w:highlight w:val="none"/>
          <w:lang w:val="en-US" w:eastAsia="zh-CN"/>
        </w:rPr>
      </w:pPr>
      <w:r>
        <w:rPr>
          <w:rFonts w:hint="eastAsia" w:eastAsia="仿宋_GB2312" w:cs="Times New Roman"/>
          <w:sz w:val="33"/>
          <w:szCs w:val="33"/>
          <w:highlight w:val="none"/>
          <w:lang w:val="en-US" w:eastAsia="zh-CN"/>
        </w:rPr>
        <w:t>9.</w:t>
      </w:r>
      <w:r>
        <w:rPr>
          <w:rFonts w:hint="default" w:ascii="Times New Roman" w:hAnsi="Times New Roman" w:eastAsia="仿宋_GB2312" w:cs="Times New Roman"/>
          <w:sz w:val="33"/>
          <w:szCs w:val="33"/>
          <w:highlight w:val="none"/>
          <w:lang w:val="en-US" w:eastAsia="zh-CN"/>
        </w:rPr>
        <w:t>负责国防教育、兵役征集、民兵预备役等有关工作。</w:t>
      </w:r>
    </w:p>
    <w:p w14:paraId="2DFAD690">
      <w:pPr>
        <w:widowControl/>
        <w:spacing w:line="590" w:lineRule="exact"/>
        <w:ind w:firstLine="660" w:firstLineChars="200"/>
        <w:contextualSpacing/>
        <w:rPr>
          <w:rFonts w:hint="default" w:ascii="Times New Roman" w:hAnsi="Times New Roman" w:eastAsia="仿宋_GB2312" w:cs="Times New Roman"/>
          <w:sz w:val="33"/>
          <w:szCs w:val="33"/>
          <w:highlight w:val="none"/>
          <w:lang w:val="en-US" w:eastAsia="zh-CN"/>
        </w:rPr>
      </w:pPr>
      <w:r>
        <w:rPr>
          <w:rFonts w:hint="eastAsia" w:eastAsia="仿宋_GB2312" w:cs="Times New Roman"/>
          <w:sz w:val="33"/>
          <w:szCs w:val="33"/>
          <w:highlight w:val="none"/>
          <w:lang w:val="en-US" w:eastAsia="zh-CN"/>
        </w:rPr>
        <w:t>10.</w:t>
      </w:r>
      <w:r>
        <w:rPr>
          <w:rFonts w:hint="default" w:ascii="Times New Roman" w:hAnsi="Times New Roman" w:eastAsia="仿宋_GB2312" w:cs="Times New Roman"/>
          <w:sz w:val="33"/>
          <w:szCs w:val="33"/>
          <w:highlight w:val="none"/>
          <w:lang w:val="en-US" w:eastAsia="zh-CN"/>
        </w:rPr>
        <w:t>承担法律、法规、规章规定的其他职能和上级党委、政府交办的其他任务。</w:t>
      </w:r>
    </w:p>
    <w:p w14:paraId="6FBE03C2">
      <w:pPr>
        <w:spacing w:line="590" w:lineRule="exact"/>
        <w:ind w:firstLine="663" w:firstLineChars="200"/>
        <w:rPr>
          <w:rFonts w:hint="default" w:ascii="Times New Roman" w:hAnsi="Times New Roman" w:eastAsia="仿宋_GB2312" w:cs="Times New Roman"/>
          <w:sz w:val="33"/>
          <w:szCs w:val="33"/>
          <w:highlight w:val="none"/>
          <w:lang w:val="en-US" w:eastAsia="zh-CN"/>
        </w:rPr>
      </w:pPr>
      <w:r>
        <w:rPr>
          <w:rFonts w:hint="default" w:ascii="Times New Roman" w:hAnsi="Times New Roman" w:eastAsia="楷体_GB2312" w:cs="Times New Roman"/>
          <w:b/>
          <w:bCs/>
          <w:color w:val="000000"/>
          <w:kern w:val="0"/>
          <w:sz w:val="33"/>
          <w:szCs w:val="33"/>
          <w:shd w:val="clear" w:color="auto" w:fill="FFFFFF"/>
          <w:lang w:val="zh-CN"/>
        </w:rPr>
        <w:t>（三）人员概况。</w:t>
      </w:r>
      <w:r>
        <w:rPr>
          <w:rFonts w:hint="default" w:ascii="Times New Roman" w:hAnsi="Times New Roman" w:eastAsia="仿宋_GB2312" w:cs="Times New Roman"/>
          <w:sz w:val="33"/>
          <w:szCs w:val="33"/>
          <w:highlight w:val="none"/>
          <w:lang w:val="en-US" w:eastAsia="zh-CN"/>
        </w:rPr>
        <w:t>截至2024年末，沐川县高笋乡人民政府总编制36个，其中：行政编制22个、事业编制14个。在职人员总数31人，其中：行政22人、事业9人。</w:t>
      </w:r>
    </w:p>
    <w:p w14:paraId="7D37A552">
      <w:pPr>
        <w:widowControl/>
        <w:spacing w:line="590" w:lineRule="exact"/>
        <w:ind w:firstLine="660" w:firstLineChars="200"/>
        <w:contextualSpacing/>
        <w:rPr>
          <w:rFonts w:hint="default" w:ascii="Times New Roman" w:hAnsi="Times New Roman" w:eastAsia="黑体" w:cs="Times New Roman"/>
          <w:color w:val="000000"/>
          <w:kern w:val="0"/>
          <w:sz w:val="33"/>
          <w:szCs w:val="33"/>
          <w:shd w:val="clear" w:color="auto" w:fill="FFFFFF"/>
        </w:rPr>
      </w:pPr>
      <w:r>
        <w:rPr>
          <w:rFonts w:hint="default" w:ascii="Times New Roman" w:hAnsi="Times New Roman" w:eastAsia="黑体" w:cs="Times New Roman"/>
          <w:color w:val="000000"/>
          <w:kern w:val="0"/>
          <w:sz w:val="33"/>
          <w:szCs w:val="33"/>
          <w:shd w:val="clear" w:color="auto" w:fill="FFFFFF"/>
        </w:rPr>
        <w:t>二、部门资金收支情况</w:t>
      </w:r>
    </w:p>
    <w:p w14:paraId="761B2E94">
      <w:pPr>
        <w:widowControl/>
        <w:spacing w:line="590" w:lineRule="exact"/>
        <w:ind w:firstLine="663" w:firstLineChars="200"/>
        <w:contextualSpacing/>
        <w:rPr>
          <w:rFonts w:hint="default" w:ascii="Times New Roman" w:hAnsi="Times New Roman" w:eastAsia="楷体_GB2312" w:cs="Times New Roman"/>
          <w:b/>
          <w:bCs/>
          <w:color w:val="000000"/>
          <w:kern w:val="0"/>
          <w:sz w:val="33"/>
          <w:szCs w:val="33"/>
          <w:shd w:val="clear" w:color="auto" w:fill="FFFFFF"/>
          <w:lang w:val="zh-CN"/>
        </w:rPr>
      </w:pPr>
      <w:r>
        <w:rPr>
          <w:rFonts w:hint="default" w:ascii="Times New Roman" w:hAnsi="Times New Roman" w:eastAsia="楷体_GB2312" w:cs="Times New Roman"/>
          <w:b/>
          <w:bCs/>
          <w:color w:val="000000"/>
          <w:kern w:val="0"/>
          <w:sz w:val="33"/>
          <w:szCs w:val="33"/>
          <w:shd w:val="clear" w:color="auto" w:fill="FFFFFF"/>
          <w:lang w:val="zh-CN"/>
        </w:rPr>
        <w:t>（一）收入情况。</w:t>
      </w:r>
    </w:p>
    <w:p w14:paraId="46A3A50D">
      <w:pPr>
        <w:widowControl/>
        <w:spacing w:line="590" w:lineRule="exact"/>
        <w:ind w:firstLine="640" w:firstLineChars="200"/>
        <w:contextualSpacing/>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zh-CN" w:eastAsia="zh-CN"/>
        </w:rPr>
        <w:t>年高笋乡人民</w:t>
      </w:r>
      <w:r>
        <w:rPr>
          <w:rFonts w:hint="eastAsia" w:eastAsia="仿宋_GB2312" w:cs="Times New Roman"/>
          <w:sz w:val="32"/>
          <w:szCs w:val="32"/>
          <w:highlight w:val="none"/>
          <w:lang w:val="zh-CN" w:eastAsia="zh-CN"/>
        </w:rPr>
        <w:t>政府</w:t>
      </w:r>
      <w:r>
        <w:rPr>
          <w:rFonts w:hint="default" w:ascii="Times New Roman" w:hAnsi="Times New Roman" w:eastAsia="仿宋_GB2312" w:cs="Times New Roman"/>
          <w:sz w:val="32"/>
          <w:szCs w:val="32"/>
          <w:highlight w:val="none"/>
          <w:lang w:val="zh-CN" w:eastAsia="zh-CN"/>
        </w:rPr>
        <w:t>预算收入总额</w:t>
      </w:r>
      <w:r>
        <w:rPr>
          <w:rFonts w:hint="default" w:ascii="Times New Roman" w:hAnsi="Times New Roman" w:eastAsia="仿宋_GB2312" w:cs="Times New Roman"/>
          <w:sz w:val="32"/>
          <w:szCs w:val="32"/>
          <w:highlight w:val="none"/>
          <w:lang w:val="en-US" w:eastAsia="zh-CN"/>
        </w:rPr>
        <w:t>96</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88</w:t>
      </w:r>
      <w:r>
        <w:rPr>
          <w:rFonts w:hint="default" w:ascii="Times New Roman" w:hAnsi="Times New Roman" w:eastAsia="仿宋_GB2312" w:cs="Times New Roman"/>
          <w:sz w:val="32"/>
          <w:szCs w:val="32"/>
          <w:highlight w:val="none"/>
          <w:lang w:val="en-US" w:eastAsia="zh-CN"/>
        </w:rPr>
        <w:t>万元。与2023年961.71万元相比，收入总计增加</w:t>
      </w:r>
      <w:r>
        <w:rPr>
          <w:rFonts w:hint="eastAsia" w:eastAsia="仿宋_GB2312" w:cs="Times New Roman"/>
          <w:sz w:val="32"/>
          <w:szCs w:val="32"/>
          <w:highlight w:val="none"/>
          <w:lang w:val="en-US" w:eastAsia="zh-CN"/>
        </w:rPr>
        <w:t>4.17</w:t>
      </w:r>
      <w:r>
        <w:rPr>
          <w:rFonts w:hint="default" w:ascii="Times New Roman" w:hAnsi="Times New Roman" w:eastAsia="仿宋_GB2312" w:cs="Times New Roman"/>
          <w:sz w:val="32"/>
          <w:szCs w:val="32"/>
          <w:highlight w:val="none"/>
          <w:lang w:val="en-US" w:eastAsia="zh-CN"/>
        </w:rPr>
        <w:t>万元，增加0.</w:t>
      </w:r>
      <w:r>
        <w:rPr>
          <w:rFonts w:hint="eastAsia" w:eastAsia="仿宋_GB2312" w:cs="Times New Roman"/>
          <w:sz w:val="32"/>
          <w:szCs w:val="32"/>
          <w:highlight w:val="none"/>
          <w:lang w:val="en-US" w:eastAsia="zh-CN"/>
        </w:rPr>
        <w:t>43</w:t>
      </w:r>
      <w:bookmarkStart w:id="79" w:name="_GoBack"/>
      <w:bookmarkEnd w:id="79"/>
      <w:r>
        <w:rPr>
          <w:rFonts w:hint="default" w:ascii="Times New Roman" w:hAnsi="Times New Roman" w:eastAsia="仿宋_GB2312" w:cs="Times New Roman"/>
          <w:sz w:val="32"/>
          <w:szCs w:val="32"/>
          <w:highlight w:val="none"/>
          <w:lang w:val="en-US" w:eastAsia="zh-CN"/>
        </w:rPr>
        <w:t>%。</w:t>
      </w:r>
    </w:p>
    <w:p w14:paraId="7F798DF3">
      <w:pPr>
        <w:widowControl/>
        <w:numPr>
          <w:ilvl w:val="0"/>
          <w:numId w:val="2"/>
        </w:numPr>
        <w:spacing w:line="590" w:lineRule="exact"/>
        <w:ind w:firstLine="663" w:firstLineChars="200"/>
        <w:contextualSpacing/>
        <w:rPr>
          <w:rFonts w:hint="default" w:ascii="Times New Roman" w:hAnsi="Times New Roman" w:eastAsia="楷体_GB2312" w:cs="Times New Roman"/>
          <w:b/>
          <w:bCs/>
          <w:color w:val="000000"/>
          <w:kern w:val="0"/>
          <w:sz w:val="33"/>
          <w:szCs w:val="33"/>
          <w:shd w:val="clear" w:color="auto" w:fill="FFFFFF"/>
          <w:lang w:val="zh-CN"/>
        </w:rPr>
      </w:pPr>
      <w:r>
        <w:rPr>
          <w:rFonts w:hint="default" w:ascii="Times New Roman" w:hAnsi="Times New Roman" w:eastAsia="楷体_GB2312" w:cs="Times New Roman"/>
          <w:b/>
          <w:bCs/>
          <w:color w:val="000000"/>
          <w:kern w:val="0"/>
          <w:sz w:val="33"/>
          <w:szCs w:val="33"/>
          <w:shd w:val="clear" w:color="auto" w:fill="FFFFFF"/>
          <w:lang w:val="zh-CN"/>
        </w:rPr>
        <w:t>支出情况。</w:t>
      </w:r>
    </w:p>
    <w:p w14:paraId="3E65AB3E">
      <w:pPr>
        <w:widowControl/>
        <w:spacing w:line="590" w:lineRule="exact"/>
        <w:ind w:firstLine="640" w:firstLineChars="200"/>
        <w:contextualSpacing/>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zh-CN" w:eastAsia="zh-CN"/>
        </w:rPr>
        <w:t>年高笋乡人民</w:t>
      </w:r>
      <w:r>
        <w:rPr>
          <w:rFonts w:hint="eastAsia" w:eastAsia="仿宋_GB2312" w:cs="Times New Roman"/>
          <w:sz w:val="32"/>
          <w:szCs w:val="32"/>
          <w:highlight w:val="none"/>
          <w:lang w:val="zh-CN" w:eastAsia="zh-CN"/>
        </w:rPr>
        <w:t>政府</w:t>
      </w:r>
      <w:r>
        <w:rPr>
          <w:rFonts w:hint="default" w:ascii="Times New Roman" w:hAnsi="Times New Roman" w:eastAsia="仿宋_GB2312" w:cs="Times New Roman"/>
          <w:sz w:val="32"/>
          <w:szCs w:val="32"/>
          <w:highlight w:val="none"/>
          <w:lang w:val="zh-CN" w:eastAsia="zh-CN"/>
        </w:rPr>
        <w:t>预算支出总额</w:t>
      </w:r>
      <w:r>
        <w:rPr>
          <w:rFonts w:hint="default" w:ascii="Times New Roman" w:hAnsi="Times New Roman" w:eastAsia="仿宋_GB2312" w:cs="Times New Roman"/>
          <w:sz w:val="32"/>
          <w:szCs w:val="32"/>
          <w:highlight w:val="none"/>
          <w:lang w:val="en-US" w:eastAsia="zh-CN"/>
        </w:rPr>
        <w:t>965.88万元（含当年一般公共预算财政拨款收入944.65万元、其他收入20.91万元、年初结转和结余收入0.32万元）。与2023年961.71万元相比，支出总计增加4.17万元，增加0.43%。</w:t>
      </w:r>
    </w:p>
    <w:p w14:paraId="21964AEF">
      <w:pPr>
        <w:widowControl/>
        <w:numPr>
          <w:ilvl w:val="0"/>
          <w:numId w:val="2"/>
        </w:numPr>
        <w:spacing w:line="590" w:lineRule="exact"/>
        <w:ind w:left="0" w:leftChars="0" w:firstLine="663" w:firstLineChars="200"/>
        <w:contextualSpacing/>
        <w:rPr>
          <w:rFonts w:hint="default" w:ascii="Times New Roman" w:hAnsi="Times New Roman" w:eastAsia="楷体_GB2312" w:cs="Times New Roman"/>
          <w:b/>
          <w:sz w:val="33"/>
          <w:szCs w:val="33"/>
        </w:rPr>
      </w:pPr>
      <w:r>
        <w:rPr>
          <w:rFonts w:hint="default" w:ascii="Times New Roman" w:hAnsi="Times New Roman" w:eastAsia="楷体_GB2312" w:cs="Times New Roman"/>
          <w:b/>
          <w:sz w:val="33"/>
          <w:szCs w:val="33"/>
        </w:rPr>
        <w:t>结余分配和结转结余情况。</w:t>
      </w:r>
    </w:p>
    <w:p w14:paraId="109BD61B">
      <w:pPr>
        <w:widowControl/>
        <w:spacing w:line="590" w:lineRule="exact"/>
        <w:ind w:firstLine="640" w:firstLineChars="200"/>
        <w:contextualSpacing/>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en-US" w:eastAsia="zh-CN"/>
        </w:rPr>
        <w:t>高笋乡人民政府2024年决算</w:t>
      </w:r>
      <w:r>
        <w:rPr>
          <w:rFonts w:hint="eastAsia" w:eastAsia="仿宋_GB2312" w:cs="Times New Roman"/>
          <w:sz w:val="32"/>
          <w:szCs w:val="32"/>
          <w:highlight w:val="none"/>
          <w:lang w:val="en-US" w:eastAsia="zh-CN"/>
        </w:rPr>
        <w:t>无结转结余</w:t>
      </w:r>
      <w:r>
        <w:rPr>
          <w:rFonts w:hint="default" w:ascii="Times New Roman" w:hAnsi="Times New Roman" w:eastAsia="仿宋_GB2312" w:cs="Times New Roman"/>
          <w:sz w:val="32"/>
          <w:szCs w:val="32"/>
          <w:highlight w:val="none"/>
          <w:lang w:val="en-US" w:eastAsia="zh-CN"/>
        </w:rPr>
        <w:t>。</w:t>
      </w:r>
    </w:p>
    <w:p w14:paraId="16146733">
      <w:pPr>
        <w:widowControl/>
        <w:spacing w:line="590" w:lineRule="exact"/>
        <w:ind w:firstLine="660" w:firstLineChars="200"/>
        <w:contextualSpacing/>
        <w:rPr>
          <w:rFonts w:hint="default" w:ascii="Times New Roman" w:hAnsi="Times New Roman" w:eastAsia="黑体" w:cs="Times New Roman"/>
          <w:color w:val="000000" w:themeColor="text1"/>
          <w:kern w:val="0"/>
          <w:sz w:val="33"/>
          <w:szCs w:val="33"/>
          <w:shd w:val="clear" w:color="auto" w:fill="FFFFFF"/>
          <w14:textFill>
            <w14:solidFill>
              <w14:schemeClr w14:val="tx1"/>
            </w14:solidFill>
          </w14:textFill>
        </w:rPr>
      </w:pPr>
      <w:r>
        <w:rPr>
          <w:rFonts w:hint="default" w:ascii="Times New Roman" w:hAnsi="Times New Roman" w:eastAsia="黑体" w:cs="Times New Roman"/>
          <w:color w:val="000000"/>
          <w:kern w:val="0"/>
          <w:sz w:val="33"/>
          <w:szCs w:val="33"/>
          <w:shd w:val="clear" w:color="auto" w:fill="FFFFFF"/>
        </w:rPr>
        <w:t>三、部门预算绩效分析</w:t>
      </w:r>
    </w:p>
    <w:p w14:paraId="39D5F21F">
      <w:pPr>
        <w:spacing w:line="590" w:lineRule="exact"/>
        <w:ind w:firstLine="663" w:firstLineChars="200"/>
        <w:contextualSpacing/>
        <w:rPr>
          <w:rFonts w:hint="default" w:ascii="Times New Roman" w:hAnsi="Times New Roman" w:cs="Times New Roman"/>
          <w:color w:val="000000"/>
          <w:kern w:val="0"/>
          <w:sz w:val="33"/>
          <w:szCs w:val="33"/>
          <w:shd w:val="clear" w:color="auto" w:fill="FFFFFF"/>
          <w:lang w:val="zh-CN"/>
        </w:rPr>
      </w:pPr>
      <w:r>
        <w:rPr>
          <w:rFonts w:hint="default" w:ascii="Times New Roman" w:hAnsi="Times New Roman" w:eastAsia="楷体_GB2312" w:cs="Times New Roman"/>
          <w:b/>
          <w:bCs/>
          <w:color w:val="000000"/>
          <w:kern w:val="0"/>
          <w:sz w:val="33"/>
          <w:szCs w:val="33"/>
          <w:shd w:val="clear" w:color="auto" w:fill="FFFFFF"/>
          <w:lang w:val="zh-CN"/>
        </w:rPr>
        <w:t>（一）部门预算总体绩效分析。</w:t>
      </w:r>
    </w:p>
    <w:p w14:paraId="04865342">
      <w:pPr>
        <w:spacing w:line="590" w:lineRule="exact"/>
        <w:ind w:firstLine="660" w:firstLineChars="200"/>
        <w:contextualSpacing/>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color w:val="000000"/>
          <w:kern w:val="0"/>
          <w:sz w:val="33"/>
          <w:szCs w:val="33"/>
          <w:highlight w:val="none"/>
          <w:shd w:val="clear" w:color="auto" w:fill="FFFFFF"/>
        </w:rPr>
        <w:t>1.</w:t>
      </w:r>
      <w:r>
        <w:rPr>
          <w:rFonts w:hint="default" w:ascii="Times New Roman" w:hAnsi="Times New Roman" w:eastAsia="楷体_GB2312" w:cs="Times New Roman"/>
          <w:color w:val="000000"/>
          <w:kern w:val="0"/>
          <w:sz w:val="33"/>
          <w:szCs w:val="33"/>
          <w:highlight w:val="none"/>
          <w:shd w:val="clear" w:color="auto" w:fill="FFFFFF"/>
          <w:lang w:val="zh-CN"/>
        </w:rPr>
        <w:t>履职效能。</w:t>
      </w:r>
      <w:r>
        <w:rPr>
          <w:rFonts w:hint="default" w:ascii="Times New Roman" w:hAnsi="Times New Roman" w:eastAsia="仿宋_GB2312" w:cs="Times New Roman"/>
          <w:sz w:val="32"/>
          <w:szCs w:val="32"/>
          <w:highlight w:val="none"/>
          <w:lang w:val="en-US" w:eastAsia="zh-CN"/>
        </w:rPr>
        <w:t>根据部门整体绩效目标，围绕以下5个核心职能目标完成情况进行分析：</w:t>
      </w:r>
    </w:p>
    <w:p w14:paraId="69FA4C8A">
      <w:pPr>
        <w:spacing w:line="590" w:lineRule="exact"/>
        <w:ind w:firstLine="640" w:firstLineChars="200"/>
        <w:contextualSpacing/>
        <w:rPr>
          <w:rFonts w:hint="default" w:ascii="Times New Roman" w:hAnsi="Times New Roman" w:eastAsia="楷体" w:cs="Times New Roman"/>
          <w:sz w:val="32"/>
          <w:szCs w:val="32"/>
          <w:highlight w:val="none"/>
          <w:lang w:val="zh-CN" w:eastAsia="zh-CN"/>
        </w:rPr>
      </w:pPr>
      <w:r>
        <w:rPr>
          <w:rFonts w:hint="default" w:ascii="Times New Roman" w:hAnsi="Times New Roman" w:eastAsia="楷体" w:cs="Times New Roman"/>
          <w:sz w:val="32"/>
          <w:szCs w:val="32"/>
          <w:highlight w:val="none"/>
          <w:lang w:val="zh-CN" w:eastAsia="zh-CN"/>
        </w:rPr>
        <w:t>（</w:t>
      </w:r>
      <w:r>
        <w:rPr>
          <w:rFonts w:hint="default" w:ascii="Times New Roman" w:hAnsi="Times New Roman" w:eastAsia="楷体" w:cs="Times New Roman"/>
          <w:sz w:val="32"/>
          <w:szCs w:val="32"/>
          <w:highlight w:val="none"/>
          <w:lang w:val="en-US" w:eastAsia="zh-CN"/>
        </w:rPr>
        <w:t>1</w:t>
      </w:r>
      <w:r>
        <w:rPr>
          <w:rFonts w:hint="default" w:ascii="Times New Roman" w:hAnsi="Times New Roman" w:eastAsia="楷体" w:cs="Times New Roman"/>
          <w:sz w:val="32"/>
          <w:szCs w:val="32"/>
          <w:highlight w:val="none"/>
          <w:lang w:val="zh-CN" w:eastAsia="zh-CN"/>
        </w:rPr>
        <w:t>）乡政府开展工作完成度履职效果</w:t>
      </w:r>
    </w:p>
    <w:p w14:paraId="48639715">
      <w:pPr>
        <w:widowControl/>
        <w:spacing w:line="590" w:lineRule="exact"/>
        <w:ind w:firstLine="640" w:firstLineChars="200"/>
        <w:contextualSpacing/>
        <w:rPr>
          <w:rFonts w:hint="default" w:ascii="Times New Roman" w:hAnsi="Times New Roman" w:eastAsia="仿宋_GB2312" w:cs="Times New Roman"/>
          <w:sz w:val="33"/>
          <w:szCs w:val="33"/>
          <w:highlight w:val="none"/>
          <w:lang w:val="en-US" w:eastAsia="zh-CN"/>
        </w:rPr>
      </w:pPr>
      <w:r>
        <w:rPr>
          <w:rFonts w:hint="default" w:ascii="Times New Roman" w:hAnsi="Times New Roman" w:eastAsia="仿宋_GB2312" w:cs="Times New Roman"/>
          <w:sz w:val="32"/>
          <w:szCs w:val="32"/>
          <w:highlight w:val="none"/>
          <w:lang w:val="en-US" w:eastAsia="zh-CN"/>
        </w:rPr>
        <w:t>保障乡政府日常运转高效有序，全面落实上级决策部署，顺利完成各项行政事务及公共服务任务，统筹推进经济发展、民生保障及社会治理，矛盾纠纷化解机制有效运行，基层治理效能稳步提升。</w:t>
      </w:r>
    </w:p>
    <w:p w14:paraId="55A5E9E9">
      <w:pPr>
        <w:spacing w:line="590" w:lineRule="exact"/>
        <w:ind w:firstLine="640" w:firstLineChars="200"/>
        <w:contextualSpacing/>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（2）村、社区开展工作完成度履职效果</w:t>
      </w:r>
    </w:p>
    <w:p w14:paraId="26BB0A5C">
      <w:pPr>
        <w:widowControl/>
        <w:spacing w:line="590" w:lineRule="exact"/>
        <w:ind w:firstLine="640" w:firstLineChars="200"/>
        <w:contextualSpacing/>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村、社区按期完成基础设施建设任务，公共服务响应效率显著提高；集体经济发展项目有序实施，民生兜底保障落实到位。</w:t>
      </w:r>
    </w:p>
    <w:p w14:paraId="66F810C0">
      <w:pPr>
        <w:spacing w:line="590" w:lineRule="exact"/>
        <w:ind w:firstLine="640" w:firstLineChars="200"/>
        <w:contextualSpacing/>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（3）农村人居环境改善履职效果</w:t>
      </w:r>
    </w:p>
    <w:p w14:paraId="7F56D1A3">
      <w:pPr>
        <w:widowControl/>
        <w:spacing w:line="590" w:lineRule="exact"/>
        <w:ind w:firstLine="640" w:firstLineChars="200"/>
        <w:contextualSpacing/>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持续推进农村环境整治工程，垃圾污水治理及村容美化工程，村庄道路硬化覆盖率稳步提升；常态化保洁机制覆盖全部村、社区，公共环境维护队伍实现规范化运作，村民生活环境改善显著。</w:t>
      </w:r>
    </w:p>
    <w:p w14:paraId="5D39FFD2">
      <w:pPr>
        <w:spacing w:line="590" w:lineRule="exact"/>
        <w:ind w:firstLine="640" w:firstLineChars="200"/>
        <w:contextualSpacing/>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（4）运维费发放村保障覆盖履职效果</w:t>
      </w:r>
    </w:p>
    <w:p w14:paraId="15235553">
      <w:pPr>
        <w:widowControl/>
        <w:spacing w:line="590" w:lineRule="exact"/>
        <w:ind w:firstLine="640" w:firstLineChars="200"/>
        <w:contextualSpacing/>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实现全乡行政村运维费按时足额拨付，资金使用全程监管，保障村级公共服务和基础设施维护需求；覆盖100%行政村，基础服务运转资金需求得到有效支撑，村级治理稳定性增强。</w:t>
      </w:r>
    </w:p>
    <w:p w14:paraId="51BBBAC3">
      <w:pPr>
        <w:spacing w:line="590" w:lineRule="exact"/>
        <w:ind w:firstLine="640" w:firstLineChars="200"/>
        <w:contextualSpacing/>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（5）人大代表履职效果</w:t>
      </w:r>
    </w:p>
    <w:p w14:paraId="2F388CE7">
      <w:pPr>
        <w:widowControl/>
        <w:spacing w:line="590" w:lineRule="exact"/>
        <w:ind w:firstLine="640" w:firstLineChars="200"/>
        <w:contextualSpacing/>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人代会圆满召开，人大代表深入调研形成高质量提案，推动解决道路修缮、饮水安全等民生事项；代表联络站常态化运行，选民意见收集及转办流程规范，建议办结率持续提高。</w:t>
      </w:r>
    </w:p>
    <w:p w14:paraId="27237A4F">
      <w:pPr>
        <w:spacing w:line="590" w:lineRule="exact"/>
        <w:ind w:firstLine="660" w:firstLineChars="200"/>
        <w:contextualSpacing/>
        <w:rPr>
          <w:rFonts w:hint="default" w:ascii="Times New Roman" w:hAnsi="Times New Roman" w:eastAsia="仿宋_GB2312" w:cs="Times New Roman"/>
          <w:sz w:val="32"/>
          <w:szCs w:val="32"/>
          <w:highlight w:val="none"/>
          <w:lang w:val="zh-CN" w:eastAsia="zh-CN"/>
        </w:rPr>
      </w:pPr>
      <w:r>
        <w:rPr>
          <w:rFonts w:hint="default" w:ascii="Times New Roman" w:hAnsi="Times New Roman" w:eastAsia="楷体_GB2312" w:cs="Times New Roman"/>
          <w:color w:val="000000"/>
          <w:kern w:val="0"/>
          <w:sz w:val="33"/>
          <w:szCs w:val="33"/>
          <w:shd w:val="clear" w:color="auto" w:fill="FFFFFF"/>
        </w:rPr>
        <w:t>2.</w:t>
      </w:r>
      <w:r>
        <w:rPr>
          <w:rFonts w:hint="default" w:ascii="Times New Roman" w:hAnsi="Times New Roman" w:eastAsia="楷体_GB2312" w:cs="Times New Roman"/>
          <w:color w:val="000000"/>
          <w:kern w:val="0"/>
          <w:sz w:val="33"/>
          <w:szCs w:val="33"/>
          <w:shd w:val="clear" w:color="auto" w:fill="FFFFFF"/>
          <w:lang w:val="zh-CN"/>
        </w:rPr>
        <w:t>预算管理。</w:t>
      </w:r>
      <w:r>
        <w:rPr>
          <w:rFonts w:hint="default" w:ascii="Times New Roman" w:hAnsi="Times New Roman" w:eastAsia="仿宋_GB2312" w:cs="Times New Roman"/>
          <w:sz w:val="32"/>
          <w:szCs w:val="32"/>
          <w:highlight w:val="none"/>
          <w:lang w:val="zh-CN" w:eastAsia="zh-CN"/>
        </w:rPr>
        <w:t>科学编制年度预算，强化全口径收入统筹，动态优化支出结构，确保年度收支平衡；严格按计划执行预算支出，重点项目资金拨付及时高效，执行进度全程达标；严控非必要开支，行政运行成本同比显著下降，财政资源配置精准度持续提升。</w:t>
      </w:r>
    </w:p>
    <w:p w14:paraId="11D2A733">
      <w:pPr>
        <w:widowControl/>
        <w:spacing w:line="590" w:lineRule="exact"/>
        <w:ind w:firstLine="660" w:firstLineChars="200"/>
        <w:contextualSpacing/>
        <w:rPr>
          <w:rFonts w:hint="default" w:ascii="Times New Roman" w:hAnsi="Times New Roman" w:eastAsia="仿宋_GB2312" w:cs="Times New Roman"/>
          <w:sz w:val="32"/>
          <w:szCs w:val="32"/>
          <w:highlight w:val="none"/>
          <w:lang w:val="zh-CN" w:eastAsia="zh-CN"/>
        </w:rPr>
      </w:pPr>
      <w:r>
        <w:rPr>
          <w:rFonts w:hint="default" w:ascii="Times New Roman" w:hAnsi="Times New Roman" w:eastAsia="楷体_GB2312" w:cs="Times New Roman"/>
          <w:color w:val="000000"/>
          <w:kern w:val="0"/>
          <w:sz w:val="33"/>
          <w:szCs w:val="33"/>
          <w:shd w:val="clear" w:color="auto" w:fill="FFFFFF"/>
        </w:rPr>
        <w:t>3.</w:t>
      </w:r>
      <w:r>
        <w:rPr>
          <w:rFonts w:hint="default" w:ascii="Times New Roman" w:hAnsi="Times New Roman" w:eastAsia="楷体_GB2312" w:cs="Times New Roman"/>
          <w:color w:val="000000"/>
          <w:kern w:val="0"/>
          <w:sz w:val="33"/>
          <w:szCs w:val="33"/>
          <w:shd w:val="clear" w:color="auto" w:fill="FFFFFF"/>
          <w:lang w:val="zh-CN"/>
        </w:rPr>
        <w:t>财务管理。</w:t>
      </w:r>
      <w:r>
        <w:rPr>
          <w:rFonts w:hint="default" w:ascii="Times New Roman" w:hAnsi="Times New Roman" w:eastAsia="仿宋_GB2312" w:cs="Times New Roman"/>
          <w:sz w:val="32"/>
          <w:szCs w:val="32"/>
          <w:highlight w:val="none"/>
          <w:lang w:val="zh-CN" w:eastAsia="zh-CN"/>
        </w:rPr>
        <w:t>按照要求建立健全</w:t>
      </w:r>
      <w:r>
        <w:rPr>
          <w:rFonts w:hint="default" w:ascii="Times New Roman" w:hAnsi="Times New Roman" w:eastAsia="仿宋_GB2312" w:cs="Times New Roman"/>
          <w:sz w:val="32"/>
          <w:szCs w:val="32"/>
          <w:highlight w:val="none"/>
          <w:lang w:val="en-US" w:eastAsia="zh-CN"/>
        </w:rPr>
        <w:t>内控制度</w:t>
      </w:r>
      <w:r>
        <w:rPr>
          <w:rFonts w:hint="default" w:ascii="Times New Roman" w:hAnsi="Times New Roman" w:eastAsia="仿宋_GB2312" w:cs="Times New Roman"/>
          <w:sz w:val="32"/>
          <w:szCs w:val="32"/>
          <w:highlight w:val="none"/>
          <w:lang w:val="zh-CN" w:eastAsia="zh-CN"/>
        </w:rPr>
        <w:t>，强化预算编制与执行监管，规范资金使用，提升使用效益；合理配置岗位权限，明确职责权限，严格实行不相容岗位分离，降低操作风险；严控资金流向审批，专项资金专款专用，确保支出合规透明。</w:t>
      </w:r>
    </w:p>
    <w:p w14:paraId="252E8513">
      <w:pPr>
        <w:widowControl/>
        <w:spacing w:line="590" w:lineRule="exact"/>
        <w:ind w:firstLine="660" w:firstLineChars="200"/>
        <w:contextualSpacing/>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3"/>
          <w:szCs w:val="33"/>
          <w:highlight w:val="none"/>
          <w:lang w:val="en-US" w:eastAsia="zh-CN"/>
        </w:rPr>
        <w:t>4.</w:t>
      </w:r>
      <w:r>
        <w:rPr>
          <w:rFonts w:hint="default" w:ascii="Times New Roman" w:hAnsi="Times New Roman" w:eastAsia="仿宋_GB2312" w:cs="Times New Roman"/>
          <w:sz w:val="33"/>
          <w:szCs w:val="33"/>
          <w:highlight w:val="none"/>
          <w:lang w:val="zh-CN" w:eastAsia="zh-CN"/>
        </w:rPr>
        <w:t>资产管理。</w:t>
      </w:r>
      <w:r>
        <w:rPr>
          <w:rFonts w:hint="default" w:ascii="Times New Roman" w:hAnsi="Times New Roman" w:eastAsia="仿宋_GB2312" w:cs="Times New Roman"/>
          <w:sz w:val="32"/>
          <w:szCs w:val="32"/>
          <w:highlight w:val="none"/>
          <w:lang w:val="zh-CN" w:eastAsia="zh-CN"/>
        </w:rPr>
        <w:t>及时准确报送资产月报和年报，固定资产总量按需求增加，资产利用率高，无闲置资产。</w:t>
      </w:r>
    </w:p>
    <w:p w14:paraId="32C58EA0">
      <w:pPr>
        <w:spacing w:line="590" w:lineRule="exact"/>
        <w:ind w:firstLine="660" w:firstLineChars="200"/>
        <w:contextualSpacing/>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color w:val="000000"/>
          <w:kern w:val="0"/>
          <w:sz w:val="33"/>
          <w:szCs w:val="33"/>
          <w:shd w:val="clear" w:color="auto" w:fill="FFFFFF"/>
        </w:rPr>
        <w:t>5.</w:t>
      </w:r>
      <w:r>
        <w:rPr>
          <w:rFonts w:hint="default" w:ascii="Times New Roman" w:hAnsi="Times New Roman" w:eastAsia="楷体_GB2312" w:cs="Times New Roman"/>
          <w:color w:val="000000"/>
          <w:kern w:val="0"/>
          <w:sz w:val="33"/>
          <w:szCs w:val="33"/>
          <w:shd w:val="clear" w:color="auto" w:fill="FFFFFF"/>
          <w:lang w:val="zh-CN"/>
        </w:rPr>
        <w:t>采购管理。</w:t>
      </w:r>
      <w:r>
        <w:rPr>
          <w:rFonts w:hint="default" w:ascii="Times New Roman" w:hAnsi="Times New Roman" w:eastAsia="仿宋_GB2312" w:cs="Times New Roman"/>
          <w:sz w:val="32"/>
          <w:szCs w:val="32"/>
          <w:highlight w:val="none"/>
          <w:lang w:val="zh-CN" w:eastAsia="zh-CN"/>
        </w:rPr>
        <w:t>采购管理规范，严格执行政府采购促进中小企业发展相关管理办法，支持中小企业发展。</w:t>
      </w:r>
    </w:p>
    <w:p w14:paraId="3287CE1D">
      <w:pPr>
        <w:widowControl/>
        <w:spacing w:line="590" w:lineRule="exact"/>
        <w:ind w:firstLine="663" w:firstLineChars="200"/>
        <w:contextualSpacing/>
        <w:rPr>
          <w:rFonts w:hint="default" w:ascii="Times New Roman" w:hAnsi="Times New Roman" w:cs="Times New Roman"/>
          <w:color w:val="000000"/>
          <w:kern w:val="0"/>
          <w:sz w:val="33"/>
          <w:szCs w:val="33"/>
          <w:highlight w:val="yellow"/>
          <w:shd w:val="clear" w:color="auto" w:fill="FFFFFF"/>
        </w:rPr>
      </w:pPr>
      <w:r>
        <w:rPr>
          <w:rFonts w:hint="default" w:ascii="Times New Roman" w:hAnsi="Times New Roman" w:eastAsia="楷体_GB2312" w:cs="Times New Roman"/>
          <w:b/>
          <w:bCs/>
          <w:color w:val="000000"/>
          <w:kern w:val="0"/>
          <w:sz w:val="33"/>
          <w:szCs w:val="33"/>
          <w:shd w:val="clear" w:color="auto" w:fill="FFFFFF"/>
          <w:lang w:val="zh-CN"/>
        </w:rPr>
        <w:t>（二）部门预算项目绩效分析。</w:t>
      </w:r>
    </w:p>
    <w:p w14:paraId="42E590FC">
      <w:pPr>
        <w:widowControl/>
        <w:spacing w:line="590" w:lineRule="exact"/>
        <w:ind w:firstLine="640" w:firstLineChars="200"/>
        <w:contextualSpacing/>
        <w:rPr>
          <w:rFonts w:hint="eastAsia"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常年项目绩效分析。该类项目总数</w:t>
      </w:r>
      <w:r>
        <w:rPr>
          <w:rFonts w:hint="default" w:ascii="Times New Roman" w:hAnsi="Times New Roman" w:eastAsia="仿宋_GB2312" w:cs="Times New Roman"/>
          <w:sz w:val="32"/>
          <w:szCs w:val="32"/>
          <w:highlight w:val="none"/>
          <w:lang w:val="en-US" w:eastAsia="zh-CN"/>
        </w:rPr>
        <w:t>34</w:t>
      </w:r>
      <w:r>
        <w:rPr>
          <w:rFonts w:hint="default" w:ascii="Times New Roman" w:hAnsi="Times New Roman" w:eastAsia="仿宋_GB2312" w:cs="Times New Roman"/>
          <w:sz w:val="32"/>
          <w:szCs w:val="32"/>
          <w:highlight w:val="none"/>
          <w:lang w:val="zh-CN" w:eastAsia="zh-CN"/>
        </w:rPr>
        <w:t>个，涉及预算总金额</w:t>
      </w:r>
      <w:r>
        <w:rPr>
          <w:rFonts w:hint="eastAsia" w:eastAsia="仿宋_GB2312" w:cs="Times New Roman"/>
          <w:sz w:val="32"/>
          <w:szCs w:val="32"/>
          <w:highlight w:val="none"/>
          <w:lang w:val="en-US" w:eastAsia="zh-CN"/>
        </w:rPr>
        <w:t>308.67</w:t>
      </w:r>
      <w:r>
        <w:rPr>
          <w:rFonts w:hint="default" w:ascii="Times New Roman" w:hAnsi="Times New Roman" w:eastAsia="仿宋_GB2312" w:cs="Times New Roman"/>
          <w:sz w:val="32"/>
          <w:szCs w:val="32"/>
          <w:highlight w:val="none"/>
          <w:lang w:val="en-US" w:eastAsia="zh-CN"/>
        </w:rPr>
        <w:t>万元，支付308.67</w:t>
      </w:r>
      <w:r>
        <w:rPr>
          <w:rFonts w:hint="default" w:ascii="Times New Roman" w:hAnsi="Times New Roman" w:eastAsia="仿宋_GB2312" w:cs="Times New Roman"/>
          <w:sz w:val="32"/>
          <w:szCs w:val="32"/>
          <w:highlight w:val="none"/>
          <w:lang w:val="zh-CN" w:eastAsia="zh-CN"/>
        </w:rPr>
        <w:t>万元，1—12月预算执行总体进度为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zh-CN" w:eastAsia="zh-CN"/>
        </w:rPr>
        <w:t>%，其中：预算结余率大于10%的项目共计</w:t>
      </w:r>
      <w:r>
        <w:rPr>
          <w:rFonts w:hint="eastAsia"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zh-CN" w:eastAsia="zh-CN"/>
        </w:rPr>
        <w:t>个</w:t>
      </w:r>
      <w:r>
        <w:rPr>
          <w:rFonts w:hint="eastAsia" w:eastAsia="仿宋_GB2312" w:cs="Times New Roman"/>
          <w:sz w:val="32"/>
          <w:szCs w:val="32"/>
          <w:highlight w:val="none"/>
          <w:lang w:val="zh-CN" w:eastAsia="zh-CN"/>
        </w:rPr>
        <w:t>。</w:t>
      </w:r>
    </w:p>
    <w:p w14:paraId="7A8EBA59">
      <w:pPr>
        <w:widowControl/>
        <w:spacing w:line="590" w:lineRule="exact"/>
        <w:ind w:firstLine="640" w:firstLineChars="200"/>
        <w:contextualSpacing/>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1.项目决策。决策程序合规高效，严守“三重一大”机制，部门预算设定按规定履行评估论证、申报程序，确保程序规范、风险可控；目标设置精准务实，部门预算项目绩效目标与计划期内的任务量、预算安排的资金量相匹配，绩效目标设置科学合理、规范完整、量化细化、预算匹配，目标清晰具体、可量化、可达成；在规定时间完成项目入库，严格执行必要性审核与可行性评估，优先保障重点领域和急迫民生需求。</w:t>
      </w:r>
    </w:p>
    <w:p w14:paraId="522F0218">
      <w:pPr>
        <w:widowControl/>
        <w:spacing w:line="590" w:lineRule="exact"/>
        <w:ind w:firstLine="640" w:firstLineChars="200"/>
        <w:contextualSpacing/>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2.项目执行。资金执行同向性，严格核查项目实际支出内容与申报绩效目标的契合度，杜绝资金挪用，确保支出方向严格对标预设目标；评估项目执行中遇重大变化时及时履行调整程序（如目标修正、预算调剂），确保应变合规性；量化分析预算执行率，重点监控执行偏差（滞后或超支），保障资金管控实效。</w:t>
      </w:r>
    </w:p>
    <w:p w14:paraId="6688B03C">
      <w:pPr>
        <w:widowControl/>
        <w:spacing w:line="590" w:lineRule="exact"/>
        <w:ind w:firstLine="640" w:firstLineChars="200"/>
        <w:contextualSpacing/>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3.目标实现。围绕目标完成、目标偏离、实现效果进行绩效分析。</w:t>
      </w: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zh-CN" w:eastAsia="zh-CN"/>
        </w:rPr>
        <w:t>个项目全面完成核心指标，包括道路硬化、基础设施建设、道路交通安全等；实施成果有效提升居民生活品质，改善生活环境，群众满意度、认可度</w:t>
      </w:r>
      <w:r>
        <w:rPr>
          <w:rFonts w:hint="eastAsia" w:ascii="Times New Roman" w:hAnsi="Times New Roman" w:eastAsia="仿宋_GB2312" w:cs="Times New Roman"/>
          <w:sz w:val="32"/>
          <w:szCs w:val="32"/>
          <w:highlight w:val="none"/>
          <w:lang w:val="zh-CN" w:eastAsia="zh-CN"/>
        </w:rPr>
        <w:t>达标。</w:t>
      </w:r>
    </w:p>
    <w:p w14:paraId="7CB18468">
      <w:pPr>
        <w:spacing w:line="590" w:lineRule="exact"/>
        <w:ind w:firstLine="663" w:firstLineChars="200"/>
        <w:contextualSpacing/>
        <w:rPr>
          <w:rFonts w:hint="default" w:ascii="Times New Roman" w:hAnsi="Times New Roman" w:eastAsia="仿宋_GB2312" w:cs="Times New Roman"/>
          <w:sz w:val="32"/>
          <w:szCs w:val="32"/>
          <w:highlight w:val="none"/>
          <w:lang w:val="zh-CN" w:eastAsia="zh-CN"/>
        </w:rPr>
      </w:pPr>
      <w:r>
        <w:rPr>
          <w:rFonts w:hint="default" w:ascii="Times New Roman" w:hAnsi="Times New Roman" w:eastAsia="楷体_GB2312" w:cs="Times New Roman"/>
          <w:b/>
          <w:bCs/>
          <w:color w:val="000000"/>
          <w:kern w:val="0"/>
          <w:sz w:val="33"/>
          <w:szCs w:val="33"/>
          <w:shd w:val="clear" w:color="auto" w:fill="FFFFFF"/>
          <w:lang w:val="zh-CN"/>
        </w:rPr>
        <w:t>（三）重点领域绩效分析。</w:t>
      </w:r>
      <w:r>
        <w:rPr>
          <w:rFonts w:hint="default" w:ascii="Times New Roman" w:hAnsi="Times New Roman" w:eastAsia="仿宋_GB2312" w:cs="Times New Roman"/>
          <w:sz w:val="32"/>
          <w:szCs w:val="32"/>
          <w:highlight w:val="none"/>
          <w:lang w:val="zh-CN" w:eastAsia="zh-CN"/>
        </w:rPr>
        <w:t>国有资产</w:t>
      </w:r>
      <w:r>
        <w:rPr>
          <w:rFonts w:hint="eastAsia" w:ascii="Times New Roman" w:hAnsi="Times New Roman" w:eastAsia="仿宋_GB2312" w:cs="Times New Roman"/>
          <w:sz w:val="32"/>
          <w:szCs w:val="32"/>
          <w:highlight w:val="none"/>
          <w:lang w:val="zh-CN" w:eastAsia="zh-CN"/>
        </w:rPr>
        <w:t>动态监管机制完善</w:t>
      </w:r>
      <w:r>
        <w:rPr>
          <w:rFonts w:hint="default" w:ascii="Times New Roman" w:hAnsi="Times New Roman" w:eastAsia="仿宋_GB2312" w:cs="Times New Roman"/>
          <w:sz w:val="32"/>
          <w:szCs w:val="32"/>
          <w:highlight w:val="none"/>
          <w:lang w:val="zh-CN" w:eastAsia="zh-CN"/>
        </w:rPr>
        <w:t>，闲置资产盘活率显著提升，管理规范化水平有效增强；政府采购及政府购买服务全程依法依规操作，程序规范透明，购买服务范围覆盖环卫等领域，服务验收合格率</w:t>
      </w:r>
      <w:r>
        <w:rPr>
          <w:rFonts w:hint="eastAsia" w:ascii="Times New Roman" w:hAnsi="Times New Roman" w:eastAsia="仿宋_GB2312" w:cs="Times New Roman"/>
          <w:sz w:val="32"/>
          <w:szCs w:val="32"/>
          <w:highlight w:val="none"/>
          <w:lang w:val="zh-CN" w:eastAsia="zh-CN"/>
        </w:rPr>
        <w:t>高</w:t>
      </w:r>
      <w:r>
        <w:rPr>
          <w:rFonts w:hint="default" w:ascii="Times New Roman" w:hAnsi="Times New Roman" w:eastAsia="仿宋_GB2312" w:cs="Times New Roman"/>
          <w:sz w:val="32"/>
          <w:szCs w:val="32"/>
          <w:highlight w:val="none"/>
          <w:lang w:val="zh-CN" w:eastAsia="zh-CN"/>
        </w:rPr>
        <w:t>，群众满意度达</w:t>
      </w:r>
      <w:r>
        <w:rPr>
          <w:rFonts w:hint="eastAsia" w:ascii="Times New Roman" w:hAnsi="Times New Roman" w:eastAsia="仿宋_GB2312" w:cs="Times New Roman"/>
          <w:sz w:val="32"/>
          <w:szCs w:val="32"/>
          <w:highlight w:val="none"/>
          <w:lang w:val="zh-CN" w:eastAsia="zh-CN"/>
        </w:rPr>
        <w:t>标</w:t>
      </w:r>
      <w:r>
        <w:rPr>
          <w:rFonts w:hint="default" w:ascii="Times New Roman" w:hAnsi="Times New Roman" w:eastAsia="仿宋_GB2312" w:cs="Times New Roman"/>
          <w:sz w:val="32"/>
          <w:szCs w:val="32"/>
          <w:highlight w:val="none"/>
          <w:lang w:val="zh-CN" w:eastAsia="zh-CN"/>
        </w:rPr>
        <w:t>，切实支撑公共服务提质增效。</w:t>
      </w:r>
    </w:p>
    <w:p w14:paraId="2B319EA2">
      <w:pPr>
        <w:spacing w:line="590" w:lineRule="exact"/>
        <w:ind w:firstLine="663" w:firstLineChars="200"/>
        <w:rPr>
          <w:rFonts w:hint="default" w:ascii="Times New Roman" w:hAnsi="Times New Roman" w:eastAsia="仿宋_GB2312" w:cs="Times New Roman"/>
          <w:sz w:val="32"/>
          <w:szCs w:val="32"/>
          <w:highlight w:val="none"/>
          <w:lang w:val="zh-CN" w:eastAsia="zh-CN"/>
        </w:rPr>
      </w:pPr>
      <w:r>
        <w:rPr>
          <w:rFonts w:hint="default" w:ascii="Times New Roman" w:hAnsi="Times New Roman" w:eastAsia="楷体_GB2312" w:cs="Times New Roman"/>
          <w:b/>
          <w:bCs/>
          <w:sz w:val="33"/>
          <w:szCs w:val="33"/>
          <w:lang w:val="zh-CN"/>
        </w:rPr>
        <w:t>（四）绩效结果应用情况。</w:t>
      </w:r>
      <w:r>
        <w:rPr>
          <w:rFonts w:hint="default" w:ascii="Times New Roman" w:hAnsi="Times New Roman" w:eastAsia="仿宋_GB2312" w:cs="Times New Roman"/>
          <w:sz w:val="32"/>
          <w:szCs w:val="32"/>
          <w:highlight w:val="none"/>
          <w:lang w:val="zh-CN" w:eastAsia="zh-CN"/>
        </w:rPr>
        <w:t>制定绩效目标，通过乡政府门户网站、政务公示栏等渠道，公开重点项目的绩效目标、执行进度及完成效果，接受社会监督；及时上报相关的用款计划，分月、分季度上报相应计划，待财政审核通过后，严格按计划执行，各季度执行情况良好；对本年度相应用款进行及时清理和处理，做到账账相符、账实相符、账证相符，先有预算再有支出的原则，及时处理相关事务；对绩效目标进行季度梳理和年度分析，及时上报相关报表进行调整，按时完成执行进度；针对绩效评价中发现的“项目支出效率”问题进行专项分析，整改落实。</w:t>
      </w:r>
    </w:p>
    <w:p w14:paraId="14AB0CD2">
      <w:pPr>
        <w:widowControl/>
        <w:spacing w:line="590" w:lineRule="exact"/>
        <w:ind w:firstLine="660" w:firstLineChars="200"/>
        <w:contextualSpacing/>
        <w:rPr>
          <w:rFonts w:hint="default" w:ascii="Times New Roman" w:hAnsi="Times New Roman" w:eastAsia="黑体" w:cs="Times New Roman"/>
          <w:color w:val="000000"/>
          <w:kern w:val="0"/>
          <w:sz w:val="33"/>
          <w:szCs w:val="33"/>
          <w:shd w:val="clear" w:color="auto" w:fill="FFFFFF"/>
        </w:rPr>
      </w:pPr>
      <w:r>
        <w:rPr>
          <w:rFonts w:hint="default" w:ascii="Times New Roman" w:hAnsi="Times New Roman" w:eastAsia="黑体" w:cs="Times New Roman"/>
          <w:color w:val="000000"/>
          <w:kern w:val="0"/>
          <w:sz w:val="33"/>
          <w:szCs w:val="33"/>
          <w:shd w:val="clear" w:color="auto" w:fill="FFFFFF"/>
        </w:rPr>
        <w:t>四、评价结论及建议</w:t>
      </w:r>
    </w:p>
    <w:p w14:paraId="22AAD988">
      <w:pPr>
        <w:spacing w:line="590" w:lineRule="exact"/>
        <w:ind w:firstLine="663" w:firstLineChars="200"/>
        <w:contextualSpacing/>
        <w:rPr>
          <w:rFonts w:hint="default" w:ascii="Times New Roman" w:hAnsi="Times New Roman" w:eastAsia="仿宋_GB2312" w:cs="Times New Roman"/>
          <w:sz w:val="32"/>
          <w:szCs w:val="32"/>
          <w:highlight w:val="none"/>
          <w:lang w:val="zh-CN" w:eastAsia="zh-CN"/>
        </w:rPr>
      </w:pPr>
      <w:r>
        <w:rPr>
          <w:rFonts w:hint="default" w:ascii="Times New Roman" w:hAnsi="Times New Roman" w:eastAsia="楷体_GB2312" w:cs="Times New Roman"/>
          <w:b/>
          <w:bCs/>
          <w:color w:val="000000"/>
          <w:kern w:val="0"/>
          <w:sz w:val="33"/>
          <w:szCs w:val="33"/>
          <w:shd w:val="clear" w:color="auto" w:fill="FFFFFF"/>
          <w:lang w:val="zh-CN"/>
        </w:rPr>
        <w:t>（一）评价结论。</w:t>
      </w:r>
      <w:r>
        <w:rPr>
          <w:rFonts w:hint="default" w:ascii="Times New Roman" w:hAnsi="Times New Roman" w:eastAsia="仿宋_GB2312" w:cs="Times New Roman"/>
          <w:sz w:val="32"/>
          <w:szCs w:val="32"/>
          <w:highlight w:val="none"/>
          <w:lang w:val="zh-CN" w:eastAsia="zh-CN"/>
        </w:rPr>
        <w:t>高笋乡政府部门预算执行情况良好，无不良记录及违规违纪行为，预算支出和决算支出情况相符。</w:t>
      </w:r>
    </w:p>
    <w:p w14:paraId="311A7612">
      <w:pPr>
        <w:spacing w:line="590" w:lineRule="exact"/>
        <w:ind w:firstLine="663" w:firstLineChars="200"/>
        <w:contextualSpacing/>
        <w:rPr>
          <w:rFonts w:hint="default" w:ascii="Times New Roman" w:hAnsi="Times New Roman" w:eastAsia="仿宋_GB2312" w:cs="Times New Roman"/>
          <w:sz w:val="32"/>
          <w:szCs w:val="32"/>
          <w:highlight w:val="none"/>
          <w:lang w:val="zh-CN" w:eastAsia="zh-CN"/>
        </w:rPr>
      </w:pPr>
      <w:r>
        <w:rPr>
          <w:rFonts w:hint="default" w:ascii="Times New Roman" w:hAnsi="Times New Roman" w:eastAsia="楷体_GB2312" w:cs="Times New Roman"/>
          <w:b/>
          <w:bCs/>
          <w:color w:val="000000"/>
          <w:kern w:val="0"/>
          <w:sz w:val="33"/>
          <w:szCs w:val="33"/>
          <w:shd w:val="clear" w:color="auto" w:fill="FFFFFF"/>
          <w:lang w:val="zh-CN"/>
        </w:rPr>
        <w:t>（二）存在问题。</w:t>
      </w:r>
      <w:r>
        <w:rPr>
          <w:rFonts w:hint="default" w:ascii="Times New Roman" w:hAnsi="Times New Roman" w:eastAsia="仿宋_GB2312" w:cs="Times New Roman"/>
          <w:sz w:val="32"/>
          <w:szCs w:val="32"/>
          <w:highlight w:val="none"/>
          <w:lang w:val="zh-CN" w:eastAsia="zh-CN"/>
        </w:rPr>
        <w:t>一是预算经费支出明细科目与支出明细科目存在差异；二是</w:t>
      </w:r>
      <w:r>
        <w:rPr>
          <w:rFonts w:hint="default" w:ascii="Times New Roman" w:hAnsi="Times New Roman" w:eastAsia="仿宋_GB2312" w:cs="Times New Roman"/>
          <w:sz w:val="32"/>
          <w:szCs w:val="32"/>
          <w:highlight w:val="none"/>
          <w:lang w:val="en-US" w:eastAsia="zh-CN"/>
        </w:rPr>
        <w:t>完成</w:t>
      </w:r>
      <w:r>
        <w:rPr>
          <w:rFonts w:hint="default" w:ascii="Times New Roman" w:hAnsi="Times New Roman" w:eastAsia="仿宋_GB2312" w:cs="Times New Roman"/>
          <w:sz w:val="32"/>
          <w:szCs w:val="32"/>
          <w:highlight w:val="none"/>
          <w:lang w:val="zh-CN" w:eastAsia="zh-CN"/>
        </w:rPr>
        <w:t>部门</w:t>
      </w:r>
      <w:r>
        <w:rPr>
          <w:rFonts w:hint="default" w:ascii="Times New Roman" w:hAnsi="Times New Roman" w:eastAsia="仿宋_GB2312" w:cs="Times New Roman"/>
          <w:sz w:val="32"/>
          <w:szCs w:val="32"/>
          <w:highlight w:val="none"/>
          <w:lang w:val="en-US" w:eastAsia="zh-CN"/>
        </w:rPr>
        <w:t>预算进度</w:t>
      </w:r>
      <w:r>
        <w:rPr>
          <w:rFonts w:hint="default" w:ascii="Times New Roman" w:hAnsi="Times New Roman" w:eastAsia="仿宋_GB2312" w:cs="Times New Roman"/>
          <w:sz w:val="32"/>
          <w:szCs w:val="32"/>
          <w:highlight w:val="none"/>
          <w:lang w:val="zh-CN" w:eastAsia="zh-CN"/>
        </w:rPr>
        <w:t>效率还待提升。</w:t>
      </w:r>
    </w:p>
    <w:p w14:paraId="6D475FA8">
      <w:pPr>
        <w:spacing w:line="590" w:lineRule="exact"/>
        <w:ind w:firstLine="663" w:firstLineChars="200"/>
        <w:contextualSpacing/>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color w:val="000000"/>
          <w:kern w:val="0"/>
          <w:sz w:val="33"/>
          <w:szCs w:val="33"/>
          <w:shd w:val="clear" w:color="auto" w:fill="FFFFFF"/>
          <w:lang w:val="zh-CN"/>
        </w:rPr>
        <w:t>（三）改进建议。</w:t>
      </w:r>
      <w:r>
        <w:rPr>
          <w:rFonts w:hint="default" w:ascii="Times New Roman" w:hAnsi="Times New Roman" w:eastAsia="仿宋_GB2312" w:cs="Times New Roman"/>
          <w:sz w:val="32"/>
          <w:szCs w:val="32"/>
          <w:highlight w:val="none"/>
          <w:lang w:val="en-US" w:eastAsia="zh-CN"/>
        </w:rPr>
        <w:t>加强业务人员相关培训，提高工作效率和能力。</w:t>
      </w:r>
    </w:p>
    <w:p w14:paraId="0BBC00A5">
      <w:pPr>
        <w:keepNext w:val="0"/>
        <w:keepLines w:val="0"/>
        <w:pageBreakBefore w:val="0"/>
        <w:widowControl w:val="0"/>
        <w:pBdr>
          <w:bottom w:val="single" w:color="FFFFFF" w:sz="4" w:space="31"/>
        </w:pBdr>
        <w:tabs>
          <w:tab w:val="left" w:pos="8050"/>
          <w:tab w:val="left" w:pos="8094"/>
        </w:tabs>
        <w:kinsoku/>
        <w:wordWrap/>
        <w:overflowPunct/>
        <w:topLinePunct/>
        <w:autoSpaceDE/>
        <w:autoSpaceDN/>
        <w:bidi w:val="0"/>
        <w:spacing w:line="580" w:lineRule="exact"/>
        <w:ind w:firstLine="646" w:firstLineChars="196"/>
        <w:textAlignment w:val="auto"/>
        <w:rPr>
          <w:rFonts w:hint="default" w:ascii="Times New Roman" w:hAnsi="Times New Roman" w:cs="Times New Roman"/>
          <w:color w:val="000000"/>
          <w:kern w:val="0"/>
          <w:sz w:val="33"/>
          <w:szCs w:val="33"/>
          <w:shd w:val="clear" w:color="auto" w:fill="FFFFFF"/>
        </w:rPr>
      </w:pPr>
    </w:p>
    <w:p w14:paraId="39F7BCD4">
      <w:pPr>
        <w:keepNext w:val="0"/>
        <w:keepLines w:val="0"/>
        <w:pageBreakBefore w:val="0"/>
        <w:widowControl w:val="0"/>
        <w:pBdr>
          <w:bottom w:val="single" w:color="FFFFFF" w:sz="4" w:space="31"/>
        </w:pBdr>
        <w:tabs>
          <w:tab w:val="left" w:pos="8050"/>
          <w:tab w:val="left" w:pos="8094"/>
        </w:tabs>
        <w:kinsoku/>
        <w:wordWrap/>
        <w:overflowPunct/>
        <w:topLinePunct/>
        <w:autoSpaceDE/>
        <w:autoSpaceDN/>
        <w:bidi w:val="0"/>
        <w:spacing w:line="580" w:lineRule="exact"/>
        <w:ind w:firstLine="646" w:firstLineChars="196"/>
        <w:textAlignment w:val="auto"/>
        <w:rPr>
          <w:rFonts w:hint="default" w:ascii="Times New Roman" w:hAnsi="Times New Roman" w:cs="Times New Roman"/>
          <w:color w:val="000000"/>
          <w:kern w:val="0"/>
          <w:sz w:val="33"/>
          <w:szCs w:val="33"/>
          <w:shd w:val="clear" w:color="auto" w:fill="FFFFFF"/>
        </w:rPr>
      </w:pPr>
    </w:p>
    <w:p w14:paraId="0508C28C">
      <w:pPr>
        <w:keepNext w:val="0"/>
        <w:keepLines w:val="0"/>
        <w:pageBreakBefore w:val="0"/>
        <w:widowControl w:val="0"/>
        <w:pBdr>
          <w:bottom w:val="single" w:color="FFFFFF" w:sz="4" w:space="31"/>
        </w:pBdr>
        <w:tabs>
          <w:tab w:val="left" w:pos="8050"/>
          <w:tab w:val="left" w:pos="8094"/>
        </w:tabs>
        <w:kinsoku/>
        <w:wordWrap/>
        <w:overflowPunct/>
        <w:topLinePunct/>
        <w:autoSpaceDE/>
        <w:autoSpaceDN/>
        <w:bidi w:val="0"/>
        <w:spacing w:line="580" w:lineRule="exact"/>
        <w:textAlignment w:val="auto"/>
        <w:rPr>
          <w:rFonts w:hint="default" w:ascii="Times New Roman" w:hAnsi="Times New Roman" w:cs="Times New Roman"/>
        </w:rPr>
      </w:pPr>
      <w:r>
        <w:rPr>
          <w:rFonts w:hint="default" w:ascii="Times New Roman" w:hAnsi="Times New Roman" w:eastAsia="仿宋_GB2312" w:cs="Times New Roman"/>
          <w:sz w:val="33"/>
          <w:szCs w:val="33"/>
          <w:highlight w:val="none"/>
          <w:lang w:val="en-US" w:eastAsia="zh-CN"/>
        </w:rPr>
        <w:t>附表：部门预算绩效评价报告</w:t>
      </w:r>
      <w:r>
        <w:rPr>
          <w:rFonts w:hint="default" w:ascii="Times New Roman" w:hAnsi="Times New Roman" w:cs="Times New Roman"/>
          <w:color w:val="000000"/>
          <w:kern w:val="0"/>
          <w:sz w:val="33"/>
          <w:szCs w:val="33"/>
          <w:shd w:val="clear" w:color="auto" w:fill="FFFFFF"/>
        </w:rPr>
        <w:br w:type="page"/>
      </w:r>
    </w:p>
    <w:tbl>
      <w:tblPr>
        <w:tblStyle w:val="17"/>
        <w:tblpPr w:leftFromText="180" w:rightFromText="180" w:vertAnchor="text" w:horzAnchor="page" w:tblpX="736" w:tblpY="-102"/>
        <w:tblOverlap w:val="never"/>
        <w:tblW w:w="10560" w:type="dxa"/>
        <w:tblInd w:w="0" w:type="dxa"/>
        <w:tblLayout w:type="fixed"/>
        <w:tblCellMar>
          <w:top w:w="15" w:type="dxa"/>
          <w:left w:w="15" w:type="dxa"/>
          <w:bottom w:w="15" w:type="dxa"/>
          <w:right w:w="15" w:type="dxa"/>
        </w:tblCellMar>
      </w:tblPr>
      <w:tblGrid>
        <w:gridCol w:w="1201"/>
        <w:gridCol w:w="1140"/>
        <w:gridCol w:w="1306"/>
        <w:gridCol w:w="2148"/>
        <w:gridCol w:w="829"/>
        <w:gridCol w:w="1062"/>
        <w:gridCol w:w="957"/>
        <w:gridCol w:w="797"/>
        <w:gridCol w:w="1120"/>
      </w:tblGrid>
      <w:tr w14:paraId="5C295126">
        <w:tblPrEx>
          <w:tblCellMar>
            <w:top w:w="15" w:type="dxa"/>
            <w:left w:w="15" w:type="dxa"/>
            <w:bottom w:w="15" w:type="dxa"/>
            <w:right w:w="15" w:type="dxa"/>
          </w:tblCellMar>
        </w:tblPrEx>
        <w:trPr>
          <w:trHeight w:val="762" w:hRule="exact"/>
        </w:trPr>
        <w:tc>
          <w:tcPr>
            <w:tcW w:w="10560" w:type="dxa"/>
            <w:gridSpan w:val="9"/>
            <w:shd w:val="clear" w:color="auto" w:fill="auto"/>
            <w:vAlign w:val="center"/>
          </w:tcPr>
          <w:p w14:paraId="49D23C36">
            <w:pPr>
              <w:keepNext w:val="0"/>
              <w:keepLines w:val="0"/>
              <w:pageBreakBefore w:val="0"/>
              <w:widowControl/>
              <w:kinsoku/>
              <w:wordWrap/>
              <w:overflowPunct/>
              <w:topLinePunct w:val="0"/>
              <w:autoSpaceDE/>
              <w:autoSpaceDN/>
              <w:bidi w:val="0"/>
              <w:adjustRightInd/>
              <w:snapToGrid/>
              <w:spacing w:line="600" w:lineRule="exact"/>
              <w:jc w:val="both"/>
              <w:textAlignment w:val="center"/>
              <w:rPr>
                <w:rFonts w:hint="default" w:ascii="Times New Roman" w:hAnsi="Times New Roman" w:eastAsia="黑体" w:cs="Times New Roman"/>
                <w:color w:val="000000"/>
                <w:sz w:val="28"/>
                <w:szCs w:val="28"/>
              </w:rPr>
            </w:pPr>
            <w:r>
              <w:rPr>
                <w:rFonts w:hint="eastAsia" w:ascii="仿宋_GB2312" w:hAnsi="仿宋_GB2312" w:eastAsia="仿宋_GB2312" w:cs="仿宋_GB2312"/>
                <w:color w:val="000000"/>
                <w:kern w:val="0"/>
                <w:sz w:val="30"/>
                <w:szCs w:val="30"/>
                <w:lang w:eastAsia="zh-CN"/>
              </w:rPr>
              <w:t>附表</w:t>
            </w:r>
          </w:p>
        </w:tc>
      </w:tr>
      <w:tr w14:paraId="6B7D0EB0">
        <w:tblPrEx>
          <w:tblCellMar>
            <w:top w:w="15" w:type="dxa"/>
            <w:left w:w="15" w:type="dxa"/>
            <w:bottom w:w="15" w:type="dxa"/>
            <w:right w:w="15" w:type="dxa"/>
          </w:tblCellMar>
        </w:tblPrEx>
        <w:trPr>
          <w:trHeight w:val="23" w:hRule="atLeast"/>
        </w:trPr>
        <w:tc>
          <w:tcPr>
            <w:tcW w:w="10560" w:type="dxa"/>
            <w:gridSpan w:val="9"/>
            <w:shd w:val="clear" w:color="auto" w:fill="auto"/>
            <w:vAlign w:val="center"/>
          </w:tcPr>
          <w:p w14:paraId="1406BD16">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5DB9B8CE">
            <w:pPr>
              <w:widowControl/>
              <w:spacing w:line="300" w:lineRule="exact"/>
              <w:jc w:val="center"/>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（2024年度）</w:t>
            </w:r>
          </w:p>
        </w:tc>
      </w:tr>
      <w:tr w14:paraId="296B2D58">
        <w:tblPrEx>
          <w:tblCellMar>
            <w:top w:w="15" w:type="dxa"/>
            <w:left w:w="15" w:type="dxa"/>
            <w:bottom w:w="15" w:type="dxa"/>
            <w:right w:w="15" w:type="dxa"/>
          </w:tblCellMar>
        </w:tblPrEx>
        <w:trPr>
          <w:trHeight w:val="23" w:hRule="atLeast"/>
        </w:trPr>
        <w:tc>
          <w:tcPr>
            <w:tcW w:w="10560" w:type="dxa"/>
            <w:gridSpan w:val="9"/>
            <w:tcBorders>
              <w:bottom w:val="single" w:color="000000" w:sz="4" w:space="0"/>
            </w:tcBorders>
            <w:shd w:val="clear" w:color="auto" w:fill="auto"/>
            <w:vAlign w:val="center"/>
          </w:tcPr>
          <w:p w14:paraId="7CF3C4AA">
            <w:pPr>
              <w:widowControl/>
              <w:spacing w:line="300" w:lineRule="exact"/>
              <w:jc w:val="righ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单位：万元</w:t>
            </w:r>
          </w:p>
        </w:tc>
      </w:tr>
      <w:tr w14:paraId="4196D55E">
        <w:tblPrEx>
          <w:tblCellMar>
            <w:top w:w="15" w:type="dxa"/>
            <w:left w:w="15" w:type="dxa"/>
            <w:bottom w:w="15" w:type="dxa"/>
            <w:right w:w="15" w:type="dxa"/>
          </w:tblCellMar>
        </w:tblPrEx>
        <w:trPr>
          <w:trHeight w:val="23" w:hRule="atLeast"/>
        </w:trPr>
        <w:tc>
          <w:tcPr>
            <w:tcW w:w="3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68DB0E">
            <w:pPr>
              <w:keepNext w:val="0"/>
              <w:keepLines w:val="0"/>
              <w:widowControl/>
              <w:suppressLineNumbers w:val="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部门名称</w:t>
            </w:r>
          </w:p>
        </w:tc>
        <w:tc>
          <w:tcPr>
            <w:tcW w:w="69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ABD2FA">
            <w:pPr>
              <w:keepNext w:val="0"/>
              <w:keepLines w:val="0"/>
              <w:widowControl/>
              <w:suppressLineNumbers w:val="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高笋乡乡镇</w:t>
            </w:r>
          </w:p>
        </w:tc>
      </w:tr>
      <w:tr w14:paraId="193AB817">
        <w:tblPrEx>
          <w:tblCellMar>
            <w:top w:w="15" w:type="dxa"/>
            <w:left w:w="15" w:type="dxa"/>
            <w:bottom w:w="15" w:type="dxa"/>
            <w:right w:w="15" w:type="dxa"/>
          </w:tblCellMar>
        </w:tblPrEx>
        <w:trPr>
          <w:trHeight w:val="23" w:hRule="atLeast"/>
        </w:trPr>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BC086">
            <w:pPr>
              <w:keepNext w:val="0"/>
              <w:keepLines w:val="0"/>
              <w:widowControl/>
              <w:suppressLineNumbers w:val="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年度部门整体支出预算</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30E95">
            <w:pPr>
              <w:keepNext w:val="0"/>
              <w:keepLines w:val="0"/>
              <w:widowControl/>
              <w:suppressLineNumbers w:val="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资金总额</w:t>
            </w:r>
          </w:p>
        </w:tc>
        <w:tc>
          <w:tcPr>
            <w:tcW w:w="2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07E70">
            <w:pPr>
              <w:keepNext w:val="0"/>
              <w:keepLines w:val="0"/>
              <w:widowControl/>
              <w:suppressLineNumbers w:val="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财政拨款</w:t>
            </w:r>
          </w:p>
        </w:tc>
        <w:tc>
          <w:tcPr>
            <w:tcW w:w="39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BD69D1">
            <w:pPr>
              <w:keepNext w:val="0"/>
              <w:keepLines w:val="0"/>
              <w:widowControl/>
              <w:suppressLineNumbers w:val="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其他资金</w:t>
            </w:r>
          </w:p>
        </w:tc>
      </w:tr>
      <w:tr w14:paraId="199CA137">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12FD6">
            <w:pPr>
              <w:jc w:val="center"/>
              <w:rPr>
                <w:rFonts w:hint="default" w:ascii="Times New Roman" w:hAnsi="Times New Roman" w:eastAsia="仿宋_GB2312" w:cs="Times New Roman"/>
                <w:color w:val="000000"/>
                <w:sz w:val="28"/>
                <w:szCs w:val="21"/>
              </w:rPr>
            </w:pP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F8135">
            <w:pPr>
              <w:keepNext w:val="0"/>
              <w:keepLines w:val="0"/>
              <w:widowControl/>
              <w:suppressLineNumbers w:val="0"/>
              <w:jc w:val="center"/>
              <w:textAlignment w:val="center"/>
              <w:rPr>
                <w:rFonts w:hint="default" w:ascii="Times New Roman" w:hAnsi="Times New Roman" w:eastAsia="仿宋_GB2312" w:cs="Times New Roman"/>
                <w:color w:val="000000"/>
                <w:sz w:val="28"/>
                <w:szCs w:val="28"/>
                <w:lang w:val="en-US"/>
              </w:rPr>
            </w:pPr>
            <w:r>
              <w:rPr>
                <w:rFonts w:hint="eastAsia" w:eastAsia="仿宋_GB2312" w:cs="Times New Roman"/>
                <w:i w:val="0"/>
                <w:iCs w:val="0"/>
                <w:color w:val="000000"/>
                <w:kern w:val="0"/>
                <w:sz w:val="20"/>
                <w:szCs w:val="20"/>
                <w:u w:val="none"/>
                <w:lang w:val="en-US" w:eastAsia="zh-CN" w:bidi="ar"/>
              </w:rPr>
              <w:t>965.88</w:t>
            </w:r>
          </w:p>
        </w:tc>
        <w:tc>
          <w:tcPr>
            <w:tcW w:w="2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E602F">
            <w:pPr>
              <w:keepNext w:val="0"/>
              <w:keepLines w:val="0"/>
              <w:widowControl/>
              <w:suppressLineNumbers w:val="0"/>
              <w:jc w:val="center"/>
              <w:textAlignment w:val="center"/>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i w:val="0"/>
                <w:iCs w:val="0"/>
                <w:color w:val="000000"/>
                <w:kern w:val="0"/>
                <w:sz w:val="20"/>
                <w:szCs w:val="20"/>
                <w:u w:val="none"/>
                <w:lang w:val="en-US" w:eastAsia="zh-CN" w:bidi="ar"/>
              </w:rPr>
              <w:t>944.97</w:t>
            </w:r>
          </w:p>
        </w:tc>
        <w:tc>
          <w:tcPr>
            <w:tcW w:w="39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41191F">
            <w:pPr>
              <w:keepNext w:val="0"/>
              <w:keepLines w:val="0"/>
              <w:widowControl/>
              <w:suppressLineNumbers w:val="0"/>
              <w:jc w:val="center"/>
              <w:textAlignment w:val="center"/>
              <w:rPr>
                <w:rFonts w:hint="default" w:ascii="Times New Roman" w:hAnsi="Times New Roman" w:eastAsia="仿宋_GB2312" w:cs="Times New Roman"/>
                <w:color w:val="000000"/>
                <w:sz w:val="28"/>
                <w:szCs w:val="28"/>
                <w:lang w:val="en-US"/>
              </w:rPr>
            </w:pPr>
            <w:r>
              <w:rPr>
                <w:rFonts w:hint="eastAsia" w:ascii="Times New Roman" w:hAnsi="Times New Roman" w:eastAsia="仿宋_GB2312" w:cs="Times New Roman"/>
                <w:i w:val="0"/>
                <w:iCs w:val="0"/>
                <w:color w:val="000000"/>
                <w:kern w:val="0"/>
                <w:sz w:val="20"/>
                <w:szCs w:val="20"/>
                <w:u w:val="none"/>
                <w:lang w:val="en-US" w:eastAsia="zh-CN" w:bidi="ar"/>
              </w:rPr>
              <w:t>20.91</w:t>
            </w:r>
          </w:p>
        </w:tc>
      </w:tr>
      <w:tr w14:paraId="541760E0">
        <w:tblPrEx>
          <w:tblCellMar>
            <w:top w:w="15" w:type="dxa"/>
            <w:left w:w="15" w:type="dxa"/>
            <w:bottom w:w="15" w:type="dxa"/>
            <w:right w:w="15" w:type="dxa"/>
          </w:tblCellMar>
        </w:tblPrEx>
        <w:trPr>
          <w:trHeight w:val="23" w:hRule="atLeast"/>
        </w:trPr>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E51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年度总体</w:t>
            </w:r>
          </w:p>
          <w:p w14:paraId="5A147896">
            <w:pPr>
              <w:keepNext w:val="0"/>
              <w:keepLines w:val="0"/>
              <w:widowControl/>
              <w:suppressLineNumbers w:val="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目标</w:t>
            </w:r>
          </w:p>
        </w:tc>
        <w:tc>
          <w:tcPr>
            <w:tcW w:w="93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C1D6C5">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主要是保障我乡部门机构正常运转、完成日常工作任务以及承担本乡镇事业发展相关工作。基本支出是保障政府机关、事业单位等机构正常运转的日常支出，包括基本工资、津贴补贴等人员经费以及办公费、印刷费、水电费、办公设备购置等日常公用经费。项目支出是保障政府机关、事业单位等机构为完成特定的行政工作任务或事业发展目标，用于专项业务工作的经费支出。项目申报严格按照上级要求，明确绩效目标，控制</w:t>
            </w:r>
            <w:r>
              <w:rPr>
                <w:rFonts w:hint="eastAsia" w:eastAsia="仿宋_GB2312" w:cs="Times New Roman"/>
                <w:i w:val="0"/>
                <w:iCs w:val="0"/>
                <w:color w:val="000000"/>
                <w:kern w:val="0"/>
                <w:sz w:val="20"/>
                <w:szCs w:val="20"/>
                <w:u w:val="none"/>
                <w:lang w:val="en-US" w:eastAsia="zh-CN" w:bidi="ar"/>
              </w:rPr>
              <w:t>执行</w:t>
            </w:r>
            <w:r>
              <w:rPr>
                <w:rFonts w:hint="default" w:ascii="Times New Roman" w:hAnsi="Times New Roman" w:eastAsia="仿宋_GB2312" w:cs="Times New Roman"/>
                <w:i w:val="0"/>
                <w:iCs w:val="0"/>
                <w:color w:val="000000"/>
                <w:kern w:val="0"/>
                <w:sz w:val="20"/>
                <w:szCs w:val="20"/>
                <w:u w:val="none"/>
                <w:lang w:val="en-US" w:eastAsia="zh-CN" w:bidi="ar"/>
              </w:rPr>
              <w:t>成本，提高项目发挥作用；项目资金主要用于基层司法所业务、普法宣传教育、老年协会活动、城乡环境卫生、灾害救助、困难救助、农村公益事业、农村道路建设、安全生产监管等支出。项目支出严格按照用款计划，分季度执行，并制定项目资金管理办法、中长期规划等制度建设等；项目实施完成后使本村环境更优美、经济更稳定、社会更和谐，法制、老年活动、环境卫生、司法援助、安全建设均达到预期经济、社会目标。绩效管理严格按照上级部门要求，开展自评工作，对评价结果及时总结上报。</w:t>
            </w:r>
          </w:p>
        </w:tc>
      </w:tr>
      <w:tr w14:paraId="0297745C">
        <w:tblPrEx>
          <w:tblCellMar>
            <w:top w:w="15" w:type="dxa"/>
            <w:left w:w="15" w:type="dxa"/>
            <w:bottom w:w="15" w:type="dxa"/>
            <w:right w:w="15" w:type="dxa"/>
          </w:tblCellMar>
        </w:tblPrEx>
        <w:trPr>
          <w:trHeight w:val="23" w:hRule="atLeast"/>
        </w:trPr>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9790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年度主要</w:t>
            </w:r>
          </w:p>
          <w:p w14:paraId="0AF10A6E">
            <w:pPr>
              <w:keepNext w:val="0"/>
              <w:keepLines w:val="0"/>
              <w:widowControl/>
              <w:suppressLineNumbers w:val="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任务</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2AA19">
            <w:pPr>
              <w:keepNext w:val="0"/>
              <w:keepLines w:val="0"/>
              <w:widowControl/>
              <w:suppressLineNumbers w:val="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任务名称</w:t>
            </w:r>
          </w:p>
        </w:tc>
        <w:tc>
          <w:tcPr>
            <w:tcW w:w="69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C656BD">
            <w:pPr>
              <w:keepNext w:val="0"/>
              <w:keepLines w:val="0"/>
              <w:widowControl/>
              <w:suppressLineNumbers w:val="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主要内容</w:t>
            </w:r>
          </w:p>
        </w:tc>
      </w:tr>
      <w:tr w14:paraId="6CAE7A00">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47811">
            <w:pPr>
              <w:jc w:val="center"/>
              <w:rPr>
                <w:rFonts w:hint="default" w:ascii="Times New Roman" w:hAnsi="Times New Roman" w:eastAsia="仿宋_GB2312" w:cs="Times New Roman"/>
                <w:color w:val="000000"/>
                <w:sz w:val="28"/>
                <w:szCs w:val="21"/>
              </w:rPr>
            </w:pP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FF800">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 xml:space="preserve">保障单位正常运转   </w:t>
            </w:r>
          </w:p>
        </w:tc>
        <w:tc>
          <w:tcPr>
            <w:tcW w:w="69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FDB718">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 xml:space="preserve">主要用于政府机关人员工资、日常运转、人大会议和代表工作、群团、妇联等方面的支出以及为完成特定行政工作任务和事业发展目标而安排的项目支出。保障机关正常运转，行政权力正常运行。    </w:t>
            </w:r>
          </w:p>
        </w:tc>
      </w:tr>
      <w:tr w14:paraId="24705DA7">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40C5F">
            <w:pPr>
              <w:jc w:val="center"/>
              <w:rPr>
                <w:rFonts w:hint="default" w:ascii="Times New Roman" w:hAnsi="Times New Roman" w:eastAsia="仿宋_GB2312" w:cs="Times New Roman"/>
                <w:color w:val="000000"/>
                <w:sz w:val="28"/>
                <w:szCs w:val="21"/>
              </w:rPr>
            </w:pP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2DE0C">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 xml:space="preserve">保障民兵工作正常开展   </w:t>
            </w:r>
          </w:p>
        </w:tc>
        <w:tc>
          <w:tcPr>
            <w:tcW w:w="69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84DC28">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 xml:space="preserve">完成全年民兵整租及训练任务。    </w:t>
            </w:r>
          </w:p>
        </w:tc>
      </w:tr>
      <w:tr w14:paraId="4EB2D15F">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564A1">
            <w:pPr>
              <w:jc w:val="center"/>
              <w:rPr>
                <w:rFonts w:hint="default" w:ascii="Times New Roman" w:hAnsi="Times New Roman" w:eastAsia="仿宋_GB2312" w:cs="Times New Roman"/>
                <w:color w:val="000000"/>
                <w:sz w:val="28"/>
                <w:szCs w:val="21"/>
              </w:rPr>
            </w:pP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82C1F">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 xml:space="preserve">保障公共安全工作正常开展   </w:t>
            </w:r>
          </w:p>
        </w:tc>
        <w:tc>
          <w:tcPr>
            <w:tcW w:w="69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3D24D3">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 xml:space="preserve">主要用于开展普法宣传工作。    </w:t>
            </w:r>
          </w:p>
        </w:tc>
      </w:tr>
      <w:tr w14:paraId="02FE9A74">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B07AD">
            <w:pPr>
              <w:jc w:val="center"/>
              <w:rPr>
                <w:rFonts w:hint="default" w:ascii="Times New Roman" w:hAnsi="Times New Roman" w:eastAsia="仿宋_GB2312" w:cs="Times New Roman"/>
                <w:color w:val="000000"/>
                <w:sz w:val="28"/>
                <w:szCs w:val="21"/>
              </w:rPr>
            </w:pP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DBD5A">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 xml:space="preserve">乡村环境治理持续推进   </w:t>
            </w:r>
          </w:p>
        </w:tc>
        <w:tc>
          <w:tcPr>
            <w:tcW w:w="69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1AE58C">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 xml:space="preserve">主要用于场镇及省道103线沿线垃圾清理及保洁员生活补助和村级生活垃圾治理。    </w:t>
            </w:r>
          </w:p>
        </w:tc>
      </w:tr>
      <w:tr w14:paraId="6114F280">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9EEF2">
            <w:pPr>
              <w:jc w:val="center"/>
              <w:rPr>
                <w:rFonts w:hint="default" w:ascii="Times New Roman" w:hAnsi="Times New Roman" w:eastAsia="仿宋_GB2312" w:cs="Times New Roman"/>
                <w:color w:val="000000"/>
                <w:sz w:val="28"/>
                <w:szCs w:val="21"/>
              </w:rPr>
            </w:pP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061B8">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 xml:space="preserve">保障农林水事务正常运行   </w:t>
            </w:r>
          </w:p>
        </w:tc>
        <w:tc>
          <w:tcPr>
            <w:tcW w:w="69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72DF38">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 xml:space="preserve">主要用于村级公共运行维护和村、社、组干部报酬，村社办公费等。 </w:t>
            </w:r>
          </w:p>
        </w:tc>
      </w:tr>
      <w:tr w14:paraId="5A7479F5">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40796">
            <w:pPr>
              <w:jc w:val="center"/>
              <w:rPr>
                <w:rFonts w:hint="default" w:ascii="Times New Roman" w:hAnsi="Times New Roman" w:eastAsia="仿宋_GB2312" w:cs="Times New Roman"/>
                <w:color w:val="000000"/>
                <w:sz w:val="28"/>
                <w:szCs w:val="21"/>
              </w:rPr>
            </w:pP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AC450">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 xml:space="preserve">保障文化旅游体育与传媒工作正常开展   </w:t>
            </w:r>
          </w:p>
        </w:tc>
        <w:tc>
          <w:tcPr>
            <w:tcW w:w="69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A5158B">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 xml:space="preserve">确保“安坪疱汤文化”、羊肉汤文化、茶果文化等正常举办。    </w:t>
            </w:r>
          </w:p>
        </w:tc>
      </w:tr>
      <w:tr w14:paraId="30EC21E1">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16D86">
            <w:pPr>
              <w:jc w:val="center"/>
              <w:rPr>
                <w:rFonts w:hint="default" w:ascii="Times New Roman" w:hAnsi="Times New Roman" w:eastAsia="仿宋_GB2312" w:cs="Times New Roman"/>
                <w:color w:val="000000"/>
                <w:sz w:val="28"/>
                <w:szCs w:val="21"/>
              </w:rPr>
            </w:pP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584B4">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 xml:space="preserve">灾害防治及应急管理支出   </w:t>
            </w:r>
          </w:p>
        </w:tc>
        <w:tc>
          <w:tcPr>
            <w:tcW w:w="69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8CD215">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 xml:space="preserve">保障全乡安全监管和安全员日常工作经费。    </w:t>
            </w:r>
          </w:p>
        </w:tc>
      </w:tr>
      <w:tr w14:paraId="6FE2D77C">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A34C7">
            <w:pPr>
              <w:jc w:val="center"/>
              <w:rPr>
                <w:rFonts w:hint="default" w:ascii="Times New Roman" w:hAnsi="Times New Roman" w:eastAsia="仿宋_GB2312" w:cs="Times New Roman"/>
                <w:color w:val="000000"/>
                <w:sz w:val="28"/>
                <w:szCs w:val="21"/>
              </w:rPr>
            </w:pP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FF81F">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 xml:space="preserve">公益船舶运营   </w:t>
            </w:r>
          </w:p>
        </w:tc>
        <w:tc>
          <w:tcPr>
            <w:tcW w:w="69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6F86A9">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 xml:space="preserve">保障公益船舶正常运营的补贴，包含燃油、人员工资等。    </w:t>
            </w:r>
          </w:p>
        </w:tc>
      </w:tr>
      <w:tr w14:paraId="4F7C9EEE">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D6604">
            <w:pPr>
              <w:jc w:val="center"/>
              <w:rPr>
                <w:rFonts w:hint="default" w:ascii="Times New Roman" w:hAnsi="Times New Roman" w:eastAsia="仿宋_GB2312" w:cs="Times New Roman"/>
                <w:color w:val="000000"/>
                <w:sz w:val="28"/>
                <w:szCs w:val="21"/>
              </w:rPr>
            </w:pP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EC294">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驻村工作顺利开展</w:t>
            </w:r>
          </w:p>
        </w:tc>
        <w:tc>
          <w:tcPr>
            <w:tcW w:w="69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BE879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保障驻村工作队工作顺利开展以及驻村队员工作经费。</w:t>
            </w:r>
          </w:p>
          <w:p w14:paraId="300A2E96">
            <w:pPr>
              <w:pStyle w:val="16"/>
              <w:jc w:val="left"/>
              <w:rPr>
                <w:rFonts w:hint="default" w:ascii="Times New Roman" w:hAnsi="Times New Roman" w:eastAsia="仿宋_GB2312" w:cs="Times New Roman"/>
                <w:sz w:val="28"/>
                <w:szCs w:val="28"/>
              </w:rPr>
            </w:pPr>
          </w:p>
        </w:tc>
      </w:tr>
      <w:tr w14:paraId="122B0D12">
        <w:tblPrEx>
          <w:tblCellMar>
            <w:top w:w="15" w:type="dxa"/>
            <w:left w:w="15" w:type="dxa"/>
            <w:bottom w:w="15" w:type="dxa"/>
            <w:right w:w="15" w:type="dxa"/>
          </w:tblCellMar>
        </w:tblPrEx>
        <w:trPr>
          <w:trHeight w:val="23" w:hRule="atLeast"/>
        </w:trPr>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CE461">
            <w:pPr>
              <w:keepNext w:val="0"/>
              <w:keepLines w:val="0"/>
              <w:widowControl/>
              <w:suppressLineNumbers w:val="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年度绩效指标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CAE7">
            <w:pPr>
              <w:keepNext w:val="0"/>
              <w:keepLines w:val="0"/>
              <w:widowControl/>
              <w:suppressLineNumbers w:val="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一级指标</w:t>
            </w:r>
          </w:p>
        </w:tc>
        <w:tc>
          <w:tcPr>
            <w:tcW w:w="1306" w:type="dxa"/>
            <w:tcBorders>
              <w:top w:val="single" w:color="000000" w:sz="4" w:space="0"/>
              <w:left w:val="single" w:color="000000" w:sz="4" w:space="0"/>
              <w:right w:val="single" w:color="000000" w:sz="4" w:space="0"/>
            </w:tcBorders>
            <w:shd w:val="clear" w:color="auto" w:fill="auto"/>
            <w:vAlign w:val="center"/>
          </w:tcPr>
          <w:p w14:paraId="777D5F75">
            <w:pPr>
              <w:keepNext w:val="0"/>
              <w:keepLines w:val="0"/>
              <w:widowControl/>
              <w:suppressLineNumbers w:val="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二级指标</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1E50">
            <w:pPr>
              <w:keepNext w:val="0"/>
              <w:keepLines w:val="0"/>
              <w:widowControl/>
              <w:suppressLineNumbers w:val="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三级指标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7442">
            <w:pPr>
              <w:keepNext w:val="0"/>
              <w:keepLines w:val="0"/>
              <w:widowControl/>
              <w:suppressLineNumbers w:val="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绩效指标性质</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1C80">
            <w:pPr>
              <w:keepNext w:val="0"/>
              <w:keepLines w:val="0"/>
              <w:widowControl/>
              <w:suppressLineNumbers w:val="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绩效指标值</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7ACD">
            <w:pPr>
              <w:keepNext w:val="0"/>
              <w:keepLines w:val="0"/>
              <w:widowControl/>
              <w:suppressLineNumbers w:val="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绩效度量单位</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E430">
            <w:pPr>
              <w:keepNext w:val="0"/>
              <w:keepLines w:val="0"/>
              <w:widowControl/>
              <w:suppressLineNumbers w:val="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权重</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DC11">
            <w:pPr>
              <w:keepNext w:val="0"/>
              <w:keepLines w:val="0"/>
              <w:widowControl/>
              <w:suppressLineNumbers w:val="0"/>
              <w:jc w:val="center"/>
              <w:textAlignment w:val="center"/>
              <w:rPr>
                <w:rFonts w:hint="default" w:ascii="Times New Roman" w:hAnsi="Times New Roman" w:eastAsia="仿宋_GB2312" w:cs="Times New Roman"/>
                <w:sz w:val="36"/>
                <w:szCs w:val="28"/>
              </w:rPr>
            </w:pPr>
            <w:r>
              <w:rPr>
                <w:rFonts w:hint="default" w:ascii="Times New Roman" w:hAnsi="Times New Roman" w:eastAsia="仿宋_GB2312" w:cs="Times New Roman"/>
                <w:i w:val="0"/>
                <w:iCs w:val="0"/>
                <w:color w:val="000000"/>
                <w:kern w:val="0"/>
                <w:sz w:val="20"/>
                <w:szCs w:val="20"/>
                <w:u w:val="none"/>
                <w:lang w:val="en-US" w:eastAsia="zh-CN" w:bidi="ar"/>
              </w:rPr>
              <w:t>实际完成</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指标值</w:t>
            </w:r>
          </w:p>
        </w:tc>
      </w:tr>
      <w:tr w14:paraId="71476416">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6CE73">
            <w:pPr>
              <w:jc w:val="center"/>
              <w:rPr>
                <w:rFonts w:hint="default" w:ascii="Times New Roman" w:hAnsi="Times New Roman" w:eastAsia="仿宋_GB2312" w:cs="Times New Roman"/>
                <w:color w:val="000000"/>
                <w:sz w:val="28"/>
                <w:szCs w:val="21"/>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F97ED">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产出指标</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0E6E3">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数量指标</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E636">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保障机关事业单位正常运转数量</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217D">
            <w:pPr>
              <w:keepNext w:val="0"/>
              <w:keepLines w:val="0"/>
              <w:widowControl/>
              <w:suppressLineNumbers w:val="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0FC7">
            <w:pPr>
              <w:keepNext w:val="0"/>
              <w:keepLines w:val="0"/>
              <w:widowControl/>
              <w:suppressLineNumbers w:val="0"/>
              <w:jc w:val="center"/>
              <w:textAlignment w:val="center"/>
              <w:rPr>
                <w:rFonts w:hint="default" w:ascii="Times New Roman" w:hAnsi="Times New Roman" w:eastAsia="仿宋_GB2312" w:cs="Times New Roman"/>
                <w:color w:val="000000"/>
                <w:sz w:val="28"/>
                <w:szCs w:val="28"/>
              </w:rPr>
            </w:pPr>
            <w:r>
              <w:rPr>
                <w:rFonts w:hint="eastAsia" w:ascii="Times New Roman" w:hAnsi="Times New Roman" w:cs="Times New Roman"/>
                <w:i w:val="0"/>
                <w:iCs w:val="0"/>
                <w:color w:val="000000"/>
                <w:kern w:val="0"/>
                <w:sz w:val="20"/>
                <w:szCs w:val="20"/>
                <w:u w:val="none"/>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06AC">
            <w:pPr>
              <w:keepNext w:val="0"/>
              <w:keepLines w:val="0"/>
              <w:widowControl/>
              <w:suppressLineNumbers w:val="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个</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7D08">
            <w:pPr>
              <w:keepNext w:val="0"/>
              <w:keepLines w:val="0"/>
              <w:widowControl/>
              <w:suppressLineNumbers w:val="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E5D8">
            <w:pPr>
              <w:keepNext w:val="0"/>
              <w:keepLines w:val="0"/>
              <w:widowControl/>
              <w:suppressLineNumbers w:val="0"/>
              <w:jc w:val="center"/>
              <w:textAlignment w:val="center"/>
              <w:rPr>
                <w:rFonts w:hint="default" w:ascii="Times New Roman" w:hAnsi="Times New Roman" w:eastAsia="仿宋_GB2312" w:cs="Times New Roman"/>
                <w:sz w:val="36"/>
                <w:szCs w:val="28"/>
              </w:rPr>
            </w:pPr>
            <w:r>
              <w:rPr>
                <w:rFonts w:hint="eastAsia" w:ascii="Times New Roman" w:hAnsi="Times New Roman" w:cs="Times New Roman"/>
                <w:i w:val="0"/>
                <w:iCs w:val="0"/>
                <w:color w:val="000000"/>
                <w:kern w:val="0"/>
                <w:sz w:val="20"/>
                <w:szCs w:val="20"/>
                <w:u w:val="none"/>
                <w:lang w:val="en-US" w:eastAsia="zh-CN" w:bidi="ar"/>
              </w:rPr>
              <w:t>3</w:t>
            </w:r>
          </w:p>
        </w:tc>
      </w:tr>
      <w:tr w14:paraId="0C395C72">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BB400">
            <w:pPr>
              <w:jc w:val="center"/>
              <w:rPr>
                <w:rFonts w:hint="default" w:ascii="Times New Roman" w:hAnsi="Times New Roman" w:eastAsia="仿宋_GB2312" w:cs="Times New Roman"/>
                <w:color w:val="000000"/>
                <w:sz w:val="28"/>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8E5CC">
            <w:pPr>
              <w:jc w:val="left"/>
              <w:rPr>
                <w:rFonts w:hint="default" w:ascii="Times New Roman" w:hAnsi="Times New Roman" w:eastAsia="仿宋_GB2312" w:cs="Times New Roman"/>
                <w:color w:val="000000"/>
                <w:sz w:val="28"/>
                <w:szCs w:val="21"/>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F7FDB">
            <w:pPr>
              <w:jc w:val="left"/>
              <w:rPr>
                <w:rFonts w:hint="default" w:ascii="Times New Roman" w:hAnsi="Times New Roman" w:eastAsia="仿宋_GB2312" w:cs="Times New Roman"/>
                <w:color w:val="000000"/>
                <w:sz w:val="28"/>
                <w:szCs w:val="21"/>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DAA1">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保障正常运转的村（社区）数量</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3E4F">
            <w:pPr>
              <w:keepNext w:val="0"/>
              <w:keepLines w:val="0"/>
              <w:widowControl/>
              <w:suppressLineNumbers w:val="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5071">
            <w:pPr>
              <w:keepNext w:val="0"/>
              <w:keepLines w:val="0"/>
              <w:widowControl/>
              <w:suppressLineNumbers w:val="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B081">
            <w:pPr>
              <w:keepNext w:val="0"/>
              <w:keepLines w:val="0"/>
              <w:widowControl/>
              <w:suppressLineNumbers w:val="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个</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8CCF">
            <w:pPr>
              <w:keepNext w:val="0"/>
              <w:keepLines w:val="0"/>
              <w:widowControl/>
              <w:suppressLineNumbers w:val="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8C8D">
            <w:pPr>
              <w:keepNext w:val="0"/>
              <w:keepLines w:val="0"/>
              <w:widowControl/>
              <w:suppressLineNumbers w:val="0"/>
              <w:jc w:val="center"/>
              <w:textAlignment w:val="center"/>
              <w:rPr>
                <w:rFonts w:hint="default" w:ascii="Times New Roman" w:hAnsi="Times New Roman" w:eastAsia="仿宋_GB2312" w:cs="Times New Roman"/>
                <w:sz w:val="36"/>
                <w:szCs w:val="28"/>
              </w:rPr>
            </w:pPr>
            <w:r>
              <w:rPr>
                <w:rFonts w:hint="default" w:ascii="Times New Roman" w:hAnsi="Times New Roman" w:eastAsia="仿宋_GB2312" w:cs="Times New Roman"/>
                <w:i w:val="0"/>
                <w:iCs w:val="0"/>
                <w:color w:val="000000"/>
                <w:kern w:val="0"/>
                <w:sz w:val="20"/>
                <w:szCs w:val="20"/>
                <w:u w:val="none"/>
                <w:lang w:val="en-US" w:eastAsia="zh-CN" w:bidi="ar"/>
              </w:rPr>
              <w:t>6</w:t>
            </w:r>
          </w:p>
        </w:tc>
      </w:tr>
      <w:tr w14:paraId="6EF8C89C">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9DF6F">
            <w:pPr>
              <w:jc w:val="center"/>
              <w:rPr>
                <w:rFonts w:hint="default" w:ascii="Times New Roman" w:hAnsi="Times New Roman" w:eastAsia="仿宋_GB2312" w:cs="Times New Roman"/>
                <w:color w:val="000000"/>
                <w:sz w:val="28"/>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3FEB2">
            <w:pPr>
              <w:jc w:val="left"/>
              <w:rPr>
                <w:rFonts w:hint="default" w:ascii="Times New Roman" w:hAnsi="Times New Roman" w:eastAsia="仿宋_GB2312" w:cs="Times New Roman"/>
                <w:color w:val="000000"/>
                <w:sz w:val="28"/>
                <w:szCs w:val="21"/>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C83D9">
            <w:pPr>
              <w:jc w:val="left"/>
              <w:rPr>
                <w:rFonts w:hint="default" w:ascii="Times New Roman" w:hAnsi="Times New Roman" w:eastAsia="仿宋_GB2312" w:cs="Times New Roman"/>
                <w:color w:val="000000"/>
                <w:sz w:val="28"/>
                <w:szCs w:val="21"/>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BCB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开展民兵训练次数</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4FA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7A1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C6D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9EF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C1EF">
            <w:pPr>
              <w:keepNext w:val="0"/>
              <w:keepLines w:val="0"/>
              <w:widowControl/>
              <w:suppressLineNumbers w:val="0"/>
              <w:jc w:val="center"/>
              <w:textAlignment w:val="center"/>
              <w:rPr>
                <w:rFonts w:hint="default" w:ascii="Times New Roman" w:hAnsi="Times New Roman" w:eastAsia="仿宋_GB2312" w:cs="Times New Roman"/>
                <w:sz w:val="36"/>
                <w:szCs w:val="28"/>
              </w:rPr>
            </w:pPr>
            <w:r>
              <w:rPr>
                <w:rFonts w:hint="default" w:ascii="Times New Roman" w:hAnsi="Times New Roman" w:eastAsia="仿宋_GB2312" w:cs="Times New Roman"/>
                <w:i w:val="0"/>
                <w:iCs w:val="0"/>
                <w:color w:val="000000"/>
                <w:kern w:val="0"/>
                <w:sz w:val="20"/>
                <w:szCs w:val="20"/>
                <w:u w:val="none"/>
                <w:lang w:val="en-US" w:eastAsia="zh-CN" w:bidi="ar"/>
              </w:rPr>
              <w:t>2</w:t>
            </w:r>
          </w:p>
        </w:tc>
      </w:tr>
      <w:tr w14:paraId="2A714670">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4FEAF">
            <w:pPr>
              <w:jc w:val="center"/>
              <w:rPr>
                <w:rFonts w:hint="default" w:ascii="Times New Roman" w:hAnsi="Times New Roman" w:eastAsia="仿宋_GB2312" w:cs="Times New Roman"/>
                <w:color w:val="000000"/>
                <w:sz w:val="28"/>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98A8F">
            <w:pPr>
              <w:jc w:val="left"/>
              <w:rPr>
                <w:rFonts w:hint="default" w:ascii="Times New Roman" w:hAnsi="Times New Roman" w:eastAsia="仿宋_GB2312" w:cs="Times New Roman"/>
                <w:color w:val="000000"/>
                <w:sz w:val="28"/>
                <w:szCs w:val="21"/>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FD425">
            <w:pPr>
              <w:jc w:val="left"/>
              <w:rPr>
                <w:rFonts w:hint="default" w:ascii="Times New Roman" w:hAnsi="Times New Roman" w:eastAsia="仿宋_GB2312" w:cs="Times New Roman"/>
                <w:color w:val="000000"/>
                <w:sz w:val="28"/>
                <w:szCs w:val="21"/>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162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开展普法宣传工作次数</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3B6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809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CEF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007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AF2C">
            <w:pPr>
              <w:keepNext w:val="0"/>
              <w:keepLines w:val="0"/>
              <w:widowControl/>
              <w:suppressLineNumbers w:val="0"/>
              <w:jc w:val="center"/>
              <w:textAlignment w:val="center"/>
              <w:rPr>
                <w:rFonts w:hint="default" w:ascii="Times New Roman" w:hAnsi="Times New Roman" w:eastAsia="仿宋_GB2312" w:cs="Times New Roman"/>
                <w:sz w:val="36"/>
                <w:szCs w:val="28"/>
              </w:rPr>
            </w:pPr>
            <w:r>
              <w:rPr>
                <w:rFonts w:hint="default" w:ascii="Times New Roman" w:hAnsi="Times New Roman" w:eastAsia="仿宋_GB2312" w:cs="Times New Roman"/>
                <w:i w:val="0"/>
                <w:iCs w:val="0"/>
                <w:color w:val="000000"/>
                <w:kern w:val="0"/>
                <w:sz w:val="20"/>
                <w:szCs w:val="20"/>
                <w:u w:val="none"/>
                <w:lang w:val="en-US" w:eastAsia="zh-CN" w:bidi="ar"/>
              </w:rPr>
              <w:t>4</w:t>
            </w:r>
          </w:p>
        </w:tc>
      </w:tr>
      <w:tr w14:paraId="23400412">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6CABB">
            <w:pPr>
              <w:jc w:val="center"/>
              <w:rPr>
                <w:rFonts w:hint="default" w:ascii="Times New Roman" w:hAnsi="Times New Roman" w:eastAsia="仿宋_GB2312" w:cs="Times New Roman"/>
                <w:color w:val="000000"/>
                <w:sz w:val="28"/>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EBE97">
            <w:pPr>
              <w:jc w:val="left"/>
              <w:rPr>
                <w:rFonts w:hint="default" w:ascii="Times New Roman" w:hAnsi="Times New Roman" w:eastAsia="仿宋_GB2312" w:cs="Times New Roman"/>
                <w:color w:val="000000"/>
                <w:sz w:val="28"/>
                <w:szCs w:val="21"/>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A4DE9">
            <w:pPr>
              <w:jc w:val="left"/>
              <w:rPr>
                <w:rFonts w:hint="default" w:ascii="Times New Roman" w:hAnsi="Times New Roman" w:eastAsia="仿宋_GB2312" w:cs="Times New Roman"/>
                <w:color w:val="000000"/>
                <w:sz w:val="28"/>
                <w:szCs w:val="21"/>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402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全乡正常运营的公益船舶数量</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64F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C78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217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艘</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73C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B38F">
            <w:pPr>
              <w:keepNext w:val="0"/>
              <w:keepLines w:val="0"/>
              <w:widowControl/>
              <w:suppressLineNumbers w:val="0"/>
              <w:jc w:val="center"/>
              <w:textAlignment w:val="center"/>
              <w:rPr>
                <w:rFonts w:hint="default" w:ascii="Times New Roman" w:hAnsi="Times New Roman" w:eastAsia="仿宋_GB2312" w:cs="Times New Roman"/>
                <w:sz w:val="36"/>
                <w:szCs w:val="28"/>
              </w:rPr>
            </w:pPr>
            <w:r>
              <w:rPr>
                <w:rFonts w:hint="default" w:ascii="Times New Roman" w:hAnsi="Times New Roman" w:eastAsia="仿宋_GB2312" w:cs="Times New Roman"/>
                <w:i w:val="0"/>
                <w:iCs w:val="0"/>
                <w:color w:val="000000"/>
                <w:kern w:val="0"/>
                <w:sz w:val="20"/>
                <w:szCs w:val="20"/>
                <w:u w:val="none"/>
                <w:lang w:val="en-US" w:eastAsia="zh-CN" w:bidi="ar"/>
              </w:rPr>
              <w:t>1</w:t>
            </w:r>
          </w:p>
        </w:tc>
      </w:tr>
      <w:tr w14:paraId="638824FF">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CF45C">
            <w:pPr>
              <w:jc w:val="center"/>
              <w:rPr>
                <w:rFonts w:hint="default" w:ascii="Times New Roman" w:hAnsi="Times New Roman" w:eastAsia="仿宋_GB2312" w:cs="Times New Roman"/>
                <w:color w:val="000000"/>
                <w:sz w:val="28"/>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65D6E">
            <w:pPr>
              <w:jc w:val="left"/>
              <w:rPr>
                <w:rFonts w:hint="default" w:ascii="Times New Roman" w:hAnsi="Times New Roman" w:eastAsia="仿宋_GB2312" w:cs="Times New Roman"/>
                <w:color w:val="000000"/>
                <w:sz w:val="28"/>
                <w:szCs w:val="21"/>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B7C2B">
            <w:pPr>
              <w:jc w:val="left"/>
              <w:rPr>
                <w:rFonts w:hint="default" w:ascii="Times New Roman" w:hAnsi="Times New Roman" w:eastAsia="仿宋_GB2312" w:cs="Times New Roman"/>
                <w:color w:val="000000"/>
                <w:sz w:val="28"/>
                <w:szCs w:val="21"/>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C0A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驻村工作队员数量</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CE4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286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0AF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人</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BF4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8649">
            <w:pPr>
              <w:keepNext w:val="0"/>
              <w:keepLines w:val="0"/>
              <w:widowControl/>
              <w:suppressLineNumbers w:val="0"/>
              <w:jc w:val="center"/>
              <w:textAlignment w:val="center"/>
              <w:rPr>
                <w:rFonts w:hint="default" w:ascii="Times New Roman" w:hAnsi="Times New Roman" w:eastAsia="仿宋_GB2312" w:cs="Times New Roman"/>
                <w:sz w:val="36"/>
                <w:szCs w:val="28"/>
              </w:rPr>
            </w:pPr>
            <w:r>
              <w:rPr>
                <w:rFonts w:hint="default" w:ascii="Times New Roman" w:hAnsi="Times New Roman" w:eastAsia="仿宋_GB2312" w:cs="Times New Roman"/>
                <w:i w:val="0"/>
                <w:iCs w:val="0"/>
                <w:color w:val="000000"/>
                <w:kern w:val="0"/>
                <w:sz w:val="20"/>
                <w:szCs w:val="20"/>
                <w:u w:val="none"/>
                <w:lang w:val="en-US" w:eastAsia="zh-CN" w:bidi="ar"/>
              </w:rPr>
              <w:t>12</w:t>
            </w:r>
          </w:p>
        </w:tc>
      </w:tr>
      <w:tr w14:paraId="6D374428">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2A63E">
            <w:pPr>
              <w:jc w:val="center"/>
              <w:rPr>
                <w:rFonts w:hint="default" w:ascii="Times New Roman" w:hAnsi="Times New Roman" w:eastAsia="仿宋_GB2312" w:cs="Times New Roman"/>
                <w:color w:val="000000"/>
                <w:sz w:val="28"/>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AA68F">
            <w:pPr>
              <w:jc w:val="left"/>
              <w:rPr>
                <w:rFonts w:hint="default" w:ascii="Times New Roman" w:hAnsi="Times New Roman" w:eastAsia="仿宋_GB2312" w:cs="Times New Roman"/>
                <w:color w:val="000000"/>
                <w:sz w:val="28"/>
                <w:szCs w:val="21"/>
              </w:rPr>
            </w:pP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0EBC7">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质量指标</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C15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民兵参训率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A46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2D1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164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3C0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2F21">
            <w:pPr>
              <w:keepNext w:val="0"/>
              <w:keepLines w:val="0"/>
              <w:widowControl/>
              <w:suppressLineNumbers w:val="0"/>
              <w:jc w:val="center"/>
              <w:textAlignment w:val="center"/>
              <w:rPr>
                <w:rFonts w:hint="default" w:ascii="Times New Roman" w:hAnsi="Times New Roman" w:eastAsia="仿宋_GB2312" w:cs="Times New Roman"/>
                <w:sz w:val="36"/>
                <w:szCs w:val="28"/>
              </w:rPr>
            </w:pPr>
            <w:r>
              <w:rPr>
                <w:rFonts w:hint="default" w:ascii="Times New Roman" w:hAnsi="Times New Roman" w:eastAsia="仿宋_GB2312" w:cs="Times New Roman"/>
                <w:i w:val="0"/>
                <w:iCs w:val="0"/>
                <w:color w:val="000000"/>
                <w:kern w:val="0"/>
                <w:sz w:val="20"/>
                <w:szCs w:val="20"/>
                <w:u w:val="none"/>
                <w:lang w:val="en-US" w:eastAsia="zh-CN" w:bidi="ar"/>
              </w:rPr>
              <w:t>9</w:t>
            </w:r>
            <w:r>
              <w:rPr>
                <w:rFonts w:hint="eastAsia" w:ascii="Times New Roman" w:hAnsi="Times New Roman" w:cs="Times New Roman"/>
                <w:i w:val="0"/>
                <w:iCs w:val="0"/>
                <w:color w:val="000000"/>
                <w:kern w:val="0"/>
                <w:sz w:val="20"/>
                <w:szCs w:val="20"/>
                <w:u w:val="none"/>
                <w:lang w:val="en-US" w:eastAsia="zh-CN" w:bidi="ar"/>
              </w:rPr>
              <w:t>5</w:t>
            </w:r>
          </w:p>
        </w:tc>
      </w:tr>
      <w:tr w14:paraId="53C33F7D">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9E4C8">
            <w:pPr>
              <w:jc w:val="center"/>
              <w:rPr>
                <w:rFonts w:hint="default" w:ascii="Times New Roman" w:hAnsi="Times New Roman" w:eastAsia="仿宋_GB2312" w:cs="Times New Roman"/>
                <w:color w:val="000000"/>
                <w:sz w:val="28"/>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79235">
            <w:pPr>
              <w:jc w:val="left"/>
              <w:rPr>
                <w:rFonts w:hint="default" w:ascii="Times New Roman" w:hAnsi="Times New Roman" w:eastAsia="仿宋_GB2312" w:cs="Times New Roman"/>
                <w:color w:val="000000"/>
                <w:sz w:val="28"/>
                <w:szCs w:val="21"/>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D6933">
            <w:pPr>
              <w:jc w:val="left"/>
              <w:rPr>
                <w:rFonts w:hint="default" w:ascii="Times New Roman" w:hAnsi="Times New Roman" w:eastAsia="仿宋_GB2312" w:cs="Times New Roman"/>
                <w:color w:val="000000"/>
                <w:sz w:val="28"/>
                <w:szCs w:val="21"/>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89F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宣传覆盖率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DF4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15E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0CF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2AE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6EF9">
            <w:pPr>
              <w:keepNext w:val="0"/>
              <w:keepLines w:val="0"/>
              <w:widowControl/>
              <w:suppressLineNumbers w:val="0"/>
              <w:jc w:val="center"/>
              <w:textAlignment w:val="center"/>
              <w:rPr>
                <w:rFonts w:hint="default" w:ascii="Times New Roman" w:hAnsi="Times New Roman" w:eastAsia="仿宋_GB2312" w:cs="Times New Roman"/>
                <w:sz w:val="36"/>
                <w:szCs w:val="28"/>
                <w:lang w:val="en-US"/>
              </w:rPr>
            </w:pPr>
            <w:r>
              <w:rPr>
                <w:rFonts w:hint="eastAsia" w:ascii="Times New Roman" w:hAnsi="Times New Roman" w:cs="Times New Roman"/>
                <w:i w:val="0"/>
                <w:iCs w:val="0"/>
                <w:color w:val="000000"/>
                <w:kern w:val="0"/>
                <w:sz w:val="20"/>
                <w:szCs w:val="20"/>
                <w:u w:val="none"/>
                <w:lang w:val="en-US" w:eastAsia="zh-CN" w:bidi="ar"/>
              </w:rPr>
              <w:t>95</w:t>
            </w:r>
          </w:p>
        </w:tc>
      </w:tr>
      <w:tr w14:paraId="7DF99B1D">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2FC18">
            <w:pPr>
              <w:jc w:val="center"/>
              <w:rPr>
                <w:rFonts w:hint="default" w:ascii="Times New Roman" w:hAnsi="Times New Roman" w:eastAsia="仿宋_GB2312" w:cs="Times New Roman"/>
                <w:color w:val="000000"/>
                <w:sz w:val="28"/>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2DF3E">
            <w:pPr>
              <w:jc w:val="left"/>
              <w:rPr>
                <w:rFonts w:hint="default" w:ascii="Times New Roman" w:hAnsi="Times New Roman" w:eastAsia="仿宋_GB2312" w:cs="Times New Roman"/>
                <w:color w:val="000000"/>
                <w:sz w:val="28"/>
                <w:szCs w:val="21"/>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66691">
            <w:pPr>
              <w:jc w:val="left"/>
              <w:rPr>
                <w:rFonts w:hint="default" w:ascii="Times New Roman" w:hAnsi="Times New Roman" w:eastAsia="仿宋_GB2312" w:cs="Times New Roman"/>
                <w:color w:val="000000"/>
                <w:sz w:val="28"/>
                <w:szCs w:val="21"/>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B93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保障机关正常运行、各项工作顺利开展</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B4F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定性</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B37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优良中低差</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3BD6">
            <w:pPr>
              <w:jc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F98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5274">
            <w:pPr>
              <w:keepNext w:val="0"/>
              <w:keepLines w:val="0"/>
              <w:widowControl/>
              <w:suppressLineNumbers w:val="0"/>
              <w:jc w:val="center"/>
              <w:textAlignment w:val="center"/>
              <w:rPr>
                <w:rFonts w:hint="default" w:ascii="Times New Roman" w:hAnsi="Times New Roman" w:eastAsia="仿宋_GB2312" w:cs="Times New Roman"/>
                <w:sz w:val="36"/>
                <w:szCs w:val="28"/>
              </w:rPr>
            </w:pPr>
            <w:r>
              <w:rPr>
                <w:rFonts w:hint="default" w:ascii="Times New Roman" w:hAnsi="Times New Roman" w:eastAsia="仿宋_GB2312" w:cs="Times New Roman"/>
                <w:i w:val="0"/>
                <w:iCs w:val="0"/>
                <w:color w:val="000000"/>
                <w:kern w:val="0"/>
                <w:sz w:val="20"/>
                <w:szCs w:val="20"/>
                <w:u w:val="none"/>
                <w:lang w:val="en-US" w:eastAsia="zh-CN" w:bidi="ar"/>
              </w:rPr>
              <w:t>优</w:t>
            </w:r>
          </w:p>
        </w:tc>
      </w:tr>
      <w:tr w14:paraId="18013BEE">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5A836">
            <w:pPr>
              <w:jc w:val="center"/>
              <w:rPr>
                <w:rFonts w:hint="default" w:ascii="Times New Roman" w:hAnsi="Times New Roman" w:eastAsia="仿宋_GB2312" w:cs="Times New Roman"/>
                <w:color w:val="000000"/>
                <w:sz w:val="28"/>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2E2D4">
            <w:pPr>
              <w:jc w:val="left"/>
              <w:rPr>
                <w:rFonts w:hint="default" w:ascii="Times New Roman" w:hAnsi="Times New Roman" w:eastAsia="仿宋_GB2312" w:cs="Times New Roman"/>
                <w:color w:val="000000"/>
                <w:sz w:val="28"/>
                <w:szCs w:val="21"/>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BC9E1">
            <w:pPr>
              <w:jc w:val="left"/>
              <w:rPr>
                <w:rFonts w:hint="default" w:ascii="Times New Roman" w:hAnsi="Times New Roman" w:eastAsia="仿宋_GB2312" w:cs="Times New Roman"/>
                <w:color w:val="000000"/>
                <w:sz w:val="28"/>
                <w:szCs w:val="21"/>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F02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保证驻村工作队工作顺利开展</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AB5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定性</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88D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优良中低差</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06C1">
            <w:pPr>
              <w:jc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0CD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8E8C">
            <w:pPr>
              <w:keepNext w:val="0"/>
              <w:keepLines w:val="0"/>
              <w:widowControl/>
              <w:suppressLineNumbers w:val="0"/>
              <w:jc w:val="center"/>
              <w:textAlignment w:val="center"/>
              <w:rPr>
                <w:rFonts w:hint="default" w:ascii="Times New Roman" w:hAnsi="Times New Roman" w:eastAsia="仿宋_GB2312" w:cs="Times New Roman"/>
                <w:sz w:val="36"/>
                <w:szCs w:val="28"/>
              </w:rPr>
            </w:pPr>
            <w:r>
              <w:rPr>
                <w:rFonts w:hint="default" w:ascii="Times New Roman" w:hAnsi="Times New Roman" w:eastAsia="仿宋_GB2312" w:cs="Times New Roman"/>
                <w:i w:val="0"/>
                <w:iCs w:val="0"/>
                <w:color w:val="000000"/>
                <w:kern w:val="0"/>
                <w:sz w:val="20"/>
                <w:szCs w:val="20"/>
                <w:u w:val="none"/>
                <w:lang w:val="en-US" w:eastAsia="zh-CN" w:bidi="ar"/>
              </w:rPr>
              <w:t>优</w:t>
            </w:r>
          </w:p>
        </w:tc>
      </w:tr>
      <w:tr w14:paraId="0114EB71">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BCAF7">
            <w:pPr>
              <w:jc w:val="center"/>
              <w:rPr>
                <w:rFonts w:hint="default" w:ascii="Times New Roman" w:hAnsi="Times New Roman" w:eastAsia="仿宋_GB2312" w:cs="Times New Roman"/>
                <w:color w:val="000000"/>
                <w:sz w:val="28"/>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D220D">
            <w:pPr>
              <w:jc w:val="left"/>
              <w:rPr>
                <w:rFonts w:hint="default" w:ascii="Times New Roman" w:hAnsi="Times New Roman" w:eastAsia="仿宋_GB2312" w:cs="Times New Roman"/>
                <w:color w:val="000000"/>
                <w:sz w:val="28"/>
                <w:szCs w:val="21"/>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2E14F">
            <w:pPr>
              <w:jc w:val="left"/>
              <w:rPr>
                <w:rFonts w:hint="default" w:ascii="Times New Roman" w:hAnsi="Times New Roman" w:eastAsia="仿宋_GB2312" w:cs="Times New Roman"/>
                <w:color w:val="000000"/>
                <w:sz w:val="28"/>
                <w:szCs w:val="21"/>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C40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高质量完成垃圾清运</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342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定性</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467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优良中低差</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7935">
            <w:pPr>
              <w:jc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1E4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3036">
            <w:pPr>
              <w:keepNext w:val="0"/>
              <w:keepLines w:val="0"/>
              <w:widowControl/>
              <w:suppressLineNumbers w:val="0"/>
              <w:jc w:val="center"/>
              <w:textAlignment w:val="center"/>
              <w:rPr>
                <w:rFonts w:hint="default" w:ascii="Times New Roman" w:hAnsi="Times New Roman" w:eastAsia="仿宋_GB2312" w:cs="Times New Roman"/>
                <w:sz w:val="36"/>
                <w:szCs w:val="28"/>
              </w:rPr>
            </w:pPr>
            <w:r>
              <w:rPr>
                <w:rFonts w:hint="default" w:ascii="Times New Roman" w:hAnsi="Times New Roman" w:eastAsia="仿宋_GB2312" w:cs="Times New Roman"/>
                <w:i w:val="0"/>
                <w:iCs w:val="0"/>
                <w:color w:val="000000"/>
                <w:kern w:val="0"/>
                <w:sz w:val="20"/>
                <w:szCs w:val="20"/>
                <w:u w:val="none"/>
                <w:lang w:val="en-US" w:eastAsia="zh-CN" w:bidi="ar"/>
              </w:rPr>
              <w:t>优</w:t>
            </w:r>
          </w:p>
        </w:tc>
      </w:tr>
      <w:tr w14:paraId="2F9C79D0">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75A5D">
            <w:pPr>
              <w:jc w:val="center"/>
              <w:rPr>
                <w:rFonts w:hint="default" w:ascii="Times New Roman" w:hAnsi="Times New Roman" w:eastAsia="仿宋_GB2312" w:cs="Times New Roman"/>
                <w:color w:val="000000"/>
                <w:sz w:val="28"/>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A0AB0">
            <w:pPr>
              <w:jc w:val="left"/>
              <w:rPr>
                <w:rFonts w:hint="default" w:ascii="Times New Roman" w:hAnsi="Times New Roman" w:eastAsia="仿宋_GB2312" w:cs="Times New Roman"/>
                <w:color w:val="000000"/>
                <w:sz w:val="28"/>
                <w:szCs w:val="21"/>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9C14F">
            <w:pPr>
              <w:jc w:val="left"/>
              <w:rPr>
                <w:rFonts w:hint="default" w:ascii="Times New Roman" w:hAnsi="Times New Roman" w:eastAsia="仿宋_GB2312" w:cs="Times New Roman"/>
                <w:color w:val="000000"/>
                <w:sz w:val="28"/>
                <w:szCs w:val="21"/>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905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安全检查工作覆盖率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E6B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410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98</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5D5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112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7009">
            <w:pPr>
              <w:keepNext w:val="0"/>
              <w:keepLines w:val="0"/>
              <w:widowControl/>
              <w:suppressLineNumbers w:val="0"/>
              <w:jc w:val="center"/>
              <w:textAlignment w:val="center"/>
              <w:rPr>
                <w:rFonts w:hint="default" w:ascii="Times New Roman" w:hAnsi="Times New Roman" w:eastAsia="仿宋_GB2312" w:cs="Times New Roman"/>
                <w:sz w:val="36"/>
                <w:szCs w:val="28"/>
                <w:lang w:val="en-US"/>
              </w:rPr>
            </w:pPr>
            <w:r>
              <w:rPr>
                <w:rFonts w:hint="eastAsia" w:ascii="Times New Roman" w:hAnsi="Times New Roman" w:cs="Times New Roman"/>
                <w:i w:val="0"/>
                <w:iCs w:val="0"/>
                <w:color w:val="000000"/>
                <w:kern w:val="0"/>
                <w:sz w:val="20"/>
                <w:szCs w:val="20"/>
                <w:u w:val="none"/>
                <w:lang w:val="en-US" w:eastAsia="zh-CN" w:bidi="ar"/>
              </w:rPr>
              <w:t>100</w:t>
            </w:r>
          </w:p>
        </w:tc>
      </w:tr>
      <w:tr w14:paraId="3266D6C6">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DEABA">
            <w:pPr>
              <w:jc w:val="center"/>
              <w:rPr>
                <w:rFonts w:hint="default" w:ascii="Times New Roman" w:hAnsi="Times New Roman" w:eastAsia="仿宋_GB2312" w:cs="Times New Roman"/>
                <w:color w:val="000000"/>
                <w:sz w:val="28"/>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DD4D8">
            <w:pPr>
              <w:jc w:val="left"/>
              <w:rPr>
                <w:rFonts w:hint="default" w:ascii="Times New Roman" w:hAnsi="Times New Roman" w:eastAsia="仿宋_GB2312" w:cs="Times New Roman"/>
                <w:color w:val="000000"/>
                <w:sz w:val="28"/>
                <w:szCs w:val="21"/>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CC70C">
            <w:pPr>
              <w:jc w:val="left"/>
              <w:rPr>
                <w:rFonts w:hint="default" w:ascii="Times New Roman" w:hAnsi="Times New Roman" w:eastAsia="仿宋_GB2312" w:cs="Times New Roman"/>
                <w:color w:val="000000"/>
                <w:sz w:val="28"/>
                <w:szCs w:val="21"/>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50F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按时发放公益船舶补贴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E49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定性</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2AB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优良中低差</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E310">
            <w:pPr>
              <w:jc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656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DC08">
            <w:pPr>
              <w:keepNext w:val="0"/>
              <w:keepLines w:val="0"/>
              <w:widowControl/>
              <w:suppressLineNumbers w:val="0"/>
              <w:jc w:val="center"/>
              <w:textAlignment w:val="center"/>
              <w:rPr>
                <w:rFonts w:hint="default" w:ascii="Times New Roman" w:hAnsi="Times New Roman" w:eastAsia="仿宋_GB2312" w:cs="Times New Roman"/>
                <w:sz w:val="36"/>
                <w:szCs w:val="28"/>
              </w:rPr>
            </w:pPr>
            <w:r>
              <w:rPr>
                <w:rFonts w:hint="default" w:ascii="Times New Roman" w:hAnsi="Times New Roman" w:eastAsia="仿宋_GB2312" w:cs="Times New Roman"/>
                <w:i w:val="0"/>
                <w:iCs w:val="0"/>
                <w:color w:val="000000"/>
                <w:kern w:val="0"/>
                <w:sz w:val="20"/>
                <w:szCs w:val="20"/>
                <w:u w:val="none"/>
                <w:lang w:val="en-US" w:eastAsia="zh-CN" w:bidi="ar"/>
              </w:rPr>
              <w:t>优</w:t>
            </w:r>
          </w:p>
        </w:tc>
      </w:tr>
      <w:tr w14:paraId="16742C70">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51C25">
            <w:pPr>
              <w:jc w:val="center"/>
              <w:rPr>
                <w:rFonts w:hint="default" w:ascii="Times New Roman" w:hAnsi="Times New Roman" w:eastAsia="仿宋_GB2312" w:cs="Times New Roman"/>
                <w:color w:val="000000"/>
                <w:sz w:val="28"/>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117F9">
            <w:pPr>
              <w:jc w:val="left"/>
              <w:rPr>
                <w:rFonts w:hint="default" w:ascii="Times New Roman" w:hAnsi="Times New Roman" w:eastAsia="仿宋_GB2312" w:cs="Times New Roman"/>
                <w:color w:val="000000"/>
                <w:sz w:val="28"/>
                <w:szCs w:val="21"/>
              </w:rPr>
            </w:pP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D343E">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时效指标</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A8E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安全员在每月25日前完成安全工作检查</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D0F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3F7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E8B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日</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C9D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7116">
            <w:pPr>
              <w:keepNext w:val="0"/>
              <w:keepLines w:val="0"/>
              <w:widowControl/>
              <w:suppressLineNumbers w:val="0"/>
              <w:jc w:val="center"/>
              <w:textAlignment w:val="center"/>
              <w:rPr>
                <w:rFonts w:hint="default" w:ascii="Times New Roman" w:hAnsi="Times New Roman" w:eastAsia="仿宋_GB2312" w:cs="Times New Roman"/>
                <w:sz w:val="36"/>
                <w:szCs w:val="28"/>
              </w:rPr>
            </w:pPr>
            <w:r>
              <w:rPr>
                <w:rFonts w:hint="default" w:ascii="Times New Roman" w:hAnsi="Times New Roman" w:eastAsia="仿宋_GB2312" w:cs="Times New Roman"/>
                <w:i w:val="0"/>
                <w:iCs w:val="0"/>
                <w:color w:val="000000"/>
                <w:kern w:val="0"/>
                <w:sz w:val="20"/>
                <w:szCs w:val="20"/>
                <w:u w:val="none"/>
                <w:lang w:val="en-US" w:eastAsia="zh-CN" w:bidi="ar"/>
              </w:rPr>
              <w:t>25</w:t>
            </w:r>
          </w:p>
        </w:tc>
      </w:tr>
      <w:tr w14:paraId="019EEAF8">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89078">
            <w:pPr>
              <w:jc w:val="center"/>
              <w:rPr>
                <w:rFonts w:hint="default" w:ascii="Times New Roman" w:hAnsi="Times New Roman" w:eastAsia="仿宋_GB2312" w:cs="Times New Roman"/>
                <w:color w:val="000000"/>
                <w:sz w:val="28"/>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24888">
            <w:pPr>
              <w:jc w:val="left"/>
              <w:rPr>
                <w:rFonts w:hint="default" w:ascii="Times New Roman" w:hAnsi="Times New Roman" w:eastAsia="仿宋_GB2312" w:cs="Times New Roman"/>
                <w:color w:val="000000"/>
                <w:sz w:val="28"/>
                <w:szCs w:val="21"/>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528D7">
            <w:pPr>
              <w:jc w:val="left"/>
              <w:rPr>
                <w:rFonts w:hint="default" w:ascii="Times New Roman" w:hAnsi="Times New Roman" w:eastAsia="仿宋_GB2312" w:cs="Times New Roman"/>
                <w:color w:val="000000"/>
                <w:sz w:val="28"/>
                <w:szCs w:val="21"/>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910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村警补贴到位时间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77A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A8A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7BB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月</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F58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FF00">
            <w:pPr>
              <w:keepNext w:val="0"/>
              <w:keepLines w:val="0"/>
              <w:widowControl/>
              <w:suppressLineNumbers w:val="0"/>
              <w:jc w:val="center"/>
              <w:textAlignment w:val="center"/>
              <w:rPr>
                <w:rFonts w:hint="default" w:ascii="Times New Roman" w:hAnsi="Times New Roman" w:eastAsia="仿宋_GB2312" w:cs="Times New Roman"/>
                <w:sz w:val="36"/>
                <w:szCs w:val="28"/>
              </w:rPr>
            </w:pPr>
            <w:r>
              <w:rPr>
                <w:rFonts w:hint="default" w:ascii="Times New Roman" w:hAnsi="Times New Roman" w:eastAsia="仿宋_GB2312" w:cs="Times New Roman"/>
                <w:i w:val="0"/>
                <w:iCs w:val="0"/>
                <w:color w:val="000000"/>
                <w:kern w:val="0"/>
                <w:sz w:val="20"/>
                <w:szCs w:val="20"/>
                <w:u w:val="none"/>
                <w:lang w:val="en-US" w:eastAsia="zh-CN" w:bidi="ar"/>
              </w:rPr>
              <w:t>12</w:t>
            </w:r>
          </w:p>
        </w:tc>
      </w:tr>
      <w:tr w14:paraId="30A55443">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A0E1E">
            <w:pPr>
              <w:jc w:val="center"/>
              <w:rPr>
                <w:rFonts w:hint="default" w:ascii="Times New Roman" w:hAnsi="Times New Roman" w:eastAsia="仿宋_GB2312" w:cs="Times New Roman"/>
                <w:color w:val="000000"/>
                <w:sz w:val="28"/>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F76BE">
            <w:pPr>
              <w:jc w:val="left"/>
              <w:rPr>
                <w:rFonts w:hint="default" w:ascii="Times New Roman" w:hAnsi="Times New Roman" w:eastAsia="仿宋_GB2312" w:cs="Times New Roman"/>
                <w:color w:val="000000"/>
                <w:sz w:val="28"/>
                <w:szCs w:val="21"/>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DF056">
            <w:pPr>
              <w:jc w:val="left"/>
              <w:rPr>
                <w:rFonts w:hint="default" w:ascii="Times New Roman" w:hAnsi="Times New Roman" w:eastAsia="仿宋_GB2312" w:cs="Times New Roman"/>
                <w:color w:val="000000"/>
                <w:sz w:val="28"/>
                <w:szCs w:val="21"/>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539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工作经费到位时间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304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DB5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190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月</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82F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C029">
            <w:pPr>
              <w:keepNext w:val="0"/>
              <w:keepLines w:val="0"/>
              <w:widowControl/>
              <w:suppressLineNumbers w:val="0"/>
              <w:jc w:val="center"/>
              <w:textAlignment w:val="center"/>
              <w:rPr>
                <w:rFonts w:hint="default" w:ascii="Times New Roman" w:hAnsi="Times New Roman" w:eastAsia="仿宋_GB2312" w:cs="Times New Roman"/>
                <w:sz w:val="36"/>
                <w:szCs w:val="28"/>
              </w:rPr>
            </w:pPr>
            <w:r>
              <w:rPr>
                <w:rFonts w:hint="default" w:ascii="Times New Roman" w:hAnsi="Times New Roman" w:eastAsia="仿宋_GB2312" w:cs="Times New Roman"/>
                <w:i w:val="0"/>
                <w:iCs w:val="0"/>
                <w:color w:val="000000"/>
                <w:kern w:val="0"/>
                <w:sz w:val="20"/>
                <w:szCs w:val="20"/>
                <w:u w:val="none"/>
                <w:lang w:val="en-US" w:eastAsia="zh-CN" w:bidi="ar"/>
              </w:rPr>
              <w:t>12</w:t>
            </w:r>
          </w:p>
        </w:tc>
      </w:tr>
      <w:tr w14:paraId="7964877E">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4D3F6">
            <w:pPr>
              <w:jc w:val="center"/>
              <w:rPr>
                <w:rFonts w:hint="default" w:ascii="Times New Roman" w:hAnsi="Times New Roman" w:eastAsia="仿宋_GB2312" w:cs="Times New Roman"/>
                <w:color w:val="000000"/>
                <w:sz w:val="28"/>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F1F1F">
            <w:pPr>
              <w:jc w:val="left"/>
              <w:rPr>
                <w:rFonts w:hint="default" w:ascii="Times New Roman" w:hAnsi="Times New Roman" w:eastAsia="仿宋_GB2312" w:cs="Times New Roman"/>
                <w:color w:val="000000"/>
                <w:sz w:val="28"/>
                <w:szCs w:val="21"/>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3BFD6">
            <w:pPr>
              <w:jc w:val="left"/>
              <w:rPr>
                <w:rFonts w:hint="default" w:ascii="Times New Roman" w:hAnsi="Times New Roman" w:eastAsia="仿宋_GB2312" w:cs="Times New Roman"/>
                <w:color w:val="000000"/>
                <w:sz w:val="28"/>
                <w:szCs w:val="21"/>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F84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普法宣传工作完成时间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F92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6B8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E53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月</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FA8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0CDF">
            <w:pPr>
              <w:keepNext w:val="0"/>
              <w:keepLines w:val="0"/>
              <w:widowControl/>
              <w:suppressLineNumbers w:val="0"/>
              <w:jc w:val="center"/>
              <w:textAlignment w:val="center"/>
              <w:rPr>
                <w:rFonts w:hint="default" w:ascii="Times New Roman" w:hAnsi="Times New Roman" w:eastAsia="仿宋_GB2312" w:cs="Times New Roman"/>
                <w:sz w:val="36"/>
                <w:szCs w:val="28"/>
              </w:rPr>
            </w:pPr>
            <w:r>
              <w:rPr>
                <w:rFonts w:hint="default" w:ascii="Times New Roman" w:hAnsi="Times New Roman" w:eastAsia="仿宋_GB2312" w:cs="Times New Roman"/>
                <w:i w:val="0"/>
                <w:iCs w:val="0"/>
                <w:color w:val="000000"/>
                <w:kern w:val="0"/>
                <w:sz w:val="20"/>
                <w:szCs w:val="20"/>
                <w:u w:val="none"/>
                <w:lang w:val="en-US" w:eastAsia="zh-CN" w:bidi="ar"/>
              </w:rPr>
              <w:t>12</w:t>
            </w:r>
          </w:p>
        </w:tc>
      </w:tr>
      <w:tr w14:paraId="67FAB6FE">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D2703">
            <w:pPr>
              <w:jc w:val="center"/>
              <w:rPr>
                <w:rFonts w:hint="default" w:ascii="Times New Roman" w:hAnsi="Times New Roman" w:eastAsia="仿宋_GB2312" w:cs="Times New Roman"/>
                <w:color w:val="000000"/>
                <w:sz w:val="28"/>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2D95B">
            <w:pPr>
              <w:jc w:val="left"/>
              <w:rPr>
                <w:rFonts w:hint="default" w:ascii="Times New Roman" w:hAnsi="Times New Roman" w:eastAsia="仿宋_GB2312" w:cs="Times New Roman"/>
                <w:color w:val="000000"/>
                <w:sz w:val="28"/>
                <w:szCs w:val="21"/>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6A2E3">
            <w:pPr>
              <w:jc w:val="left"/>
              <w:rPr>
                <w:rFonts w:hint="default" w:ascii="Times New Roman" w:hAnsi="Times New Roman" w:eastAsia="仿宋_GB2312" w:cs="Times New Roman"/>
                <w:color w:val="000000"/>
                <w:sz w:val="28"/>
                <w:szCs w:val="21"/>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757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确保每月各类经费及时划拨</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5F3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AA9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4EB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507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13D3">
            <w:pPr>
              <w:keepNext w:val="0"/>
              <w:keepLines w:val="0"/>
              <w:widowControl/>
              <w:suppressLineNumbers w:val="0"/>
              <w:jc w:val="center"/>
              <w:textAlignment w:val="center"/>
              <w:rPr>
                <w:rFonts w:hint="default" w:ascii="Times New Roman" w:hAnsi="Times New Roman" w:eastAsia="仿宋_GB2312" w:cs="Times New Roman"/>
                <w:sz w:val="36"/>
                <w:szCs w:val="28"/>
              </w:rPr>
            </w:pPr>
            <w:r>
              <w:rPr>
                <w:rFonts w:hint="default" w:ascii="Times New Roman" w:hAnsi="Times New Roman" w:eastAsia="仿宋_GB2312" w:cs="Times New Roman"/>
                <w:i w:val="0"/>
                <w:iCs w:val="0"/>
                <w:color w:val="000000"/>
                <w:kern w:val="0"/>
                <w:sz w:val="20"/>
                <w:szCs w:val="20"/>
                <w:u w:val="none"/>
                <w:lang w:val="en-US" w:eastAsia="zh-CN" w:bidi="ar"/>
              </w:rPr>
              <w:t>100</w:t>
            </w:r>
          </w:p>
        </w:tc>
      </w:tr>
      <w:tr w14:paraId="66F9E9AD">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397A4">
            <w:pPr>
              <w:jc w:val="center"/>
              <w:rPr>
                <w:rFonts w:hint="default" w:ascii="Times New Roman" w:hAnsi="Times New Roman" w:eastAsia="仿宋_GB2312" w:cs="Times New Roman"/>
                <w:color w:val="000000"/>
                <w:sz w:val="28"/>
                <w:szCs w:val="21"/>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9E878">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效益指标</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458EC">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社会效益指标</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EE7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减少安全事故发生</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E0A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定性</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C5C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优良中低差</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2F74">
            <w:pPr>
              <w:jc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956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C862">
            <w:pPr>
              <w:keepNext w:val="0"/>
              <w:keepLines w:val="0"/>
              <w:widowControl/>
              <w:suppressLineNumbers w:val="0"/>
              <w:jc w:val="center"/>
              <w:textAlignment w:val="center"/>
              <w:rPr>
                <w:rFonts w:hint="default" w:ascii="Times New Roman" w:hAnsi="Times New Roman" w:eastAsia="仿宋_GB2312" w:cs="Times New Roman"/>
                <w:sz w:val="36"/>
                <w:szCs w:val="28"/>
              </w:rPr>
            </w:pPr>
            <w:r>
              <w:rPr>
                <w:rFonts w:hint="default" w:ascii="Times New Roman" w:hAnsi="Times New Roman" w:eastAsia="仿宋_GB2312" w:cs="Times New Roman"/>
                <w:i w:val="0"/>
                <w:iCs w:val="0"/>
                <w:color w:val="000000"/>
                <w:kern w:val="0"/>
                <w:sz w:val="20"/>
                <w:szCs w:val="20"/>
                <w:u w:val="none"/>
                <w:lang w:val="en-US" w:eastAsia="zh-CN" w:bidi="ar"/>
              </w:rPr>
              <w:t>优</w:t>
            </w:r>
          </w:p>
        </w:tc>
      </w:tr>
      <w:tr w14:paraId="019AD825">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D9C25">
            <w:pPr>
              <w:jc w:val="center"/>
              <w:rPr>
                <w:rFonts w:hint="default" w:ascii="Times New Roman" w:hAnsi="Times New Roman" w:eastAsia="仿宋_GB2312" w:cs="Times New Roman"/>
                <w:color w:val="000000"/>
                <w:sz w:val="28"/>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DAC87">
            <w:pPr>
              <w:jc w:val="left"/>
              <w:rPr>
                <w:rFonts w:hint="default" w:ascii="Times New Roman" w:hAnsi="Times New Roman" w:eastAsia="仿宋_GB2312" w:cs="Times New Roman"/>
                <w:color w:val="000000"/>
                <w:sz w:val="28"/>
                <w:szCs w:val="21"/>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5312B">
            <w:pPr>
              <w:jc w:val="left"/>
              <w:rPr>
                <w:rFonts w:hint="default" w:ascii="Times New Roman" w:hAnsi="Times New Roman" w:eastAsia="仿宋_GB2312" w:cs="Times New Roman"/>
                <w:color w:val="000000"/>
                <w:sz w:val="28"/>
                <w:szCs w:val="21"/>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CB4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体现党对乡村振兴的关怀和重视</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C96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定性</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115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优良中低差</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DC0B">
            <w:pPr>
              <w:jc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172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85CA">
            <w:pPr>
              <w:keepNext w:val="0"/>
              <w:keepLines w:val="0"/>
              <w:widowControl/>
              <w:suppressLineNumbers w:val="0"/>
              <w:jc w:val="center"/>
              <w:textAlignment w:val="center"/>
              <w:rPr>
                <w:rFonts w:hint="default" w:ascii="Times New Roman" w:hAnsi="Times New Roman" w:eastAsia="仿宋_GB2312" w:cs="Times New Roman"/>
                <w:sz w:val="36"/>
                <w:szCs w:val="28"/>
              </w:rPr>
            </w:pPr>
            <w:r>
              <w:rPr>
                <w:rFonts w:hint="default" w:ascii="Times New Roman" w:hAnsi="Times New Roman" w:eastAsia="仿宋_GB2312" w:cs="Times New Roman"/>
                <w:i w:val="0"/>
                <w:iCs w:val="0"/>
                <w:color w:val="000000"/>
                <w:kern w:val="0"/>
                <w:sz w:val="20"/>
                <w:szCs w:val="20"/>
                <w:u w:val="none"/>
                <w:lang w:val="en-US" w:eastAsia="zh-CN" w:bidi="ar"/>
              </w:rPr>
              <w:t>优</w:t>
            </w:r>
          </w:p>
        </w:tc>
      </w:tr>
      <w:tr w14:paraId="78C41E90">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E2F22">
            <w:pPr>
              <w:jc w:val="center"/>
              <w:rPr>
                <w:rFonts w:hint="default" w:ascii="Times New Roman" w:hAnsi="Times New Roman" w:eastAsia="仿宋_GB2312" w:cs="Times New Roman"/>
                <w:color w:val="000000"/>
                <w:sz w:val="28"/>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C3518">
            <w:pPr>
              <w:jc w:val="left"/>
              <w:rPr>
                <w:rFonts w:hint="default" w:ascii="Times New Roman" w:hAnsi="Times New Roman" w:eastAsia="仿宋_GB2312" w:cs="Times New Roman"/>
                <w:color w:val="000000"/>
                <w:sz w:val="28"/>
                <w:szCs w:val="21"/>
              </w:rPr>
            </w:pP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67CE3">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生态效益指标</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4AE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群众知法守法显著提升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527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定性</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00E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优良中低差</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FD70">
            <w:pPr>
              <w:jc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FD7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99A2">
            <w:pPr>
              <w:keepNext w:val="0"/>
              <w:keepLines w:val="0"/>
              <w:widowControl/>
              <w:suppressLineNumbers w:val="0"/>
              <w:jc w:val="center"/>
              <w:textAlignment w:val="center"/>
              <w:rPr>
                <w:rFonts w:hint="default" w:ascii="Times New Roman" w:hAnsi="Times New Roman" w:eastAsia="仿宋_GB2312" w:cs="Times New Roman"/>
                <w:sz w:val="36"/>
                <w:szCs w:val="28"/>
              </w:rPr>
            </w:pPr>
            <w:r>
              <w:rPr>
                <w:rFonts w:hint="default" w:ascii="Times New Roman" w:hAnsi="Times New Roman" w:eastAsia="仿宋_GB2312" w:cs="Times New Roman"/>
                <w:i w:val="0"/>
                <w:iCs w:val="0"/>
                <w:color w:val="000000"/>
                <w:kern w:val="0"/>
                <w:sz w:val="20"/>
                <w:szCs w:val="20"/>
                <w:u w:val="none"/>
                <w:lang w:val="en-US" w:eastAsia="zh-CN" w:bidi="ar"/>
              </w:rPr>
              <w:t>优</w:t>
            </w:r>
          </w:p>
        </w:tc>
      </w:tr>
      <w:tr w14:paraId="4A4794B8">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5C8ED">
            <w:pPr>
              <w:jc w:val="center"/>
              <w:rPr>
                <w:rFonts w:hint="default" w:ascii="Times New Roman" w:hAnsi="Times New Roman" w:eastAsia="仿宋_GB2312" w:cs="Times New Roman"/>
                <w:color w:val="000000"/>
                <w:sz w:val="28"/>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3012F">
            <w:pPr>
              <w:jc w:val="left"/>
              <w:rPr>
                <w:rFonts w:hint="default" w:ascii="Times New Roman" w:hAnsi="Times New Roman" w:eastAsia="仿宋_GB2312" w:cs="Times New Roman"/>
                <w:color w:val="000000"/>
                <w:sz w:val="28"/>
                <w:szCs w:val="21"/>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7DFD9">
            <w:pPr>
              <w:jc w:val="left"/>
              <w:rPr>
                <w:rFonts w:hint="default" w:ascii="Times New Roman" w:hAnsi="Times New Roman" w:eastAsia="仿宋_GB2312" w:cs="Times New Roman"/>
                <w:color w:val="000000"/>
                <w:sz w:val="28"/>
                <w:szCs w:val="21"/>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67C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生态环境明显改善，指标值达到“优”</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C75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定性</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D28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优良中低差</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D0D2">
            <w:pPr>
              <w:jc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A6C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8230">
            <w:pPr>
              <w:keepNext w:val="0"/>
              <w:keepLines w:val="0"/>
              <w:widowControl/>
              <w:suppressLineNumbers w:val="0"/>
              <w:jc w:val="center"/>
              <w:textAlignment w:val="center"/>
              <w:rPr>
                <w:rFonts w:hint="default" w:ascii="Times New Roman" w:hAnsi="Times New Roman" w:eastAsia="仿宋_GB2312" w:cs="Times New Roman"/>
                <w:sz w:val="36"/>
                <w:szCs w:val="28"/>
              </w:rPr>
            </w:pPr>
            <w:r>
              <w:rPr>
                <w:rFonts w:hint="default" w:ascii="Times New Roman" w:hAnsi="Times New Roman" w:eastAsia="仿宋_GB2312" w:cs="Times New Roman"/>
                <w:i w:val="0"/>
                <w:iCs w:val="0"/>
                <w:color w:val="000000"/>
                <w:kern w:val="0"/>
                <w:sz w:val="20"/>
                <w:szCs w:val="20"/>
                <w:u w:val="none"/>
                <w:lang w:val="en-US" w:eastAsia="zh-CN" w:bidi="ar"/>
              </w:rPr>
              <w:t>优</w:t>
            </w:r>
          </w:p>
        </w:tc>
      </w:tr>
      <w:tr w14:paraId="07A39443">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D27C1">
            <w:pPr>
              <w:jc w:val="center"/>
              <w:rPr>
                <w:rFonts w:hint="default" w:ascii="Times New Roman" w:hAnsi="Times New Roman" w:eastAsia="仿宋_GB2312" w:cs="Times New Roman"/>
                <w:color w:val="000000"/>
                <w:sz w:val="28"/>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E9FDC">
            <w:pPr>
              <w:jc w:val="left"/>
              <w:rPr>
                <w:rFonts w:hint="default" w:ascii="Times New Roman" w:hAnsi="Times New Roman" w:eastAsia="仿宋_GB2312" w:cs="Times New Roman"/>
                <w:color w:val="000000"/>
                <w:sz w:val="28"/>
                <w:szCs w:val="21"/>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149D">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可持续影响指标</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9D1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改善农村环境面貌</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7E7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定性</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1A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优良中低差</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8E28">
            <w:pPr>
              <w:jc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E5D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6C1D">
            <w:pPr>
              <w:keepNext w:val="0"/>
              <w:keepLines w:val="0"/>
              <w:widowControl/>
              <w:suppressLineNumbers w:val="0"/>
              <w:jc w:val="center"/>
              <w:textAlignment w:val="center"/>
              <w:rPr>
                <w:rFonts w:hint="default" w:ascii="Times New Roman" w:hAnsi="Times New Roman" w:eastAsia="仿宋_GB2312" w:cs="Times New Roman"/>
                <w:sz w:val="36"/>
                <w:szCs w:val="28"/>
              </w:rPr>
            </w:pPr>
            <w:r>
              <w:rPr>
                <w:rFonts w:hint="default" w:ascii="Times New Roman" w:hAnsi="Times New Roman" w:eastAsia="仿宋_GB2312" w:cs="Times New Roman"/>
                <w:i w:val="0"/>
                <w:iCs w:val="0"/>
                <w:color w:val="000000"/>
                <w:kern w:val="0"/>
                <w:sz w:val="20"/>
                <w:szCs w:val="20"/>
                <w:u w:val="none"/>
                <w:lang w:val="en-US" w:eastAsia="zh-CN" w:bidi="ar"/>
              </w:rPr>
              <w:t>优</w:t>
            </w:r>
          </w:p>
        </w:tc>
      </w:tr>
      <w:tr w14:paraId="0EBCF055">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DC53A">
            <w:pPr>
              <w:jc w:val="center"/>
              <w:rPr>
                <w:rFonts w:hint="default" w:ascii="Times New Roman" w:hAnsi="Times New Roman" w:eastAsia="仿宋_GB2312" w:cs="Times New Roman"/>
                <w:color w:val="000000"/>
                <w:sz w:val="28"/>
                <w:szCs w:val="21"/>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972B0">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满意度指标</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5A856">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服务对象满意度指标</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D58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村警满意度</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928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F80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3E7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210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A0BA">
            <w:pPr>
              <w:keepNext w:val="0"/>
              <w:keepLines w:val="0"/>
              <w:widowControl/>
              <w:suppressLineNumbers w:val="0"/>
              <w:jc w:val="center"/>
              <w:textAlignment w:val="center"/>
              <w:rPr>
                <w:rFonts w:hint="default" w:ascii="Times New Roman" w:hAnsi="Times New Roman" w:eastAsia="仿宋_GB2312" w:cs="Times New Roman"/>
                <w:sz w:val="36"/>
                <w:szCs w:val="28"/>
              </w:rPr>
            </w:pPr>
            <w:r>
              <w:rPr>
                <w:rFonts w:hint="default" w:ascii="Times New Roman" w:hAnsi="Times New Roman" w:eastAsia="仿宋_GB2312" w:cs="Times New Roman"/>
                <w:i w:val="0"/>
                <w:iCs w:val="0"/>
                <w:color w:val="000000"/>
                <w:kern w:val="0"/>
                <w:sz w:val="20"/>
                <w:szCs w:val="20"/>
                <w:u w:val="none"/>
                <w:lang w:val="en-US" w:eastAsia="zh-CN" w:bidi="ar"/>
              </w:rPr>
              <w:t>95</w:t>
            </w:r>
          </w:p>
        </w:tc>
      </w:tr>
      <w:tr w14:paraId="20E1E6D8">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A0740">
            <w:pPr>
              <w:jc w:val="center"/>
              <w:rPr>
                <w:rFonts w:hint="default" w:ascii="Times New Roman" w:hAnsi="Times New Roman" w:eastAsia="仿宋_GB2312" w:cs="Times New Roman"/>
                <w:color w:val="000000"/>
                <w:sz w:val="28"/>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91E73">
            <w:pPr>
              <w:jc w:val="left"/>
              <w:rPr>
                <w:rFonts w:hint="default" w:ascii="Times New Roman" w:hAnsi="Times New Roman" w:eastAsia="仿宋_GB2312" w:cs="Times New Roman"/>
                <w:color w:val="000000"/>
                <w:sz w:val="28"/>
                <w:szCs w:val="21"/>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185E1">
            <w:pPr>
              <w:jc w:val="left"/>
              <w:rPr>
                <w:rFonts w:hint="default" w:ascii="Times New Roman" w:hAnsi="Times New Roman" w:eastAsia="仿宋_GB2312" w:cs="Times New Roman"/>
                <w:color w:val="000000"/>
                <w:sz w:val="28"/>
                <w:szCs w:val="21"/>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0B8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老人满意度</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422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1DD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508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CB6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C055">
            <w:pPr>
              <w:keepNext w:val="0"/>
              <w:keepLines w:val="0"/>
              <w:widowControl/>
              <w:suppressLineNumbers w:val="0"/>
              <w:jc w:val="center"/>
              <w:textAlignment w:val="center"/>
              <w:rPr>
                <w:rFonts w:hint="default" w:ascii="Times New Roman" w:hAnsi="Times New Roman" w:eastAsia="仿宋_GB2312" w:cs="Times New Roman"/>
                <w:sz w:val="36"/>
                <w:szCs w:val="28"/>
              </w:rPr>
            </w:pPr>
            <w:r>
              <w:rPr>
                <w:rFonts w:hint="default" w:ascii="Times New Roman" w:hAnsi="Times New Roman" w:eastAsia="仿宋_GB2312" w:cs="Times New Roman"/>
                <w:i w:val="0"/>
                <w:iCs w:val="0"/>
                <w:color w:val="000000"/>
                <w:kern w:val="0"/>
                <w:sz w:val="20"/>
                <w:szCs w:val="20"/>
                <w:u w:val="none"/>
                <w:lang w:val="en-US" w:eastAsia="zh-CN" w:bidi="ar"/>
              </w:rPr>
              <w:t>95</w:t>
            </w:r>
          </w:p>
        </w:tc>
      </w:tr>
      <w:tr w14:paraId="31A74417">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FF4A3">
            <w:pPr>
              <w:jc w:val="center"/>
              <w:rPr>
                <w:rFonts w:hint="default" w:ascii="Times New Roman" w:hAnsi="Times New Roman" w:eastAsia="仿宋_GB2312" w:cs="Times New Roman"/>
                <w:color w:val="000000"/>
                <w:sz w:val="28"/>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6ABC3">
            <w:pPr>
              <w:jc w:val="left"/>
              <w:rPr>
                <w:rFonts w:hint="default" w:ascii="Times New Roman" w:hAnsi="Times New Roman" w:eastAsia="仿宋_GB2312" w:cs="Times New Roman"/>
                <w:color w:val="000000"/>
                <w:sz w:val="28"/>
                <w:szCs w:val="21"/>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8B09E">
            <w:pPr>
              <w:jc w:val="left"/>
              <w:rPr>
                <w:rFonts w:hint="default" w:ascii="Times New Roman" w:hAnsi="Times New Roman" w:eastAsia="仿宋_GB2312" w:cs="Times New Roman"/>
                <w:color w:val="000000"/>
                <w:sz w:val="28"/>
                <w:szCs w:val="21"/>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B52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民兵满意度</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DBE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E32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8E5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1DC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CC0B">
            <w:pPr>
              <w:keepNext w:val="0"/>
              <w:keepLines w:val="0"/>
              <w:widowControl/>
              <w:suppressLineNumbers w:val="0"/>
              <w:jc w:val="center"/>
              <w:textAlignment w:val="center"/>
              <w:rPr>
                <w:rFonts w:hint="default" w:ascii="Times New Roman" w:hAnsi="Times New Roman" w:eastAsia="仿宋_GB2312" w:cs="Times New Roman"/>
                <w:sz w:val="36"/>
                <w:szCs w:val="28"/>
              </w:rPr>
            </w:pPr>
            <w:r>
              <w:rPr>
                <w:rFonts w:hint="default" w:ascii="Times New Roman" w:hAnsi="Times New Roman" w:eastAsia="仿宋_GB2312" w:cs="Times New Roman"/>
                <w:i w:val="0"/>
                <w:iCs w:val="0"/>
                <w:color w:val="000000"/>
                <w:kern w:val="0"/>
                <w:sz w:val="20"/>
                <w:szCs w:val="20"/>
                <w:u w:val="none"/>
                <w:lang w:val="en-US" w:eastAsia="zh-CN" w:bidi="ar"/>
              </w:rPr>
              <w:t>95</w:t>
            </w:r>
          </w:p>
        </w:tc>
      </w:tr>
      <w:tr w14:paraId="585D084E">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CFD97">
            <w:pPr>
              <w:jc w:val="center"/>
              <w:rPr>
                <w:rFonts w:hint="default" w:ascii="Times New Roman" w:hAnsi="Times New Roman" w:eastAsia="仿宋_GB2312" w:cs="Times New Roman"/>
                <w:color w:val="000000"/>
                <w:sz w:val="28"/>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A8230">
            <w:pPr>
              <w:jc w:val="left"/>
              <w:rPr>
                <w:rFonts w:hint="default" w:ascii="Times New Roman" w:hAnsi="Times New Roman" w:eastAsia="仿宋_GB2312" w:cs="Times New Roman"/>
                <w:color w:val="000000"/>
                <w:sz w:val="28"/>
                <w:szCs w:val="21"/>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B1CAC">
            <w:pPr>
              <w:jc w:val="left"/>
              <w:rPr>
                <w:rFonts w:hint="default" w:ascii="Times New Roman" w:hAnsi="Times New Roman" w:eastAsia="仿宋_GB2312" w:cs="Times New Roman"/>
                <w:color w:val="000000"/>
                <w:sz w:val="28"/>
                <w:szCs w:val="21"/>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6D2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群众满意度</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1A7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B51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55D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A72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944A">
            <w:pPr>
              <w:keepNext w:val="0"/>
              <w:keepLines w:val="0"/>
              <w:widowControl/>
              <w:suppressLineNumbers w:val="0"/>
              <w:jc w:val="center"/>
              <w:textAlignment w:val="center"/>
              <w:rPr>
                <w:rFonts w:hint="default" w:ascii="Times New Roman" w:hAnsi="Times New Roman" w:eastAsia="仿宋_GB2312" w:cs="Times New Roman"/>
                <w:sz w:val="36"/>
                <w:szCs w:val="28"/>
              </w:rPr>
            </w:pPr>
            <w:r>
              <w:rPr>
                <w:rFonts w:hint="default" w:ascii="Times New Roman" w:hAnsi="Times New Roman" w:eastAsia="仿宋_GB2312" w:cs="Times New Roman"/>
                <w:i w:val="0"/>
                <w:iCs w:val="0"/>
                <w:color w:val="000000"/>
                <w:kern w:val="0"/>
                <w:sz w:val="20"/>
                <w:szCs w:val="20"/>
                <w:u w:val="none"/>
                <w:lang w:val="en-US" w:eastAsia="zh-CN" w:bidi="ar"/>
              </w:rPr>
              <w:t>95</w:t>
            </w:r>
          </w:p>
        </w:tc>
      </w:tr>
      <w:tr w14:paraId="144F76ED">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35114">
            <w:pPr>
              <w:jc w:val="center"/>
              <w:rPr>
                <w:rFonts w:hint="default" w:ascii="Times New Roman" w:hAnsi="Times New Roman" w:eastAsia="仿宋_GB2312" w:cs="Times New Roman"/>
                <w:color w:val="000000"/>
                <w:sz w:val="28"/>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FF1E9">
            <w:pPr>
              <w:jc w:val="left"/>
              <w:rPr>
                <w:rFonts w:hint="default" w:ascii="Times New Roman" w:hAnsi="Times New Roman" w:eastAsia="仿宋_GB2312" w:cs="Times New Roman"/>
                <w:color w:val="000000"/>
                <w:sz w:val="28"/>
                <w:szCs w:val="21"/>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F966A">
            <w:pPr>
              <w:jc w:val="left"/>
              <w:rPr>
                <w:rFonts w:hint="default" w:ascii="Times New Roman" w:hAnsi="Times New Roman" w:eastAsia="仿宋_GB2312" w:cs="Times New Roman"/>
                <w:color w:val="000000"/>
                <w:sz w:val="28"/>
                <w:szCs w:val="21"/>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4A1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安全员满意度</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557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957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9FB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01C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4FE3">
            <w:pPr>
              <w:keepNext w:val="0"/>
              <w:keepLines w:val="0"/>
              <w:widowControl/>
              <w:suppressLineNumbers w:val="0"/>
              <w:jc w:val="center"/>
              <w:textAlignment w:val="center"/>
              <w:rPr>
                <w:rFonts w:hint="default" w:ascii="Times New Roman" w:hAnsi="Times New Roman" w:eastAsia="仿宋_GB2312" w:cs="Times New Roman"/>
                <w:sz w:val="36"/>
                <w:szCs w:val="28"/>
              </w:rPr>
            </w:pPr>
            <w:r>
              <w:rPr>
                <w:rFonts w:hint="default" w:ascii="Times New Roman" w:hAnsi="Times New Roman" w:eastAsia="仿宋_GB2312" w:cs="Times New Roman"/>
                <w:i w:val="0"/>
                <w:iCs w:val="0"/>
                <w:color w:val="000000"/>
                <w:kern w:val="0"/>
                <w:sz w:val="20"/>
                <w:szCs w:val="20"/>
                <w:u w:val="none"/>
                <w:lang w:val="en-US" w:eastAsia="zh-CN" w:bidi="ar"/>
              </w:rPr>
              <w:t>95</w:t>
            </w:r>
          </w:p>
        </w:tc>
      </w:tr>
      <w:tr w14:paraId="635F0641">
        <w:tblPrEx>
          <w:tblCellMar>
            <w:top w:w="15" w:type="dxa"/>
            <w:left w:w="15" w:type="dxa"/>
            <w:bottom w:w="15" w:type="dxa"/>
            <w:right w:w="15" w:type="dxa"/>
          </w:tblCellMar>
        </w:tblPrEx>
        <w:trPr>
          <w:trHeight w:val="23"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FFC20">
            <w:pPr>
              <w:jc w:val="center"/>
              <w:rPr>
                <w:rFonts w:hint="default" w:ascii="Times New Roman" w:hAnsi="Times New Roman" w:eastAsia="仿宋_GB2312" w:cs="Times New Roman"/>
                <w:color w:val="000000"/>
                <w:sz w:val="28"/>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FFB0">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成本指标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B001">
            <w:pPr>
              <w:keepNext w:val="0"/>
              <w:keepLines w:val="0"/>
              <w:widowControl/>
              <w:suppressLineNumbers w:val="0"/>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olor w:val="000000"/>
                <w:kern w:val="0"/>
                <w:sz w:val="20"/>
                <w:szCs w:val="20"/>
                <w:u w:val="none"/>
                <w:lang w:val="en-US" w:eastAsia="zh-CN" w:bidi="ar"/>
              </w:rPr>
              <w:t>经济成本指标</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6BC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严格进行绩效监控，厉行节约</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7F0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4BB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eastAsia="仿宋_GB2312" w:cs="Times New Roman"/>
                <w:i w:val="0"/>
                <w:iCs w:val="0"/>
                <w:color w:val="000000"/>
                <w:kern w:val="0"/>
                <w:sz w:val="20"/>
                <w:szCs w:val="20"/>
                <w:u w:val="none"/>
                <w:lang w:val="en-US" w:eastAsia="zh-CN" w:bidi="ar"/>
              </w:rPr>
              <w:t>965.88</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986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万元</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5CC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94EF">
            <w:pPr>
              <w:keepNext w:val="0"/>
              <w:keepLines w:val="0"/>
              <w:widowControl/>
              <w:suppressLineNumbers w:val="0"/>
              <w:jc w:val="center"/>
              <w:textAlignment w:val="center"/>
              <w:rPr>
                <w:rFonts w:hint="default" w:ascii="Times New Roman" w:hAnsi="Times New Roman" w:eastAsia="仿宋_GB2312" w:cs="Times New Roman"/>
                <w:sz w:val="36"/>
                <w:szCs w:val="28"/>
                <w:lang w:val="en-US"/>
              </w:rPr>
            </w:pPr>
            <w:r>
              <w:rPr>
                <w:rFonts w:hint="eastAsia" w:eastAsia="仿宋_GB2312" w:cs="Times New Roman"/>
                <w:i w:val="0"/>
                <w:iCs w:val="0"/>
                <w:color w:val="000000"/>
                <w:kern w:val="0"/>
                <w:sz w:val="20"/>
                <w:szCs w:val="20"/>
                <w:u w:val="none"/>
                <w:lang w:val="en-US" w:eastAsia="zh-CN" w:bidi="ar"/>
              </w:rPr>
              <w:t>965.88</w:t>
            </w:r>
          </w:p>
        </w:tc>
      </w:tr>
    </w:tbl>
    <w:p w14:paraId="10068593">
      <w:pPr>
        <w:pStyle w:val="8"/>
        <w:ind w:left="0" w:leftChars="0" w:firstLine="0" w:firstLineChars="0"/>
        <w:rPr>
          <w:rFonts w:hint="default" w:ascii="Times New Roman" w:hAnsi="Times New Roman" w:eastAsia="黑体" w:cs="Times New Roman"/>
          <w:sz w:val="24"/>
          <w:szCs w:val="24"/>
        </w:rPr>
      </w:pPr>
    </w:p>
    <w:p w14:paraId="4706DF3D">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74D124E4">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7CE800A">
      <w:pPr>
        <w:pStyle w:val="6"/>
        <w:rPr>
          <w:rFonts w:hint="eastAsia" w:ascii="Times New Roman" w:hAnsi="Times New Roman" w:cs="宋体"/>
          <w:color w:val="FF0000"/>
          <w:kern w:val="0"/>
          <w:sz w:val="32"/>
          <w:szCs w:val="32"/>
          <w:highlight w:val="yellow"/>
          <w:shd w:val="clear" w:color="auto" w:fill="FFFFFF"/>
          <w:lang w:val="zh-CN"/>
        </w:rPr>
      </w:pPr>
    </w:p>
    <w:p w14:paraId="30C44C59">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5E11E595">
      <w:pPr>
        <w:pStyle w:val="6"/>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7BBFB970">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557BDEB1">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14:paraId="6F693B96">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（乡镇人代会会议费）</w:t>
      </w:r>
    </w:p>
    <w:p w14:paraId="48276FF1">
      <w:pPr>
        <w:pStyle w:val="35"/>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14:paraId="12D5BBB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5BBC9D5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Times New Roman" w:hAnsi="Times New Roman" w:eastAsia="楷体_GB2312"/>
          <w:b/>
          <w:color w:val="auto"/>
          <w:sz w:val="32"/>
          <w:szCs w:val="32"/>
          <w:highlight w:val="none"/>
          <w:u w:val="none"/>
          <w:lang w:val="zh-CN"/>
        </w:rPr>
        <w:t>（一）设立背景及基本情况。</w:t>
      </w:r>
      <w:r>
        <w:rPr>
          <w:rFonts w:hint="default" w:ascii="Times New Roman" w:hAnsi="Times New Roman" w:eastAsia="仿宋_GB2312" w:cs="Times New Roman"/>
          <w:b w:val="0"/>
          <w:bCs/>
          <w:color w:val="auto"/>
          <w:sz w:val="32"/>
          <w:szCs w:val="32"/>
          <w:highlight w:val="none"/>
          <w:u w:val="none"/>
          <w:lang w:val="zh-CN"/>
        </w:rPr>
        <w:t>本项目为</w:t>
      </w:r>
      <w:r>
        <w:rPr>
          <w:rFonts w:hint="eastAsia" w:ascii="Times New Roman" w:hAnsi="Times New Roman" w:eastAsia="仿宋_GB2312" w:cs="Times New Roman"/>
          <w:b w:val="0"/>
          <w:bCs/>
          <w:color w:val="auto"/>
          <w:sz w:val="32"/>
          <w:szCs w:val="32"/>
          <w:highlight w:val="none"/>
          <w:u w:val="none"/>
          <w:lang w:val="zh-CN"/>
        </w:rPr>
        <w:t>乡镇开展人代会会议，保障人大代表</w:t>
      </w:r>
      <w:r>
        <w:rPr>
          <w:rFonts w:hint="default" w:ascii="Times New Roman" w:hAnsi="Times New Roman" w:eastAsia="仿宋_GB2312" w:cs="Times New Roman"/>
          <w:b w:val="0"/>
          <w:bCs/>
          <w:color w:val="auto"/>
          <w:sz w:val="32"/>
          <w:szCs w:val="32"/>
          <w:highlight w:val="none"/>
          <w:u w:val="none"/>
          <w:lang w:val="zh-CN"/>
        </w:rPr>
        <w:t>依法履行职能</w:t>
      </w:r>
      <w:r>
        <w:rPr>
          <w:rFonts w:hint="eastAsia" w:ascii="Times New Roman" w:hAnsi="Times New Roman" w:eastAsia="仿宋_GB2312" w:cs="Times New Roman"/>
          <w:b w:val="0"/>
          <w:bCs/>
          <w:color w:val="auto"/>
          <w:sz w:val="32"/>
          <w:szCs w:val="32"/>
          <w:highlight w:val="none"/>
          <w:u w:val="none"/>
          <w:lang w:val="zh-CN"/>
        </w:rPr>
        <w:t>的经费，</w:t>
      </w:r>
      <w:r>
        <w:rPr>
          <w:rFonts w:hint="default" w:ascii="Times New Roman" w:hAnsi="Times New Roman" w:eastAsia="仿宋_GB2312" w:cs="Times New Roman"/>
          <w:b w:val="0"/>
          <w:bCs/>
          <w:color w:val="auto"/>
          <w:sz w:val="32"/>
          <w:szCs w:val="32"/>
          <w:highlight w:val="none"/>
          <w:u w:val="none"/>
          <w:lang w:val="zh-CN"/>
        </w:rPr>
        <w:t>根据相关法律法规及上级文件精神而设立。经费主要用于支持开展</w:t>
      </w:r>
      <w:r>
        <w:rPr>
          <w:rFonts w:hint="eastAsia" w:ascii="Times New Roman" w:hAnsi="Times New Roman" w:eastAsia="仿宋_GB2312" w:cs="Times New Roman"/>
          <w:b w:val="0"/>
          <w:bCs/>
          <w:color w:val="auto"/>
          <w:sz w:val="32"/>
          <w:szCs w:val="32"/>
          <w:highlight w:val="none"/>
          <w:u w:val="none"/>
          <w:lang w:val="zh-CN"/>
        </w:rPr>
        <w:t>乡镇人代会会议</w:t>
      </w:r>
      <w:r>
        <w:rPr>
          <w:rFonts w:hint="default" w:ascii="Times New Roman" w:hAnsi="Times New Roman" w:eastAsia="仿宋_GB2312" w:cs="Times New Roman"/>
          <w:b w:val="0"/>
          <w:bCs/>
          <w:color w:val="auto"/>
          <w:sz w:val="32"/>
          <w:szCs w:val="32"/>
          <w:highlight w:val="none"/>
          <w:u w:val="none"/>
          <w:lang w:val="zh-CN"/>
        </w:rPr>
        <w:t>及相关履职活动</w:t>
      </w:r>
      <w:r>
        <w:rPr>
          <w:rFonts w:hint="eastAsia" w:ascii="Times New Roman" w:hAnsi="Times New Roman" w:eastAsia="仿宋_GB2312" w:cs="仿宋_GB2312"/>
          <w:b w:val="0"/>
          <w:bCs w:val="0"/>
          <w:kern w:val="0"/>
          <w:position w:val="0"/>
          <w:sz w:val="32"/>
          <w:szCs w:val="32"/>
          <w:highlight w:val="none"/>
          <w:lang w:val="en-US" w:eastAsia="zh-CN" w:bidi="ar-SA"/>
        </w:rPr>
        <w:t>项目</w:t>
      </w:r>
      <w:r>
        <w:rPr>
          <w:rFonts w:hint="eastAsia" w:ascii="Times New Roman" w:hAnsi="Times New Roman" w:eastAsia="仿宋_GB2312" w:cs="仿宋_GB2312"/>
          <w:color w:val="auto"/>
          <w:kern w:val="0"/>
          <w:sz w:val="32"/>
          <w:szCs w:val="32"/>
          <w:highlight w:val="none"/>
          <w:u w:val="none"/>
          <w:shd w:val="clear" w:color="auto" w:fill="FFFFFF"/>
          <w:lang w:val="zh-CN"/>
        </w:rPr>
        <w:t>。</w:t>
      </w:r>
    </w:p>
    <w:p w14:paraId="020D74A8">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r>
        <w:rPr>
          <w:rFonts w:hint="eastAsia" w:ascii="Times New Roman" w:hAnsi="Times New Roman" w:eastAsia="仿宋_GB2312" w:cs="Times New Roman"/>
          <w:b w:val="0"/>
          <w:bCs/>
          <w:color w:val="auto"/>
          <w:sz w:val="32"/>
          <w:szCs w:val="32"/>
          <w:highlight w:val="none"/>
          <w:u w:val="none"/>
          <w:lang w:val="en-US" w:eastAsia="zh-CN"/>
        </w:rPr>
        <w:t>保障我乡完成</w:t>
      </w:r>
      <w:r>
        <w:rPr>
          <w:rFonts w:hint="eastAsia" w:ascii="Times New Roman" w:hAnsi="Times New Roman" w:eastAsia="仿宋_GB2312" w:cs="Times New Roman"/>
          <w:b w:val="0"/>
          <w:bCs/>
          <w:color w:val="auto"/>
          <w:sz w:val="32"/>
          <w:szCs w:val="32"/>
          <w:highlight w:val="none"/>
          <w:u w:val="none"/>
          <w:lang w:val="zh-CN"/>
        </w:rPr>
        <w:t>人代会会议的召开，保障人大代表</w:t>
      </w:r>
      <w:r>
        <w:rPr>
          <w:rFonts w:hint="default" w:ascii="Times New Roman" w:hAnsi="Times New Roman" w:eastAsia="仿宋_GB2312" w:cs="Times New Roman"/>
          <w:b w:val="0"/>
          <w:bCs/>
          <w:color w:val="auto"/>
          <w:sz w:val="32"/>
          <w:szCs w:val="32"/>
          <w:highlight w:val="none"/>
          <w:u w:val="none"/>
          <w:lang w:val="zh-CN"/>
        </w:rPr>
        <w:t>依法履行职能</w:t>
      </w:r>
      <w:r>
        <w:rPr>
          <w:rFonts w:hint="eastAsia" w:ascii="Times New Roman" w:hAnsi="Times New Roman" w:eastAsia="仿宋_GB2312" w:cs="Times New Roman"/>
          <w:b w:val="0"/>
          <w:bCs/>
          <w:color w:val="auto"/>
          <w:sz w:val="32"/>
          <w:szCs w:val="32"/>
          <w:highlight w:val="none"/>
          <w:u w:val="none"/>
          <w:lang w:val="zh-CN"/>
        </w:rPr>
        <w:t>，支持方向为我乡人代会会议期间的场地布置、文件材料印制、必要的办公用品购置等保障性支出</w:t>
      </w:r>
      <w:r>
        <w:rPr>
          <w:rFonts w:hint="eastAsia" w:ascii="Times New Roman" w:hAnsi="Times New Roman" w:eastAsia="仿宋_GB2312" w:cs="仿宋_GB2312"/>
          <w:b w:val="0"/>
          <w:bCs w:val="0"/>
          <w:kern w:val="0"/>
          <w:position w:val="0"/>
          <w:sz w:val="32"/>
          <w:szCs w:val="32"/>
          <w:highlight w:val="none"/>
          <w:lang w:val="zh-CN" w:eastAsia="zh-CN" w:bidi="ar-SA"/>
        </w:rPr>
        <w:t>。</w:t>
      </w:r>
    </w:p>
    <w:p w14:paraId="0BF2305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r>
        <w:rPr>
          <w:rFonts w:hint="eastAsia" w:ascii="Times New Roman" w:hAnsi="Times New Roman" w:eastAsia="仿宋_GB2312" w:cs="仿宋_GB2312"/>
          <w:b w:val="0"/>
          <w:bCs w:val="0"/>
          <w:kern w:val="0"/>
          <w:position w:val="0"/>
          <w:sz w:val="32"/>
          <w:szCs w:val="32"/>
          <w:highlight w:val="none"/>
          <w:lang w:val="zh-CN" w:eastAsia="zh-CN" w:bidi="ar-SA"/>
        </w:rPr>
        <w:t>202</w:t>
      </w:r>
      <w:r>
        <w:rPr>
          <w:rFonts w:hint="eastAsia"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年该项目预算总额为</w:t>
      </w:r>
      <w:r>
        <w:rPr>
          <w:rFonts w:hint="eastAsia" w:eastAsia="仿宋_GB2312" w:cs="仿宋_GB2312"/>
          <w:b w:val="0"/>
          <w:bCs w:val="0"/>
          <w:kern w:val="0"/>
          <w:position w:val="0"/>
          <w:sz w:val="32"/>
          <w:szCs w:val="32"/>
          <w:highlight w:val="none"/>
          <w:lang w:val="en-US" w:eastAsia="zh-CN" w:bidi="ar-SA"/>
        </w:rPr>
        <w:t>1.33</w:t>
      </w:r>
      <w:r>
        <w:rPr>
          <w:rFonts w:hint="eastAsia" w:ascii="Times New Roman" w:hAnsi="Times New Roman" w:eastAsia="仿宋_GB2312" w:cs="仿宋_GB2312"/>
          <w:b w:val="0"/>
          <w:bCs w:val="0"/>
          <w:kern w:val="0"/>
          <w:position w:val="0"/>
          <w:sz w:val="32"/>
          <w:szCs w:val="32"/>
          <w:highlight w:val="none"/>
          <w:lang w:val="zh-CN" w:eastAsia="zh-CN" w:bidi="ar-SA"/>
        </w:rPr>
        <w:t>万元，其中县级财政资金</w:t>
      </w:r>
      <w:r>
        <w:rPr>
          <w:rFonts w:hint="eastAsia" w:eastAsia="仿宋_GB2312" w:cs="仿宋_GB2312"/>
          <w:b w:val="0"/>
          <w:bCs w:val="0"/>
          <w:kern w:val="0"/>
          <w:position w:val="0"/>
          <w:sz w:val="32"/>
          <w:szCs w:val="32"/>
          <w:highlight w:val="none"/>
          <w:lang w:val="en-US" w:eastAsia="zh-CN" w:bidi="ar-SA"/>
        </w:rPr>
        <w:t>1.33</w:t>
      </w:r>
      <w:r>
        <w:rPr>
          <w:rFonts w:hint="eastAsia" w:ascii="Times New Roman" w:hAnsi="Times New Roman" w:eastAsia="仿宋_GB2312" w:cs="仿宋_GB2312"/>
          <w:b w:val="0"/>
          <w:bCs w:val="0"/>
          <w:kern w:val="0"/>
          <w:position w:val="0"/>
          <w:sz w:val="32"/>
          <w:szCs w:val="32"/>
          <w:highlight w:val="none"/>
          <w:lang w:val="zh-CN" w:eastAsia="zh-CN" w:bidi="ar-SA"/>
        </w:rPr>
        <w:t>万元。分解下达预算资金</w:t>
      </w:r>
      <w:r>
        <w:rPr>
          <w:rFonts w:hint="eastAsia" w:eastAsia="仿宋_GB2312" w:cs="仿宋_GB2312"/>
          <w:b w:val="0"/>
          <w:bCs w:val="0"/>
          <w:kern w:val="0"/>
          <w:position w:val="0"/>
          <w:sz w:val="32"/>
          <w:szCs w:val="32"/>
          <w:highlight w:val="none"/>
          <w:lang w:val="en-US" w:eastAsia="zh-CN" w:bidi="ar-SA"/>
        </w:rPr>
        <w:t>1.33</w:t>
      </w:r>
      <w:r>
        <w:rPr>
          <w:rFonts w:hint="eastAsia" w:ascii="Times New Roman" w:hAnsi="Times New Roman" w:eastAsia="仿宋_GB2312" w:cs="仿宋_GB2312"/>
          <w:b w:val="0"/>
          <w:bCs w:val="0"/>
          <w:kern w:val="0"/>
          <w:position w:val="0"/>
          <w:sz w:val="32"/>
          <w:szCs w:val="32"/>
          <w:highlight w:val="none"/>
          <w:lang w:val="zh-CN" w:eastAsia="zh-CN" w:bidi="ar-SA"/>
        </w:rPr>
        <w:t>万元。用于支持其年度基本工作。</w:t>
      </w:r>
    </w:p>
    <w:p w14:paraId="48B91E27">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（四）项目绩效目标设置。</w:t>
      </w:r>
      <w:r>
        <w:rPr>
          <w:rFonts w:hint="eastAsia" w:ascii="Times New Roman" w:hAnsi="Times New Roman" w:eastAsia="仿宋_GB2312" w:cs="仿宋_GB2312"/>
          <w:b w:val="0"/>
          <w:bCs w:val="0"/>
          <w:kern w:val="0"/>
          <w:position w:val="0"/>
          <w:sz w:val="32"/>
          <w:szCs w:val="32"/>
          <w:highlight w:val="none"/>
          <w:lang w:val="zh-CN" w:eastAsia="zh-CN" w:bidi="ar-SA"/>
        </w:rPr>
        <w:t>使人大工作得到</w:t>
      </w:r>
      <w:r>
        <w:rPr>
          <w:rFonts w:hint="eastAsia" w:eastAsia="仿宋_GB2312" w:cs="仿宋_GB2312"/>
          <w:b w:val="0"/>
          <w:bCs w:val="0"/>
          <w:kern w:val="0"/>
          <w:position w:val="0"/>
          <w:sz w:val="32"/>
          <w:szCs w:val="32"/>
          <w:highlight w:val="none"/>
          <w:lang w:val="zh-CN" w:eastAsia="zh-CN" w:bidi="ar-SA"/>
        </w:rPr>
        <w:t>了</w:t>
      </w:r>
      <w:r>
        <w:rPr>
          <w:rFonts w:hint="eastAsia" w:ascii="Times New Roman" w:hAnsi="Times New Roman" w:eastAsia="仿宋_GB2312" w:cs="仿宋_GB2312"/>
          <w:b w:val="0"/>
          <w:bCs w:val="0"/>
          <w:kern w:val="0"/>
          <w:position w:val="0"/>
          <w:sz w:val="32"/>
          <w:szCs w:val="32"/>
          <w:highlight w:val="none"/>
          <w:lang w:val="zh-CN" w:eastAsia="zh-CN" w:bidi="ar-SA"/>
        </w:rPr>
        <w:t>保障</w:t>
      </w:r>
      <w:r>
        <w:rPr>
          <w:rFonts w:hint="eastAsia" w:eastAsia="仿宋_GB2312" w:cs="仿宋_GB2312"/>
          <w:b w:val="0"/>
          <w:bCs w:val="0"/>
          <w:kern w:val="0"/>
          <w:position w:val="0"/>
          <w:sz w:val="32"/>
          <w:szCs w:val="32"/>
          <w:highlight w:val="none"/>
          <w:lang w:val="zh-CN" w:eastAsia="zh-CN" w:bidi="ar-SA"/>
        </w:rPr>
        <w:t>，确保我乡人代会按时召开并圆满完成，保障人大代表参会率和满意度等指标进行自评，确保我乡人大代表会议工作高质高效。</w:t>
      </w:r>
    </w:p>
    <w:p w14:paraId="4A5B752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78BD064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（一）评价目的。</w:t>
      </w:r>
      <w:r>
        <w:rPr>
          <w:rFonts w:hint="eastAsia" w:ascii="Times New Roman" w:hAnsi="Times New Roman" w:eastAsia="仿宋_GB2312" w:cs="仿宋_GB2312"/>
          <w:b w:val="0"/>
          <w:bCs w:val="0"/>
          <w:kern w:val="0"/>
          <w:position w:val="0"/>
          <w:sz w:val="32"/>
          <w:szCs w:val="32"/>
          <w:highlight w:val="none"/>
          <w:lang w:val="zh-CN" w:eastAsia="zh-CN" w:bidi="ar-SA"/>
        </w:rPr>
        <w:t>通过项目绩效自评</w:t>
      </w:r>
      <w:r>
        <w:rPr>
          <w:rFonts w:hint="eastAsia" w:eastAsia="仿宋_GB2312" w:cs="仿宋_GB2312"/>
          <w:b w:val="0"/>
          <w:bCs w:val="0"/>
          <w:kern w:val="0"/>
          <w:position w:val="0"/>
          <w:sz w:val="32"/>
          <w:szCs w:val="32"/>
          <w:highlight w:val="none"/>
          <w:lang w:val="zh-CN" w:eastAsia="zh-CN" w:bidi="ar-SA"/>
        </w:rPr>
        <w:t>检验资金使用是否达到要求，是否按时合规进行支付，人代会是否符合预期目标，是否有问题或需要改进之处等，来提升资金使用效率。</w:t>
      </w:r>
    </w:p>
    <w:p w14:paraId="2F521071">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（二）预设问题及评价重点。</w:t>
      </w:r>
      <w:r>
        <w:rPr>
          <w:rFonts w:hint="eastAsia" w:ascii="Times New Roman" w:hAnsi="Times New Roman" w:eastAsia="仿宋_GB2312" w:cs="仿宋_GB2312"/>
          <w:b w:val="0"/>
          <w:bCs w:val="0"/>
          <w:kern w:val="0"/>
          <w:position w:val="0"/>
          <w:sz w:val="32"/>
          <w:szCs w:val="32"/>
          <w:highlight w:val="none"/>
          <w:lang w:val="zh-CN" w:eastAsia="zh-CN" w:bidi="ar-SA"/>
        </w:rPr>
        <w:t>预设问题包括资金使用合规性、</w:t>
      </w:r>
      <w:r>
        <w:rPr>
          <w:rFonts w:hint="eastAsia" w:eastAsia="仿宋_GB2312" w:cs="仿宋_GB2312"/>
          <w:b w:val="0"/>
          <w:bCs w:val="0"/>
          <w:kern w:val="0"/>
          <w:position w:val="0"/>
          <w:sz w:val="32"/>
          <w:szCs w:val="32"/>
          <w:highlight w:val="none"/>
          <w:lang w:val="zh-CN" w:eastAsia="zh-CN" w:bidi="ar-SA"/>
        </w:rPr>
        <w:t>预期</w:t>
      </w:r>
      <w:r>
        <w:rPr>
          <w:rFonts w:hint="eastAsia" w:ascii="Times New Roman" w:hAnsi="Times New Roman" w:eastAsia="仿宋_GB2312" w:cs="仿宋_GB2312"/>
          <w:b w:val="0"/>
          <w:bCs w:val="0"/>
          <w:kern w:val="0"/>
          <w:position w:val="0"/>
          <w:sz w:val="32"/>
          <w:szCs w:val="32"/>
          <w:highlight w:val="none"/>
          <w:lang w:val="zh-CN" w:eastAsia="zh-CN" w:bidi="ar-SA"/>
        </w:rPr>
        <w:t>目标完成度、</w:t>
      </w:r>
      <w:r>
        <w:rPr>
          <w:rFonts w:hint="eastAsia" w:eastAsia="仿宋_GB2312" w:cs="仿宋_GB2312"/>
          <w:b w:val="0"/>
          <w:bCs w:val="0"/>
          <w:kern w:val="0"/>
          <w:position w:val="0"/>
          <w:sz w:val="32"/>
          <w:szCs w:val="32"/>
          <w:highlight w:val="none"/>
          <w:lang w:val="zh-CN" w:eastAsia="zh-CN" w:bidi="ar-SA"/>
        </w:rPr>
        <w:t>产生的</w:t>
      </w:r>
      <w:r>
        <w:rPr>
          <w:rFonts w:hint="eastAsia" w:ascii="Times New Roman" w:hAnsi="Times New Roman" w:eastAsia="仿宋_GB2312" w:cs="仿宋_GB2312"/>
          <w:b w:val="0"/>
          <w:bCs w:val="0"/>
          <w:kern w:val="0"/>
          <w:position w:val="0"/>
          <w:sz w:val="32"/>
          <w:szCs w:val="32"/>
          <w:highlight w:val="none"/>
          <w:lang w:val="zh-CN" w:eastAsia="zh-CN" w:bidi="ar-SA"/>
        </w:rPr>
        <w:t>社会效益等。评价重点</w:t>
      </w:r>
      <w:r>
        <w:rPr>
          <w:rFonts w:hint="eastAsia" w:eastAsia="仿宋_GB2312" w:cs="仿宋_GB2312"/>
          <w:b w:val="0"/>
          <w:bCs w:val="0"/>
          <w:kern w:val="0"/>
          <w:position w:val="0"/>
          <w:sz w:val="32"/>
          <w:szCs w:val="32"/>
          <w:highlight w:val="none"/>
          <w:lang w:val="zh-CN" w:eastAsia="zh-CN" w:bidi="ar-SA"/>
        </w:rPr>
        <w:t>为资金是否按期合规支出，预期</w:t>
      </w:r>
      <w:r>
        <w:rPr>
          <w:rFonts w:hint="eastAsia" w:ascii="Times New Roman" w:hAnsi="Times New Roman" w:eastAsia="仿宋_GB2312" w:cs="仿宋_GB2312"/>
          <w:b w:val="0"/>
          <w:bCs w:val="0"/>
          <w:kern w:val="0"/>
          <w:position w:val="0"/>
          <w:sz w:val="32"/>
          <w:szCs w:val="32"/>
          <w:highlight w:val="none"/>
          <w:lang w:val="zh-CN" w:eastAsia="zh-CN" w:bidi="ar-SA"/>
        </w:rPr>
        <w:t>目标实现情况及群众满意度</w:t>
      </w:r>
      <w:r>
        <w:rPr>
          <w:rFonts w:hint="eastAsia" w:eastAsia="仿宋_GB2312" w:cs="仿宋_GB2312"/>
          <w:b w:val="0"/>
          <w:bCs w:val="0"/>
          <w:kern w:val="0"/>
          <w:position w:val="0"/>
          <w:sz w:val="32"/>
          <w:szCs w:val="32"/>
          <w:highlight w:val="none"/>
          <w:lang w:val="zh-CN" w:eastAsia="zh-CN" w:bidi="ar-SA"/>
        </w:rPr>
        <w:t>。</w:t>
      </w:r>
    </w:p>
    <w:p w14:paraId="4D27F4C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仿宋_GB2312"/>
          <w:b w:val="0"/>
          <w:color w:val="auto"/>
          <w:kern w:val="0"/>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r>
        <w:rPr>
          <w:rFonts w:hint="eastAsia" w:eastAsia="仿宋_GB2312" w:cs="仿宋_GB2312"/>
          <w:b w:val="0"/>
          <w:color w:val="auto"/>
          <w:kern w:val="0"/>
          <w:sz w:val="32"/>
          <w:szCs w:val="32"/>
          <w:highlight w:val="none"/>
          <w:u w:val="none"/>
          <w:lang w:val="zh-CN"/>
        </w:rPr>
        <w:t>抽样点位为高笋乡全乡镇范围。</w:t>
      </w:r>
    </w:p>
    <w:p w14:paraId="0F06B8E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（四）评价方法。</w:t>
      </w:r>
      <w:r>
        <w:rPr>
          <w:rFonts w:hint="eastAsia" w:ascii="Times New Roman" w:hAnsi="Times New Roman" w:eastAsia="仿宋_GB2312" w:cs="仿宋_GB2312"/>
          <w:b w:val="0"/>
          <w:bCs w:val="0"/>
          <w:kern w:val="0"/>
          <w:position w:val="0"/>
          <w:sz w:val="32"/>
          <w:szCs w:val="32"/>
          <w:highlight w:val="none"/>
          <w:lang w:val="zh-CN" w:eastAsia="zh-CN" w:bidi="ar-SA"/>
        </w:rPr>
        <w:t>采用单位自评法结合实地勘察法进行分析，以实施效果和群众满意度为指标进行考量，综合打分。</w:t>
      </w:r>
    </w:p>
    <w:p w14:paraId="256E9F7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bCs/>
          <w:lang w:eastAsia="zh-CN"/>
        </w:rPr>
      </w:pPr>
      <w:r>
        <w:rPr>
          <w:rFonts w:hint="eastAsia" w:ascii="Times New Roman" w:hAnsi="Times New Roman" w:eastAsia="楷体_GB2312"/>
          <w:b/>
          <w:color w:val="auto"/>
          <w:sz w:val="32"/>
          <w:szCs w:val="32"/>
          <w:highlight w:val="none"/>
          <w:u w:val="none"/>
          <w:lang w:val="zh-CN"/>
        </w:rPr>
        <w:t>（五）评价组织。</w:t>
      </w:r>
      <w:r>
        <w:rPr>
          <w:rFonts w:hint="eastAsia" w:ascii="Times New Roman" w:hAnsi="Times New Roman" w:eastAsia="仿宋_GB2312" w:cs="仿宋_GB2312"/>
          <w:b w:val="0"/>
          <w:bCs w:val="0"/>
          <w:kern w:val="0"/>
          <w:position w:val="0"/>
          <w:sz w:val="32"/>
          <w:szCs w:val="32"/>
          <w:highlight w:val="none"/>
          <w:lang w:val="zh-CN" w:eastAsia="zh-CN" w:bidi="ar-SA"/>
        </w:rPr>
        <w:t>评价组成员包括乡政府财政、项目管理等部门人员，负责收集资料、现场考证、分析评价，职责分工明确，确保评价工作有序开展，评价结果客观公正。</w:t>
      </w:r>
    </w:p>
    <w:p w14:paraId="7D3ED313">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33FC7F5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14:paraId="496CA54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51F81D4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 项目决策。项目立项符合相关政策和实际需求，决策程序规范，规划论证充分，资金投向合理，聚焦重大任务、重点领域和重点项目，保障了基层重点领域工作开展。</w:t>
      </w:r>
    </w:p>
    <w:p w14:paraId="0DE4131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 项目管理。项目制度办法体系健全、要素完备，严格按规定程序进行分配管理，加强绩效监管，确保资金使用合规、安全、有力有效。</w:t>
      </w:r>
    </w:p>
    <w:p w14:paraId="7B69991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 项目实施。预算项目执行率较高，资金使用符合项目规定用途，</w:t>
      </w:r>
      <w:r>
        <w:rPr>
          <w:rFonts w:hint="eastAsia" w:eastAsia="仿宋_GB2312" w:cs="仿宋_GB2312"/>
          <w:b w:val="0"/>
          <w:bCs w:val="0"/>
          <w:kern w:val="0"/>
          <w:position w:val="0"/>
          <w:sz w:val="32"/>
          <w:szCs w:val="32"/>
          <w:highlight w:val="none"/>
          <w:lang w:val="en-US" w:eastAsia="zh-CN" w:bidi="ar-SA"/>
        </w:rPr>
        <w:t>项目</w:t>
      </w:r>
      <w:r>
        <w:rPr>
          <w:rFonts w:hint="eastAsia" w:ascii="Times New Roman" w:hAnsi="Times New Roman" w:eastAsia="仿宋_GB2312" w:cs="仿宋_GB2312"/>
          <w:b w:val="0"/>
          <w:bCs w:val="0"/>
          <w:kern w:val="0"/>
          <w:position w:val="0"/>
          <w:sz w:val="32"/>
          <w:szCs w:val="32"/>
          <w:highlight w:val="none"/>
          <w:lang w:val="en-US" w:eastAsia="zh-CN" w:bidi="ar-SA"/>
        </w:rPr>
        <w:t>按计划推进。</w:t>
      </w:r>
    </w:p>
    <w:p w14:paraId="1E06FDE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 项目结果。目标按时完成，完成时效符合要求，实施结果与绩效目标相匹配，取得了较好的社会效益。</w:t>
      </w:r>
    </w:p>
    <w:p w14:paraId="73D85D2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en-US" w:eastAsia="zh-CN"/>
        </w:rPr>
        <w:t>（二）专用指标绩效分析。</w:t>
      </w:r>
    </w:p>
    <w:p w14:paraId="5D281CD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围绕用途合规性、程序合规性、标准合规性进行绩效分析：</w:t>
      </w:r>
    </w:p>
    <w:p w14:paraId="6E9A44A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en-US" w:eastAsia="zh-CN" w:bidi="ar-SA"/>
        </w:rPr>
        <w:t>用途合规性：经费全部用于会议相关的场地、材料</w:t>
      </w:r>
      <w:r>
        <w:rPr>
          <w:rFonts w:hint="eastAsia" w:eastAsia="仿宋_GB2312" w:cs="仿宋_GB2312"/>
          <w:b w:val="0"/>
          <w:bCs w:val="0"/>
          <w:kern w:val="0"/>
          <w:position w:val="0"/>
          <w:sz w:val="32"/>
          <w:szCs w:val="32"/>
          <w:highlight w:val="none"/>
          <w:lang w:val="en-US" w:eastAsia="zh-CN" w:bidi="ar-SA"/>
        </w:rPr>
        <w:t>等</w:t>
      </w:r>
      <w:r>
        <w:rPr>
          <w:rFonts w:hint="eastAsia" w:ascii="Times New Roman" w:hAnsi="Times New Roman" w:eastAsia="仿宋_GB2312" w:cs="仿宋_GB2312"/>
          <w:b w:val="0"/>
          <w:bCs w:val="0"/>
          <w:kern w:val="0"/>
          <w:position w:val="0"/>
          <w:sz w:val="32"/>
          <w:szCs w:val="32"/>
          <w:highlight w:val="none"/>
          <w:lang w:val="en-US" w:eastAsia="zh-CN" w:bidi="ar-SA"/>
        </w:rPr>
        <w:t>必要支出，未用于与会议无关的活动，符合专项资金规定用途。</w:t>
      </w:r>
    </w:p>
    <w:p w14:paraId="247B789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en-US" w:eastAsia="zh-CN" w:bidi="ar-SA"/>
        </w:rPr>
        <w:t>程序合规性</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经费申请、审批、报销等环节遵循财务管理制度和审批流程，手续完备。</w:t>
      </w:r>
    </w:p>
    <w:p w14:paraId="2293BD8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3.</w:t>
      </w:r>
      <w:r>
        <w:rPr>
          <w:rFonts w:hint="eastAsia" w:ascii="Times New Roman" w:hAnsi="Times New Roman" w:eastAsia="仿宋_GB2312" w:cs="仿宋_GB2312"/>
          <w:b w:val="0"/>
          <w:bCs w:val="0"/>
          <w:kern w:val="0"/>
          <w:position w:val="0"/>
          <w:sz w:val="32"/>
          <w:szCs w:val="32"/>
          <w:highlight w:val="none"/>
          <w:lang w:val="en-US" w:eastAsia="zh-CN" w:bidi="ar-SA"/>
        </w:rPr>
        <w:t>标准合规性</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各项支出均未超过本级或上级规定的相应标准。</w:t>
      </w:r>
    </w:p>
    <w:p w14:paraId="37975F7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en-US" w:eastAsia="zh-CN"/>
        </w:rPr>
        <w:t>（三）个性指标绩效分析。</w:t>
      </w:r>
    </w:p>
    <w:p w14:paraId="6A8EEEA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en-US" w:eastAsia="zh-CN" w:bidi="ar-SA"/>
        </w:rPr>
        <w:t>会议材料质量与发放及时性</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会议文件印制清晰、装整齐全，内容准确无误，均能在会前及时送达代表手中。</w:t>
      </w:r>
    </w:p>
    <w:p w14:paraId="7F9A918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en-US" w:eastAsia="zh-CN" w:bidi="ar-SA"/>
        </w:rPr>
        <w:t>代表履职服务保障满意度</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通过问卷调查，代表对会议期间的会场服务、资料提供等方面的综合满意度达</w:t>
      </w:r>
      <w:r>
        <w:rPr>
          <w:rFonts w:hint="eastAsia" w:eastAsia="仿宋_GB2312" w:cs="仿宋_GB2312"/>
          <w:b w:val="0"/>
          <w:bCs w:val="0"/>
          <w:kern w:val="0"/>
          <w:position w:val="0"/>
          <w:sz w:val="32"/>
          <w:szCs w:val="32"/>
          <w:highlight w:val="none"/>
          <w:lang w:val="en-US" w:eastAsia="zh-CN" w:bidi="ar-SA"/>
        </w:rPr>
        <w:t>标</w:t>
      </w:r>
      <w:r>
        <w:rPr>
          <w:rFonts w:hint="eastAsia" w:ascii="Times New Roman" w:hAnsi="Times New Roman" w:eastAsia="仿宋_GB2312" w:cs="仿宋_GB2312"/>
          <w:b w:val="0"/>
          <w:bCs w:val="0"/>
          <w:kern w:val="0"/>
          <w:position w:val="0"/>
          <w:sz w:val="32"/>
          <w:szCs w:val="32"/>
          <w:highlight w:val="none"/>
          <w:lang w:val="en-US" w:eastAsia="zh-CN" w:bidi="ar-SA"/>
        </w:rPr>
        <w:t>。</w:t>
      </w:r>
    </w:p>
    <w:p w14:paraId="7D37BA0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3.</w:t>
      </w:r>
      <w:r>
        <w:rPr>
          <w:rFonts w:hint="eastAsia" w:ascii="Times New Roman" w:hAnsi="Times New Roman" w:eastAsia="仿宋_GB2312" w:cs="仿宋_GB2312"/>
          <w:b w:val="0"/>
          <w:bCs w:val="0"/>
          <w:kern w:val="0"/>
          <w:position w:val="0"/>
          <w:sz w:val="32"/>
          <w:szCs w:val="32"/>
          <w:highlight w:val="none"/>
          <w:lang w:val="en-US" w:eastAsia="zh-CN" w:bidi="ar-SA"/>
        </w:rPr>
        <w:t>会议效率与效果</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会议议程紧凑，讨论充分，审议事项均形成有效决议或意见，会议效率较高，达到了预期议事决策效果</w:t>
      </w:r>
      <w:r>
        <w:rPr>
          <w:rFonts w:hint="eastAsia" w:eastAsia="仿宋_GB2312" w:cs="仿宋_GB2312"/>
          <w:b w:val="0"/>
          <w:bCs w:val="0"/>
          <w:kern w:val="0"/>
          <w:position w:val="0"/>
          <w:sz w:val="32"/>
          <w:szCs w:val="32"/>
          <w:highlight w:val="none"/>
          <w:lang w:val="en-US" w:eastAsia="zh-CN" w:bidi="ar-SA"/>
        </w:rPr>
        <w:t>。</w:t>
      </w:r>
    </w:p>
    <w:p w14:paraId="1A176B0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41156B7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该</w:t>
      </w:r>
      <w:r>
        <w:rPr>
          <w:rFonts w:hint="eastAsia" w:ascii="Times New Roman" w:hAnsi="Times New Roman" w:eastAsia="仿宋_GB2312" w:cs="仿宋_GB2312"/>
          <w:b w:val="0"/>
          <w:bCs w:val="0"/>
          <w:kern w:val="0"/>
          <w:position w:val="0"/>
          <w:sz w:val="32"/>
          <w:szCs w:val="32"/>
          <w:highlight w:val="none"/>
          <w:lang w:val="en-US" w:eastAsia="zh-CN" w:bidi="ar-SA"/>
        </w:rPr>
        <w:t>项目资金使用总体规范，达到了保障</w:t>
      </w:r>
      <w:r>
        <w:rPr>
          <w:rFonts w:hint="eastAsia" w:eastAsia="仿宋_GB2312" w:cs="仿宋_GB2312"/>
          <w:b w:val="0"/>
          <w:bCs w:val="0"/>
          <w:kern w:val="0"/>
          <w:position w:val="0"/>
          <w:sz w:val="32"/>
          <w:szCs w:val="32"/>
          <w:highlight w:val="none"/>
          <w:lang w:val="en-US" w:eastAsia="zh-CN" w:bidi="ar-SA"/>
        </w:rPr>
        <w:t>我乡人代会会议圆满召开</w:t>
      </w:r>
      <w:r>
        <w:rPr>
          <w:rFonts w:hint="eastAsia" w:ascii="Times New Roman" w:hAnsi="Times New Roman" w:eastAsia="仿宋_GB2312" w:cs="仿宋_GB2312"/>
          <w:b w:val="0"/>
          <w:bCs w:val="0"/>
          <w:kern w:val="0"/>
          <w:position w:val="0"/>
          <w:sz w:val="32"/>
          <w:szCs w:val="32"/>
          <w:highlight w:val="none"/>
          <w:lang w:val="en-US" w:eastAsia="zh-CN" w:bidi="ar-SA"/>
        </w:rPr>
        <w:t>的预期目的，效果基本符合要求</w:t>
      </w:r>
      <w:r>
        <w:rPr>
          <w:rFonts w:hint="eastAsia" w:eastAsia="仿宋_GB2312" w:cs="仿宋_GB2312"/>
          <w:b w:val="0"/>
          <w:bCs w:val="0"/>
          <w:kern w:val="0"/>
          <w:position w:val="0"/>
          <w:sz w:val="32"/>
          <w:szCs w:val="32"/>
          <w:highlight w:val="none"/>
          <w:lang w:val="en-US" w:eastAsia="zh-CN" w:bidi="ar-SA"/>
        </w:rPr>
        <w:t>。</w:t>
      </w:r>
    </w:p>
    <w:p w14:paraId="2AC93C8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7730E14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会后跟踪问效机制欠缺</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对会议决议事项的落实情况和代表建议办理效果的跟踪反馈在经费保障中体现不足</w:t>
      </w:r>
      <w:r>
        <w:rPr>
          <w:rFonts w:hint="eastAsia" w:eastAsia="仿宋_GB2312" w:cs="仿宋_GB2312"/>
          <w:b w:val="0"/>
          <w:bCs w:val="0"/>
          <w:kern w:val="0"/>
          <w:position w:val="0"/>
          <w:sz w:val="32"/>
          <w:szCs w:val="32"/>
          <w:highlight w:val="none"/>
          <w:lang w:val="en-US" w:eastAsia="zh-CN" w:bidi="ar-SA"/>
        </w:rPr>
        <w:t>。</w:t>
      </w:r>
    </w:p>
    <w:p w14:paraId="0A91B49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1DFA783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健全会后评估与反馈机制</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建议在经费中适当考虑或单独安排用于会议效果评估、决议落实跟踪、代表反馈收集等方面的支出，建立闭环管理，提升会议成效。</w:t>
      </w:r>
    </w:p>
    <w:p w14:paraId="0D9878B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9363BF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FC1296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480515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65" w:name="_Toc15396618"/>
    </w:p>
    <w:p w14:paraId="2D7BF96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521C63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8BFE12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60FF27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C52F57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0ED3F87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5F869C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5E636FA8">
      <w:pPr>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br w:type="page"/>
      </w:r>
    </w:p>
    <w:p w14:paraId="5A8146D4">
      <w:pPr>
        <w:keepNext w:val="0"/>
        <w:keepLines w:val="0"/>
        <w:pageBreakBefore w:val="0"/>
        <w:widowControl w:val="0"/>
        <w:kinsoku/>
        <w:wordWrap/>
        <w:overflowPunct/>
        <w:topLinePunct w:val="0"/>
        <w:autoSpaceDE/>
        <w:autoSpaceDN/>
        <w:bidi w:val="0"/>
        <w:spacing w:line="578" w:lineRule="exact"/>
        <w:ind w:firstLine="640"/>
        <w:jc w:val="center"/>
        <w:textAlignment w:val="auto"/>
        <w:outlineLvl w:val="9"/>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14:paraId="3D5BF50A">
      <w:pPr>
        <w:keepNext w:val="0"/>
        <w:keepLines w:val="0"/>
        <w:pageBreakBefore w:val="0"/>
        <w:widowControl w:val="0"/>
        <w:kinsoku/>
        <w:wordWrap/>
        <w:overflowPunct/>
        <w:topLinePunct w:val="0"/>
        <w:autoSpaceDE/>
        <w:autoSpaceDN/>
        <w:bidi w:val="0"/>
        <w:spacing w:line="578" w:lineRule="exact"/>
        <w:ind w:firstLine="640"/>
        <w:jc w:val="center"/>
        <w:textAlignment w:val="auto"/>
        <w:outlineLvl w:val="9"/>
        <w:rPr>
          <w:rFonts w:hint="default" w:ascii="Times New Roman" w:hAnsi="Times New Roman" w:eastAsia="方正小标宋简体" w:cs="Times New Roman"/>
          <w:b w:val="0"/>
          <w:bCs w:val="0"/>
          <w:kern w:val="0"/>
          <w:position w:val="0"/>
          <w:sz w:val="44"/>
          <w:szCs w:val="44"/>
          <w:highlight w:val="none"/>
          <w:lang w:val="en-US" w:eastAsia="zh-CN" w:bidi="ar-SA"/>
        </w:rPr>
      </w:pPr>
      <w:r>
        <w:rPr>
          <w:rFonts w:hint="default" w:ascii="Times New Roman" w:hAnsi="Times New Roman" w:eastAsia="方正小标宋简体" w:cs="Times New Roman"/>
          <w:b w:val="0"/>
          <w:bCs w:val="0"/>
          <w:kern w:val="0"/>
          <w:position w:val="0"/>
          <w:sz w:val="44"/>
          <w:szCs w:val="44"/>
          <w:highlight w:val="none"/>
          <w:lang w:val="en-US" w:eastAsia="zh-CN" w:bidi="ar-SA"/>
        </w:rPr>
        <w:t>（乡镇普法依法治理经费）</w:t>
      </w:r>
    </w:p>
    <w:p w14:paraId="5449F9B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 xml:space="preserve"> </w:t>
      </w:r>
    </w:p>
    <w:p w14:paraId="6679037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06B9A65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Times New Roman"/>
          <w:b w:val="0"/>
          <w:bCs/>
          <w:color w:val="auto"/>
          <w:kern w:val="0"/>
          <w:sz w:val="32"/>
          <w:szCs w:val="32"/>
          <w:highlight w:val="none"/>
          <w:u w:val="none"/>
          <w:shd w:val="clear" w:color="auto" w:fill="FFFFFF"/>
          <w:lang w:val="zh-CN"/>
        </w:rPr>
      </w:pPr>
      <w:r>
        <w:rPr>
          <w:rFonts w:hint="eastAsia" w:ascii="Times New Roman" w:hAnsi="Times New Roman" w:eastAsia="楷体_GB2312"/>
          <w:b/>
          <w:color w:val="auto"/>
          <w:sz w:val="32"/>
          <w:szCs w:val="32"/>
          <w:highlight w:val="none"/>
          <w:u w:val="none"/>
          <w:lang w:val="zh-CN"/>
        </w:rPr>
        <w:t>（一）设立背景及基本情况。</w:t>
      </w:r>
      <w:r>
        <w:rPr>
          <w:rFonts w:hint="default" w:ascii="Times New Roman" w:hAnsi="Times New Roman" w:eastAsia="仿宋_GB2312" w:cs="Times New Roman"/>
          <w:b w:val="0"/>
          <w:bCs/>
          <w:color w:val="auto"/>
          <w:sz w:val="32"/>
          <w:szCs w:val="32"/>
          <w:highlight w:val="none"/>
          <w:u w:val="none"/>
          <w:lang w:val="zh-CN"/>
        </w:rPr>
        <w:t>本项目为</w:t>
      </w:r>
      <w:r>
        <w:rPr>
          <w:rFonts w:hint="eastAsia" w:ascii="Times New Roman" w:hAnsi="Times New Roman" w:eastAsia="仿宋_GB2312" w:cs="Times New Roman"/>
          <w:b w:val="0"/>
          <w:bCs/>
          <w:color w:val="auto"/>
          <w:sz w:val="32"/>
          <w:szCs w:val="32"/>
          <w:highlight w:val="none"/>
          <w:u w:val="none"/>
          <w:lang w:val="zh-CN"/>
        </w:rPr>
        <w:t>乡镇开展普法活动经费，项目主要内容包括：购置普法宣传资料；组织开展各类法治宣传活动（如国家宪法日、专项法律宣传等）；建设维护法治文化阵地（如宣传栏、广场、长廊等）；开展“民主法治示范村”创建活动；组织人民调解员、法律明白人、村（社区）干部法治培训；提供公共法律服务与支持等。</w:t>
      </w:r>
    </w:p>
    <w:p w14:paraId="52FD3663">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仿宋_GB2312" w:cs="Times New Roman"/>
          <w:b w:val="0"/>
          <w:bCs/>
          <w:color w:val="auto"/>
          <w:kern w:val="0"/>
          <w:position w:val="0"/>
          <w:sz w:val="32"/>
          <w:szCs w:val="32"/>
          <w:highlight w:val="none"/>
          <w:u w:val="none"/>
          <w:lang w:val="en-US" w:eastAsia="zh-CN" w:bidi="ar-SA"/>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r>
        <w:rPr>
          <w:rFonts w:hint="eastAsia" w:ascii="Times New Roman" w:hAnsi="Times New Roman" w:eastAsia="仿宋_GB2312" w:cs="Times New Roman"/>
          <w:b w:val="0"/>
          <w:bCs/>
          <w:color w:val="auto"/>
          <w:sz w:val="32"/>
          <w:szCs w:val="32"/>
          <w:highlight w:val="none"/>
          <w:u w:val="none"/>
          <w:lang w:val="en-US" w:eastAsia="zh-CN"/>
        </w:rPr>
        <w:t>项目实施目的是通过形式多样的法治宣传教育和服务活动，增强全乡群众法治观念，夯实基层社会法治基础，推动形成办事依法、遇事找法、解决问题用法、化解矛盾靠法的法治环境，服务我乡经济社会高质量发展和和谐稳定。资金支持方向聚焦于普法宣传、阵地建设、人员培训、依法治理实践等核心环节。</w:t>
      </w:r>
    </w:p>
    <w:p w14:paraId="740904C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r>
        <w:rPr>
          <w:rFonts w:hint="eastAsia" w:ascii="Times New Roman" w:hAnsi="Times New Roman" w:eastAsia="仿宋_GB2312" w:cs="仿宋_GB2312"/>
          <w:b w:val="0"/>
          <w:bCs w:val="0"/>
          <w:kern w:val="0"/>
          <w:position w:val="0"/>
          <w:sz w:val="32"/>
          <w:szCs w:val="32"/>
          <w:highlight w:val="none"/>
          <w:lang w:val="zh-CN" w:eastAsia="zh-CN" w:bidi="ar-SA"/>
        </w:rPr>
        <w:t>202</w:t>
      </w:r>
      <w:r>
        <w:rPr>
          <w:rFonts w:hint="eastAsia"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年该项目预算总额为</w:t>
      </w:r>
      <w:r>
        <w:rPr>
          <w:rFonts w:hint="eastAsia" w:eastAsia="仿宋_GB2312" w:cs="仿宋_GB2312"/>
          <w:b w:val="0"/>
          <w:bCs w:val="0"/>
          <w:kern w:val="0"/>
          <w:position w:val="0"/>
          <w:sz w:val="32"/>
          <w:szCs w:val="32"/>
          <w:highlight w:val="none"/>
          <w:lang w:val="en-US" w:eastAsia="zh-CN" w:bidi="ar-SA"/>
        </w:rPr>
        <w:t>0.40</w:t>
      </w:r>
      <w:r>
        <w:rPr>
          <w:rFonts w:hint="eastAsia" w:ascii="Times New Roman" w:hAnsi="Times New Roman" w:eastAsia="仿宋_GB2312" w:cs="仿宋_GB2312"/>
          <w:b w:val="0"/>
          <w:bCs w:val="0"/>
          <w:kern w:val="0"/>
          <w:position w:val="0"/>
          <w:sz w:val="32"/>
          <w:szCs w:val="32"/>
          <w:highlight w:val="none"/>
          <w:lang w:val="zh-CN" w:eastAsia="zh-CN" w:bidi="ar-SA"/>
        </w:rPr>
        <w:t>万元，其中县级财政资金</w:t>
      </w:r>
      <w:r>
        <w:rPr>
          <w:rFonts w:hint="eastAsia" w:eastAsia="仿宋_GB2312" w:cs="仿宋_GB2312"/>
          <w:b w:val="0"/>
          <w:bCs w:val="0"/>
          <w:kern w:val="0"/>
          <w:position w:val="0"/>
          <w:sz w:val="32"/>
          <w:szCs w:val="32"/>
          <w:highlight w:val="none"/>
          <w:lang w:val="en-US" w:eastAsia="zh-CN" w:bidi="ar-SA"/>
        </w:rPr>
        <w:t>0.40</w:t>
      </w:r>
      <w:r>
        <w:rPr>
          <w:rFonts w:hint="eastAsia" w:ascii="Times New Roman" w:hAnsi="Times New Roman" w:eastAsia="仿宋_GB2312" w:cs="仿宋_GB2312"/>
          <w:b w:val="0"/>
          <w:bCs w:val="0"/>
          <w:kern w:val="0"/>
          <w:position w:val="0"/>
          <w:sz w:val="32"/>
          <w:szCs w:val="32"/>
          <w:highlight w:val="none"/>
          <w:lang w:val="zh-CN" w:eastAsia="zh-CN" w:bidi="ar-SA"/>
        </w:rPr>
        <w:t>万元。分解下达预算资金</w:t>
      </w:r>
      <w:r>
        <w:rPr>
          <w:rFonts w:hint="eastAsia" w:eastAsia="仿宋_GB2312" w:cs="仿宋_GB2312"/>
          <w:b w:val="0"/>
          <w:bCs w:val="0"/>
          <w:kern w:val="0"/>
          <w:position w:val="0"/>
          <w:sz w:val="32"/>
          <w:szCs w:val="32"/>
          <w:highlight w:val="none"/>
          <w:lang w:val="en-US" w:eastAsia="zh-CN" w:bidi="ar-SA"/>
        </w:rPr>
        <w:t>0.40</w:t>
      </w:r>
      <w:r>
        <w:rPr>
          <w:rFonts w:hint="eastAsia" w:ascii="Times New Roman" w:hAnsi="Times New Roman" w:eastAsia="仿宋_GB2312" w:cs="仿宋_GB2312"/>
          <w:b w:val="0"/>
          <w:bCs w:val="0"/>
          <w:kern w:val="0"/>
          <w:position w:val="0"/>
          <w:sz w:val="32"/>
          <w:szCs w:val="32"/>
          <w:highlight w:val="none"/>
          <w:lang w:val="zh-CN" w:eastAsia="zh-CN" w:bidi="ar-SA"/>
        </w:rPr>
        <w:t>万元。用于支持其年度基本工作。</w:t>
      </w:r>
    </w:p>
    <w:p w14:paraId="4DC68613">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（四）项目绩效目标设置。</w:t>
      </w:r>
      <w:r>
        <w:rPr>
          <w:rFonts w:hint="eastAsia" w:ascii="Times New Roman" w:hAnsi="Times New Roman" w:eastAsia="仿宋_GB2312" w:cs="仿宋_GB2312"/>
          <w:b w:val="0"/>
          <w:bCs w:val="0"/>
          <w:kern w:val="0"/>
          <w:position w:val="0"/>
          <w:sz w:val="32"/>
          <w:szCs w:val="32"/>
          <w:highlight w:val="none"/>
          <w:lang w:val="zh-CN" w:eastAsia="zh-CN" w:bidi="ar-SA"/>
        </w:rPr>
        <w:t>项目整体绩效目标：提升本乡群众对法律法规的知晓度、法治精神的认同度、法治实践的参与度，推动基层治理法治化水平提升。</w:t>
      </w:r>
    </w:p>
    <w:p w14:paraId="164F861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2823124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（一）评价目的。</w:t>
      </w:r>
      <w:r>
        <w:rPr>
          <w:rFonts w:hint="eastAsia" w:ascii="Times New Roman" w:hAnsi="Times New Roman" w:eastAsia="仿宋_GB2312" w:cs="仿宋_GB2312"/>
          <w:b w:val="0"/>
          <w:bCs w:val="0"/>
          <w:kern w:val="0"/>
          <w:position w:val="0"/>
          <w:sz w:val="32"/>
          <w:szCs w:val="32"/>
          <w:highlight w:val="none"/>
          <w:lang w:val="zh-CN" w:eastAsia="zh-CN" w:bidi="ar-SA"/>
        </w:rPr>
        <w:t>通过对普法依法治理经费项目进行绩效自评，全面检验资金使用效益和工作成效，总结普法依法治理工作的经验与不足，为优化资源配置、改进工作方法、完善管理机制提供决策依据，不断提升普法工作的针对性和实效性。</w:t>
      </w:r>
    </w:p>
    <w:p w14:paraId="2BFF894C">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（二）预设问题及评价重点。</w:t>
      </w:r>
      <w:r>
        <w:rPr>
          <w:rFonts w:hint="eastAsia" w:ascii="Times New Roman" w:hAnsi="Times New Roman" w:eastAsia="仿宋_GB2312" w:cs="仿宋_GB2312"/>
          <w:b w:val="0"/>
          <w:bCs w:val="0"/>
          <w:kern w:val="0"/>
          <w:position w:val="0"/>
          <w:sz w:val="32"/>
          <w:szCs w:val="32"/>
          <w:highlight w:val="none"/>
          <w:lang w:val="zh-CN" w:eastAsia="zh-CN" w:bidi="ar-SA"/>
        </w:rPr>
        <w:t>评价重点围绕：项目预算编制与实际需求匹配度；资金拨付及时性；支出范围与标准合规性；各项普法活动及治理任务完成数量与质量；法治宣传覆盖面与影响力；法治环境改善程度；群众满意度等。</w:t>
      </w:r>
    </w:p>
    <w:p w14:paraId="6EE11A2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仿宋_GB2312"/>
          <w:b w:val="0"/>
          <w:color w:val="auto"/>
          <w:kern w:val="0"/>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r>
        <w:rPr>
          <w:rFonts w:hint="eastAsia" w:eastAsia="仿宋_GB2312" w:cs="仿宋_GB2312"/>
          <w:b w:val="0"/>
          <w:color w:val="auto"/>
          <w:kern w:val="0"/>
          <w:sz w:val="32"/>
          <w:szCs w:val="32"/>
          <w:highlight w:val="none"/>
          <w:u w:val="none"/>
          <w:lang w:val="zh-CN"/>
        </w:rPr>
        <w:t>抽样点位为高笋乡全乡镇范围。</w:t>
      </w:r>
    </w:p>
    <w:p w14:paraId="4719290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（四）评价方法。</w:t>
      </w:r>
      <w:r>
        <w:rPr>
          <w:rFonts w:hint="eastAsia" w:ascii="Times New Roman" w:hAnsi="Times New Roman" w:eastAsia="仿宋_GB2312" w:cs="仿宋_GB2312"/>
          <w:b w:val="0"/>
          <w:bCs w:val="0"/>
          <w:kern w:val="0"/>
          <w:position w:val="0"/>
          <w:sz w:val="32"/>
          <w:szCs w:val="32"/>
          <w:highlight w:val="none"/>
          <w:lang w:val="zh-CN" w:eastAsia="zh-CN" w:bidi="ar-SA"/>
        </w:rPr>
        <w:t>采用单位自评法结合实地勘察法进行分析，以实施效果和群众满意度为指标进行考量，综合打分。</w:t>
      </w:r>
    </w:p>
    <w:p w14:paraId="17BCACE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bCs/>
          <w:lang w:eastAsia="zh-CN"/>
        </w:rPr>
      </w:pPr>
      <w:r>
        <w:rPr>
          <w:rFonts w:hint="eastAsia" w:ascii="Times New Roman" w:hAnsi="Times New Roman" w:eastAsia="楷体_GB2312"/>
          <w:b/>
          <w:color w:val="auto"/>
          <w:sz w:val="32"/>
          <w:szCs w:val="32"/>
          <w:highlight w:val="none"/>
          <w:u w:val="none"/>
          <w:lang w:val="zh-CN"/>
        </w:rPr>
        <w:t>（五）评价组织。</w:t>
      </w:r>
      <w:r>
        <w:rPr>
          <w:rFonts w:hint="eastAsia" w:ascii="Times New Roman" w:hAnsi="Times New Roman" w:eastAsia="仿宋_GB2312" w:cs="仿宋_GB2312"/>
          <w:b w:val="0"/>
          <w:bCs w:val="0"/>
          <w:kern w:val="0"/>
          <w:position w:val="0"/>
          <w:sz w:val="32"/>
          <w:szCs w:val="32"/>
          <w:highlight w:val="none"/>
          <w:lang w:val="zh-CN" w:eastAsia="zh-CN" w:bidi="ar-SA"/>
        </w:rPr>
        <w:t>评价组成员包括乡政府财政、项目管理等部门人员，负责收集资料、现场考证、分析评价，职责分工明确，确保评价工作有序开展，评价结果客观公正。</w:t>
      </w:r>
    </w:p>
    <w:p w14:paraId="249EDD48">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2450B3C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14:paraId="50E08BE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3BDCDC0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1.项目决策：项目设立符合国家宏观政策与地方法治建设规划，立项依据充分，审批程序规范。资金投向紧密围绕普法依法治理核心任务，决策科学。</w:t>
      </w:r>
    </w:p>
    <w:p w14:paraId="66E3BA7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2.项目管理：建立了相应的经费使用管理规定或执行上级规定，资金分配流程清晰。绩效目标设定基本明确。</w:t>
      </w:r>
    </w:p>
    <w:p w14:paraId="2647AF3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3.项目实施：预算执行率为100%，资金拨付及时。支出手续基本完备，符合财务规定。</w:t>
      </w:r>
    </w:p>
    <w:p w14:paraId="4A8601F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4.项目结果：年度计划的主要活动和任务均已完成，产出数量指标基本达成。</w:t>
      </w:r>
    </w:p>
    <w:p w14:paraId="5AB4755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en-US" w:eastAsia="zh-CN"/>
        </w:rPr>
        <w:t>（二）专用指标绩效分析。</w:t>
      </w:r>
    </w:p>
    <w:p w14:paraId="3E82BD9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围绕区域均衡性、对象精准性、标准合理性、群众满意度进行绩效分析：</w:t>
      </w:r>
    </w:p>
    <w:p w14:paraId="49DF27F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1.区域均衡性：普法活动覆盖了我乡所有村（社区），但在不同区域的投入强度和活动频次存在一定差异，均衡性有待加强。</w:t>
      </w:r>
    </w:p>
    <w:p w14:paraId="25844FB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2.标准合理性：活动支出标准基本参照相关规定执行。</w:t>
      </w:r>
    </w:p>
    <w:p w14:paraId="43EF8E1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3.群众满意度：群众对普法宣传活动的形式、内容和效果的满意度达到预期目标。</w:t>
      </w:r>
    </w:p>
    <w:p w14:paraId="23A43E4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en-US" w:eastAsia="zh-CN"/>
        </w:rPr>
        <w:t>（三）个性指标绩效分析。</w:t>
      </w:r>
    </w:p>
    <w:p w14:paraId="232C832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法治阵地利用率与效果：安坪村建设的法治文化阵地基本得到有效利用和维护，成为群众休闲学法的重要场所，但内容更新频率和互动性可进一步提升。</w:t>
      </w:r>
    </w:p>
    <w:p w14:paraId="020CC8D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“法律明白人”作用发挥度：经过培训的“法律明白人”在政策宣讲、矛盾调解、法律服务引导中的作用初步显现，但能力水平和参与积极性个体差异较大。</w:t>
      </w:r>
    </w:p>
    <w:p w14:paraId="0D362FD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矛盾纠纷源头化解率：通过普法与依法治理相结合，本年度矛盾纠纷调解成功率高，法治环境持续改善。</w:t>
      </w:r>
    </w:p>
    <w:p w14:paraId="79D193F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0B7C85C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乡镇普法依法治理经费项目决策科学，管理规范，有效保障了我乡各项普法宣传和依法治理活动的开展，基本完成了年度绩效目标，在提升群众法治意识、服务基层治理方面取得了阶段性成效。但在资源均衡配置、工作深度及长效性方面仍需加强。</w:t>
      </w:r>
    </w:p>
    <w:p w14:paraId="5E13ECB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63E03C3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1.普法资源分布不够均衡：对偏远村组的普法资源投入和活动覆盖相对较弱，形式较为传统。</w:t>
      </w:r>
    </w:p>
    <w:p w14:paraId="3D13F08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2.工作成效量化评估不足：对普法宣传的中长期效果、行为改变程度等缺乏有效的跟踪评估机制和量化指标。</w:t>
      </w:r>
    </w:p>
    <w:p w14:paraId="070BA9B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3.创新性与吸引力需增强：普法形式仍以传统发资料、挂横幅、办讲座为主，创新形式不足。</w:t>
      </w:r>
    </w:p>
    <w:p w14:paraId="536CDBF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7EE5130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1.优化资源配置与覆盖：在制定年度计划时，更加注重向普法资源薄弱区域倾斜，探索利用流动普法车</w:t>
      </w:r>
      <w:r>
        <w:rPr>
          <w:rFonts w:hint="eastAsia" w:eastAsia="仿宋_GB2312" w:cs="仿宋_GB2312"/>
          <w:b w:val="0"/>
          <w:bCs w:val="0"/>
          <w:kern w:val="0"/>
          <w:position w:val="0"/>
          <w:sz w:val="32"/>
          <w:szCs w:val="32"/>
          <w:highlight w:val="none"/>
          <w:lang w:val="en-US" w:eastAsia="zh-CN" w:bidi="ar-SA"/>
        </w:rPr>
        <w:t>宣传</w:t>
      </w:r>
      <w:r>
        <w:rPr>
          <w:rFonts w:hint="eastAsia" w:ascii="Times New Roman" w:hAnsi="Times New Roman" w:eastAsia="仿宋_GB2312" w:cs="仿宋_GB2312"/>
          <w:b w:val="0"/>
          <w:bCs w:val="0"/>
          <w:kern w:val="0"/>
          <w:position w:val="0"/>
          <w:sz w:val="32"/>
          <w:szCs w:val="32"/>
          <w:highlight w:val="none"/>
          <w:lang w:val="en-US" w:eastAsia="zh-CN" w:bidi="ar-SA"/>
        </w:rPr>
        <w:t>、线上普法等方式扩大覆盖面和提升均衡性。</w:t>
      </w:r>
    </w:p>
    <w:p w14:paraId="678C5CE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2.建立健全效果评估机制：探索引入第三方评估或建立常态化的普法效果反馈机制，设置更多可量化的效益指标，加强对工作成效的跟踪问效。</w:t>
      </w:r>
    </w:p>
    <w:p w14:paraId="7621824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3.推动普法形式创新： 鼓励采用微视频、法治文艺演出、线上有奖竞答、模拟法庭等更贴近群众生活、更具吸引力的普法形式，提升普法工作的时代感和实效性。</w:t>
      </w:r>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438D58B8">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62"/>
      <w:bookmarkEnd w:id="65"/>
      <w:bookmarkStart w:id="66" w:name="_Toc15396619"/>
    </w:p>
    <w:p w14:paraId="1225015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4A05B34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66"/>
    </w:p>
    <w:p w14:paraId="6C68B50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0"/>
      <w:r>
        <w:rPr>
          <w:rFonts w:hint="eastAsia" w:ascii="Times New Roman" w:hAnsi="Times New Roman" w:eastAsia="仿宋_GB2312" w:cs="仿宋_GB2312"/>
          <w:color w:val="auto"/>
          <w:sz w:val="32"/>
          <w:szCs w:val="32"/>
          <w:highlight w:val="none"/>
        </w:rPr>
        <w:t>二、收入决算表</w:t>
      </w:r>
      <w:bookmarkEnd w:id="67"/>
    </w:p>
    <w:p w14:paraId="587A69D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1"/>
      <w:r>
        <w:rPr>
          <w:rFonts w:hint="eastAsia" w:ascii="Times New Roman" w:hAnsi="Times New Roman" w:eastAsia="仿宋_GB2312" w:cs="仿宋_GB2312"/>
          <w:color w:val="auto"/>
          <w:sz w:val="32"/>
          <w:szCs w:val="32"/>
          <w:highlight w:val="none"/>
        </w:rPr>
        <w:t>三、支出决算表</w:t>
      </w:r>
      <w:bookmarkEnd w:id="68"/>
    </w:p>
    <w:p w14:paraId="1C457D2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2"/>
      <w:r>
        <w:rPr>
          <w:rFonts w:hint="eastAsia" w:ascii="Times New Roman" w:hAnsi="Times New Roman" w:eastAsia="仿宋_GB2312" w:cs="仿宋_GB2312"/>
          <w:color w:val="auto"/>
          <w:sz w:val="32"/>
          <w:szCs w:val="32"/>
          <w:highlight w:val="none"/>
        </w:rPr>
        <w:t>四、财政拨款收入支出决算总表</w:t>
      </w:r>
      <w:bookmarkEnd w:id="69"/>
    </w:p>
    <w:p w14:paraId="3F6D578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23"/>
      <w:r>
        <w:rPr>
          <w:rFonts w:hint="eastAsia" w:ascii="Times New Roman" w:hAnsi="Times New Roman" w:eastAsia="仿宋_GB2312" w:cs="仿宋_GB2312"/>
          <w:color w:val="auto"/>
          <w:sz w:val="32"/>
          <w:szCs w:val="32"/>
          <w:highlight w:val="none"/>
        </w:rPr>
        <w:t>五、财政拨款支出决算明细表</w:t>
      </w:r>
      <w:bookmarkEnd w:id="70"/>
      <w:bookmarkStart w:id="71" w:name="_Toc15396624"/>
    </w:p>
    <w:p w14:paraId="40AE271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71"/>
    </w:p>
    <w:p w14:paraId="573409A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2" w:name="_Toc15396625"/>
      <w:r>
        <w:rPr>
          <w:rFonts w:hint="eastAsia" w:ascii="Times New Roman" w:hAnsi="Times New Roman" w:eastAsia="仿宋_GB2312" w:cs="仿宋_GB2312"/>
          <w:color w:val="auto"/>
          <w:sz w:val="32"/>
          <w:szCs w:val="32"/>
          <w:highlight w:val="none"/>
        </w:rPr>
        <w:t>七、一般公共预算财政拨款支出决算明细表</w:t>
      </w:r>
      <w:bookmarkEnd w:id="72"/>
    </w:p>
    <w:p w14:paraId="22AD6C7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3" w:name="_Toc15396626"/>
      <w:r>
        <w:rPr>
          <w:rFonts w:hint="eastAsia" w:ascii="Times New Roman" w:hAnsi="Times New Roman" w:eastAsia="仿宋_GB2312" w:cs="仿宋_GB2312"/>
          <w:color w:val="auto"/>
          <w:sz w:val="32"/>
          <w:szCs w:val="32"/>
          <w:highlight w:val="none"/>
        </w:rPr>
        <w:t>八、一般公共预算财政拨款基本支出决算表</w:t>
      </w:r>
      <w:bookmarkEnd w:id="73"/>
    </w:p>
    <w:p w14:paraId="13F6824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4" w:name="_Toc15396627"/>
      <w:r>
        <w:rPr>
          <w:rFonts w:hint="eastAsia" w:ascii="Times New Roman" w:hAnsi="Times New Roman" w:eastAsia="仿宋_GB2312" w:cs="仿宋_GB2312"/>
          <w:color w:val="auto"/>
          <w:sz w:val="32"/>
          <w:szCs w:val="32"/>
          <w:highlight w:val="none"/>
        </w:rPr>
        <w:t>九、一般公共预算财政拨款项目支出决算表</w:t>
      </w:r>
      <w:bookmarkEnd w:id="74"/>
    </w:p>
    <w:p w14:paraId="694001B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5" w:name="_Toc15396628"/>
      <w:r>
        <w:rPr>
          <w:rFonts w:hint="eastAsia" w:ascii="Times New Roman" w:hAnsi="Times New Roman" w:eastAsia="仿宋_GB2312" w:cs="仿宋_GB2312"/>
          <w:color w:val="auto"/>
          <w:sz w:val="32"/>
          <w:szCs w:val="32"/>
          <w:highlight w:val="none"/>
        </w:rPr>
        <w:t>十、</w:t>
      </w:r>
      <w:bookmarkEnd w:id="75"/>
      <w:r>
        <w:rPr>
          <w:rFonts w:hint="eastAsia" w:ascii="Times New Roman" w:hAnsi="Times New Roman" w:eastAsia="仿宋_GB2312" w:cs="仿宋_GB2312"/>
          <w:color w:val="auto"/>
          <w:sz w:val="32"/>
          <w:szCs w:val="32"/>
          <w:highlight w:val="none"/>
        </w:rPr>
        <w:t>政府性基金预算财政拨款收入支出决算表</w:t>
      </w:r>
    </w:p>
    <w:p w14:paraId="33AE901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6" w:name="_Toc15396629"/>
      <w:r>
        <w:rPr>
          <w:rFonts w:hint="eastAsia" w:ascii="Times New Roman" w:hAnsi="Times New Roman" w:eastAsia="仿宋_GB2312" w:cs="仿宋_GB2312"/>
          <w:color w:val="auto"/>
          <w:sz w:val="32"/>
          <w:szCs w:val="32"/>
          <w:highlight w:val="none"/>
        </w:rPr>
        <w:t>十一、</w:t>
      </w:r>
      <w:bookmarkEnd w:id="7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5C85016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7" w:name="_Toc15396630"/>
      <w:r>
        <w:rPr>
          <w:rFonts w:hint="eastAsia" w:ascii="Times New Roman" w:hAnsi="Times New Roman" w:eastAsia="仿宋_GB2312" w:cs="仿宋_GB2312"/>
          <w:color w:val="auto"/>
          <w:sz w:val="32"/>
          <w:szCs w:val="32"/>
          <w:highlight w:val="none"/>
        </w:rPr>
        <w:t>十二、</w:t>
      </w:r>
      <w:bookmarkEnd w:id="77"/>
      <w:r>
        <w:rPr>
          <w:rFonts w:hint="eastAsia" w:ascii="Times New Roman" w:hAnsi="Times New Roman" w:eastAsia="仿宋_GB2312" w:cs="仿宋_GB2312"/>
          <w:color w:val="auto"/>
          <w:sz w:val="32"/>
          <w:szCs w:val="32"/>
          <w:highlight w:val="none"/>
          <w:lang w:eastAsia="zh-CN"/>
        </w:rPr>
        <w:t>国有资本经营预算财政拨款支出决算表</w:t>
      </w:r>
    </w:p>
    <w:p w14:paraId="6B6FC92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8" w:name="_Toc15396631"/>
      <w:r>
        <w:rPr>
          <w:rFonts w:hint="eastAsia" w:ascii="Times New Roman" w:hAnsi="Times New Roman" w:eastAsia="仿宋_GB2312" w:cs="仿宋_GB2312"/>
          <w:color w:val="auto"/>
          <w:sz w:val="32"/>
          <w:szCs w:val="32"/>
          <w:highlight w:val="none"/>
        </w:rPr>
        <w:t>十三、</w:t>
      </w:r>
      <w:bookmarkEnd w:id="78"/>
      <w:r>
        <w:rPr>
          <w:rFonts w:hint="eastAsia" w:ascii="Times New Roman" w:hAnsi="Times New Roman" w:eastAsia="仿宋_GB2312" w:cs="仿宋_GB2312"/>
          <w:color w:val="auto"/>
          <w:sz w:val="32"/>
          <w:szCs w:val="32"/>
          <w:highlight w:val="none"/>
          <w:lang w:eastAsia="zh-CN"/>
        </w:rPr>
        <w:t>财政拨款“三公”经费支出决算表</w:t>
      </w:r>
    </w:p>
    <w:p w14:paraId="3F3A0490">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2ADE5">
    <w:pPr>
      <w:pStyle w:val="11"/>
      <w:jc w:val="center"/>
    </w:pPr>
  </w:p>
  <w:p w14:paraId="2A68B372">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D9153">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1FA0A">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361FA0A">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22379B8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D24B6">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9E9B4">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BD9E9B4">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79577">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DFB0EB"/>
    <w:multiLevelType w:val="singleLevel"/>
    <w:tmpl w:val="D3DFB0EB"/>
    <w:lvl w:ilvl="0" w:tentative="0">
      <w:start w:val="2"/>
      <w:numFmt w:val="chineseCounting"/>
      <w:suff w:val="nothing"/>
      <w:lvlText w:val="（%1）"/>
      <w:lvlJc w:val="left"/>
      <w:rPr>
        <w:rFonts w:hint="eastAsia"/>
      </w:rPr>
    </w:lvl>
  </w:abstractNum>
  <w:abstractNum w:abstractNumId="1">
    <w:nsid w:val="3401C3A6"/>
    <w:multiLevelType w:val="singleLevel"/>
    <w:tmpl w:val="3401C3A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A00800"/>
    <w:rsid w:val="02A07D00"/>
    <w:rsid w:val="02D14C40"/>
    <w:rsid w:val="02FEBE30"/>
    <w:rsid w:val="040548D3"/>
    <w:rsid w:val="04904FA7"/>
    <w:rsid w:val="04916F1E"/>
    <w:rsid w:val="04E64F3B"/>
    <w:rsid w:val="059D1F8D"/>
    <w:rsid w:val="060317A8"/>
    <w:rsid w:val="061E35DE"/>
    <w:rsid w:val="066E0107"/>
    <w:rsid w:val="07824A17"/>
    <w:rsid w:val="07996F6E"/>
    <w:rsid w:val="07DFD8BA"/>
    <w:rsid w:val="09867E8F"/>
    <w:rsid w:val="0990226B"/>
    <w:rsid w:val="09B94F9F"/>
    <w:rsid w:val="09E80551"/>
    <w:rsid w:val="0A2032A3"/>
    <w:rsid w:val="0A5C7676"/>
    <w:rsid w:val="0A60541B"/>
    <w:rsid w:val="0AC478E3"/>
    <w:rsid w:val="0B4B1C27"/>
    <w:rsid w:val="0BE45BE5"/>
    <w:rsid w:val="0C4B49F2"/>
    <w:rsid w:val="0CA8290A"/>
    <w:rsid w:val="0D35B1ED"/>
    <w:rsid w:val="0E254B6B"/>
    <w:rsid w:val="0F645F24"/>
    <w:rsid w:val="0F98263C"/>
    <w:rsid w:val="101860EC"/>
    <w:rsid w:val="101F47CC"/>
    <w:rsid w:val="10A157DE"/>
    <w:rsid w:val="10C055FF"/>
    <w:rsid w:val="10DB639B"/>
    <w:rsid w:val="11694EBD"/>
    <w:rsid w:val="11772AA4"/>
    <w:rsid w:val="118107EC"/>
    <w:rsid w:val="11C10E95"/>
    <w:rsid w:val="1274518F"/>
    <w:rsid w:val="12E24EE2"/>
    <w:rsid w:val="131B6383"/>
    <w:rsid w:val="13A12DDD"/>
    <w:rsid w:val="13D50BC4"/>
    <w:rsid w:val="146E4BD8"/>
    <w:rsid w:val="14B17F78"/>
    <w:rsid w:val="1554390E"/>
    <w:rsid w:val="15CE5CA7"/>
    <w:rsid w:val="16390046"/>
    <w:rsid w:val="165E0673"/>
    <w:rsid w:val="16B831D5"/>
    <w:rsid w:val="16BB723D"/>
    <w:rsid w:val="16D768B8"/>
    <w:rsid w:val="17E50567"/>
    <w:rsid w:val="17FF27B0"/>
    <w:rsid w:val="18285388"/>
    <w:rsid w:val="186504BB"/>
    <w:rsid w:val="187D6161"/>
    <w:rsid w:val="189A5FCD"/>
    <w:rsid w:val="18F55160"/>
    <w:rsid w:val="191F1E3D"/>
    <w:rsid w:val="19267830"/>
    <w:rsid w:val="19A445FC"/>
    <w:rsid w:val="1BAD27BA"/>
    <w:rsid w:val="1BC70B3D"/>
    <w:rsid w:val="1BE8440E"/>
    <w:rsid w:val="1D0A54DE"/>
    <w:rsid w:val="1D155CEE"/>
    <w:rsid w:val="1D1638FE"/>
    <w:rsid w:val="1E2B6CB1"/>
    <w:rsid w:val="1E312DEB"/>
    <w:rsid w:val="1E740ACF"/>
    <w:rsid w:val="1FF35744"/>
    <w:rsid w:val="1FF6BC77"/>
    <w:rsid w:val="203641A9"/>
    <w:rsid w:val="208A6CE1"/>
    <w:rsid w:val="208F07B1"/>
    <w:rsid w:val="20B83BEE"/>
    <w:rsid w:val="215160EA"/>
    <w:rsid w:val="2186353C"/>
    <w:rsid w:val="21B12080"/>
    <w:rsid w:val="21B93937"/>
    <w:rsid w:val="222A1A6A"/>
    <w:rsid w:val="224B3737"/>
    <w:rsid w:val="22D14B46"/>
    <w:rsid w:val="23514EB6"/>
    <w:rsid w:val="23860B96"/>
    <w:rsid w:val="240371BF"/>
    <w:rsid w:val="244F3473"/>
    <w:rsid w:val="24C97D99"/>
    <w:rsid w:val="25A718F0"/>
    <w:rsid w:val="25BB59F6"/>
    <w:rsid w:val="260F557C"/>
    <w:rsid w:val="26414594"/>
    <w:rsid w:val="26970054"/>
    <w:rsid w:val="27C052F3"/>
    <w:rsid w:val="27DD5EA5"/>
    <w:rsid w:val="280A7820"/>
    <w:rsid w:val="281408E2"/>
    <w:rsid w:val="2917694A"/>
    <w:rsid w:val="29FD04D3"/>
    <w:rsid w:val="2BC41856"/>
    <w:rsid w:val="2BFF7BC6"/>
    <w:rsid w:val="2C11436F"/>
    <w:rsid w:val="2C8A61B5"/>
    <w:rsid w:val="2D23435A"/>
    <w:rsid w:val="2D3622E0"/>
    <w:rsid w:val="2DF04E50"/>
    <w:rsid w:val="2E3A797F"/>
    <w:rsid w:val="2E443131"/>
    <w:rsid w:val="2E586DFA"/>
    <w:rsid w:val="2F040D46"/>
    <w:rsid w:val="2F6B035B"/>
    <w:rsid w:val="2FA51ED7"/>
    <w:rsid w:val="2FAE5751"/>
    <w:rsid w:val="2FB1A395"/>
    <w:rsid w:val="2FD9A7D8"/>
    <w:rsid w:val="2FDBF714"/>
    <w:rsid w:val="30AB6865"/>
    <w:rsid w:val="317A2F6C"/>
    <w:rsid w:val="319F7F4E"/>
    <w:rsid w:val="31A060AB"/>
    <w:rsid w:val="31C37E05"/>
    <w:rsid w:val="32BD1EF1"/>
    <w:rsid w:val="32D75353"/>
    <w:rsid w:val="3304709D"/>
    <w:rsid w:val="33A773CB"/>
    <w:rsid w:val="33CC7257"/>
    <w:rsid w:val="342950FC"/>
    <w:rsid w:val="349D6851"/>
    <w:rsid w:val="36AA5135"/>
    <w:rsid w:val="36BE0DA7"/>
    <w:rsid w:val="376B6AA6"/>
    <w:rsid w:val="376D39B2"/>
    <w:rsid w:val="37E16F03"/>
    <w:rsid w:val="37F53A3B"/>
    <w:rsid w:val="380E7F06"/>
    <w:rsid w:val="389B6C89"/>
    <w:rsid w:val="38D469F0"/>
    <w:rsid w:val="39092567"/>
    <w:rsid w:val="39627CCD"/>
    <w:rsid w:val="397BAF1F"/>
    <w:rsid w:val="3A1632DF"/>
    <w:rsid w:val="3AB79AF3"/>
    <w:rsid w:val="3AE834C0"/>
    <w:rsid w:val="3B7EF35A"/>
    <w:rsid w:val="3B9FDB6C"/>
    <w:rsid w:val="3BD92649"/>
    <w:rsid w:val="3BF5BC2F"/>
    <w:rsid w:val="3CCF1E09"/>
    <w:rsid w:val="3CEBA265"/>
    <w:rsid w:val="3D98207C"/>
    <w:rsid w:val="3DEE7CF3"/>
    <w:rsid w:val="3E740A63"/>
    <w:rsid w:val="3E78745D"/>
    <w:rsid w:val="3EE17838"/>
    <w:rsid w:val="3F55381A"/>
    <w:rsid w:val="3F7F7599"/>
    <w:rsid w:val="3FF4CAE0"/>
    <w:rsid w:val="3FF7B227"/>
    <w:rsid w:val="40BA72C4"/>
    <w:rsid w:val="414D3CA9"/>
    <w:rsid w:val="43452E25"/>
    <w:rsid w:val="43E04D06"/>
    <w:rsid w:val="446C2633"/>
    <w:rsid w:val="44D73F50"/>
    <w:rsid w:val="44E268DA"/>
    <w:rsid w:val="450D13D7"/>
    <w:rsid w:val="45291EF1"/>
    <w:rsid w:val="45506656"/>
    <w:rsid w:val="461B6788"/>
    <w:rsid w:val="486A6C7A"/>
    <w:rsid w:val="48EA663A"/>
    <w:rsid w:val="49027ABA"/>
    <w:rsid w:val="49C976E4"/>
    <w:rsid w:val="4A627F82"/>
    <w:rsid w:val="4A9D3546"/>
    <w:rsid w:val="4B0E749A"/>
    <w:rsid w:val="4B2477C4"/>
    <w:rsid w:val="4B4F25DA"/>
    <w:rsid w:val="4B57439F"/>
    <w:rsid w:val="4BCA48A0"/>
    <w:rsid w:val="4BE068DB"/>
    <w:rsid w:val="4BE879F5"/>
    <w:rsid w:val="4C674AF5"/>
    <w:rsid w:val="4CFF4044"/>
    <w:rsid w:val="4D577224"/>
    <w:rsid w:val="4DBF1CEB"/>
    <w:rsid w:val="4DCF3F1E"/>
    <w:rsid w:val="4DF0007C"/>
    <w:rsid w:val="4E8F2EC5"/>
    <w:rsid w:val="4EAB630A"/>
    <w:rsid w:val="4ECE2238"/>
    <w:rsid w:val="4F833267"/>
    <w:rsid w:val="4FE9BD67"/>
    <w:rsid w:val="4FFB052F"/>
    <w:rsid w:val="5330023E"/>
    <w:rsid w:val="537E6D0A"/>
    <w:rsid w:val="53F74C96"/>
    <w:rsid w:val="55170BA8"/>
    <w:rsid w:val="553218C9"/>
    <w:rsid w:val="567E1AA5"/>
    <w:rsid w:val="56E47B74"/>
    <w:rsid w:val="56F800A1"/>
    <w:rsid w:val="57175D52"/>
    <w:rsid w:val="57BD3DD4"/>
    <w:rsid w:val="59F914E6"/>
    <w:rsid w:val="5A6E12EB"/>
    <w:rsid w:val="5AE34FA5"/>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1C91F75"/>
    <w:rsid w:val="62BF3928"/>
    <w:rsid w:val="63B3701E"/>
    <w:rsid w:val="63C4349A"/>
    <w:rsid w:val="643B5584"/>
    <w:rsid w:val="647F5392"/>
    <w:rsid w:val="65E66580"/>
    <w:rsid w:val="664B1D71"/>
    <w:rsid w:val="664B4E8E"/>
    <w:rsid w:val="66A852F5"/>
    <w:rsid w:val="67277B67"/>
    <w:rsid w:val="67AA3209"/>
    <w:rsid w:val="68F95994"/>
    <w:rsid w:val="692857E0"/>
    <w:rsid w:val="698D0931"/>
    <w:rsid w:val="69E421A0"/>
    <w:rsid w:val="6A7FE5F3"/>
    <w:rsid w:val="6B053271"/>
    <w:rsid w:val="6BDD78B3"/>
    <w:rsid w:val="6C4A05C8"/>
    <w:rsid w:val="6C8742B8"/>
    <w:rsid w:val="6CF86912"/>
    <w:rsid w:val="6DBF5E93"/>
    <w:rsid w:val="6DFF077E"/>
    <w:rsid w:val="6E714EF0"/>
    <w:rsid w:val="6E7E3605"/>
    <w:rsid w:val="6E7FDCC7"/>
    <w:rsid w:val="6EB72579"/>
    <w:rsid w:val="6ED6A62E"/>
    <w:rsid w:val="6EE00B15"/>
    <w:rsid w:val="6F0D15DF"/>
    <w:rsid w:val="6F6FB3EB"/>
    <w:rsid w:val="6F8731EA"/>
    <w:rsid w:val="6FC62348"/>
    <w:rsid w:val="6FCE6052"/>
    <w:rsid w:val="6FD57C00"/>
    <w:rsid w:val="6FEFFFD8"/>
    <w:rsid w:val="6FF5CC65"/>
    <w:rsid w:val="6FFB47EC"/>
    <w:rsid w:val="6FFF034A"/>
    <w:rsid w:val="7020414E"/>
    <w:rsid w:val="70484440"/>
    <w:rsid w:val="70943D3A"/>
    <w:rsid w:val="712A28F1"/>
    <w:rsid w:val="71381023"/>
    <w:rsid w:val="715C0E4B"/>
    <w:rsid w:val="71992E7C"/>
    <w:rsid w:val="71B665A5"/>
    <w:rsid w:val="72233669"/>
    <w:rsid w:val="72734D90"/>
    <w:rsid w:val="72AF14FA"/>
    <w:rsid w:val="730218E9"/>
    <w:rsid w:val="73160E6D"/>
    <w:rsid w:val="7332FE48"/>
    <w:rsid w:val="733F3600"/>
    <w:rsid w:val="73AB61DA"/>
    <w:rsid w:val="73AD73D5"/>
    <w:rsid w:val="73B6EB34"/>
    <w:rsid w:val="73F71E45"/>
    <w:rsid w:val="73FA497D"/>
    <w:rsid w:val="744731E5"/>
    <w:rsid w:val="746C5BB4"/>
    <w:rsid w:val="749E74D0"/>
    <w:rsid w:val="74A37786"/>
    <w:rsid w:val="74BBD01D"/>
    <w:rsid w:val="74ED5379"/>
    <w:rsid w:val="75DEEEC2"/>
    <w:rsid w:val="75E32345"/>
    <w:rsid w:val="76DA3ED0"/>
    <w:rsid w:val="76E3355F"/>
    <w:rsid w:val="76FF5125"/>
    <w:rsid w:val="776F6FFA"/>
    <w:rsid w:val="778769C8"/>
    <w:rsid w:val="77A75DCA"/>
    <w:rsid w:val="77DC22F5"/>
    <w:rsid w:val="783E271A"/>
    <w:rsid w:val="78616DE9"/>
    <w:rsid w:val="787E351C"/>
    <w:rsid w:val="78E875D7"/>
    <w:rsid w:val="79086DAD"/>
    <w:rsid w:val="7926462B"/>
    <w:rsid w:val="79D7FD79"/>
    <w:rsid w:val="79EE5BA4"/>
    <w:rsid w:val="7A894339"/>
    <w:rsid w:val="7AD284E8"/>
    <w:rsid w:val="7AFF7572"/>
    <w:rsid w:val="7B6C7DFB"/>
    <w:rsid w:val="7BBFBED0"/>
    <w:rsid w:val="7BC3E394"/>
    <w:rsid w:val="7BD86F2F"/>
    <w:rsid w:val="7C1F3737"/>
    <w:rsid w:val="7C3A5B6C"/>
    <w:rsid w:val="7C72739F"/>
    <w:rsid w:val="7CBFC87B"/>
    <w:rsid w:val="7CFE0F48"/>
    <w:rsid w:val="7D272ABC"/>
    <w:rsid w:val="7D67398D"/>
    <w:rsid w:val="7D7EC23E"/>
    <w:rsid w:val="7E576F8D"/>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next w:val="1"/>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szCs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8"/>
    <w:link w:val="3"/>
    <w:qFormat/>
    <w:uiPriority w:val="9"/>
    <w:rPr>
      <w:rFonts w:ascii="Times New Roman" w:hAnsi="Times New Roman"/>
      <w:b/>
      <w:bCs/>
      <w:kern w:val="44"/>
      <w:sz w:val="44"/>
      <w:szCs w:val="44"/>
    </w:rPr>
  </w:style>
  <w:style w:type="character" w:customStyle="1" w:styleId="30">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10"/>
    <w:semiHidden/>
    <w:qFormat/>
    <w:uiPriority w:val="99"/>
    <w:rPr>
      <w:rFonts w:ascii="Times New Roman" w:hAnsi="Times New Roman"/>
      <w:kern w:val="2"/>
      <w:sz w:val="18"/>
      <w:szCs w:val="18"/>
    </w:rPr>
  </w:style>
  <w:style w:type="character" w:customStyle="1" w:styleId="33">
    <w:name w:val="标题 3 Char"/>
    <w:basedOn w:val="18"/>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25105;\&#25105;&#30340;&#36164;&#26009;\&#36130;&#21153;2023\2022&#20915;&#31639;&#20844;&#24320;\&#20316;&#21442;&#32771;&#65306;&#39292;&#29366;&#65288;&#30452;&#26041;&#65289;&#22270;&#32472;&#21046;&#26041;&#2786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024&#24180;&#20915;&#31639;&#25209;&#22797;&#20844;&#24320;\&#26032;&#24314;%20XLSX%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024&#24180;&#20915;&#31639;&#25209;&#22797;&#20844;&#24320;\&#26032;&#24314;%20XLSX%20&#24037;&#20316;&#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024&#24180;&#20915;&#31639;&#25209;&#22797;&#20844;&#24320;\&#26032;&#24314;%20XLSX%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2024&#24180;&#20915;&#31639;&#25209;&#22797;&#20844;&#24320;\&#26032;&#24314;%20XLSX%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24&#24180;&#20915;&#31639;&#25209;&#22797;&#20844;&#24320;\&#26032;&#24314;%20XLSX%20&#24037;&#20316;&#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4&#24180;&#20915;&#31639;&#25209;&#22797;&#20844;&#24320;\&#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1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a:t>
            </a:r>
            <a:r>
              <a:rPr lang="en-US" altLang="zh-CN"/>
              <a:t>1</a:t>
            </a:r>
            <a:r>
              <a:rPr altLang="en-US"/>
              <a:t>：收入、支出决算总计变动情况图</a:t>
            </a:r>
            <a:endParaRPr altLang="en-US"/>
          </a:p>
        </c:rich>
      </c:tx>
      <c:layout>
        <c:manualLayout>
          <c:xMode val="edge"/>
          <c:yMode val="edge"/>
          <c:x val="0.256547619047619"/>
          <c:y val="0.0571428571428571"/>
        </c:manualLayout>
      </c:layout>
      <c:overlay val="0"/>
      <c:spPr>
        <a:noFill/>
        <a:ln w="3175">
          <a:noFill/>
        </a:ln>
      </c:spPr>
    </c:title>
    <c:autoTitleDeleted val="0"/>
    <c:plotArea>
      <c:layout/>
      <c:barChart>
        <c:barDir val="col"/>
        <c:grouping val="clustered"/>
        <c:varyColors val="0"/>
        <c:ser>
          <c:idx val="0"/>
          <c:order val="0"/>
          <c:tx>
            <c:strRef>
              <c:f>'收支决算总计变动情况-图1'!$A$4</c:f>
              <c:strCache>
                <c:ptCount val="1"/>
                <c:pt idx="0">
                  <c:v>沐川县高笋乡人民政府收、支决算总计变动情况</c:v>
                </c:pt>
              </c:strCache>
            </c:strRef>
          </c:tx>
          <c:spPr>
            <a:solidFill>
              <a:srgbClr val="9999FF">
                <a:alpha val="100000"/>
              </a:srgbClr>
            </a:solidFill>
            <a:ln w="12700">
              <a:solidFill>
                <a:srgbClr val="000000">
                  <a:alpha val="100000"/>
                </a:srgbClr>
              </a:solidFill>
              <a:prstDash val="solid"/>
            </a:ln>
          </c:spPr>
          <c:invertIfNegative val="0"/>
          <c:dLbls>
            <c:dLbl>
              <c:idx val="0"/>
              <c:layout>
                <c:manualLayout>
                  <c:x val="0.00176132013201321"/>
                  <c:y val="0.223000242424242"/>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968726072607265"/>
                  <c:y val="0.342968727272727"/>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'收支决算总计变动情况-图1'!$A$1:$B$1</c:f>
              <c:strCache>
                <c:ptCount val="2"/>
                <c:pt idx="0">
                  <c:v>2023年收支</c:v>
                </c:pt>
                <c:pt idx="1">
                  <c:v>2024年收支</c:v>
                </c:pt>
              </c:strCache>
            </c:strRef>
          </c:cat>
          <c:val>
            <c:numRef>
              <c:f>'收支决算总计变动情况-图1'!$A$2:$B$2</c:f>
              <c:numCache>
                <c:formatCode>General</c:formatCode>
                <c:ptCount val="2"/>
                <c:pt idx="0">
                  <c:v>961.71</c:v>
                </c:pt>
                <c:pt idx="1" c:formatCode="#,##0.00">
                  <c:v>965.88</c:v>
                </c:pt>
              </c:numCache>
            </c:numRef>
          </c:val>
        </c:ser>
        <c:dLbls>
          <c:showLegendKey val="0"/>
          <c:showVal val="0"/>
          <c:showCatName val="0"/>
          <c:showSerName val="0"/>
          <c:showPercent val="0"/>
          <c:showBubbleSize val="0"/>
        </c:dLbls>
        <c:gapWidth val="150"/>
        <c:overlap val="0"/>
        <c:axId val="733574299"/>
        <c:axId val="234548475"/>
      </c:barChart>
      <c:catAx>
        <c:axId val="733574299"/>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234548475"/>
        <c:crosses val="autoZero"/>
        <c:auto val="1"/>
        <c:lblAlgn val="ctr"/>
        <c:lblOffset val="100"/>
        <c:noMultiLvlLbl val="0"/>
      </c:catAx>
      <c:valAx>
        <c:axId val="234548475"/>
        <c:scaling>
          <c:orientation val="minMax"/>
        </c:scaling>
        <c:delete val="0"/>
        <c:axPos val="l"/>
        <c:majorGridlines>
          <c:spPr>
            <a:ln w="3175" cap="flat" cmpd="sng" algn="ctr">
              <a:solidFill>
                <a:srgbClr val="000000">
                  <a:alpha val="100000"/>
                </a:srgbClr>
              </a:solidFill>
              <a:prstDash val="solid"/>
              <a:round/>
            </a:ln>
          </c:spPr>
        </c:majorGridlines>
        <c:title>
          <c:tx>
            <c:rich>
              <a:bodyPr rot="-5400000" spcFirstLastPara="0" vertOverflow="ellipsis" vert="horz" wrap="square" anchor="ctr" anchorCtr="1"/>
              <a:lstStyle/>
              <a:p>
                <a:pPr defTabSz="914400">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万元</a:t>
                </a:r>
              </a:p>
            </c:rich>
          </c:tx>
          <c:layout/>
          <c:overlay val="0"/>
        </c:title>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733574299"/>
        <c:crosses val="autoZero"/>
        <c:crossBetween val="between"/>
      </c:valAx>
      <c:spPr>
        <a:solidFill>
          <a:srgbClr val="C0C0C0">
            <a:alpha val="100000"/>
          </a:srgbClr>
        </a:solidFill>
        <a:ln w="12700">
          <a:solidFill>
            <a:srgbClr val="808080">
              <a:alpha val="100000"/>
            </a:srgbClr>
          </a:solidFill>
          <a:prstDash val="solid"/>
        </a:ln>
      </c:spPr>
    </c:plotArea>
    <c:plotVisOnly val="1"/>
    <c:dispBlanksAs val="gap"/>
    <c:showDLblsOverMax val="0"/>
    <c:extLst>
      <c:ext uri="{0b15fc19-7d7d-44ad-8c2d-2c3a37ce22c3}">
        <chartProps xmlns="https://web.wps.cn/et/2018/main" chartId="{e73cd29f-04f6-407e-b504-38c99708ab08}"/>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a:t>
            </a:r>
            <a:r>
              <a:rPr lang="en-US" altLang="zh-CN"/>
              <a:t>2</a:t>
            </a:r>
            <a:r>
              <a:rPr altLang="en-US"/>
              <a:t>：</a:t>
            </a: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工作表.xlsx]Sheet1'!$A$1:$A$2</c:f>
              <c:strCache>
                <c:ptCount val="2"/>
                <c:pt idx="0">
                  <c:v>一般公共预算财政拨款收入</c:v>
                </c:pt>
                <c:pt idx="1">
                  <c:v>其他收入</c:v>
                </c:pt>
              </c:strCache>
            </c:strRef>
          </c:cat>
          <c:val>
            <c:numRef>
              <c:f>'[新建 XLSX 工作表.xlsx]Sheet1'!$B$1:$B$2</c:f>
              <c:numCache>
                <c:formatCode>0.00%</c:formatCode>
                <c:ptCount val="2"/>
                <c:pt idx="0">
                  <c:v>0.9783</c:v>
                </c:pt>
                <c:pt idx="1">
                  <c:v>0.0217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8867fe8-df5a-4e9c-9036-cd3936e7845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图3：支出决算结构图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111407271055506"/>
                  <c:y val="-0.064484875762246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64874178270655"/>
                  <c:y val="-0.022320669922049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工作表.xlsx]Sheet1'!$A$9:$A$10</c:f>
              <c:strCache>
                <c:ptCount val="2"/>
                <c:pt idx="0">
                  <c:v>基本支出</c:v>
                </c:pt>
                <c:pt idx="1">
                  <c:v>项目支出</c:v>
                </c:pt>
              </c:strCache>
            </c:strRef>
          </c:cat>
          <c:val>
            <c:numRef>
              <c:f>'[新建 XLSX 工作表.xlsx]Sheet1'!$B$9:$B$10</c:f>
              <c:numCache>
                <c:formatCode>0.00%</c:formatCode>
                <c:ptCount val="2"/>
                <c:pt idx="0">
                  <c:v>0.6804</c:v>
                </c:pt>
                <c:pt idx="1">
                  <c:v>0.3196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755c066-c9a9-4e5b-a677-9185701c786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a:t>
            </a:r>
            <a:r>
              <a:rPr lang="en-US" altLang="zh-CN"/>
              <a:t>4</a:t>
            </a:r>
            <a:r>
              <a:rPr altLang="en-US"/>
              <a:t>：</a:t>
            </a: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工作表.xlsx]Sheet1'!$M$2:$M$3</c:f>
              <c:strCache>
                <c:ptCount val="2"/>
                <c:pt idx="0">
                  <c:v>2023年度财政拨款收入、支出总计</c:v>
                </c:pt>
                <c:pt idx="1">
                  <c:v>2024年度财政拨款收入、支出总计</c:v>
                </c:pt>
              </c:strCache>
            </c:strRef>
          </c:cat>
          <c:val>
            <c:numRef>
              <c:f>'[新建 XLSX 工作表.xlsx]Sheet1'!$N$2:$N$3</c:f>
              <c:numCache>
                <c:formatCode>General</c:formatCode>
                <c:ptCount val="2"/>
                <c:pt idx="0">
                  <c:v>945.54</c:v>
                </c:pt>
                <c:pt idx="1">
                  <c:v>944.97</c:v>
                </c:pt>
              </c:numCache>
            </c:numRef>
          </c:val>
        </c:ser>
        <c:dLbls>
          <c:showLegendKey val="0"/>
          <c:showVal val="1"/>
          <c:showCatName val="0"/>
          <c:showSerName val="0"/>
          <c:showPercent val="0"/>
          <c:showBubbleSize val="0"/>
        </c:dLbls>
        <c:gapWidth val="246"/>
        <c:overlap val="-28"/>
        <c:axId val="963289197"/>
        <c:axId val="736286126"/>
      </c:barChart>
      <c:catAx>
        <c:axId val="9632891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6286126"/>
        <c:crosses val="autoZero"/>
        <c:auto val="1"/>
        <c:lblAlgn val="ctr"/>
        <c:lblOffset val="100"/>
        <c:noMultiLvlLbl val="0"/>
      </c:catAx>
      <c:valAx>
        <c:axId val="736286126"/>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3289197"/>
        <c:crosses val="autoZero"/>
        <c:crossBetween val="between"/>
      </c:valAx>
      <c:spPr>
        <a:noFill/>
        <a:ln>
          <a:noFill/>
        </a:ln>
        <a:effectLst/>
      </c:spPr>
    </c:plotArea>
    <c:plotVisOnly val="1"/>
    <c:dispBlanksAs val="gap"/>
    <c:showDLblsOverMax val="0"/>
    <c:extLst>
      <c:ext uri="{0b15fc19-7d7d-44ad-8c2d-2c3a37ce22c3}">
        <chartProps xmlns="https://web.wps.cn/et/2018/main" chartId="{74690218-9dbb-4ade-8dbe-6d7197e28fc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图5：一般公共预算财政拨款支出决算变动情况</a:t>
            </a:r>
          </a:p>
        </c:rich>
      </c:tx>
      <c:layout/>
      <c:overlay val="0"/>
      <c:spPr>
        <a:noFill/>
        <a:ln>
          <a:noFill/>
        </a:ln>
        <a:effectLst/>
      </c:spPr>
    </c:title>
    <c:autoTitleDeleted val="0"/>
    <c:plotArea>
      <c:layout>
        <c:manualLayout>
          <c:layoutTarget val="inner"/>
          <c:xMode val="edge"/>
          <c:yMode val="edge"/>
          <c:x val="0.0804736842105263"/>
          <c:y val="0.162037037037037"/>
          <c:w val="0.845447368421053"/>
          <c:h val="0.710972222222222"/>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工作表.xlsx]Sheet1'!$I$31:$I$32</c:f>
              <c:strCache>
                <c:ptCount val="2"/>
                <c:pt idx="0">
                  <c:v>2023年度一般公共预算财政拨款支出</c:v>
                </c:pt>
                <c:pt idx="1">
                  <c:v>2024年度一般公共预算财政拨款支出</c:v>
                </c:pt>
              </c:strCache>
            </c:strRef>
          </c:cat>
          <c:val>
            <c:numRef>
              <c:f>'[新建 XLSX 工作表.xlsx]Sheet1'!$J$31:$J$32</c:f>
              <c:numCache>
                <c:formatCode>General</c:formatCode>
                <c:ptCount val="2"/>
                <c:pt idx="0">
                  <c:v>940.54</c:v>
                </c:pt>
                <c:pt idx="1">
                  <c:v>944.97</c:v>
                </c:pt>
              </c:numCache>
            </c:numRef>
          </c:val>
        </c:ser>
        <c:dLbls>
          <c:showLegendKey val="0"/>
          <c:showVal val="1"/>
          <c:showCatName val="0"/>
          <c:showSerName val="0"/>
          <c:showPercent val="0"/>
          <c:showBubbleSize val="0"/>
        </c:dLbls>
        <c:gapWidth val="246"/>
        <c:overlap val="-28"/>
        <c:axId val="805221515"/>
        <c:axId val="86297357"/>
      </c:barChart>
      <c:catAx>
        <c:axId val="80522151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297357"/>
        <c:crosses val="autoZero"/>
        <c:auto val="1"/>
        <c:lblAlgn val="ctr"/>
        <c:lblOffset val="100"/>
        <c:noMultiLvlLbl val="0"/>
      </c:catAx>
      <c:valAx>
        <c:axId val="86297357"/>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万元</a:t>
                </a:r>
              </a:p>
            </c:rich>
          </c:tx>
          <c:layout>
            <c:manualLayout>
              <c:xMode val="edge"/>
              <c:yMode val="edge"/>
              <c:x val="0.0269736842105263"/>
              <c:y val="0.40571759259259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5221515"/>
        <c:crosses val="autoZero"/>
        <c:crossBetween val="between"/>
      </c:valAx>
      <c:spPr>
        <a:noFill/>
        <a:ln>
          <a:noFill/>
        </a:ln>
        <a:effectLst/>
      </c:spPr>
    </c:plotArea>
    <c:plotVisOnly val="1"/>
    <c:dispBlanksAs val="gap"/>
    <c:showDLblsOverMax val="0"/>
    <c:extLst>
      <c:ext uri="{0b15fc19-7d7d-44ad-8c2d-2c3a37ce22c3}">
        <chartProps xmlns="https://web.wps.cn/et/2018/main" chartId="{64318d52-03bb-4009-801a-1f496196697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图6：一般公共预算财政拨款支出决算结构</a:t>
            </a:r>
          </a:p>
        </c:rich>
      </c:tx>
      <c:layout>
        <c:manualLayout>
          <c:xMode val="edge"/>
          <c:yMode val="edge"/>
          <c:x val="0.1272703342985"/>
          <c:y val="0.0352410600255428"/>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Lbls>
            <c:dLbl>
              <c:idx val="0"/>
              <c:layout>
                <c:manualLayout>
                  <c:x val="0.0159252434851277"/>
                  <c:y val="-0.012873563218390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49786021894893"/>
                  <c:y val="-0.051430432007929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11606298298263"/>
                  <c:y val="-0.0043678160919540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525371017432351"/>
                  <c:y val="-0.0083031951215033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25971425918222"/>
                  <c:y val="-0.0029992326220212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376717493093461"/>
                  <c:y val="-0.0717491921344285"/>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835526315789474"/>
                      <c:h val="0.0611111111111111"/>
                    </c:manualLayout>
                  </c15:layout>
                </c:ext>
              </c:extLst>
            </c:dLbl>
            <c:dLbl>
              <c:idx val="7"/>
              <c:layout>
                <c:manualLayout>
                  <c:x val="-0.0751687440655664"/>
                  <c:y val="0.045520530641394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341348234651768"/>
                  <c:y val="-0.00712134702712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430093910116365"/>
                  <c:y val="-0.06063156823514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780602686286658"/>
                  <c:y val="0.008846295733619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工作表.xlsx]Sheet1'!$A$34:$A$44</c:f>
              <c:strCache>
                <c:ptCount val="11"/>
                <c:pt idx="0">
                  <c:v>一般公共服务支出</c:v>
                </c:pt>
                <c:pt idx="1">
                  <c:v>国防支出</c:v>
                </c:pt>
                <c:pt idx="2">
                  <c:v>公共安全支出</c:v>
                </c:pt>
                <c:pt idx="3">
                  <c:v>文化旅游体育与传媒支出；</c:v>
                </c:pt>
                <c:pt idx="4">
                  <c:v>社会保障和就业支出</c:v>
                </c:pt>
                <c:pt idx="5">
                  <c:v>卫生健康支出</c:v>
                </c:pt>
                <c:pt idx="6">
                  <c:v>农林水支出</c:v>
                </c:pt>
                <c:pt idx="7">
                  <c:v>交通运输支出</c:v>
                </c:pt>
                <c:pt idx="8">
                  <c:v>资源勘探工业信息等支出</c:v>
                </c:pt>
                <c:pt idx="9">
                  <c:v>住房保障支出</c:v>
                </c:pt>
                <c:pt idx="10">
                  <c:v>灾害防治及应急管理支出</c:v>
                </c:pt>
              </c:strCache>
            </c:strRef>
          </c:cat>
          <c:val>
            <c:numRef>
              <c:f>'[新建 XLSX 工作表.xlsx]Sheet1'!$C$34:$C$44</c:f>
              <c:numCache>
                <c:formatCode>0.00%</c:formatCode>
                <c:ptCount val="11"/>
                <c:pt idx="0">
                  <c:v>0.559848460797697</c:v>
                </c:pt>
                <c:pt idx="1">
                  <c:v>0.000931246494597712</c:v>
                </c:pt>
                <c:pt idx="2">
                  <c:v>0.000433876207710298</c:v>
                </c:pt>
                <c:pt idx="3">
                  <c:v>0.00993682339121877</c:v>
                </c:pt>
                <c:pt idx="4">
                  <c:v>0.072626644232092</c:v>
                </c:pt>
                <c:pt idx="5">
                  <c:v>0.0352815433294179</c:v>
                </c:pt>
                <c:pt idx="6">
                  <c:v>0.267320655682191</c:v>
                </c:pt>
                <c:pt idx="7">
                  <c:v>0.00317470395885584</c:v>
                </c:pt>
                <c:pt idx="8">
                  <c:v>0.00281490417685218</c:v>
                </c:pt>
                <c:pt idx="9">
                  <c:v>0.0455464194630517</c:v>
                </c:pt>
                <c:pt idx="10">
                  <c:v>0.00207413991978581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0484429065743945"/>
          <c:y val="0.10398684751335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420393c-b345-4fe5-b565-917674b4f3b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图7：“三公”经费财政拨款支出结构</a:t>
            </a:r>
          </a:p>
        </c:rich>
      </c:tx>
      <c:layout>
        <c:manualLayout>
          <c:xMode val="edge"/>
          <c:yMode val="edge"/>
          <c:x val="0.115862905671823"/>
          <c:y val="0.0249433106575964"/>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gradFill>
                <a:gsLst>
                  <a:gs pos="50000">
                    <a:schemeClr val="accent4"/>
                  </a:gs>
                  <a:gs pos="0">
                    <a:schemeClr val="accent4">
                      <a:lumMod val="25000"/>
                      <a:lumOff val="75000"/>
                    </a:schemeClr>
                  </a:gs>
                  <a:gs pos="100000">
                    <a:schemeClr val="accent4">
                      <a:lumMod val="85000"/>
                    </a:schemeClr>
                  </a:gs>
                </a:gsLst>
                <a:lin ang="5400000" scaled="1"/>
              </a:gradFill>
              <a:ln>
                <a:solidFill>
                  <a:schemeClr val="bg1"/>
                </a:solidFill>
              </a:ln>
              <a:effectLst/>
            </c:spPr>
          </c:dPt>
          <c:dLbls>
            <c:dLbl>
              <c:idx val="1"/>
              <c:layout>
                <c:manualLayout>
                  <c:x val="0.199586912758357"/>
                  <c:y val="-0.1087712852311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3881771431079"/>
                  <c:y val="0.0117462149326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工作表.xlsx]Sheet1'!$A$65:$A$67</c:f>
              <c:strCache>
                <c:ptCount val="3"/>
                <c:pt idx="0">
                  <c:v>因公出国（境）费支出</c:v>
                </c:pt>
                <c:pt idx="1">
                  <c:v>公务用车购置及运行维护费支出</c:v>
                </c:pt>
                <c:pt idx="2">
                  <c:v>公务接待费支出</c:v>
                </c:pt>
              </c:strCache>
            </c:strRef>
          </c:cat>
          <c:val>
            <c:numRef>
              <c:f>'[新建 XLSX 工作表.xlsx]Sheet1'!$C$65:$C$67</c:f>
              <c:numCache>
                <c:formatCode>General</c:formatCode>
                <c:ptCount val="3"/>
                <c:pt idx="0">
                  <c:v>0</c:v>
                </c:pt>
                <c:pt idx="1" c:formatCode="0.00%">
                  <c:v>0.9547</c:v>
                </c:pt>
                <c:pt idx="2" c:formatCode="0.00%">
                  <c:v>0.0453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0826315789473684"/>
          <c:y val="0.14444444444444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0eaa138-6382-45c7-a3f7-1062687ca8b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41</Pages>
  <Words>8283</Words>
  <Characters>9758</Characters>
  <Lines>61</Lines>
  <Paragraphs>17</Paragraphs>
  <TotalTime>32</TotalTime>
  <ScaleCrop>false</ScaleCrop>
  <LinksUpToDate>false</LinksUpToDate>
  <CharactersWithSpaces>9892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碎碎唸〆</cp:lastModifiedBy>
  <cp:lastPrinted>2025-08-06T17:34:00Z</cp:lastPrinted>
  <dcterms:modified xsi:type="dcterms:W3CDTF">2025-09-23T15:26:24Z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121B4CBEBD8D44319A4FCDD5BD9513A9_13</vt:lpwstr>
  </property>
  <property fmtid="{D5CDD505-2E9C-101B-9397-08002B2CF9AE}" pid="4" name="KSOTemplateDocerSaveRecord">
    <vt:lpwstr>eyJoZGlkIjoiYTVhNGI4OTdjNTU3ZDAwODgyMDA3MDNkNWQyNTE3N2QiLCJ1c2VySWQiOiIxMTk2NjY1MDM2In0=</vt:lpwstr>
  </property>
</Properties>
</file>