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96597"/>
      <w:bookmarkStart w:id="2" w:name="_Toc15377193"/>
      <w:bookmarkStart w:id="3" w:name="_Toc15378441"/>
      <w:bookmarkStart w:id="4" w:name="_Toc15396475"/>
      <w:bookmarkStart w:id="5" w:name="_Toc15306267"/>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四川</w:t>
      </w:r>
      <w:r>
        <w:rPr>
          <w:rFonts w:hint="eastAsia" w:ascii="Times New Roman" w:hAnsi="Times New Roman" w:eastAsia="方正小标宋简体" w:cs="Times New Roman"/>
          <w:color w:val="auto"/>
          <w:kern w:val="2"/>
          <w:sz w:val="44"/>
          <w:szCs w:val="44"/>
          <w:highlight w:val="none"/>
          <w:lang w:val="en-US" w:eastAsia="zh-CN" w:bidi="ar-SA"/>
        </w:rPr>
        <w:t>省</w:t>
      </w:r>
      <w:r>
        <w:rPr>
          <w:rFonts w:hint="eastAsia" w:ascii="Times New Roman" w:eastAsia="方正小标宋简体" w:cs="Times New Roman"/>
          <w:color w:val="auto"/>
          <w:kern w:val="2"/>
          <w:sz w:val="44"/>
          <w:szCs w:val="44"/>
          <w:highlight w:val="none"/>
          <w:lang w:val="en-US" w:eastAsia="zh-CN" w:bidi="ar-SA"/>
        </w:rPr>
        <w:t>沐川县公安局</w:t>
      </w:r>
      <w:r>
        <w:rPr>
          <w:rFonts w:hint="eastAsia" w:ascii="Times New Roman" w:hAnsi="Times New Roman" w:eastAsia="方正小标宋简体" w:cs="Times New Roman"/>
          <w:color w:val="auto"/>
          <w:kern w:val="2"/>
          <w:sz w:val="44"/>
          <w:szCs w:val="44"/>
          <w:highlight w:val="none"/>
          <w:lang w:val="en-US" w:eastAsia="zh-CN" w:bidi="ar-SA"/>
        </w:rPr>
        <w:t>决算</w:t>
      </w:r>
    </w:p>
    <w:p>
      <w:pPr>
        <w:spacing w:line="600" w:lineRule="exact"/>
        <w:jc w:val="center"/>
        <w:outlineLvl w:val="0"/>
        <w:rPr>
          <w:rFonts w:ascii="Times New Roman" w:hAnsi="Times New Roman" w:eastAsia="方正小标宋简体"/>
          <w:color w:val="auto"/>
          <w:sz w:val="72"/>
          <w:szCs w:val="72"/>
          <w:highlight w:val="none"/>
        </w:rPr>
      </w:pPr>
    </w:p>
    <w:p>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pPr>
        <w:widowControl/>
        <w:jc w:val="left"/>
        <w:rPr>
          <w:rFonts w:ascii="Times New Roman" w:hAnsi="Times New Roman" w:eastAsia="黑体"/>
          <w:color w:val="auto"/>
          <w:sz w:val="32"/>
          <w:szCs w:val="32"/>
          <w:highlight w:val="none"/>
        </w:rPr>
      </w:pPr>
    </w:p>
    <w:p>
      <w:pPr>
        <w:pStyle w:val="4"/>
        <w:rPr>
          <w:rFonts w:hint="eastAsia" w:ascii="Times New Roman" w:hAnsi="Times New Roman" w:eastAsia="黑体"/>
          <w:b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贯彻执行公安工作路线、方针、政策、法律法规，保护人民、打击犯罪，维护全县政治稳定、社会稳定。落实县委、县人民政府以及上级公安机关制定的有关公安工作的决定、决议及指示。</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负责全县公安情报信息的收集、整合，掌握、分析全县影响稳定、危害国内安全与社会治安的情况和形势，研究制定对策。</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负责全县国家安全案件的侦查工作，以及境内外敌对势力、恐怖组织、社团的侦控和基础调研工作；</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负责网络安全监察，依法查处涉及信息网络的违法犯罪案件。</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负责刑事案件、经济案件的侦破和禁毒工作；开展各项专项行动和斗争；处置各类重大案件、骚乱事件、重大治安事故及其它重大突发性事件。</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依法查处危害社会治安秩序行为，依法管理户口、居民身份证、枪支弹药、危险物品、公共复杂场所和特种行业的工作。</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组织实施对国家机关、社会团体、企事业单位和重点建设工程的治安保卫工作以及群众性治安保卫组织的治安防范工作，负责国防招生、征兵的政审和中、高考的安全保卫工作。</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依法管理国籍、出入境和外国人在本辖区居留、旅行的有关事务。</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组织实施党和国家领导人、重要外宾来访和省、市领导到本辖区及重要会议等大型活动的安全警卫工作。</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组织实施看守所、拘留所的安全管理工作，指挥协调县武警中队、武警消防大队与公安业务相关的工作。</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依法管理道路安全，维护交通秩序，以及机动车驾驶员管理工作，依法处理交通事故。</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组织实施县公安局刑事、行政执法活动，开展执法制度建设和法制宣传工作。</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制定全县公安机关装备、被装配备和经费等警备保障计划、制度；分配管理装备物资；指导、监督、管理全县公安机关财务工作和审计工作。</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指导监督消防工作，督促城市建设和城市管理部门维护和改善城市公共消防设施。协调、指导林业公安相关业务工作。</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制定全县公安机关人员培训、公安教育及落实公安宣传的方针和措施。</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组织实施县公安队伍建设，查处队伍内部违纪案件。</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组织实施县公安局有线、无线通信、计算机联网和计算机安全管理业务的建设规划、技术改造和装备更新等工作；负责公共信息网络的安全监察工作。</w:t>
      </w:r>
    </w:p>
    <w:p>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承担县政府公布的有关行政审批事项。</w:t>
      </w:r>
    </w:p>
    <w:p>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承办县委、县人民政府以及上级公安机关交办的其他事项。</w:t>
      </w:r>
    </w:p>
    <w:p>
      <w:pPr>
        <w:pStyle w:val="4"/>
        <w:rPr>
          <w:rStyle w:val="29"/>
          <w:rFonts w:ascii="Times New Roman" w:hAnsi="Times New Roman"/>
          <w:b w:val="0"/>
          <w:bCs w:val="0"/>
          <w:color w:val="auto"/>
          <w:highlight w:val="none"/>
        </w:rPr>
      </w:pPr>
      <w:bookmarkStart w:id="10" w:name="_Toc15396601"/>
      <w:bookmarkStart w:id="11"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沐川县公安局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沐川县公安局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pPr>
        <w:pStyle w:val="2"/>
        <w:numPr>
          <w:ilvl w:val="0"/>
          <w:numId w:val="1"/>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bookmarkStart w:id="12" w:name="_Toc15377433"/>
      <w:bookmarkStart w:id="13" w:name="_Toc15306276"/>
      <w:bookmarkStart w:id="14" w:name="_Toc15377202"/>
      <w:bookmarkStart w:id="15" w:name="_Toc15378449"/>
      <w:r>
        <w:rPr>
          <w:rFonts w:hint="eastAsia" w:ascii="Times New Roman" w:cs="仿宋_GB2312"/>
          <w:color w:val="auto"/>
          <w:sz w:val="32"/>
          <w:szCs w:val="32"/>
          <w:highlight w:val="none"/>
          <w:lang w:val="en-US" w:eastAsia="zh-CN"/>
        </w:rPr>
        <w:t>沐川县公安局</w:t>
      </w:r>
      <w:bookmarkEnd w:id="12"/>
      <w:bookmarkEnd w:id="13"/>
      <w:bookmarkEnd w:id="14"/>
      <w:bookmarkEnd w:id="15"/>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sz w:val="32"/>
          <w:szCs w:val="32"/>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8879.17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eastAsia="仿宋_GB2312" w:cs="仿宋_GB2312"/>
          <w:color w:val="auto"/>
          <w:sz w:val="32"/>
          <w:szCs w:val="32"/>
          <w:highlight w:val="none"/>
          <w:lang w:val="en-US" w:eastAsia="zh-CN"/>
        </w:rPr>
        <w:t>各</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2285.2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34.66</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sz w:val="32"/>
          <w:szCs w:val="32"/>
          <w:lang w:val="en-US" w:eastAsia="zh-CN"/>
        </w:rPr>
        <w:t>基础设施项目及采购项目增加</w:t>
      </w:r>
      <w:r>
        <w:rPr>
          <w:rFonts w:hint="eastAsia" w:ascii="仿宋" w:hAnsi="仿宋" w:eastAsia="仿宋"/>
          <w:sz w:val="32"/>
          <w:szCs w:val="32"/>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 w:hAnsi="仿宋" w:eastAsia="仿宋"/>
          <w:sz w:val="32"/>
          <w:szCs w:val="32"/>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 w:hAnsi="仿宋" w:eastAsia="仿宋"/>
          <w:sz w:val="32"/>
          <w:szCs w:val="32"/>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 w:hAnsi="仿宋" w:eastAsia="仿宋"/>
          <w:sz w:val="32"/>
          <w:szCs w:val="32"/>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 w:hAnsi="仿宋" w:eastAsia="仿宋"/>
          <w:sz w:val="32"/>
          <w:szCs w:val="32"/>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 w:hAnsi="仿宋" w:eastAsia="仿宋"/>
          <w:sz w:val="32"/>
          <w:szCs w:val="32"/>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 w:hAnsi="仿宋" w:eastAsia="仿宋"/>
          <w:sz w:val="32"/>
          <w:szCs w:val="32"/>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 w:hAnsi="仿宋" w:eastAsia="仿宋"/>
          <w:sz w:val="32"/>
          <w:szCs w:val="32"/>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 w:hAnsi="仿宋" w:eastAsia="仿宋"/>
          <w:sz w:val="32"/>
          <w:szCs w:val="32"/>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 w:hAnsi="仿宋" w:eastAsia="仿宋"/>
          <w:sz w:val="32"/>
          <w:szCs w:val="32"/>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 w:hAnsi="仿宋" w:eastAsia="仿宋"/>
          <w:sz w:val="32"/>
          <w:szCs w:val="32"/>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center"/>
        <w:textAlignment w:val="auto"/>
        <w:outlineLvl w:val="1"/>
        <w:rPr>
          <w:rFonts w:hint="eastAsia" w:ascii="仿宋" w:hAnsi="仿宋" w:eastAsia="仿宋"/>
          <w:sz w:val="32"/>
          <w:szCs w:val="32"/>
          <w:lang w:eastAsia="zh-CN"/>
        </w:rPr>
      </w:pPr>
      <w:r>
        <w:rPr>
          <w:rFonts w:hint="eastAsia" w:eastAsia="仿宋"/>
          <w:lang w:eastAsia="zh-CN"/>
        </w:rPr>
        <w:drawing>
          <wp:anchor distT="0" distB="0" distL="114300" distR="114300" simplePos="0" relativeHeight="251658240" behindDoc="0" locked="0" layoutInCell="1" allowOverlap="1">
            <wp:simplePos x="0" y="0"/>
            <wp:positionH relativeFrom="column">
              <wp:posOffset>271145</wp:posOffset>
            </wp:positionH>
            <wp:positionV relativeFrom="paragraph">
              <wp:posOffset>-3519805</wp:posOffset>
            </wp:positionV>
            <wp:extent cx="5080000" cy="3810000"/>
            <wp:effectExtent l="4445" t="4445" r="2095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8879.17万元，其中：一般公共预算财政拨款收入6937.83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78.13</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1939.34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21.84%</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0.02</w:t>
      </w:r>
      <w:r>
        <w:rPr>
          <w:rFonts w:hint="eastAsia" w:ascii="仿宋_GB2312" w:hAnsi="仿宋_GB2312" w:eastAsia="仿宋_GB2312" w:cs="仿宋_GB2312"/>
          <w:color w:val="auto"/>
          <w:sz w:val="32"/>
          <w:szCs w:val="32"/>
          <w:highlight w:val="none"/>
          <w:lang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 w:hAnsi="仿宋" w:eastAsia="仿宋"/>
          <w:sz w:val="32"/>
          <w:szCs w:val="32"/>
          <w:lang w:eastAsia="zh-CN"/>
        </w:rPr>
        <w:drawing>
          <wp:anchor distT="0" distB="0" distL="114300" distR="114300" simplePos="0" relativeHeight="251659264" behindDoc="0" locked="0" layoutInCell="1" allowOverlap="1">
            <wp:simplePos x="0" y="0"/>
            <wp:positionH relativeFrom="column">
              <wp:posOffset>142875</wp:posOffset>
            </wp:positionH>
            <wp:positionV relativeFrom="paragraph">
              <wp:posOffset>335280</wp:posOffset>
            </wp:positionV>
            <wp:extent cx="5080000" cy="3810000"/>
            <wp:effectExtent l="4445" t="4445" r="20955"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1"/>
        <w:rPr>
          <w:rFonts w:hint="eastAsia" w:ascii="仿宋_GB2312" w:hAnsi="仿宋_GB2312"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77207"/>
      <w:bookmarkStart w:id="2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8879.17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4973.89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56.01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3905.28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43.98</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 w:hAnsi="仿宋" w:eastAsia="仿宋"/>
          <w:sz w:val="32"/>
          <w:szCs w:val="32"/>
          <w:shd w:val="pct10" w:color="auto" w:fill="FFFFFF"/>
          <w:lang w:eastAsia="zh-CN"/>
        </w:rPr>
        <w:drawing>
          <wp:anchor distT="0" distB="0" distL="114300" distR="114300" simplePos="0" relativeHeight="251661312" behindDoc="0" locked="0" layoutInCell="1" allowOverlap="1">
            <wp:simplePos x="0" y="0"/>
            <wp:positionH relativeFrom="column">
              <wp:posOffset>266700</wp:posOffset>
            </wp:positionH>
            <wp:positionV relativeFrom="paragraph">
              <wp:posOffset>90170</wp:posOffset>
            </wp:positionV>
            <wp:extent cx="5103495" cy="2953385"/>
            <wp:effectExtent l="4445" t="4445" r="16510" b="1397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29"/>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8877.17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2294.9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34.87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基础设施建设项目增加。</w:t>
      </w:r>
    </w:p>
    <w:p>
      <w:pPr>
        <w:pStyle w:val="2"/>
        <w:jc w:val="center"/>
        <w:rPr>
          <w:rFonts w:hint="eastAsia" w:eastAsia="仿宋_GB2312" w:cs="仿宋_GB2312"/>
          <w:color w:val="auto"/>
          <w:kern w:val="2"/>
          <w:sz w:val="32"/>
          <w:szCs w:val="32"/>
          <w:highlight w:val="none"/>
          <w:lang w:val="en-US" w:eastAsia="zh-CN" w:bidi="ar-SA"/>
        </w:rPr>
      </w:pPr>
      <w:r>
        <w:rPr>
          <w:rFonts w:hint="eastAsia" w:ascii="仿宋" w:hAnsi="仿宋" w:eastAsia="仿宋"/>
          <w:sz w:val="32"/>
          <w:szCs w:val="32"/>
          <w:lang w:eastAsia="zh-CN"/>
        </w:rPr>
        <w:drawing>
          <wp:anchor distT="0" distB="0" distL="114300" distR="114300" simplePos="0" relativeHeight="251664384" behindDoc="0" locked="0" layoutInCell="1" allowOverlap="1">
            <wp:simplePos x="0" y="0"/>
            <wp:positionH relativeFrom="column">
              <wp:posOffset>1123315</wp:posOffset>
            </wp:positionH>
            <wp:positionV relativeFrom="paragraph">
              <wp:posOffset>109855</wp:posOffset>
            </wp:positionV>
            <wp:extent cx="3343275" cy="2108835"/>
            <wp:effectExtent l="4445" t="4445" r="5080" b="2032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jc w:val="center"/>
        <w:rPr>
          <w:rFonts w:hint="eastAsia" w:eastAsia="仿宋_GB2312" w:cs="仿宋_GB2312"/>
          <w:color w:val="auto"/>
          <w:kern w:val="2"/>
          <w:sz w:val="32"/>
          <w:szCs w:val="32"/>
          <w:highlight w:val="none"/>
          <w:lang w:val="en-US" w:eastAsia="zh-CN" w:bidi="ar-SA"/>
        </w:rPr>
      </w:pPr>
    </w:p>
    <w:p>
      <w:pPr>
        <w:pStyle w:val="2"/>
        <w:jc w:val="center"/>
        <w:rPr>
          <w:rFonts w:hint="eastAsia" w:eastAsia="仿宋_GB2312" w:cs="仿宋_GB2312"/>
          <w:color w:val="auto"/>
          <w:kern w:val="2"/>
          <w:sz w:val="32"/>
          <w:szCs w:val="32"/>
          <w:highlight w:val="none"/>
          <w:lang w:val="en-US" w:eastAsia="zh-CN" w:bidi="ar-SA"/>
        </w:rPr>
      </w:pPr>
    </w:p>
    <w:p>
      <w:pPr>
        <w:pStyle w:val="2"/>
        <w:jc w:val="center"/>
        <w:rPr>
          <w:rFonts w:hint="eastAsia" w:eastAsia="仿宋_GB2312" w:cs="仿宋_GB2312"/>
          <w:color w:val="auto"/>
          <w:kern w:val="2"/>
          <w:sz w:val="32"/>
          <w:szCs w:val="32"/>
          <w:highlight w:val="none"/>
          <w:lang w:val="en-US" w:eastAsia="zh-CN" w:bidi="ar-SA"/>
        </w:rPr>
      </w:pPr>
    </w:p>
    <w:p>
      <w:pPr>
        <w:pStyle w:val="2"/>
        <w:jc w:val="center"/>
        <w:rPr>
          <w:rFonts w:hint="eastAsia"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firstLineChars="200"/>
        <w:outlineLvl w:val="1"/>
        <w:rPr>
          <w:rStyle w:val="29"/>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6937.83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78.13</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%。与2023年度相比，一般公共预算财政拨款支出增加854.4万元，增长14.04%。主要变动原因是项目增加，一般公共预算增加。</w:t>
      </w:r>
    </w:p>
    <w:p>
      <w:pPr>
        <w:pStyle w:val="2"/>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sz w:val="32"/>
          <w:szCs w:val="32"/>
          <w:lang w:eastAsia="zh-CN"/>
        </w:rPr>
        <w:drawing>
          <wp:anchor distT="0" distB="0" distL="114300" distR="114300" simplePos="0" relativeHeight="251668480" behindDoc="0" locked="0" layoutInCell="1" allowOverlap="1">
            <wp:simplePos x="0" y="0"/>
            <wp:positionH relativeFrom="column">
              <wp:posOffset>327025</wp:posOffset>
            </wp:positionH>
            <wp:positionV relativeFrom="paragraph">
              <wp:posOffset>304800</wp:posOffset>
            </wp:positionV>
            <wp:extent cx="4519930" cy="3274695"/>
            <wp:effectExtent l="4445" t="5080" r="9525" b="1587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jc w:val="center"/>
        <w:rPr>
          <w:rFonts w:hint="eastAsia" w:ascii="仿宋_GB2312" w:hAnsi="仿宋_GB2312" w:eastAsia="仿宋_GB2312" w:cs="仿宋_GB2312"/>
          <w:color w:val="auto"/>
          <w:kern w:val="2"/>
          <w:sz w:val="32"/>
          <w:szCs w:val="32"/>
          <w:highlight w:val="none"/>
          <w:lang w:val="en-US" w:eastAsia="zh-CN" w:bidi="ar-SA"/>
        </w:rPr>
      </w:pPr>
    </w:p>
    <w:p>
      <w:pPr>
        <w:pStyle w:val="2"/>
        <w:jc w:val="center"/>
        <w:rPr>
          <w:rFonts w:hint="eastAsia" w:ascii="仿宋_GB2312" w:hAnsi="仿宋_GB2312" w:eastAsia="仿宋_GB2312" w:cs="仿宋_GB2312"/>
          <w:color w:val="auto"/>
          <w:kern w:val="2"/>
          <w:sz w:val="32"/>
          <w:szCs w:val="32"/>
          <w:highlight w:val="none"/>
          <w:lang w:val="en-US" w:eastAsia="zh-CN" w:bidi="ar-SA"/>
        </w:rPr>
      </w:pPr>
    </w:p>
    <w:p>
      <w:pPr>
        <w:pStyle w:val="2"/>
        <w:jc w:val="center"/>
        <w:rPr>
          <w:rFonts w:hint="eastAsia" w:ascii="仿宋_GB2312" w:hAnsi="仿宋_GB2312" w:eastAsia="仿宋_GB2312" w:cs="仿宋_GB2312"/>
          <w:color w:val="auto"/>
          <w:kern w:val="2"/>
          <w:sz w:val="32"/>
          <w:szCs w:val="32"/>
          <w:highlight w:val="none"/>
          <w:lang w:val="en-US" w:eastAsia="zh-CN" w:bidi="ar-SA"/>
        </w:rPr>
      </w:pPr>
    </w:p>
    <w:p>
      <w:pPr>
        <w:pStyle w:val="2"/>
        <w:jc w:val="center"/>
        <w:rPr>
          <w:rFonts w:hint="eastAsia" w:ascii="仿宋_GB2312" w:hAnsi="仿宋_GB2312" w:eastAsia="仿宋_GB2312" w:cs="仿宋_GB2312"/>
          <w:color w:val="auto"/>
          <w:kern w:val="2"/>
          <w:sz w:val="32"/>
          <w:szCs w:val="32"/>
          <w:highlight w:val="none"/>
          <w:lang w:val="en-US" w:eastAsia="zh-CN" w:bidi="ar-SA"/>
        </w:rPr>
      </w:pPr>
    </w:p>
    <w:p>
      <w:pPr>
        <w:pStyle w:val="2"/>
        <w:jc w:val="center"/>
        <w:rPr>
          <w:rFonts w:hint="eastAsia" w:ascii="仿宋_GB2312" w:hAnsi="仿宋_GB2312" w:eastAsia="仿宋_GB2312" w:cs="仿宋_GB2312"/>
          <w:color w:val="auto"/>
          <w:kern w:val="2"/>
          <w:sz w:val="32"/>
          <w:szCs w:val="32"/>
          <w:highlight w:val="none"/>
          <w:lang w:val="en-US" w:eastAsia="zh-CN" w:bidi="ar-SA"/>
        </w:rPr>
      </w:pPr>
    </w:p>
    <w:p>
      <w:pPr>
        <w:pStyle w:val="2"/>
        <w:jc w:val="center"/>
        <w:rPr>
          <w:rFonts w:hint="eastAsia" w:ascii="仿宋_GB2312" w:hAnsi="仿宋_GB2312" w:eastAsia="仿宋_GB2312" w:cs="仿宋_GB2312"/>
          <w:color w:val="auto"/>
          <w:kern w:val="2"/>
          <w:sz w:val="32"/>
          <w:szCs w:val="32"/>
          <w:highlight w:val="none"/>
          <w:lang w:val="en-US" w:eastAsia="zh-CN" w:bidi="ar-SA"/>
        </w:rPr>
      </w:pPr>
    </w:p>
    <w:p>
      <w:pPr>
        <w:pStyle w:val="2"/>
        <w:jc w:val="center"/>
        <w:rPr>
          <w:rFonts w:hint="eastAsia" w:ascii="仿宋_GB2312" w:hAnsi="仿宋_GB2312" w:eastAsia="仿宋_GB2312" w:cs="仿宋_GB2312"/>
          <w:color w:val="auto"/>
          <w:kern w:val="2"/>
          <w:sz w:val="32"/>
          <w:szCs w:val="32"/>
          <w:highlight w:val="none"/>
          <w:lang w:val="en-US" w:eastAsia="zh-CN" w:bidi="ar-SA"/>
        </w:rPr>
      </w:pPr>
    </w:p>
    <w:p>
      <w:pPr>
        <w:pStyle w:val="2"/>
        <w:jc w:val="center"/>
        <w:rPr>
          <w:rFonts w:hint="default"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6937.83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：公共安全</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6120.88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88.22</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422.08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6.08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135.83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1.96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259.02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3.73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
        <w:jc w:val="center"/>
        <w:rPr>
          <w:rFonts w:hint="eastAsia" w:eastAsia="仿宋_GB2312" w:cs="仿宋_GB2312"/>
          <w:color w:val="auto"/>
          <w:kern w:val="2"/>
          <w:sz w:val="32"/>
          <w:szCs w:val="32"/>
          <w:highlight w:val="none"/>
          <w:lang w:val="en-US" w:eastAsia="zh-CN" w:bidi="ar-SA"/>
        </w:rPr>
      </w:pPr>
      <w:r>
        <w:rPr>
          <w:rFonts w:hint="eastAsia" w:ascii="仿宋" w:hAnsi="仿宋" w:eastAsia="仿宋"/>
          <w:sz w:val="32"/>
          <w:szCs w:val="32"/>
          <w:lang w:eastAsia="zh-CN"/>
        </w:rPr>
        <w:drawing>
          <wp:anchor distT="0" distB="0" distL="114300" distR="114300" simplePos="0" relativeHeight="251673600" behindDoc="0" locked="0" layoutInCell="1" allowOverlap="1">
            <wp:simplePos x="0" y="0"/>
            <wp:positionH relativeFrom="column">
              <wp:posOffset>179070</wp:posOffset>
            </wp:positionH>
            <wp:positionV relativeFrom="paragraph">
              <wp:posOffset>228600</wp:posOffset>
            </wp:positionV>
            <wp:extent cx="5080000" cy="3810000"/>
            <wp:effectExtent l="4445" t="4445" r="20955" b="1460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jc w:val="center"/>
        <w:rPr>
          <w:rFonts w:hint="eastAsia" w:eastAsia="仿宋_GB2312" w:cs="仿宋_GB2312"/>
          <w:color w:val="auto"/>
          <w:kern w:val="2"/>
          <w:sz w:val="32"/>
          <w:szCs w:val="32"/>
          <w:highlight w:val="none"/>
          <w:lang w:val="en-US" w:eastAsia="zh-CN" w:bidi="ar-SA"/>
        </w:rPr>
      </w:pPr>
    </w:p>
    <w:p>
      <w:pPr>
        <w:pStyle w:val="2"/>
        <w:jc w:val="center"/>
        <w:rPr>
          <w:rFonts w:hint="eastAsia" w:eastAsia="仿宋_GB2312" w:cs="仿宋_GB2312"/>
          <w:color w:val="auto"/>
          <w:kern w:val="2"/>
          <w:sz w:val="32"/>
          <w:szCs w:val="32"/>
          <w:highlight w:val="none"/>
          <w:lang w:val="en-US" w:eastAsia="zh-CN" w:bidi="ar-SA"/>
        </w:rPr>
      </w:pPr>
    </w:p>
    <w:p>
      <w:pPr>
        <w:pStyle w:val="2"/>
        <w:jc w:val="center"/>
        <w:rPr>
          <w:rFonts w:hint="eastAsia" w:eastAsia="仿宋_GB2312" w:cs="仿宋_GB2312"/>
          <w:color w:val="auto"/>
          <w:kern w:val="2"/>
          <w:sz w:val="32"/>
          <w:szCs w:val="32"/>
          <w:highlight w:val="none"/>
          <w:lang w:val="en-US" w:eastAsia="zh-CN" w:bidi="ar-SA"/>
        </w:rPr>
      </w:pPr>
    </w:p>
    <w:p>
      <w:pPr>
        <w:pStyle w:val="2"/>
        <w:jc w:val="center"/>
        <w:rPr>
          <w:rFonts w:hint="eastAsia" w:eastAsia="仿宋_GB2312" w:cs="仿宋_GB2312"/>
          <w:color w:val="auto"/>
          <w:kern w:val="2"/>
          <w:sz w:val="32"/>
          <w:szCs w:val="32"/>
          <w:highlight w:val="none"/>
          <w:lang w:val="en-US" w:eastAsia="zh-CN" w:bidi="ar-SA"/>
        </w:rPr>
      </w:pPr>
    </w:p>
    <w:p>
      <w:pPr>
        <w:pStyle w:val="2"/>
        <w:jc w:val="center"/>
        <w:rPr>
          <w:rFonts w:hint="eastAsia" w:eastAsia="仿宋_GB2312" w:cs="仿宋_GB2312"/>
          <w:color w:val="auto"/>
          <w:kern w:val="2"/>
          <w:sz w:val="32"/>
          <w:szCs w:val="32"/>
          <w:highlight w:val="none"/>
          <w:lang w:val="en-US" w:eastAsia="zh-CN" w:bidi="ar-SA"/>
        </w:rPr>
      </w:pPr>
    </w:p>
    <w:p>
      <w:pPr>
        <w:pStyle w:val="2"/>
        <w:jc w:val="center"/>
        <w:rPr>
          <w:rFonts w:hint="eastAsia" w:eastAsia="仿宋_GB2312" w:cs="仿宋_GB2312"/>
          <w:color w:val="auto"/>
          <w:kern w:val="2"/>
          <w:sz w:val="32"/>
          <w:szCs w:val="32"/>
          <w:highlight w:val="none"/>
          <w:lang w:val="en-US" w:eastAsia="zh-CN" w:bidi="ar-SA"/>
        </w:rPr>
      </w:pPr>
    </w:p>
    <w:p>
      <w:pPr>
        <w:pStyle w:val="2"/>
        <w:jc w:val="center"/>
        <w:rPr>
          <w:rFonts w:hint="eastAsia" w:eastAsia="仿宋_GB2312" w:cs="仿宋_GB2312"/>
          <w:color w:val="auto"/>
          <w:kern w:val="2"/>
          <w:sz w:val="32"/>
          <w:szCs w:val="32"/>
          <w:highlight w:val="none"/>
          <w:lang w:val="en-US" w:eastAsia="zh-CN" w:bidi="ar-SA"/>
        </w:rPr>
      </w:pPr>
    </w:p>
    <w:p>
      <w:pPr>
        <w:pStyle w:val="2"/>
        <w:jc w:val="center"/>
        <w:rPr>
          <w:rFonts w:hint="eastAsia"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8460"/>
      <w:bookmarkStart w:id="33"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6937.83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公共</w:t>
      </w:r>
      <w:r>
        <w:rPr>
          <w:rFonts w:hint="eastAsia" w:eastAsia="仿宋_GB2312" w:cs="仿宋_GB2312"/>
          <w:color w:val="auto"/>
          <w:kern w:val="2"/>
          <w:sz w:val="32"/>
          <w:szCs w:val="32"/>
          <w:highlight w:val="none"/>
          <w:lang w:val="en-US" w:eastAsia="zh-CN" w:bidi="ar-SA"/>
        </w:rPr>
        <w:t>安全支出：</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6120.88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422.08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135.83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住房保障支出：</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259.02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29"/>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4"/>
      <w:bookmarkEnd w:id="35"/>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4973.89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4393.92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579.98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9"/>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6"/>
      <w:bookmarkEnd w:id="3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与上年持平。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25</w:t>
      </w:r>
      <w:r>
        <w:rPr>
          <w:rFonts w:hint="eastAsia" w:ascii="仿宋_GB2312" w:hAnsi="仿宋_GB2312" w:eastAsia="仿宋_GB2312" w:cs="仿宋_GB2312"/>
          <w:color w:val="auto"/>
          <w:kern w:val="2"/>
          <w:sz w:val="32"/>
          <w:szCs w:val="32"/>
          <w:highlight w:val="none"/>
          <w:lang w:val="en-US" w:eastAsia="zh-CN" w:bidi="ar-SA"/>
        </w:rPr>
        <w:t>万元，占86.21%；公务接待费支出决算</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万元，占13.79%。具体情况如下：</w:t>
      </w:r>
    </w:p>
    <w:p>
      <w:pPr>
        <w:pStyle w:val="2"/>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sz w:val="32"/>
          <w:szCs w:val="32"/>
          <w:lang w:eastAsia="zh-CN"/>
        </w:rPr>
        <w:drawing>
          <wp:anchor distT="0" distB="0" distL="114300" distR="114300" simplePos="0" relativeHeight="251679744" behindDoc="0" locked="0" layoutInCell="1" allowOverlap="1">
            <wp:simplePos x="0" y="0"/>
            <wp:positionH relativeFrom="column">
              <wp:posOffset>171450</wp:posOffset>
            </wp:positionH>
            <wp:positionV relativeFrom="paragraph">
              <wp:posOffset>304165</wp:posOffset>
            </wp:positionV>
            <wp:extent cx="5080000" cy="3810000"/>
            <wp:effectExtent l="4445" t="4445" r="20955" b="14605"/>
            <wp:wrapSquare wrapText="bothSides"/>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辆，截至2024年12月31日，单位共有公务用车</w:t>
      </w:r>
      <w:r>
        <w:rPr>
          <w:rFonts w:hint="eastAsia" w:eastAsia="仿宋_GB2312" w:cs="仿宋_GB2312"/>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25</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eastAsia="仿宋_GB2312"/>
          <w:sz w:val="32"/>
          <w:szCs w:val="32"/>
          <w:lang w:val="en-US" w:eastAsia="zh-CN"/>
        </w:rPr>
        <w:t>驻村下乡，外单位开会，市内出差</w:t>
      </w:r>
      <w:r>
        <w:rPr>
          <w:rFonts w:hint="eastAsia" w:ascii="仿宋_GB2312" w:eastAsia="仿宋_GB2312"/>
          <w:sz w:val="32"/>
          <w:szCs w:val="32"/>
        </w:rPr>
        <w:t>等</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仿宋_GB2312" w:eastAsia="仿宋_GB2312"/>
          <w:sz w:val="32"/>
          <w:szCs w:val="32"/>
        </w:rPr>
        <w:t>执行公务、开展业务活动开支的交通费、住宿费、用餐费等。国内公务接待</w:t>
      </w:r>
      <w:r>
        <w:rPr>
          <w:rFonts w:hint="eastAsia" w:ascii="仿宋_GB2312" w:eastAsia="仿宋_GB2312"/>
          <w:sz w:val="32"/>
          <w:szCs w:val="32"/>
          <w:lang w:val="en-US" w:eastAsia="zh-CN"/>
        </w:rPr>
        <w:t>124</w:t>
      </w:r>
      <w:r>
        <w:rPr>
          <w:rFonts w:hint="eastAsia" w:ascii="仿宋_GB2312" w:eastAsia="仿宋_GB2312"/>
          <w:sz w:val="32"/>
          <w:szCs w:val="32"/>
        </w:rPr>
        <w:t>批次，</w:t>
      </w:r>
      <w:r>
        <w:rPr>
          <w:rFonts w:hint="eastAsia" w:ascii="仿宋_GB2312" w:eastAsia="仿宋_GB2312"/>
          <w:sz w:val="32"/>
          <w:szCs w:val="32"/>
          <w:lang w:val="en-US" w:eastAsia="zh-CN"/>
        </w:rPr>
        <w:t>435</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4</w:t>
      </w:r>
      <w:r>
        <w:rPr>
          <w:rFonts w:hint="eastAsia" w:ascii="仿宋_GB2312" w:eastAsia="仿宋_GB2312"/>
          <w:sz w:val="32"/>
          <w:szCs w:val="32"/>
        </w:rPr>
        <w:t>万元，具体内容包括：</w:t>
      </w:r>
      <w:r>
        <w:rPr>
          <w:rFonts w:hint="eastAsia" w:ascii="仿宋_GB2312" w:eastAsia="仿宋_GB2312"/>
          <w:sz w:val="32"/>
          <w:szCs w:val="32"/>
          <w:lang w:val="en-US" w:eastAsia="zh-CN"/>
        </w:rPr>
        <w:t>市局指导组到我局指导工作等</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bookmarkStart w:id="40" w:name="_Toc15377218"/>
      <w:bookmarkStart w:id="41" w:name="_Toc15396610"/>
    </w:p>
    <w:p>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0"/>
      <w:bookmarkEnd w:id="41"/>
    </w:p>
    <w:p>
      <w:pPr>
        <w:spacing w:line="600" w:lineRule="exact"/>
        <w:ind w:firstLine="640"/>
        <w:rPr>
          <w:rFonts w:hint="default"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1939.34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21.84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1440.53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288.79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业务技术用房新建项目开工并按进度支付工程款。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2" w:name="_Toc15396611"/>
      <w:bookmarkStart w:id="43"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2"/>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4" w:name="_Toc15396612"/>
      <w:bookmarkStart w:id="45"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4"/>
      <w:bookmarkEnd w:id="45"/>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沐川县公安局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579.98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13.79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2.32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厉行节约，压减开支。</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沐川县公安局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沐川县公安局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39</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w:t>
      </w:r>
      <w:r>
        <w:rPr>
          <w:rFonts w:hint="eastAsia" w:ascii="仿宋_GB2312" w:eastAsia="仿宋_GB2312"/>
          <w:sz w:val="32"/>
          <w:szCs w:val="32"/>
          <w:lang w:val="en-US" w:eastAsia="zh-CN"/>
        </w:rPr>
        <w:t>执法执勤</w:t>
      </w:r>
      <w:r>
        <w:rPr>
          <w:rFonts w:hint="eastAsia" w:ascii="仿宋_GB2312" w:eastAsia="仿宋_GB2312"/>
          <w:sz w:val="32"/>
          <w:szCs w:val="32"/>
        </w:rPr>
        <w:t>用车</w:t>
      </w:r>
      <w:r>
        <w:rPr>
          <w:rFonts w:hint="eastAsia" w:ascii="仿宋_GB2312" w:eastAsia="仿宋_GB2312"/>
          <w:sz w:val="32"/>
          <w:szCs w:val="32"/>
          <w:lang w:val="en-US" w:eastAsia="zh-CN"/>
        </w:rPr>
        <w:t>39</w:t>
      </w:r>
      <w:r>
        <w:rPr>
          <w:rFonts w:hint="eastAsia" w:ascii="仿宋_GB2312" w:eastAsia="仿宋_GB2312"/>
          <w:sz w:val="32"/>
          <w:szCs w:val="32"/>
        </w:rPr>
        <w:t>辆，主要是用于</w:t>
      </w:r>
      <w:r>
        <w:rPr>
          <w:rFonts w:hint="eastAsia" w:ascii="仿宋_GB2312" w:eastAsia="仿宋_GB2312"/>
          <w:sz w:val="32"/>
          <w:szCs w:val="32"/>
          <w:lang w:val="en-US" w:eastAsia="zh-CN"/>
        </w:rPr>
        <w:t>执法办案</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s="仿宋_GB2312"/>
          <w:sz w:val="32"/>
          <w:szCs w:val="32"/>
          <w:lang w:val="en-US" w:eastAsia="zh-CN"/>
        </w:rPr>
        <w:t>社戒社康工作经费</w:t>
      </w:r>
      <w:r>
        <w:rPr>
          <w:rFonts w:hint="eastAsia" w:ascii="仿宋_GB2312" w:hAnsi="仿宋_GB2312" w:eastAsia="仿宋_GB2312" w:cs="仿宋_GB2312"/>
          <w:sz w:val="32"/>
          <w:szCs w:val="32"/>
        </w:rPr>
        <w:t>项目</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公安局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部门整体（含部门预算项目）绩效自评报告，其中，</w:t>
      </w:r>
      <w:r>
        <w:rPr>
          <w:rFonts w:hint="eastAsia" w:eastAsia="仿宋_GB2312" w:cs="仿宋_GB2312"/>
          <w:color w:val="auto"/>
          <w:kern w:val="2"/>
          <w:sz w:val="32"/>
          <w:szCs w:val="32"/>
          <w:highlight w:val="none"/>
          <w:lang w:val="en-US" w:eastAsia="zh-CN" w:bidi="ar-SA"/>
        </w:rPr>
        <w:t>公安局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良好</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lang w:val="en-US" w:eastAsia="zh-CN"/>
        </w:rPr>
        <w:t>社戒社康工作经费</w:t>
      </w:r>
      <w:r>
        <w:rPr>
          <w:rFonts w:hint="eastAsia" w:ascii="仿宋_GB2312" w:hAnsi="仿宋_GB2312" w:eastAsia="仿宋_GB2312" w:cs="仿宋_GB2312"/>
          <w:sz w:val="32"/>
          <w:szCs w:val="32"/>
        </w:rPr>
        <w:t>项目</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4.其他收入：指单位取得的除上述收入以外的各项收入。主要是</w:t>
      </w:r>
      <w:r>
        <w:rPr>
          <w:rFonts w:hint="eastAsia" w:eastAsia="仿宋_GB2312" w:cs="仿宋_GB2312"/>
          <w:color w:val="auto"/>
          <w:kern w:val="2"/>
          <w:sz w:val="32"/>
          <w:szCs w:val="32"/>
          <w:highlight w:val="none"/>
          <w:lang w:val="en-US" w:eastAsia="zh-CN" w:bidi="ar-SA"/>
        </w:rPr>
        <w:t>协同办案费</w:t>
      </w:r>
      <w:r>
        <w:rPr>
          <w:rFonts w:hint="eastAsia" w:ascii="Times New Roman" w:hAnsi="Times New Roman" w:eastAsia="仿宋_GB2312" w:cs="仿宋_GB2312"/>
          <w:color w:val="auto"/>
          <w:kern w:val="2"/>
          <w:sz w:val="32"/>
          <w:szCs w:val="32"/>
          <w:highlight w:val="none"/>
          <w:lang w:val="en-US" w:eastAsia="zh-CN" w:bidi="ar-SA"/>
        </w:rPr>
        <w:t xml:space="preserve">等。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公共安全</w:t>
      </w:r>
      <w:r>
        <w:rPr>
          <w:rFonts w:hint="eastAsia" w:ascii="仿宋_GB2312" w:eastAsia="仿宋_GB2312"/>
          <w:sz w:val="32"/>
          <w:szCs w:val="32"/>
          <w:lang w:val="en-US" w:eastAsia="zh-CN"/>
        </w:rPr>
        <w:t>支出</w:t>
      </w:r>
      <w:r>
        <w:rPr>
          <w:rFonts w:hint="eastAsia" w:ascii="仿宋_GB2312" w:eastAsia="仿宋_GB2312"/>
          <w:sz w:val="32"/>
          <w:szCs w:val="32"/>
        </w:rPr>
        <w:t>：指</w:t>
      </w:r>
      <w:r>
        <w:rPr>
          <w:rFonts w:hint="eastAsia" w:ascii="仿宋_GB2312" w:eastAsia="仿宋_GB2312"/>
          <w:sz w:val="32"/>
          <w:szCs w:val="32"/>
          <w:lang w:val="en-US" w:eastAsia="zh-CN"/>
        </w:rPr>
        <w:t>政府维护社会公共安全方面的支出</w:t>
      </w:r>
      <w:r>
        <w:rPr>
          <w:rFonts w:hint="eastAsia" w:ascii="仿宋_GB2312" w:eastAsia="仿宋_GB2312"/>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lang w:val="en-US" w:eastAsia="zh-CN"/>
        </w:rPr>
        <w:t>社会保障和就业支出</w:t>
      </w:r>
      <w:r>
        <w:rPr>
          <w:rFonts w:hint="eastAsia" w:ascii="仿宋_GB2312" w:eastAsia="仿宋_GB2312"/>
          <w:sz w:val="32"/>
          <w:szCs w:val="32"/>
        </w:rPr>
        <w:t>：指</w:t>
      </w:r>
      <w:r>
        <w:rPr>
          <w:rFonts w:hint="eastAsia" w:ascii="仿宋_GB2312" w:eastAsia="仿宋_GB2312"/>
          <w:sz w:val="32"/>
          <w:szCs w:val="32"/>
          <w:lang w:val="en-US" w:eastAsia="zh-CN"/>
        </w:rPr>
        <w:t>政府在社会保障与就业方面的支出</w:t>
      </w:r>
      <w:r>
        <w:rPr>
          <w:rFonts w:hint="eastAsia" w:ascii="仿宋_GB2312" w:eastAsia="仿宋_GB2312"/>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卫生健康</w:t>
      </w:r>
      <w:r>
        <w:rPr>
          <w:rFonts w:hint="eastAsia" w:ascii="仿宋_GB2312" w:eastAsia="仿宋_GB2312"/>
          <w:sz w:val="32"/>
          <w:szCs w:val="32"/>
          <w:lang w:val="en-US" w:eastAsia="zh-CN"/>
        </w:rPr>
        <w:t>支出</w:t>
      </w:r>
      <w:r>
        <w:rPr>
          <w:rFonts w:hint="eastAsia" w:ascii="仿宋_GB2312" w:eastAsia="仿宋_GB2312"/>
          <w:sz w:val="32"/>
          <w:szCs w:val="32"/>
        </w:rPr>
        <w:t>：指</w:t>
      </w:r>
      <w:r>
        <w:rPr>
          <w:rFonts w:hint="eastAsia" w:ascii="仿宋_GB2312" w:eastAsia="仿宋_GB2312"/>
          <w:sz w:val="32"/>
          <w:szCs w:val="32"/>
          <w:lang w:val="en-US" w:eastAsia="zh-CN"/>
        </w:rPr>
        <w:t>政府卫生健康方面的支出</w:t>
      </w:r>
      <w:r>
        <w:rPr>
          <w:rFonts w:hint="eastAsia" w:ascii="仿宋_GB2312" w:eastAsia="仿宋_GB2312"/>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住房保障</w:t>
      </w:r>
      <w:r>
        <w:rPr>
          <w:rFonts w:hint="eastAsia" w:ascii="仿宋_GB2312" w:eastAsia="仿宋_GB2312"/>
          <w:sz w:val="32"/>
          <w:szCs w:val="32"/>
          <w:lang w:val="en-US" w:eastAsia="zh-CN"/>
        </w:rPr>
        <w:t>支出</w:t>
      </w:r>
      <w:r>
        <w:rPr>
          <w:rFonts w:hint="eastAsia" w:ascii="仿宋_GB2312" w:eastAsia="仿宋_GB2312"/>
          <w:sz w:val="32"/>
          <w:szCs w:val="32"/>
        </w:rPr>
        <w:t>：指</w:t>
      </w:r>
      <w:r>
        <w:rPr>
          <w:rFonts w:hint="eastAsia" w:ascii="仿宋_GB2312" w:eastAsia="仿宋_GB2312"/>
          <w:sz w:val="32"/>
          <w:szCs w:val="32"/>
          <w:lang w:val="en-US" w:eastAsia="zh-CN"/>
        </w:rPr>
        <w:t>政府用于住房方面的支出</w:t>
      </w:r>
      <w:r>
        <w:rPr>
          <w:rFonts w:hint="eastAsia" w:ascii="仿宋_GB2312" w:eastAsia="仿宋_GB2312"/>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项目支出：指在基本支出之外为完成特定行政任务和事业发展目标所发生的支出。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hint="eastAsia" w:ascii="Times New Roman" w:hAnsi="Times New Roman" w:eastAsia="黑体"/>
          <w:b w:val="0"/>
          <w:color w:val="auto"/>
          <w:highlight w:val="none"/>
          <w:lang w:eastAsia="zh-CN"/>
        </w:rPr>
      </w:pPr>
      <w:bookmarkStart w:id="5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Times New Roman" w:hAnsi="Times New Roman" w:eastAsia="仿宋_GB2312" w:cs="Times New Roman"/>
          <w:sz w:val="32"/>
          <w:szCs w:val="32"/>
          <w:lang w:val="en-US" w:eastAsia="zh-CN"/>
        </w:rPr>
        <w:t>沐川县公安局经费开支单位包括内设机构指挥中心、国内安全保卫大队、刑事侦查大队、治安管理大队、禁毒大队、经济犯罪侦查大队、情报中心、网络安全保卫大队、政工监督室、警务保障室、法制室、派出所8个、看守所1个（不计入内设机构）</w:t>
      </w:r>
      <w:r>
        <w:rPr>
          <w:rFonts w:hint="default" w:ascii="Times New Roman" w:hAnsi="Times New Roman" w:eastAsia="仿宋_GB2312" w:cs="Times New Roman"/>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Times New Roman" w:hAnsi="Times New Roman" w:eastAsia="仿宋_GB2312" w:cs="Times New Roman"/>
          <w:sz w:val="32"/>
          <w:szCs w:val="32"/>
          <w:lang w:val="en-US" w:eastAsia="zh-CN"/>
        </w:rPr>
        <w:t>公安局为县政府工作部门，是主管全县治安行政管理和刑事执法的机关，严格执行公安工作路线、方针、政策、法律法规，保护人民、打击犯罪，维护全县政治稳定、社会稳定。</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重点工作任务是敏锐把握社会矛盾的规律特点，加强谋略研究，积极妥善应对，着力提高预警、发现和控制能力，全力维护国家安全和社会稳定，以不断深化社会治安集中整治，巩固整治成果为中心，建立政治社会治安长效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_GB2312" w:eastAsia="仿宋_GB2312"/>
          <w:sz w:val="32"/>
          <w:szCs w:val="32"/>
        </w:rPr>
        <w:t>沐川县公安局现有在职民警1</w:t>
      </w:r>
      <w:r>
        <w:rPr>
          <w:rFonts w:hint="eastAsia" w:ascii="仿宋_GB2312" w:eastAsia="仿宋_GB2312"/>
          <w:sz w:val="32"/>
          <w:szCs w:val="32"/>
          <w:lang w:val="en-US" w:eastAsia="zh-CN"/>
        </w:rPr>
        <w:t>68</w:t>
      </w:r>
      <w:r>
        <w:rPr>
          <w:rFonts w:hint="eastAsia" w:ascii="仿宋_GB2312" w:eastAsia="仿宋_GB2312"/>
          <w:sz w:val="32"/>
          <w:szCs w:val="32"/>
        </w:rPr>
        <w:t>人</w:t>
      </w:r>
      <w:r>
        <w:rPr>
          <w:rFonts w:hint="eastAsia" w:ascii="Times New Roman" w:hAnsi="Times New Roman" w:eastAsia="仿宋_GB2312" w:cs="Times New Roman"/>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仿宋_GB2312"/>
          <w:color w:val="auto"/>
          <w:kern w:val="2"/>
          <w:sz w:val="32"/>
          <w:szCs w:val="32"/>
          <w:highlight w:val="none"/>
          <w:lang w:val="en-US" w:eastAsia="zh-CN" w:bidi="ar-SA"/>
        </w:rPr>
        <w:t>沐川县公安局</w:t>
      </w:r>
      <w:r>
        <w:rPr>
          <w:rFonts w:hint="eastAsia" w:ascii="Times New Roman" w:hAnsi="Times New Roman" w:eastAsia="仿宋_GB2312" w:cs="Times New Roman"/>
          <w:sz w:val="32"/>
          <w:szCs w:val="32"/>
          <w:lang w:val="en-US" w:eastAsia="zh-CN"/>
        </w:rPr>
        <w:t>2024年年初预算收入</w:t>
      </w:r>
      <w:r>
        <w:rPr>
          <w:rFonts w:hint="eastAsia" w:eastAsia="仿宋_GB2312" w:cs="Times New Roman"/>
          <w:sz w:val="32"/>
          <w:szCs w:val="32"/>
          <w:lang w:val="en-US" w:eastAsia="zh-CN"/>
        </w:rPr>
        <w:t>8879.17万元</w:t>
      </w:r>
      <w:r>
        <w:rPr>
          <w:rFonts w:hint="eastAsia" w:ascii="Times New Roman" w:hAnsi="Times New Roman" w:eastAsia="仿宋_GB2312" w:cs="Times New Roman"/>
          <w:sz w:val="32"/>
          <w:szCs w:val="32"/>
          <w:lang w:val="en-US" w:eastAsia="zh-CN"/>
        </w:rPr>
        <w:t>、决算报表收入</w:t>
      </w:r>
      <w:r>
        <w:rPr>
          <w:rFonts w:hint="eastAsia" w:eastAsia="仿宋_GB2312" w:cs="Times New Roman"/>
          <w:sz w:val="32"/>
          <w:szCs w:val="32"/>
          <w:lang w:val="en-US" w:eastAsia="zh-CN"/>
        </w:rPr>
        <w:t>8879.17万元</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仿宋_GB2312"/>
          <w:color w:val="auto"/>
          <w:kern w:val="2"/>
          <w:sz w:val="32"/>
          <w:szCs w:val="32"/>
          <w:highlight w:val="none"/>
          <w:lang w:val="en-US" w:eastAsia="zh-CN" w:bidi="ar-SA"/>
        </w:rPr>
        <w:t>沐川县公安局</w:t>
      </w:r>
      <w:r>
        <w:rPr>
          <w:rFonts w:hint="eastAsia" w:ascii="Times New Roman" w:hAnsi="Times New Roman" w:eastAsia="仿宋_GB2312" w:cs="Times New Roman"/>
          <w:sz w:val="32"/>
          <w:szCs w:val="32"/>
          <w:lang w:val="en-US" w:eastAsia="zh-CN"/>
        </w:rPr>
        <w:t>2024年年初预算支出</w:t>
      </w:r>
      <w:r>
        <w:rPr>
          <w:rFonts w:hint="eastAsia" w:eastAsia="仿宋_GB2312" w:cs="Times New Roman"/>
          <w:sz w:val="32"/>
          <w:szCs w:val="32"/>
          <w:lang w:val="en-US" w:eastAsia="zh-CN"/>
        </w:rPr>
        <w:t>8879.17万元</w:t>
      </w:r>
      <w:r>
        <w:rPr>
          <w:rFonts w:hint="eastAsia" w:ascii="Times New Roman" w:hAnsi="Times New Roman" w:eastAsia="仿宋_GB2312" w:cs="Times New Roman"/>
          <w:sz w:val="32"/>
          <w:szCs w:val="32"/>
          <w:lang w:val="en-US" w:eastAsia="zh-CN"/>
        </w:rPr>
        <w:t>、决算报表支出</w:t>
      </w:r>
      <w:r>
        <w:rPr>
          <w:rFonts w:hint="eastAsia" w:eastAsia="仿宋_GB2312" w:cs="Times New Roman"/>
          <w:sz w:val="32"/>
          <w:szCs w:val="32"/>
          <w:lang w:val="en-US" w:eastAsia="zh-CN"/>
        </w:rPr>
        <w:t>8879.17万元</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仿宋_GB2312"/>
          <w:color w:val="auto"/>
          <w:kern w:val="2"/>
          <w:sz w:val="32"/>
          <w:szCs w:val="32"/>
          <w:highlight w:val="none"/>
          <w:lang w:val="en-US" w:eastAsia="zh-CN" w:bidi="ar-SA"/>
        </w:rPr>
        <w:t>沐川县公安局</w:t>
      </w:r>
      <w:r>
        <w:rPr>
          <w:rFonts w:hint="eastAsia" w:ascii="Times New Roman" w:hAnsi="Times New Roman" w:eastAsia="仿宋_GB2312" w:cs="Times New Roman"/>
          <w:sz w:val="32"/>
          <w:szCs w:val="32"/>
          <w:lang w:val="en-US" w:eastAsia="zh-CN"/>
        </w:rPr>
        <w:t>2024年决算报表</w:t>
      </w:r>
      <w:r>
        <w:rPr>
          <w:rFonts w:hint="default" w:ascii="Times New Roman" w:hAnsi="Times New Roman" w:eastAsia="仿宋_GB2312" w:cs="Times New Roman"/>
          <w:sz w:val="32"/>
          <w:szCs w:val="32"/>
          <w:lang w:val="en-US" w:eastAsia="zh-CN"/>
        </w:rPr>
        <w:t>结转结余</w:t>
      </w:r>
      <w:r>
        <w:rPr>
          <w:rFonts w:hint="eastAsia" w:eastAsia="仿宋_GB2312" w:cs="Times New Roman"/>
          <w:sz w:val="32"/>
          <w:szCs w:val="32"/>
          <w:lang w:val="en-US" w:eastAsia="zh-CN"/>
        </w:rPr>
        <w:t>为零</w:t>
      </w:r>
      <w:r>
        <w:rPr>
          <w:rFonts w:hint="default" w:ascii="Times New Roman" w:hAnsi="Times New Roman" w:eastAsia="仿宋_GB2312" w:cs="Times New Roman"/>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履职效能。部门整体绩效目标中选定3-5个核心职能目标，对职能目标完成效果情况</w:t>
      </w:r>
      <w:r>
        <w:rPr>
          <w:rFonts w:hint="eastAsia" w:eastAsia="仿宋_GB2312" w:cs="仿宋_GB2312"/>
          <w:color w:val="auto"/>
          <w:kern w:val="2"/>
          <w:sz w:val="32"/>
          <w:szCs w:val="32"/>
          <w:highlight w:val="none"/>
          <w:lang w:val="en-US" w:eastAsia="zh-CN" w:bidi="ar-SA"/>
        </w:rPr>
        <w:t>良好</w:t>
      </w:r>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。围绕预算编制质量、单位收入统筹、支出执行进度、预算年终结余、严控一般性支出</w:t>
      </w:r>
      <w:r>
        <w:rPr>
          <w:rFonts w:hint="eastAsia" w:eastAsia="仿宋_GB2312" w:cs="仿宋_GB2312"/>
          <w:color w:val="auto"/>
          <w:kern w:val="2"/>
          <w:sz w:val="32"/>
          <w:szCs w:val="32"/>
          <w:highlight w:val="none"/>
          <w:lang w:val="en-US" w:eastAsia="zh-CN" w:bidi="ar-SA"/>
        </w:rPr>
        <w:t>严格执行</w:t>
      </w:r>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。围绕财务管理制度、财务岗位设置、资金使用规范</w:t>
      </w:r>
      <w:r>
        <w:rPr>
          <w:rFonts w:hint="eastAsia" w:eastAsia="仿宋_GB2312" w:cs="仿宋_GB2312"/>
          <w:color w:val="auto"/>
          <w:kern w:val="2"/>
          <w:sz w:val="32"/>
          <w:szCs w:val="32"/>
          <w:highlight w:val="none"/>
          <w:lang w:val="en-US" w:eastAsia="zh-CN" w:bidi="ar-SA"/>
        </w:rPr>
        <w:t>均有效管理</w:t>
      </w:r>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。围绕人均资产变化率、资产利用率、资产盘活率</w:t>
      </w:r>
      <w:r>
        <w:rPr>
          <w:rFonts w:hint="eastAsia" w:eastAsia="仿宋_GB2312" w:cs="仿宋_GB2312"/>
          <w:color w:val="auto"/>
          <w:kern w:val="2"/>
          <w:sz w:val="32"/>
          <w:szCs w:val="32"/>
          <w:highlight w:val="none"/>
          <w:lang w:val="en-US" w:eastAsia="zh-CN" w:bidi="ar-SA"/>
        </w:rPr>
        <w:t>良好</w:t>
      </w:r>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。围绕支持中小企业发展、采购执行率</w:t>
      </w:r>
      <w:r>
        <w:rPr>
          <w:rFonts w:hint="eastAsia" w:eastAsia="仿宋_GB2312" w:cs="仿宋_GB2312"/>
          <w:color w:val="auto"/>
          <w:kern w:val="2"/>
          <w:sz w:val="32"/>
          <w:szCs w:val="32"/>
          <w:highlight w:val="none"/>
          <w:lang w:val="en-US" w:eastAsia="zh-CN" w:bidi="ar-SA"/>
        </w:rPr>
        <w:t>严格按规定执行</w:t>
      </w:r>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230</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1500</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项目决策。决策程序</w:t>
      </w:r>
      <w:r>
        <w:rPr>
          <w:rFonts w:hint="eastAsia" w:eastAsia="仿宋_GB2312" w:cs="仿宋_GB2312"/>
          <w:color w:val="auto"/>
          <w:kern w:val="2"/>
          <w:sz w:val="32"/>
          <w:szCs w:val="32"/>
          <w:highlight w:val="none"/>
          <w:lang w:val="en-US" w:eastAsia="zh-CN" w:bidi="ar-SA"/>
        </w:rPr>
        <w:t>完整</w:t>
      </w:r>
      <w:r>
        <w:rPr>
          <w:rFonts w:hint="eastAsia" w:ascii="Times New Roman" w:hAnsi="Times New Roman" w:eastAsia="仿宋_GB2312" w:cs="仿宋_GB2312"/>
          <w:color w:val="auto"/>
          <w:kern w:val="2"/>
          <w:sz w:val="32"/>
          <w:szCs w:val="32"/>
          <w:highlight w:val="none"/>
          <w:lang w:val="zh-CN" w:eastAsia="zh-CN" w:bidi="ar-SA"/>
        </w:rPr>
        <w:t>、目标设置</w:t>
      </w:r>
      <w:r>
        <w:rPr>
          <w:rFonts w:hint="eastAsia" w:eastAsia="仿宋_GB2312" w:cs="仿宋_GB2312"/>
          <w:color w:val="auto"/>
          <w:kern w:val="2"/>
          <w:sz w:val="32"/>
          <w:szCs w:val="32"/>
          <w:highlight w:val="none"/>
          <w:lang w:val="en-US" w:eastAsia="zh-CN" w:bidi="ar-SA"/>
        </w:rPr>
        <w:t>优异</w:t>
      </w:r>
      <w:r>
        <w:rPr>
          <w:rFonts w:hint="eastAsia" w:ascii="Times New Roman" w:hAnsi="Times New Roman" w:eastAsia="仿宋_GB2312" w:cs="仿宋_GB2312"/>
          <w:color w:val="auto"/>
          <w:kern w:val="2"/>
          <w:sz w:val="32"/>
          <w:szCs w:val="32"/>
          <w:highlight w:val="none"/>
          <w:lang w:val="zh-CN" w:eastAsia="zh-CN" w:bidi="ar-SA"/>
        </w:rPr>
        <w:t>、项目入库</w:t>
      </w:r>
      <w:r>
        <w:rPr>
          <w:rFonts w:hint="eastAsia" w:eastAsia="仿宋_GB2312" w:cs="仿宋_GB2312"/>
          <w:color w:val="auto"/>
          <w:kern w:val="2"/>
          <w:sz w:val="32"/>
          <w:szCs w:val="32"/>
          <w:highlight w:val="none"/>
          <w:lang w:val="en-US" w:eastAsia="zh-CN" w:bidi="ar-SA"/>
        </w:rPr>
        <w:t>及时</w:t>
      </w:r>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。资金执行同向、项目调整</w:t>
      </w:r>
      <w:r>
        <w:rPr>
          <w:rFonts w:hint="eastAsia" w:eastAsia="仿宋_GB2312" w:cs="仿宋_GB2312"/>
          <w:color w:val="auto"/>
          <w:kern w:val="2"/>
          <w:sz w:val="32"/>
          <w:szCs w:val="32"/>
          <w:highlight w:val="none"/>
          <w:lang w:val="en-US" w:eastAsia="zh-CN" w:bidi="ar-SA"/>
        </w:rPr>
        <w:t>及时</w:t>
      </w:r>
      <w:r>
        <w:rPr>
          <w:rFonts w:hint="eastAsia" w:ascii="Times New Roman" w:hAnsi="Times New Roman" w:eastAsia="仿宋_GB2312" w:cs="仿宋_GB2312"/>
          <w:color w:val="auto"/>
          <w:kern w:val="2"/>
          <w:sz w:val="32"/>
          <w:szCs w:val="32"/>
          <w:highlight w:val="none"/>
          <w:lang w:val="zh-CN" w:eastAsia="zh-CN" w:bidi="ar-SA"/>
        </w:rPr>
        <w:t>、执行结果</w:t>
      </w:r>
      <w:r>
        <w:rPr>
          <w:rFonts w:hint="eastAsia" w:eastAsia="仿宋_GB2312" w:cs="仿宋_GB2312"/>
          <w:color w:val="auto"/>
          <w:kern w:val="2"/>
          <w:sz w:val="32"/>
          <w:szCs w:val="32"/>
          <w:highlight w:val="none"/>
          <w:lang w:val="en-US" w:eastAsia="zh-CN" w:bidi="ar-SA"/>
        </w:rPr>
        <w:t>良好</w:t>
      </w:r>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目标实现。目标完成</w:t>
      </w:r>
      <w:r>
        <w:rPr>
          <w:rFonts w:hint="eastAsia" w:eastAsia="仿宋_GB2312" w:cs="仿宋_GB2312"/>
          <w:color w:val="auto"/>
          <w:kern w:val="2"/>
          <w:sz w:val="32"/>
          <w:szCs w:val="32"/>
          <w:highlight w:val="none"/>
          <w:lang w:val="en-US" w:eastAsia="zh-CN" w:bidi="ar-SA"/>
        </w:rPr>
        <w:t>情况良好</w:t>
      </w:r>
      <w:r>
        <w:rPr>
          <w:rFonts w:hint="eastAsia" w:ascii="Times New Roman" w:hAnsi="Times New Roman" w:eastAsia="仿宋_GB2312" w:cs="仿宋_GB2312"/>
          <w:color w:val="auto"/>
          <w:kern w:val="2"/>
          <w:sz w:val="32"/>
          <w:szCs w:val="32"/>
          <w:highlight w:val="none"/>
          <w:lang w:val="zh-CN" w:eastAsia="zh-CN" w:bidi="ar-SA"/>
        </w:rPr>
        <w:t>、目标偏离</w:t>
      </w:r>
      <w:r>
        <w:rPr>
          <w:rFonts w:hint="eastAsia" w:eastAsia="仿宋_GB2312" w:cs="仿宋_GB2312"/>
          <w:color w:val="auto"/>
          <w:kern w:val="2"/>
          <w:sz w:val="32"/>
          <w:szCs w:val="32"/>
          <w:highlight w:val="none"/>
          <w:lang w:val="en-US" w:eastAsia="zh-CN" w:bidi="ar-SA"/>
        </w:rPr>
        <w:t>杜低</w:t>
      </w:r>
      <w:r>
        <w:rPr>
          <w:rFonts w:hint="eastAsia" w:ascii="Times New Roman" w:hAnsi="Times New Roman" w:eastAsia="仿宋_GB2312" w:cs="仿宋_GB2312"/>
          <w:color w:val="auto"/>
          <w:kern w:val="2"/>
          <w:sz w:val="32"/>
          <w:szCs w:val="32"/>
          <w:highlight w:val="none"/>
          <w:lang w:val="zh-CN" w:eastAsia="zh-CN" w:bidi="ar-SA"/>
        </w:rPr>
        <w:t>、实现效果</w:t>
      </w:r>
      <w:r>
        <w:rPr>
          <w:rFonts w:hint="eastAsia" w:eastAsia="仿宋_GB2312" w:cs="仿宋_GB2312"/>
          <w:color w:val="auto"/>
          <w:kern w:val="2"/>
          <w:sz w:val="32"/>
          <w:szCs w:val="32"/>
          <w:highlight w:val="none"/>
          <w:lang w:val="en-US" w:eastAsia="zh-CN" w:bidi="ar-SA"/>
        </w:rPr>
        <w:t>优异</w:t>
      </w:r>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zh-CN" w:eastAsia="zh-CN" w:bidi="ar"/>
        </w:rPr>
        <w:t>内部应用情况</w:t>
      </w:r>
      <w:r>
        <w:rPr>
          <w:rFonts w:hint="eastAsia" w:eastAsia="仿宋_GB2312" w:cs="Times New Roman"/>
          <w:sz w:val="32"/>
          <w:szCs w:val="32"/>
          <w:highlight w:val="none"/>
          <w:u w:val="none"/>
          <w:lang w:val="en-US" w:eastAsia="zh-CN" w:bidi="ar"/>
        </w:rPr>
        <w:t>良好</w:t>
      </w:r>
      <w:r>
        <w:rPr>
          <w:rFonts w:hint="eastAsia" w:ascii="Times New Roman" w:hAnsi="Times New Roman" w:eastAsia="仿宋_GB2312" w:cs="Times New Roman"/>
          <w:sz w:val="32"/>
          <w:szCs w:val="32"/>
          <w:highlight w:val="none"/>
          <w:u w:val="none"/>
          <w:lang w:val="zh-CN" w:eastAsia="zh-CN" w:bidi="ar"/>
        </w:rPr>
        <w:t>、</w:t>
      </w:r>
      <w:r>
        <w:rPr>
          <w:rFonts w:hint="default" w:ascii="Times New Roman" w:hAnsi="Times New Roman" w:eastAsia="仿宋_GB2312" w:cs="Times New Roman"/>
          <w:sz w:val="32"/>
          <w:szCs w:val="32"/>
          <w:highlight w:val="none"/>
          <w:u w:val="none"/>
          <w:lang w:val="zh-CN" w:eastAsia="zh-CN" w:bidi="ar"/>
        </w:rPr>
        <w:t>信息公开情况</w:t>
      </w:r>
      <w:r>
        <w:rPr>
          <w:rFonts w:hint="eastAsia" w:eastAsia="仿宋_GB2312" w:cs="Times New Roman"/>
          <w:sz w:val="32"/>
          <w:szCs w:val="32"/>
          <w:highlight w:val="none"/>
          <w:u w:val="none"/>
          <w:lang w:val="en-US" w:eastAsia="zh-CN" w:bidi="ar"/>
        </w:rPr>
        <w:t>及时</w:t>
      </w:r>
      <w:r>
        <w:rPr>
          <w:rFonts w:hint="eastAsia" w:ascii="Times New Roman" w:hAnsi="Times New Roman" w:eastAsia="仿宋_GB2312" w:cs="Times New Roman"/>
          <w:sz w:val="32"/>
          <w:szCs w:val="32"/>
          <w:highlight w:val="none"/>
          <w:u w:val="none"/>
          <w:lang w:val="zh-CN" w:eastAsia="zh-CN" w:bidi="ar"/>
        </w:rPr>
        <w:t>、</w:t>
      </w:r>
      <w:r>
        <w:rPr>
          <w:rFonts w:hint="default" w:ascii="Times New Roman" w:hAnsi="Times New Roman" w:eastAsia="仿宋_GB2312" w:cs="Times New Roman"/>
          <w:sz w:val="32"/>
          <w:szCs w:val="32"/>
          <w:highlight w:val="none"/>
          <w:u w:val="none"/>
          <w:lang w:val="zh-CN" w:eastAsia="zh-CN" w:bidi="ar"/>
        </w:rPr>
        <w:t>整改反馈情况</w:t>
      </w:r>
      <w:r>
        <w:rPr>
          <w:rFonts w:hint="eastAsia" w:eastAsia="仿宋_GB2312" w:cs="Times New Roman"/>
          <w:sz w:val="32"/>
          <w:szCs w:val="32"/>
          <w:highlight w:val="none"/>
          <w:u w:val="none"/>
          <w:lang w:val="en-US" w:eastAsia="zh-CN" w:bidi="ar"/>
        </w:rPr>
        <w:t>良好</w:t>
      </w:r>
      <w:r>
        <w:rPr>
          <w:rFonts w:hint="eastAsia" w:ascii="Times New Roman" w:hAnsi="Times New Roman" w:eastAsia="仿宋_GB2312" w:cs="Times New Roman"/>
          <w:sz w:val="32"/>
          <w:szCs w:val="32"/>
          <w:highlight w:val="none"/>
          <w:u w:val="none"/>
          <w:lang w:val="zh-CN" w:eastAsia="zh-CN" w:bidi="ar"/>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highlight w:val="none"/>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Times New Roman" w:hAnsi="Times New Roman" w:eastAsia="仿宋_GB2312" w:cs="Times New Roman"/>
          <w:sz w:val="32"/>
          <w:szCs w:val="32"/>
          <w:highlight w:val="none"/>
          <w:u w:val="none"/>
          <w:lang w:val="zh-CN" w:eastAsia="zh-CN" w:bidi="ar"/>
        </w:rPr>
        <w:t>沐川县公安局财政预算支出，保障了公安机关日常运转，为维护社会治安稳定、打击刑事犯罪、侦办各类案件、重大活动安保、执勤巡逻等工作提供了强有力的保障，使得我局圆满完成了市公安局及县委、县政府下达的各项工作任务。</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eastAsia="仿宋_GB2312" w:cs="Times New Roman"/>
          <w:sz w:val="32"/>
          <w:szCs w:val="32"/>
          <w:u w:val="none"/>
          <w:lang w:val="en-US" w:eastAsia="zh-CN" w:bidi="ar"/>
        </w:rPr>
        <w:t>无</w:t>
      </w:r>
      <w:r>
        <w:rPr>
          <w:rFonts w:hint="eastAsia" w:ascii="Times New Roman" w:hAnsi="Times New Roman" w:eastAsia="仿宋_GB2312" w:cs="Times New Roman"/>
          <w:sz w:val="32"/>
          <w:szCs w:val="32"/>
          <w:u w:val="none"/>
          <w:lang w:val="en-US" w:eastAsia="zh-CN" w:bidi="ar"/>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3" w:name="_Hlk110546638"/>
      <w:r>
        <w:rPr>
          <w:rFonts w:hint="eastAsia" w:eastAsia="仿宋_GB2312" w:cs="Times New Roman"/>
          <w:sz w:val="32"/>
          <w:szCs w:val="32"/>
          <w:u w:val="none"/>
          <w:lang w:val="en-US" w:eastAsia="zh-CN" w:bidi="ar"/>
        </w:rPr>
        <w:t>无</w:t>
      </w:r>
      <w:r>
        <w:rPr>
          <w:rFonts w:hint="eastAsia" w:ascii="Times New Roman" w:hAnsi="Times New Roman" w:eastAsia="仿宋_GB2312" w:cs="Times New Roman"/>
          <w:sz w:val="32"/>
          <w:szCs w:val="32"/>
          <w:u w:val="none"/>
          <w:lang w:val="en-US" w:eastAsia="zh-CN" w:bidi="ar"/>
        </w:rPr>
        <w:t>。</w:t>
      </w:r>
    </w:p>
    <w:bookmarkEnd w:id="53"/>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2"/>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pStyle w:val="2"/>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Times New Roman" w:hAnsi="Times New Roman" w:eastAsia="仿宋_GB2312" w:cs="仿宋_GB2312"/>
          <w:b w:val="0"/>
          <w:bCs w:val="0"/>
          <w:kern w:val="0"/>
          <w:position w:val="0"/>
          <w:sz w:val="32"/>
          <w:szCs w:val="32"/>
          <w:highlight w:val="none"/>
          <w:lang w:val="en-US" w:eastAsia="zh-CN" w:bidi="ar-SA"/>
        </w:rPr>
        <w:t>项目</w:t>
      </w:r>
      <w:r>
        <w:rPr>
          <w:rFonts w:hint="eastAsia" w:eastAsia="仿宋_GB2312" w:cs="仿宋_GB2312"/>
          <w:b w:val="0"/>
          <w:bCs w:val="0"/>
          <w:kern w:val="0"/>
          <w:position w:val="0"/>
          <w:sz w:val="32"/>
          <w:szCs w:val="32"/>
          <w:highlight w:val="none"/>
          <w:lang w:val="en-US" w:eastAsia="zh-CN" w:bidi="ar-SA"/>
        </w:rPr>
        <w:t>因开展社区禁毒、戒毒等工作</w:t>
      </w:r>
      <w:r>
        <w:rPr>
          <w:rFonts w:hint="eastAsia" w:ascii="Times New Roman" w:hAnsi="Times New Roman" w:eastAsia="仿宋_GB2312" w:cs="仿宋_GB2312"/>
          <w:b w:val="0"/>
          <w:bCs w:val="0"/>
          <w:kern w:val="0"/>
          <w:position w:val="0"/>
          <w:sz w:val="32"/>
          <w:szCs w:val="32"/>
          <w:highlight w:val="none"/>
          <w:lang w:val="en-US" w:eastAsia="zh-CN" w:bidi="ar-SA"/>
        </w:rPr>
        <w:t>设立</w:t>
      </w:r>
      <w:r>
        <w:rPr>
          <w:rFonts w:hint="eastAsia" w:eastAsia="仿宋_GB2312" w:cs="仿宋_GB2312"/>
          <w:b w:val="0"/>
          <w:bCs w:val="0"/>
          <w:kern w:val="0"/>
          <w:position w:val="0"/>
          <w:sz w:val="32"/>
          <w:szCs w:val="32"/>
          <w:highlight w:val="none"/>
          <w:lang w:val="en-US" w:eastAsia="zh-CN" w:bidi="ar-SA"/>
        </w:rPr>
        <w:t>，确保社区戒毒康复工作有序推进</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eastAsia" w:eastAsia="仿宋_GB2312" w:cs="仿宋_GB2312"/>
          <w:b w:val="0"/>
          <w:bCs w:val="0"/>
          <w:kern w:val="0"/>
          <w:position w:val="0"/>
          <w:sz w:val="32"/>
          <w:szCs w:val="32"/>
          <w:highlight w:val="none"/>
          <w:lang w:val="en-US" w:eastAsia="zh-CN" w:bidi="ar-SA"/>
        </w:rPr>
        <w:t>不通过</w:t>
      </w:r>
      <w:r>
        <w:rPr>
          <w:rFonts w:hint="eastAsia" w:ascii="Times New Roman" w:hAnsi="Times New Roman" w:eastAsia="仿宋_GB2312" w:cs="仿宋_GB2312"/>
          <w:b w:val="0"/>
          <w:bCs w:val="0"/>
          <w:kern w:val="0"/>
          <w:position w:val="0"/>
          <w:sz w:val="32"/>
          <w:szCs w:val="32"/>
          <w:highlight w:val="none"/>
          <w:lang w:val="zh-CN" w:eastAsia="zh-CN" w:bidi="ar-SA"/>
        </w:rPr>
        <w:t>立项、资金申报</w:t>
      </w:r>
      <w:r>
        <w:rPr>
          <w:rFonts w:hint="eastAsia" w:eastAsia="仿宋_GB2312" w:cs="仿宋_GB2312"/>
          <w:b w:val="0"/>
          <w:bCs w:val="0"/>
          <w:kern w:val="0"/>
          <w:position w:val="0"/>
          <w:sz w:val="32"/>
          <w:szCs w:val="32"/>
          <w:highlight w:val="none"/>
          <w:lang w:val="en-US" w:eastAsia="zh-CN" w:bidi="ar-SA"/>
        </w:rPr>
        <w:t>按社区戒毒、康复人数，每人每年4000元预算。</w:t>
      </w:r>
    </w:p>
    <w:p>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仿宋_GB2312" w:cs="仿宋_GB2312"/>
          <w:b w:val="0"/>
          <w:bCs w:val="0"/>
          <w:kern w:val="0"/>
          <w:position w:val="0"/>
          <w:sz w:val="32"/>
          <w:szCs w:val="32"/>
          <w:highlight w:val="none"/>
          <w:lang w:val="en-US" w:eastAsia="zh-CN" w:bidi="ar-SA"/>
        </w:rPr>
        <w:t>项目资金</w:t>
      </w:r>
      <w:r>
        <w:rPr>
          <w:rFonts w:hint="eastAsia" w:ascii="Times New Roman" w:hAnsi="Times New Roman" w:eastAsia="仿宋_GB2312" w:cs="仿宋_GB2312"/>
          <w:b w:val="0"/>
          <w:bCs w:val="0"/>
          <w:kern w:val="0"/>
          <w:position w:val="0"/>
          <w:sz w:val="32"/>
          <w:szCs w:val="32"/>
          <w:highlight w:val="none"/>
          <w:lang w:val="zh-CN" w:eastAsia="zh-CN" w:bidi="ar-SA"/>
        </w:rPr>
        <w:t>管理办法</w:t>
      </w:r>
      <w:r>
        <w:rPr>
          <w:rFonts w:hint="eastAsia" w:eastAsia="仿宋_GB2312" w:cs="仿宋_GB2312"/>
          <w:b w:val="0"/>
          <w:bCs w:val="0"/>
          <w:kern w:val="0"/>
          <w:position w:val="0"/>
          <w:sz w:val="32"/>
          <w:szCs w:val="32"/>
          <w:highlight w:val="none"/>
          <w:lang w:val="en-US" w:eastAsia="zh-CN" w:bidi="ar-SA"/>
        </w:rPr>
        <w:t>根据县局总体管理办法实施，支持方向为方便工作开展</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eastAsia="仿宋_GB2312" w:cs="仿宋_GB2312"/>
          <w:b w:val="0"/>
          <w:bCs w:val="0"/>
          <w:kern w:val="0"/>
          <w:position w:val="0"/>
          <w:sz w:val="32"/>
          <w:szCs w:val="32"/>
          <w:highlight w:val="none"/>
          <w:lang w:val="en-US" w:eastAsia="zh-CN" w:bidi="ar-SA"/>
        </w:rPr>
        <w:t>项目资金按社区戒毒康复人数按实预算</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仿宋_GB2312"/>
          <w:b w:val="0"/>
          <w:bCs w:val="0"/>
          <w:kern w:val="0"/>
          <w:position w:val="0"/>
          <w:sz w:val="32"/>
          <w:szCs w:val="32"/>
          <w:highlight w:val="none"/>
          <w:lang w:val="zh-CN" w:eastAsia="zh-CN" w:bidi="ar-SA"/>
        </w:rPr>
        <w:t>项目整体、区域和具体绩效目标设置情况</w:t>
      </w:r>
      <w:r>
        <w:rPr>
          <w:rFonts w:hint="eastAsia" w:eastAsia="仿宋_GB2312" w:cs="仿宋_GB2312"/>
          <w:b w:val="0"/>
          <w:bCs w:val="0"/>
          <w:kern w:val="0"/>
          <w:position w:val="0"/>
          <w:sz w:val="32"/>
          <w:szCs w:val="32"/>
          <w:highlight w:val="none"/>
          <w:lang w:val="en-US" w:eastAsia="zh-CN" w:bidi="ar-SA"/>
        </w:rPr>
        <w:t>良好</w:t>
      </w:r>
      <w:r>
        <w:rPr>
          <w:rFonts w:hint="eastAsia" w:ascii="Times New Roman" w:hAnsi="Times New Roman" w:eastAsia="仿宋_GB2312" w:cs="仿宋_GB2312"/>
          <w:b w:val="0"/>
          <w:bCs w:val="0"/>
          <w:kern w:val="0"/>
          <w:position w:val="0"/>
          <w:sz w:val="32"/>
          <w:szCs w:val="32"/>
          <w:highlight w:val="none"/>
          <w:lang w:val="zh-CN" w:eastAsia="zh-CN" w:bidi="ar-SA"/>
        </w:rPr>
        <w:t>，项目自评工作开展情况</w:t>
      </w:r>
      <w:r>
        <w:rPr>
          <w:rFonts w:hint="eastAsia" w:eastAsia="仿宋_GB2312" w:cs="仿宋_GB2312"/>
          <w:b w:val="0"/>
          <w:bCs w:val="0"/>
          <w:kern w:val="0"/>
          <w:position w:val="0"/>
          <w:sz w:val="32"/>
          <w:szCs w:val="32"/>
          <w:highlight w:val="none"/>
          <w:lang w:val="en-US" w:eastAsia="zh-CN" w:bidi="ar-SA"/>
        </w:rPr>
        <w:t>良好</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Times New Roman" w:hAnsi="Times New Roman" w:eastAsia="仿宋_GB2312" w:cs="仿宋_GB2312"/>
          <w:b w:val="0"/>
          <w:bCs w:val="0"/>
          <w:kern w:val="0"/>
          <w:position w:val="0"/>
          <w:sz w:val="32"/>
          <w:szCs w:val="32"/>
          <w:highlight w:val="none"/>
          <w:lang w:val="zh-CN" w:eastAsia="zh-CN" w:bidi="ar-SA"/>
        </w:rPr>
        <w:t>通过项目绩效自评要实现的目的</w:t>
      </w:r>
      <w:r>
        <w:rPr>
          <w:rFonts w:hint="eastAsia" w:eastAsia="仿宋_GB2312" w:cs="仿宋_GB2312"/>
          <w:b w:val="0"/>
          <w:bCs w:val="0"/>
          <w:kern w:val="0"/>
          <w:position w:val="0"/>
          <w:sz w:val="32"/>
          <w:szCs w:val="32"/>
          <w:highlight w:val="none"/>
          <w:lang w:val="en-US" w:eastAsia="zh-CN" w:bidi="ar-SA"/>
        </w:rPr>
        <w:t>是监管社区禁毒、康复工作是否落到实处，对相关戒毒、康复人员是否监管到位，戒毒率、康复率是否有所改善</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按照绩效评价指标体系，对资金支出使用全过程及其实施效果进行综合评价和判断</w:t>
      </w:r>
      <w:r>
        <w:rPr>
          <w:rFonts w:hint="eastAsia" w:eastAsia="仿宋_GB2312" w:cs="仿宋_GB2312"/>
          <w:b w:val="0"/>
          <w:bCs w:val="0"/>
          <w:kern w:val="0"/>
          <w:position w:val="0"/>
          <w:sz w:val="32"/>
          <w:szCs w:val="32"/>
          <w:highlight w:val="none"/>
          <w:lang w:val="zh-CN" w:eastAsia="zh-CN" w:bidi="ar-SA"/>
        </w:rPr>
        <w:t>，</w:t>
      </w:r>
      <w:r>
        <w:rPr>
          <w:rFonts w:hint="eastAsia" w:eastAsia="仿宋_GB2312" w:cs="仿宋_GB2312"/>
          <w:b w:val="0"/>
          <w:bCs w:val="0"/>
          <w:kern w:val="0"/>
          <w:position w:val="0"/>
          <w:sz w:val="32"/>
          <w:szCs w:val="32"/>
          <w:highlight w:val="none"/>
          <w:lang w:val="en-US" w:eastAsia="zh-CN" w:bidi="ar-SA"/>
        </w:rPr>
        <w:t>该项目执行情况良好，达到预期效果</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r>
        <w:rPr>
          <w:rFonts w:hint="eastAsia" w:ascii="Times New Roman" w:hAnsi="Times New Roman" w:eastAsia="仿宋_GB2312" w:cs="仿宋_GB2312"/>
          <w:b w:val="0"/>
          <w:color w:val="auto"/>
          <w:kern w:val="0"/>
          <w:sz w:val="32"/>
          <w:szCs w:val="32"/>
          <w:highlight w:val="none"/>
          <w:u w:val="none"/>
          <w:lang w:val="zh-CN"/>
        </w:rPr>
        <w:t>项目绩效自评所抽样点位情况。每个专项预算项目应选取专项资金分配涉及市县总数的20%、总计不超过20个的市县点位进行实地踏勘，且点位清单应作为自评附表。</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根据项目情况和评价重点，采用成本效益分析法、标杆管理法、案卷研究法、单位自评法、实地勘察法、问卷调查法、座谈调研法等多种方法。</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bCs w:val="0"/>
          <w:kern w:val="0"/>
          <w:position w:val="0"/>
          <w:sz w:val="32"/>
          <w:szCs w:val="32"/>
          <w:highlight w:val="none"/>
          <w:lang w:val="zh-CN" w:eastAsia="zh-CN" w:bidi="ar-SA"/>
        </w:rPr>
        <w:t>评价组人员</w:t>
      </w:r>
      <w:r>
        <w:rPr>
          <w:rFonts w:hint="eastAsia" w:eastAsia="仿宋_GB2312" w:cs="仿宋_GB2312"/>
          <w:b w:val="0"/>
          <w:bCs w:val="0"/>
          <w:kern w:val="0"/>
          <w:position w:val="0"/>
          <w:sz w:val="32"/>
          <w:szCs w:val="32"/>
          <w:highlight w:val="none"/>
          <w:lang w:val="en-US" w:eastAsia="zh-CN" w:bidi="ar-SA"/>
        </w:rPr>
        <w:t>主要由县局督审、后勤、禁毒等相关部门</w:t>
      </w:r>
      <w:r>
        <w:rPr>
          <w:rFonts w:hint="eastAsia" w:ascii="Times New Roman" w:hAnsi="Times New Roman" w:eastAsia="仿宋_GB2312" w:cs="仿宋_GB2312"/>
          <w:b w:val="0"/>
          <w:bCs w:val="0"/>
          <w:kern w:val="0"/>
          <w:position w:val="0"/>
          <w:sz w:val="32"/>
          <w:szCs w:val="32"/>
          <w:highlight w:val="none"/>
          <w:lang w:val="zh-CN" w:eastAsia="zh-CN" w:bidi="ar-SA"/>
        </w:rPr>
        <w:t>构成。</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eastAsia="仿宋_GB2312" w:cs="仿宋_GB2312"/>
          <w:b w:val="0"/>
          <w:bCs w:val="0"/>
          <w:kern w:val="0"/>
          <w:position w:val="0"/>
          <w:sz w:val="32"/>
          <w:szCs w:val="32"/>
          <w:highlight w:val="none"/>
          <w:lang w:val="en-US" w:eastAsia="zh-CN" w:bidi="ar-SA"/>
        </w:rPr>
        <w:t>最终得分98分</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项目决策。决策程序</w:t>
      </w:r>
      <w:r>
        <w:rPr>
          <w:rFonts w:hint="eastAsia" w:eastAsia="仿宋_GB2312" w:cs="仿宋_GB2312"/>
          <w:b w:val="0"/>
          <w:bCs w:val="0"/>
          <w:kern w:val="0"/>
          <w:position w:val="0"/>
          <w:sz w:val="32"/>
          <w:szCs w:val="32"/>
          <w:highlight w:val="none"/>
          <w:lang w:val="en-US" w:eastAsia="zh-CN" w:bidi="ar-SA"/>
        </w:rPr>
        <w:t>完善</w:t>
      </w:r>
      <w:r>
        <w:rPr>
          <w:rFonts w:hint="eastAsia" w:ascii="Times New Roman" w:hAnsi="Times New Roman" w:eastAsia="仿宋_GB2312" w:cs="仿宋_GB2312"/>
          <w:b w:val="0"/>
          <w:bCs w:val="0"/>
          <w:kern w:val="0"/>
          <w:position w:val="0"/>
          <w:sz w:val="32"/>
          <w:szCs w:val="32"/>
          <w:highlight w:val="none"/>
          <w:lang w:val="zh-CN" w:eastAsia="zh-CN" w:bidi="ar-SA"/>
        </w:rPr>
        <w:t>、规划论证</w:t>
      </w:r>
      <w:r>
        <w:rPr>
          <w:rFonts w:hint="eastAsia" w:eastAsia="仿宋_GB2312" w:cs="仿宋_GB2312"/>
          <w:b w:val="0"/>
          <w:bCs w:val="0"/>
          <w:kern w:val="0"/>
          <w:position w:val="0"/>
          <w:sz w:val="32"/>
          <w:szCs w:val="32"/>
          <w:highlight w:val="none"/>
          <w:lang w:val="en-US" w:eastAsia="zh-CN" w:bidi="ar-SA"/>
        </w:rPr>
        <w:t>较好</w:t>
      </w:r>
      <w:r>
        <w:rPr>
          <w:rFonts w:hint="eastAsia" w:ascii="Times New Roman" w:hAnsi="Times New Roman" w:eastAsia="仿宋_GB2312" w:cs="仿宋_GB2312"/>
          <w:b w:val="0"/>
          <w:bCs w:val="0"/>
          <w:kern w:val="0"/>
          <w:position w:val="0"/>
          <w:sz w:val="32"/>
          <w:szCs w:val="32"/>
          <w:highlight w:val="none"/>
          <w:lang w:val="zh-CN" w:eastAsia="zh-CN" w:bidi="ar-SA"/>
        </w:rPr>
        <w:t>、资金投向</w:t>
      </w:r>
      <w:r>
        <w:rPr>
          <w:rFonts w:hint="eastAsia" w:eastAsia="仿宋_GB2312" w:cs="仿宋_GB2312"/>
          <w:b w:val="0"/>
          <w:bCs w:val="0"/>
          <w:kern w:val="0"/>
          <w:position w:val="0"/>
          <w:sz w:val="32"/>
          <w:szCs w:val="32"/>
          <w:highlight w:val="none"/>
          <w:lang w:val="en-US" w:eastAsia="zh-CN" w:bidi="ar-SA"/>
        </w:rPr>
        <w:t>有效</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项目管理。制度办法</w:t>
      </w:r>
      <w:r>
        <w:rPr>
          <w:rFonts w:hint="eastAsia" w:eastAsia="仿宋_GB2312" w:cs="仿宋_GB2312"/>
          <w:b w:val="0"/>
          <w:bCs w:val="0"/>
          <w:kern w:val="0"/>
          <w:position w:val="0"/>
          <w:sz w:val="32"/>
          <w:szCs w:val="32"/>
          <w:highlight w:val="none"/>
          <w:lang w:val="en-US" w:eastAsia="zh-CN" w:bidi="ar-SA"/>
        </w:rPr>
        <w:t>完善</w:t>
      </w:r>
      <w:r>
        <w:rPr>
          <w:rFonts w:hint="eastAsia" w:ascii="Times New Roman" w:hAnsi="Times New Roman" w:eastAsia="仿宋_GB2312" w:cs="仿宋_GB2312"/>
          <w:b w:val="0"/>
          <w:bCs w:val="0"/>
          <w:kern w:val="0"/>
          <w:position w:val="0"/>
          <w:sz w:val="32"/>
          <w:szCs w:val="32"/>
          <w:highlight w:val="none"/>
          <w:lang w:val="zh-CN" w:eastAsia="zh-CN" w:bidi="ar-SA"/>
        </w:rPr>
        <w:t>、分配管理</w:t>
      </w:r>
      <w:r>
        <w:rPr>
          <w:rFonts w:hint="eastAsia" w:eastAsia="仿宋_GB2312" w:cs="仿宋_GB2312"/>
          <w:b w:val="0"/>
          <w:bCs w:val="0"/>
          <w:kern w:val="0"/>
          <w:position w:val="0"/>
          <w:sz w:val="32"/>
          <w:szCs w:val="32"/>
          <w:highlight w:val="none"/>
          <w:lang w:val="en-US" w:eastAsia="zh-CN" w:bidi="ar-SA"/>
        </w:rPr>
        <w:t>合理</w:t>
      </w:r>
      <w:r>
        <w:rPr>
          <w:rFonts w:hint="eastAsia" w:ascii="Times New Roman" w:hAnsi="Times New Roman" w:eastAsia="仿宋_GB2312" w:cs="仿宋_GB2312"/>
          <w:b w:val="0"/>
          <w:bCs w:val="0"/>
          <w:kern w:val="0"/>
          <w:position w:val="0"/>
          <w:sz w:val="32"/>
          <w:szCs w:val="32"/>
          <w:highlight w:val="none"/>
          <w:lang w:val="zh-CN" w:eastAsia="zh-CN" w:bidi="ar-SA"/>
        </w:rPr>
        <w:t>、绩效监管</w:t>
      </w:r>
      <w:r>
        <w:rPr>
          <w:rFonts w:hint="eastAsia" w:eastAsia="仿宋_GB2312" w:cs="仿宋_GB2312"/>
          <w:b w:val="0"/>
          <w:bCs w:val="0"/>
          <w:kern w:val="0"/>
          <w:position w:val="0"/>
          <w:sz w:val="32"/>
          <w:szCs w:val="32"/>
          <w:highlight w:val="none"/>
          <w:lang w:val="en-US" w:eastAsia="zh-CN" w:bidi="ar-SA"/>
        </w:rPr>
        <w:t>到位</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预算执行</w:t>
      </w:r>
      <w:r>
        <w:rPr>
          <w:rFonts w:hint="eastAsia" w:eastAsia="仿宋_GB2312" w:cs="仿宋_GB2312"/>
          <w:b w:val="0"/>
          <w:bCs w:val="0"/>
          <w:kern w:val="0"/>
          <w:position w:val="0"/>
          <w:sz w:val="32"/>
          <w:szCs w:val="32"/>
          <w:highlight w:val="none"/>
          <w:lang w:val="en-US" w:eastAsia="zh-CN" w:bidi="ar-SA"/>
        </w:rPr>
        <w:t>较好</w:t>
      </w:r>
      <w:r>
        <w:rPr>
          <w:rFonts w:hint="eastAsia" w:ascii="Times New Roman" w:hAnsi="Times New Roman" w:eastAsia="仿宋_GB2312" w:cs="仿宋_GB2312"/>
          <w:b w:val="0"/>
          <w:bCs w:val="0"/>
          <w:kern w:val="0"/>
          <w:position w:val="0"/>
          <w:sz w:val="32"/>
          <w:szCs w:val="32"/>
          <w:highlight w:val="none"/>
          <w:lang w:val="zh-CN" w:eastAsia="zh-CN" w:bidi="ar-SA"/>
        </w:rPr>
        <w:t>、资金使用</w:t>
      </w:r>
      <w:r>
        <w:rPr>
          <w:rFonts w:hint="eastAsia" w:eastAsia="仿宋_GB2312" w:cs="仿宋_GB2312"/>
          <w:b w:val="0"/>
          <w:bCs w:val="0"/>
          <w:kern w:val="0"/>
          <w:position w:val="0"/>
          <w:sz w:val="32"/>
          <w:szCs w:val="32"/>
          <w:highlight w:val="none"/>
          <w:lang w:val="en-US" w:eastAsia="zh-CN" w:bidi="ar-SA"/>
        </w:rPr>
        <w:t>有效</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r>
        <w:rPr>
          <w:rFonts w:hint="eastAsia" w:ascii="Times New Roman" w:hAnsi="Times New Roman" w:eastAsia="仿宋_GB2312" w:cs="仿宋_GB2312"/>
          <w:b w:val="0"/>
          <w:bCs w:val="0"/>
          <w:kern w:val="0"/>
          <w:position w:val="0"/>
          <w:sz w:val="32"/>
          <w:szCs w:val="32"/>
          <w:highlight w:val="none"/>
          <w:lang w:val="zh-CN" w:eastAsia="zh-CN" w:bidi="ar-SA"/>
        </w:rPr>
        <w:t>目标完成</w:t>
      </w:r>
      <w:r>
        <w:rPr>
          <w:rFonts w:hint="eastAsia" w:eastAsia="仿宋_GB2312" w:cs="仿宋_GB2312"/>
          <w:b w:val="0"/>
          <w:bCs w:val="0"/>
          <w:kern w:val="0"/>
          <w:position w:val="0"/>
          <w:sz w:val="32"/>
          <w:szCs w:val="32"/>
          <w:highlight w:val="none"/>
          <w:lang w:val="en-US" w:eastAsia="zh-CN" w:bidi="ar-SA"/>
        </w:rPr>
        <w:t>良好</w:t>
      </w:r>
      <w:r>
        <w:rPr>
          <w:rFonts w:hint="eastAsia" w:ascii="Times New Roman" w:hAnsi="Times New Roman" w:eastAsia="仿宋_GB2312" w:cs="仿宋_GB2312"/>
          <w:b w:val="0"/>
          <w:bCs w:val="0"/>
          <w:kern w:val="0"/>
          <w:position w:val="0"/>
          <w:sz w:val="32"/>
          <w:szCs w:val="32"/>
          <w:highlight w:val="none"/>
          <w:lang w:val="zh-CN" w:eastAsia="zh-CN" w:bidi="ar-SA"/>
        </w:rPr>
        <w:t>、完成时效</w:t>
      </w:r>
      <w:r>
        <w:rPr>
          <w:rFonts w:hint="eastAsia" w:eastAsia="仿宋_GB2312" w:cs="仿宋_GB2312"/>
          <w:b w:val="0"/>
          <w:bCs w:val="0"/>
          <w:kern w:val="0"/>
          <w:position w:val="0"/>
          <w:sz w:val="32"/>
          <w:szCs w:val="32"/>
          <w:highlight w:val="none"/>
          <w:lang w:val="en-US" w:eastAsia="zh-CN" w:bidi="ar-SA"/>
        </w:rPr>
        <w:t>及时</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w:t>
      </w:r>
      <w:r>
        <w:rPr>
          <w:rFonts w:hint="eastAsia" w:eastAsia="仿宋_GB2312" w:cs="仿宋_GB2312"/>
          <w:b w:val="0"/>
          <w:bCs w:val="0"/>
          <w:kern w:val="0"/>
          <w:position w:val="0"/>
          <w:sz w:val="32"/>
          <w:szCs w:val="32"/>
          <w:highlight w:val="none"/>
          <w:lang w:val="en-US" w:eastAsia="zh-CN" w:bidi="ar-SA"/>
        </w:rPr>
        <w:t>项目</w:t>
      </w:r>
      <w:r>
        <w:rPr>
          <w:rFonts w:hint="eastAsia" w:ascii="Times New Roman" w:hAnsi="Times New Roman" w:eastAsia="仿宋_GB2312" w:cs="仿宋_GB2312"/>
          <w:b w:val="0"/>
          <w:bCs w:val="0"/>
          <w:kern w:val="0"/>
          <w:position w:val="0"/>
          <w:sz w:val="32"/>
          <w:szCs w:val="32"/>
          <w:highlight w:val="none"/>
          <w:lang w:val="en-US" w:eastAsia="zh-CN" w:bidi="ar-SA"/>
        </w:rPr>
        <w:t>符合性、成长性、经济性</w:t>
      </w:r>
      <w:r>
        <w:rPr>
          <w:rFonts w:hint="eastAsia" w:eastAsia="仿宋_GB2312" w:cs="仿宋_GB2312"/>
          <w:b w:val="0"/>
          <w:bCs w:val="0"/>
          <w:kern w:val="0"/>
          <w:position w:val="0"/>
          <w:sz w:val="32"/>
          <w:szCs w:val="32"/>
          <w:highlight w:val="none"/>
          <w:lang w:val="en-US" w:eastAsia="zh-CN" w:bidi="ar-SA"/>
        </w:rPr>
        <w:t>均达到预期效果</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区域均衡性、对象精准性、标准合理性、群众满意度</w:t>
      </w:r>
      <w:r>
        <w:rPr>
          <w:rFonts w:hint="eastAsia" w:eastAsia="仿宋_GB2312" w:cs="仿宋_GB2312"/>
          <w:b w:val="0"/>
          <w:bCs w:val="0"/>
          <w:kern w:val="0"/>
          <w:position w:val="0"/>
          <w:sz w:val="32"/>
          <w:szCs w:val="32"/>
          <w:highlight w:val="none"/>
          <w:lang w:val="en-US" w:eastAsia="zh-CN" w:bidi="ar-SA"/>
        </w:rPr>
        <w:t>均良好</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行政运转。用途合规性、程序合规性、标准合规性</w:t>
      </w:r>
      <w:r>
        <w:rPr>
          <w:rFonts w:hint="eastAsia" w:eastAsia="仿宋_GB2312" w:cs="仿宋_GB2312"/>
          <w:b w:val="0"/>
          <w:bCs w:val="0"/>
          <w:kern w:val="0"/>
          <w:position w:val="0"/>
          <w:sz w:val="32"/>
          <w:szCs w:val="32"/>
          <w:highlight w:val="none"/>
          <w:lang w:val="en-US" w:eastAsia="zh-CN" w:bidi="ar-SA"/>
        </w:rPr>
        <w:t>较好</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bookmarkStart w:id="68" w:name="_GoBack"/>
      <w:bookmarkEnd w:id="68"/>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专项预算项目绩效自评总体</w:t>
      </w:r>
      <w:r>
        <w:rPr>
          <w:rFonts w:hint="eastAsia" w:eastAsia="仿宋_GB2312" w:cs="仿宋_GB2312"/>
          <w:b w:val="0"/>
          <w:bCs w:val="0"/>
          <w:kern w:val="0"/>
          <w:position w:val="0"/>
          <w:sz w:val="32"/>
          <w:szCs w:val="32"/>
          <w:highlight w:val="none"/>
          <w:lang w:val="en-US" w:eastAsia="zh-CN" w:bidi="ar-SA"/>
        </w:rPr>
        <w:t>结果达到预期</w:t>
      </w: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eastAsia="仿宋_GB2312" w:cs="仿宋_GB2312"/>
          <w:b w:val="0"/>
          <w:bCs w:val="0"/>
          <w:kern w:val="0"/>
          <w:position w:val="0"/>
          <w:sz w:val="32"/>
          <w:szCs w:val="32"/>
          <w:highlight w:val="none"/>
          <w:lang w:val="en-US" w:eastAsia="zh-CN" w:bidi="ar-SA"/>
        </w:rPr>
        <w:t>项目自评得分98分，整体运行良好</w:t>
      </w:r>
      <w:r>
        <w:rPr>
          <w:rFonts w:hint="eastAsia" w:ascii="Times New Roman" w:hAnsi="Times New Roman"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无</w:t>
      </w:r>
      <w:r>
        <w:rPr>
          <w:rFonts w:hint="eastAsia" w:ascii="Times New Roman" w:hAnsi="Times New Roman"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4"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1"/>
      <w:bookmarkEnd w:id="54"/>
      <w:bookmarkStart w:id="55"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06779B"/>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A94508"/>
    <w:rsid w:val="62BF3928"/>
    <w:rsid w:val="63B3701E"/>
    <w:rsid w:val="647F5392"/>
    <w:rsid w:val="6491701C"/>
    <w:rsid w:val="64EE1C2C"/>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percentStack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6593.97</c:v>
                </c:pt>
                <c:pt idx="1">
                  <c:v>8879.17</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6593.97</c:v>
                </c:pt>
                <c:pt idx="1">
                  <c:v>8879.17</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100"/>
        <c:axId val="951128039"/>
        <c:axId val="78644193"/>
      </c:barChart>
      <c:catAx>
        <c:axId val="9511280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644193"/>
        <c:crosses val="autoZero"/>
        <c:auto val="1"/>
        <c:lblAlgn val="ctr"/>
        <c:lblOffset val="100"/>
        <c:noMultiLvlLbl val="0"/>
      </c:catAx>
      <c:valAx>
        <c:axId val="7864419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1128039"/>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2024年度</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6937.83</c:v>
                </c:pt>
                <c:pt idx="1">
                  <c:v>1939.34</c:v>
                </c:pt>
                <c:pt idx="2">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基本支出</c:v>
                </c:pt>
                <c:pt idx="1">
                  <c:v>项目支出</c:v>
                </c:pt>
              </c:strCache>
            </c:strRef>
          </c:cat>
          <c:val>
            <c:numRef>
              <c:f>Sheet1!$B$2:$B$5</c:f>
              <c:numCache>
                <c:formatCode>General</c:formatCode>
                <c:ptCount val="4"/>
                <c:pt idx="0">
                  <c:v>4973.89</c:v>
                </c:pt>
                <c:pt idx="1">
                  <c:v>3905.28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42325"/>
          <c:y val="0.127"/>
          <c:w val="0.927925"/>
          <c:h val="0.716566666666667"/>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Sheet1!$B$2:$B$5</c:f>
              <c:numCache>
                <c:formatCode>General</c:formatCode>
                <c:ptCount val="4"/>
                <c:pt idx="0">
                  <c:v>6543.18</c:v>
                </c:pt>
                <c:pt idx="1">
                  <c:v>6593.97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Sheet1!$C$2:$C$5</c:f>
              <c:numCache>
                <c:formatCode>General</c:formatCode>
                <c:ptCount val="4"/>
                <c:pt idx="0">
                  <c:v>8877.17</c:v>
                </c:pt>
                <c:pt idx="1">
                  <c:v>8877.17</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824315728"/>
        <c:axId val="673617219"/>
      </c:barChart>
      <c:catAx>
        <c:axId val="8243157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3617219"/>
        <c:crosses val="autoZero"/>
        <c:auto val="1"/>
        <c:lblAlgn val="ctr"/>
        <c:lblOffset val="100"/>
        <c:noMultiLvlLbl val="0"/>
      </c:catAx>
      <c:valAx>
        <c:axId val="6736172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3157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一般公共预算财政支出</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一般公共预算支出</c:v>
                </c:pt>
              </c:strCache>
            </c:strRef>
          </c:cat>
          <c:val>
            <c:numRef>
              <c:f>Sheet1!$B$2:$B$5</c:f>
              <c:numCache>
                <c:formatCode>General</c:formatCode>
                <c:ptCount val="4"/>
                <c:pt idx="0">
                  <c:v>6083.43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一般公共预算支出</c:v>
                </c:pt>
              </c:strCache>
            </c:strRef>
          </c:cat>
          <c:val>
            <c:numRef>
              <c:f>Sheet1!$C$2:$C$5</c:f>
              <c:numCache>
                <c:formatCode>General</c:formatCode>
                <c:ptCount val="4"/>
                <c:pt idx="0">
                  <c:v>6937.83</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一般公共预算支出</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overlap val="100"/>
        <c:axId val="835385707"/>
        <c:axId val="631494240"/>
      </c:barChart>
      <c:catAx>
        <c:axId val="8353857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1494240"/>
        <c:crosses val="autoZero"/>
        <c:auto val="1"/>
        <c:lblAlgn val="ctr"/>
        <c:lblOffset val="100"/>
        <c:noMultiLvlLbl val="0"/>
      </c:catAx>
      <c:valAx>
        <c:axId val="631494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5385707"/>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一般公共预算支出</a:t>
            </a:r>
          </a:p>
        </c:rich>
      </c:tx>
      <c:layout/>
      <c:overlay val="0"/>
      <c:spPr>
        <a:noFill/>
        <a:ln>
          <a:noFill/>
        </a:ln>
        <a:effectLst/>
      </c:spPr>
    </c:title>
    <c:autoTitleDeleted val="0"/>
    <c:plotArea>
      <c:layout/>
      <c:pieChart>
        <c:varyColors val="1"/>
        <c:ser>
          <c:idx val="0"/>
          <c:order val="0"/>
          <c:tx>
            <c:strRef>
              <c:f>Sheet1!$B$1</c:f>
              <c:strCache>
                <c:ptCount val="1"/>
                <c:pt idx="0">
                  <c:v>一般公共预算支出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6120.88</c:v>
                </c:pt>
                <c:pt idx="1">
                  <c:v>422.08</c:v>
                </c:pt>
                <c:pt idx="2">
                  <c:v>135.83</c:v>
                </c:pt>
                <c:pt idx="3">
                  <c:v>259.02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公务用车运行维护费</c:v>
                </c:pt>
                <c:pt idx="1">
                  <c:v>接待费</c:v>
                </c:pt>
                <c:pt idx="2">
                  <c:v>因公出国境</c:v>
                </c:pt>
              </c:strCache>
            </c:strRef>
          </c:cat>
          <c:val>
            <c:numRef>
              <c:f>Sheet1!$B$2:$B$5</c:f>
              <c:numCache>
                <c:formatCode>General</c:formatCode>
                <c:ptCount val="4"/>
                <c:pt idx="0">
                  <c:v>25</c:v>
                </c:pt>
                <c:pt idx="1">
                  <c:v>4</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11</TotalTime>
  <ScaleCrop>false</ScaleCrop>
  <LinksUpToDate>false</LinksUpToDate>
  <CharactersWithSpaces>8692</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2025-09-11T02:00:42Z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04787F2533EB45DC91BCDE4AB213247F</vt:lpwstr>
  </property>
</Properties>
</file>