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DC9" w:rsidRDefault="000C50F8" w:rsidP="000C50F8">
      <w:pPr>
        <w:tabs>
          <w:tab w:val="left" w:pos="790"/>
          <w:tab w:val="left" w:pos="1264"/>
        </w:tabs>
        <w:overflowPunct w:val="0"/>
        <w:adjustRightInd w:val="0"/>
        <w:spacing w:line="600" w:lineRule="exact"/>
        <w:jc w:val="center"/>
        <w:rPr>
          <w:rFonts w:ascii="方正小标宋简体" w:eastAsia="方正小标宋简体" w:hAnsi="黑体" w:hint="eastAsia"/>
          <w:sz w:val="44"/>
          <w:szCs w:val="44"/>
        </w:rPr>
      </w:pPr>
      <w:r w:rsidRPr="00562A60">
        <w:rPr>
          <w:rFonts w:ascii="方正小标宋简体" w:eastAsia="方正小标宋简体" w:hAnsi="黑体" w:hint="eastAsia"/>
          <w:sz w:val="44"/>
          <w:szCs w:val="44"/>
        </w:rPr>
        <w:t>四川省市场监督管理</w:t>
      </w:r>
    </w:p>
    <w:p w:rsidR="000C50F8" w:rsidRPr="00562A60" w:rsidRDefault="000C50F8" w:rsidP="000C50F8">
      <w:pPr>
        <w:tabs>
          <w:tab w:val="left" w:pos="790"/>
          <w:tab w:val="left" w:pos="1264"/>
        </w:tabs>
        <w:overflowPunct w:val="0"/>
        <w:adjustRightInd w:val="0"/>
        <w:spacing w:line="600" w:lineRule="exact"/>
        <w:jc w:val="center"/>
        <w:rPr>
          <w:rFonts w:ascii="方正小标宋简体" w:eastAsia="方正小标宋简体" w:hAnsi="黑体" w:hint="eastAsia"/>
          <w:sz w:val="44"/>
          <w:szCs w:val="44"/>
        </w:rPr>
      </w:pPr>
      <w:bookmarkStart w:id="0" w:name="_GoBack"/>
      <w:bookmarkEnd w:id="0"/>
      <w:r w:rsidRPr="00562A60">
        <w:rPr>
          <w:rFonts w:ascii="方正小标宋简体" w:eastAsia="方正小标宋简体" w:hAnsi="黑体" w:hint="eastAsia"/>
          <w:sz w:val="44"/>
          <w:szCs w:val="44"/>
        </w:rPr>
        <w:t>行政处罚裁量基准适用规定</w:t>
      </w:r>
    </w:p>
    <w:p w:rsidR="000C50F8" w:rsidRPr="00562A60" w:rsidRDefault="000C50F8" w:rsidP="000C50F8">
      <w:pPr>
        <w:tabs>
          <w:tab w:val="left" w:pos="790"/>
          <w:tab w:val="left" w:pos="1264"/>
        </w:tabs>
        <w:overflowPunct w:val="0"/>
        <w:adjustRightInd w:val="0"/>
        <w:spacing w:line="348" w:lineRule="auto"/>
        <w:ind w:firstLine="624"/>
        <w:rPr>
          <w:rFonts w:ascii="黑体" w:eastAsia="方正黑体简体" w:hAnsi="黑体" w:hint="eastAsia"/>
          <w:bCs/>
          <w:szCs w:val="30"/>
        </w:rPr>
      </w:pP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第一条</w:t>
      </w:r>
      <w:r>
        <w:rPr>
          <w:rFonts w:ascii="黑体" w:eastAsia="黑体" w:hAnsi="黑体" w:hint="eastAsia"/>
          <w:szCs w:val="30"/>
        </w:rPr>
        <w:t xml:space="preserve">  </w:t>
      </w:r>
      <w:r>
        <w:rPr>
          <w:rFonts w:hAnsi="宋体" w:hint="eastAsia"/>
          <w:szCs w:val="30"/>
        </w:rPr>
        <w:t>为规范本省市场监督管理行政处罚行为，保障市场监督管理部门依法、合理行使行政处罚裁量权，根据《中华人民共和国行政处罚法》《市场监督管理行政处罚程序暂行规定》《四川省规范行政执法裁量权规定》等法律、法规、规章和《市场监管总局关于规范市场监督管理行政处罚裁量权的指导意见》等有关规定，结合本省市场监督管理工作实际，制定本规定。</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第二条</w:t>
      </w:r>
      <w:r>
        <w:rPr>
          <w:rFonts w:ascii="黑体" w:eastAsia="黑体" w:hAnsi="黑体" w:hint="eastAsia"/>
          <w:szCs w:val="30"/>
        </w:rPr>
        <w:t xml:space="preserve">  </w:t>
      </w:r>
      <w:r>
        <w:rPr>
          <w:rFonts w:hAnsi="宋体" w:hint="eastAsia"/>
          <w:szCs w:val="30"/>
        </w:rPr>
        <w:t>本省市场监督管理部门及其派出机构行使</w:t>
      </w:r>
      <w:r>
        <w:rPr>
          <w:rFonts w:hAnsi="宋体"/>
          <w:szCs w:val="30"/>
        </w:rPr>
        <w:t>行政处罚裁量</w:t>
      </w:r>
      <w:r>
        <w:rPr>
          <w:rFonts w:hAnsi="宋体" w:hint="eastAsia"/>
          <w:szCs w:val="30"/>
        </w:rPr>
        <w:t>权时，</w:t>
      </w:r>
      <w:r>
        <w:rPr>
          <w:rFonts w:hAnsi="宋体"/>
          <w:szCs w:val="30"/>
        </w:rPr>
        <w:t>应当</w:t>
      </w:r>
      <w:r>
        <w:rPr>
          <w:rFonts w:hAnsi="宋体" w:hint="eastAsia"/>
          <w:szCs w:val="30"/>
        </w:rPr>
        <w:t>遵照</w:t>
      </w:r>
      <w:r>
        <w:rPr>
          <w:rFonts w:hAnsi="宋体"/>
          <w:szCs w:val="30"/>
        </w:rPr>
        <w:t>本</w:t>
      </w:r>
      <w:r>
        <w:rPr>
          <w:rFonts w:hAnsi="宋体" w:hint="eastAsia"/>
          <w:szCs w:val="30"/>
        </w:rPr>
        <w:t>规定。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药品、医疗器械、化妆品行政处罚裁量基准和适用规则由四川省药品监督管理局另行制定实施。</w:t>
      </w:r>
    </w:p>
    <w:p w:rsidR="000C50F8" w:rsidRDefault="000C50F8" w:rsidP="000C50F8">
      <w:pPr>
        <w:ind w:firstLineChars="200" w:firstLine="640"/>
        <w:rPr>
          <w:rFonts w:ascii="黑体" w:eastAsia="黑体" w:hAnsi="黑体"/>
          <w:szCs w:val="30"/>
        </w:rPr>
      </w:pPr>
      <w:r w:rsidRPr="00562A60">
        <w:rPr>
          <w:rFonts w:ascii="黑体" w:eastAsia="方正黑体简体" w:hAnsi="黑体" w:hint="eastAsia"/>
          <w:bCs/>
          <w:szCs w:val="30"/>
        </w:rPr>
        <w:t>第三条</w:t>
      </w:r>
      <w:r>
        <w:rPr>
          <w:rFonts w:ascii="黑体" w:eastAsia="黑体" w:hAnsi="黑体" w:hint="eastAsia"/>
          <w:szCs w:val="30"/>
        </w:rPr>
        <w:t xml:space="preserve">  </w:t>
      </w:r>
      <w:r>
        <w:rPr>
          <w:rFonts w:hAnsi="宋体" w:hint="eastAsia"/>
          <w:szCs w:val="30"/>
        </w:rPr>
        <w:t>本规定所称行政处罚裁量权，是指本省市场监督管理部门在实施行政处罚时，根据法律、法规、规章的规定，综合考虑违法行为的事实、性质、情节、社会危害程度以及当事人主观过错等因素，决定是否给予行政处罚、给予行政处罚的种类和幅度的权限。</w:t>
      </w:r>
    </w:p>
    <w:p w:rsidR="000C50F8" w:rsidRDefault="000C50F8" w:rsidP="000C50F8">
      <w:pPr>
        <w:ind w:firstLineChars="200" w:firstLine="640"/>
        <w:rPr>
          <w:rFonts w:hAnsi="宋体"/>
          <w:szCs w:val="30"/>
        </w:rPr>
      </w:pPr>
      <w:r>
        <w:rPr>
          <w:rFonts w:hAnsi="宋体" w:hint="eastAsia"/>
          <w:szCs w:val="30"/>
        </w:rPr>
        <w:t>本规定所称行政处罚裁量基准，是指结合行政执法实践，对法律、法规、规章中的行政处罚裁量的适用条件、适用情形等予以细化、量化而形成的具体标准。</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lastRenderedPageBreak/>
        <w:t>第四条</w:t>
      </w:r>
      <w:r>
        <w:rPr>
          <w:rFonts w:hAnsi="宋体" w:hint="eastAsia"/>
          <w:szCs w:val="30"/>
        </w:rPr>
        <w:t xml:space="preserve">  </w:t>
      </w:r>
      <w:r>
        <w:rPr>
          <w:rFonts w:hAnsi="宋体" w:hint="eastAsia"/>
          <w:szCs w:val="30"/>
        </w:rPr>
        <w:t>本省市场监督管理部门行使行政处罚裁量权时，同时适用本规定和《四川省市场监督管理行政处罚裁量基准》。</w:t>
      </w:r>
    </w:p>
    <w:p w:rsidR="000C50F8" w:rsidRDefault="000C50F8" w:rsidP="000C50F8">
      <w:pPr>
        <w:ind w:firstLineChars="200" w:firstLine="640"/>
        <w:rPr>
          <w:rFonts w:hAnsi="宋体"/>
          <w:szCs w:val="30"/>
        </w:rPr>
      </w:pPr>
      <w:r>
        <w:rPr>
          <w:rFonts w:hAnsi="宋体" w:hint="eastAsia"/>
          <w:szCs w:val="30"/>
        </w:rPr>
        <w:t>本省市场监督管理部门适用《四川省市场监督管理行政处罚裁量基准》时，应当坚持合法原则、过</w:t>
      </w:r>
      <w:proofErr w:type="gramStart"/>
      <w:r>
        <w:rPr>
          <w:rFonts w:hAnsi="宋体" w:hint="eastAsia"/>
          <w:szCs w:val="30"/>
        </w:rPr>
        <w:t>罚相当</w:t>
      </w:r>
      <w:proofErr w:type="gramEnd"/>
      <w:r>
        <w:rPr>
          <w:rFonts w:hAnsi="宋体" w:hint="eastAsia"/>
          <w:szCs w:val="30"/>
        </w:rPr>
        <w:t>原则、处罚与教育相结合原则、综合裁量原则。应当坚决避免简单、机械照搬行政处罚裁量基准，防止个案裁量失衡。对食品安全、产品质量安全、特种设备安全等关乎社会公众重大人身、财产安危的违法行为，应当审慎适用从轻行政处罚、减轻行政处罚、不予行政处罚。</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第五条</w:t>
      </w:r>
      <w:r>
        <w:rPr>
          <w:rFonts w:ascii="黑体" w:eastAsia="黑体" w:hAnsi="黑体" w:hint="eastAsia"/>
          <w:szCs w:val="30"/>
        </w:rPr>
        <w:t xml:space="preserve">  </w:t>
      </w:r>
      <w:r>
        <w:rPr>
          <w:rFonts w:hAnsi="宋体" w:hint="eastAsia"/>
          <w:szCs w:val="30"/>
        </w:rPr>
        <w:t>行政处罚裁量分为不予行政处罚、减轻行政处罚、从轻行政处罚、一般行政处罚、从重行政处罚五个等级。</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不予行政处罚是指因法定原因对特定违法行为不给予行政处罚。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减轻行政处罚是指适用法定行政处罚最低限度以下的处罚种类或处罚幅度。包括在违法行为应当受到的一种或者几种处罚种类之外选择更轻的处罚种类，或者在应当并处时不并处；也包括在法定最低罚款限值以下确定罚款数额。</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从轻行政处罚是指在依法可选择的处罚种类和处罚幅度内，适用较轻、较少的处罚种类或者较低的处罚幅度。</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一般行政处罚是指在依法可选择的处罚种类和处罚幅度内，适用适中的处罚种类或者处罚幅度。</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lastRenderedPageBreak/>
        <w:t>从重行政处罚是指在依法可选择的处罚种类和处罚幅度内，适用较重、较多的处罚种类或者较高的处罚幅度。</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第六条</w:t>
      </w:r>
      <w:r>
        <w:rPr>
          <w:rFonts w:ascii="黑体" w:eastAsia="黑体" w:hAnsi="黑体" w:hint="eastAsia"/>
          <w:szCs w:val="30"/>
        </w:rPr>
        <w:t xml:space="preserve">  </w:t>
      </w:r>
      <w:r>
        <w:rPr>
          <w:rFonts w:hAnsi="宋体" w:hint="eastAsia"/>
          <w:szCs w:val="30"/>
        </w:rPr>
        <w:t>对法律、法规、规章设定有一定幅度罚款处罚的，除法律、法规、规章另有规定的以外，罚款数额（倍数）以最高罚款数额（倍数）与最低罚款数额（倍数）的差值为基准值。</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减轻行政处罚罚款数额（倍数）是在最低罚款数额（倍数）以下确定（不含本数）。减轻行政处罚的罚款数额（倍数）原则上不得低于最低罚款数额（倍数）的</w:t>
      </w:r>
      <w:r>
        <w:rPr>
          <w:rFonts w:hAnsi="宋体" w:hint="eastAsia"/>
          <w:szCs w:val="30"/>
        </w:rPr>
        <w:t>20%</w:t>
      </w:r>
      <w:r>
        <w:rPr>
          <w:rFonts w:hAnsi="宋体" w:hint="eastAsia"/>
          <w:szCs w:val="30"/>
        </w:rPr>
        <w:t>，</w:t>
      </w:r>
      <w:r>
        <w:rPr>
          <w:rFonts w:hAnsi="宋体"/>
          <w:szCs w:val="30"/>
        </w:rPr>
        <w:t>低于</w:t>
      </w:r>
      <w:r>
        <w:rPr>
          <w:rFonts w:hAnsi="宋体" w:hint="eastAsia"/>
          <w:szCs w:val="30"/>
        </w:rPr>
        <w:t>最低罚款数额（倍数）</w:t>
      </w:r>
      <w:r>
        <w:rPr>
          <w:rFonts w:hAnsi="宋体"/>
          <w:szCs w:val="30"/>
        </w:rPr>
        <w:t>20%</w:t>
      </w:r>
      <w:r>
        <w:rPr>
          <w:rFonts w:hAnsi="宋体"/>
          <w:szCs w:val="30"/>
        </w:rPr>
        <w:t>的</w:t>
      </w:r>
      <w:r>
        <w:rPr>
          <w:rFonts w:hAnsi="宋体" w:hint="eastAsia"/>
          <w:szCs w:val="30"/>
        </w:rPr>
        <w:t>应当由市场监督管理部门</w:t>
      </w:r>
      <w:r>
        <w:rPr>
          <w:rFonts w:hAnsi="宋体"/>
          <w:szCs w:val="30"/>
        </w:rPr>
        <w:t>负责人集体讨论决定</w:t>
      </w:r>
      <w:r>
        <w:rPr>
          <w:rFonts w:hAnsi="宋体" w:hint="eastAsia"/>
          <w:szCs w:val="30"/>
        </w:rPr>
        <w:t>。</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从轻行政处罚罚款数额（倍数）是最低罚款数额（倍数）加基准值乘以</w:t>
      </w:r>
      <w:r>
        <w:rPr>
          <w:rFonts w:hAnsi="宋体" w:hint="eastAsia"/>
          <w:szCs w:val="30"/>
        </w:rPr>
        <w:t>30</w:t>
      </w:r>
      <w:r>
        <w:rPr>
          <w:rFonts w:hAnsi="宋体" w:hint="eastAsia"/>
          <w:szCs w:val="30"/>
        </w:rPr>
        <w:t>％的幅度内确定（含本数）。</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一般行政处罚罚款数额（倍数）是最低罚款数额（倍数）加基准值乘以</w:t>
      </w:r>
      <w:r>
        <w:rPr>
          <w:rFonts w:hAnsi="宋体" w:hint="eastAsia"/>
          <w:szCs w:val="30"/>
        </w:rPr>
        <w:t>30</w:t>
      </w:r>
      <w:r>
        <w:rPr>
          <w:rFonts w:hAnsi="宋体" w:hint="eastAsia"/>
          <w:szCs w:val="30"/>
        </w:rPr>
        <w:t>％至</w:t>
      </w:r>
      <w:r>
        <w:rPr>
          <w:rFonts w:hAnsi="宋体" w:hint="eastAsia"/>
          <w:szCs w:val="30"/>
        </w:rPr>
        <w:t>70</w:t>
      </w:r>
      <w:r>
        <w:rPr>
          <w:rFonts w:hAnsi="宋体" w:hint="eastAsia"/>
          <w:szCs w:val="30"/>
        </w:rPr>
        <w:t>％的幅度内确定（不含本数）。</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从重行政处罚罚款数额（倍数）是最低罚款数额（倍数）加基准值乘以</w:t>
      </w:r>
      <w:r>
        <w:rPr>
          <w:rFonts w:hAnsi="宋体" w:hint="eastAsia"/>
          <w:szCs w:val="30"/>
        </w:rPr>
        <w:t>70</w:t>
      </w:r>
      <w:r>
        <w:rPr>
          <w:rFonts w:hAnsi="宋体" w:hint="eastAsia"/>
          <w:szCs w:val="30"/>
        </w:rPr>
        <w:t>％至</w:t>
      </w:r>
      <w:r>
        <w:rPr>
          <w:rFonts w:hAnsi="宋体" w:hint="eastAsia"/>
          <w:szCs w:val="30"/>
        </w:rPr>
        <w:t>100%</w:t>
      </w:r>
      <w:r>
        <w:rPr>
          <w:rFonts w:hAnsi="宋体" w:hint="eastAsia"/>
          <w:szCs w:val="30"/>
        </w:rPr>
        <w:t>的幅度内确定（含本数）。</w:t>
      </w:r>
    </w:p>
    <w:p w:rsidR="000C50F8" w:rsidRDefault="000C50F8" w:rsidP="000C50F8">
      <w:pPr>
        <w:tabs>
          <w:tab w:val="left" w:pos="790"/>
          <w:tab w:val="left" w:pos="1264"/>
        </w:tabs>
        <w:overflowPunct w:val="0"/>
        <w:adjustRightInd w:val="0"/>
        <w:ind w:firstLineChars="200" w:firstLine="640"/>
        <w:rPr>
          <w:rFonts w:ascii="黑体" w:eastAsia="黑体" w:hAnsi="黑体"/>
          <w:szCs w:val="30"/>
        </w:rPr>
      </w:pPr>
      <w:r>
        <w:rPr>
          <w:rFonts w:hAnsi="宋体" w:hint="eastAsia"/>
          <w:szCs w:val="30"/>
        </w:rPr>
        <w:t>法律、法规、规章只规定最高罚款数额（倍数）没有规定最低罚款数额（倍数）的，最低罚款数额（倍数）以零计算。</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第七条</w:t>
      </w:r>
      <w:r>
        <w:rPr>
          <w:rFonts w:ascii="黑体" w:eastAsia="黑体" w:hAnsi="黑体" w:hint="eastAsia"/>
          <w:szCs w:val="30"/>
        </w:rPr>
        <w:t xml:space="preserve">  </w:t>
      </w:r>
      <w:r>
        <w:rPr>
          <w:rFonts w:hAnsi="宋体" w:hint="eastAsia"/>
          <w:szCs w:val="30"/>
        </w:rPr>
        <w:t>有下列情形之一的，依法不予行政处罚：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（一）</w:t>
      </w:r>
      <w:r>
        <w:rPr>
          <w:rFonts w:hAnsi="宋体"/>
          <w:szCs w:val="30"/>
        </w:rPr>
        <w:t>不满十四周岁的人有违法行为的；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lastRenderedPageBreak/>
        <w:t>（二）</w:t>
      </w:r>
      <w:r>
        <w:rPr>
          <w:rFonts w:hAnsi="宋体"/>
          <w:szCs w:val="30"/>
        </w:rPr>
        <w:t>精神病人在不能辨认或者不能控制自己行为时实施违法行为的；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（三）</w:t>
      </w:r>
      <w:r>
        <w:rPr>
          <w:rFonts w:hAnsi="宋体"/>
          <w:szCs w:val="30"/>
        </w:rPr>
        <w:t>违法行为轻微并及时纠正，没有造成危害后果的；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szCs w:val="30"/>
        </w:rPr>
        <w:t>（</w:t>
      </w:r>
      <w:r>
        <w:rPr>
          <w:rFonts w:hAnsi="宋体" w:hint="eastAsia"/>
          <w:szCs w:val="30"/>
        </w:rPr>
        <w:t>四</w:t>
      </w:r>
      <w:r>
        <w:rPr>
          <w:rFonts w:hAnsi="宋体"/>
          <w:szCs w:val="30"/>
        </w:rPr>
        <w:t>）除法律另有规定外，违法行为在二年内未被发现的；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szCs w:val="30"/>
        </w:rPr>
        <w:t>（</w:t>
      </w:r>
      <w:r>
        <w:rPr>
          <w:rFonts w:hAnsi="宋体" w:hint="eastAsia"/>
          <w:szCs w:val="30"/>
        </w:rPr>
        <w:t>五</w:t>
      </w:r>
      <w:r>
        <w:rPr>
          <w:rFonts w:hAnsi="宋体"/>
          <w:szCs w:val="30"/>
        </w:rPr>
        <w:t>）其他依法应当不予行政处罚的。</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第八条</w:t>
      </w:r>
      <w:r>
        <w:rPr>
          <w:rFonts w:ascii="黑体" w:eastAsia="黑体" w:hAnsi="黑体" w:hint="eastAsia"/>
          <w:szCs w:val="30"/>
        </w:rPr>
        <w:t xml:space="preserve">  </w:t>
      </w:r>
      <w:r>
        <w:rPr>
          <w:rFonts w:hAnsi="宋体" w:hint="eastAsia"/>
          <w:szCs w:val="30"/>
        </w:rPr>
        <w:t>有下列情形之一的，依法从轻或者减轻行政处罚：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（一）</w:t>
      </w:r>
      <w:r>
        <w:rPr>
          <w:rFonts w:hAnsi="宋体"/>
          <w:szCs w:val="30"/>
        </w:rPr>
        <w:t>已满十四周岁不满十八周岁的人有违法行为的；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（二）主动消除或者减轻违法行为危害后果的；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（三）受他人胁迫实施违法行为的；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（四）</w:t>
      </w:r>
      <w:r>
        <w:rPr>
          <w:rFonts w:hAnsi="宋体"/>
          <w:szCs w:val="30"/>
        </w:rPr>
        <w:t>配合市场</w:t>
      </w:r>
      <w:r>
        <w:rPr>
          <w:rFonts w:hAnsi="宋体" w:hint="eastAsia"/>
          <w:szCs w:val="30"/>
        </w:rPr>
        <w:t>监督管理</w:t>
      </w:r>
      <w:r>
        <w:rPr>
          <w:rFonts w:hAnsi="宋体"/>
          <w:szCs w:val="30"/>
        </w:rPr>
        <w:t>部门查处违法行为有立功表现的，包括但不限于当事人揭发市场</w:t>
      </w:r>
      <w:r>
        <w:rPr>
          <w:rFonts w:hAnsi="宋体" w:hint="eastAsia"/>
          <w:szCs w:val="30"/>
        </w:rPr>
        <w:t>监督管理</w:t>
      </w:r>
      <w:r>
        <w:rPr>
          <w:rFonts w:hAnsi="宋体"/>
          <w:szCs w:val="30"/>
        </w:rPr>
        <w:t>领域重大违法行为或者提供查处市场</w:t>
      </w:r>
      <w:r>
        <w:rPr>
          <w:rFonts w:hAnsi="宋体" w:hint="eastAsia"/>
          <w:szCs w:val="30"/>
        </w:rPr>
        <w:t>监督管理</w:t>
      </w:r>
      <w:r>
        <w:rPr>
          <w:rFonts w:hAnsi="宋体"/>
          <w:szCs w:val="30"/>
        </w:rPr>
        <w:t>领域其他重大违法行为的关键线索或证据，并经查证属实的；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szCs w:val="30"/>
        </w:rPr>
        <w:t>（</w:t>
      </w:r>
      <w:r>
        <w:rPr>
          <w:rFonts w:hAnsi="宋体" w:hint="eastAsia"/>
          <w:szCs w:val="30"/>
        </w:rPr>
        <w:t>五</w:t>
      </w:r>
      <w:r>
        <w:rPr>
          <w:rFonts w:hAnsi="宋体"/>
          <w:szCs w:val="30"/>
        </w:rPr>
        <w:t>）其他依法</w:t>
      </w:r>
      <w:r>
        <w:rPr>
          <w:rFonts w:hAnsi="宋体" w:hint="eastAsia"/>
          <w:szCs w:val="30"/>
        </w:rPr>
        <w:t>应当</w:t>
      </w:r>
      <w:r>
        <w:rPr>
          <w:rFonts w:hAnsi="宋体"/>
          <w:szCs w:val="30"/>
        </w:rPr>
        <w:t>从轻或者减轻行政处罚的。</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第九条</w:t>
      </w:r>
      <w:r>
        <w:rPr>
          <w:rFonts w:ascii="黑体" w:eastAsia="黑体" w:hAnsi="黑体" w:hint="eastAsia"/>
          <w:szCs w:val="30"/>
        </w:rPr>
        <w:t xml:space="preserve">  </w:t>
      </w:r>
      <w:r>
        <w:rPr>
          <w:rFonts w:hAnsi="宋体" w:hint="eastAsia"/>
          <w:szCs w:val="30"/>
        </w:rPr>
        <w:t>有下列情形之一的，可以依法从轻或者减轻行政处罚：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（一）</w:t>
      </w:r>
      <w:r>
        <w:rPr>
          <w:rFonts w:hAnsi="宋体"/>
          <w:szCs w:val="30"/>
        </w:rPr>
        <w:t>积极配合市场</w:t>
      </w:r>
      <w:r>
        <w:rPr>
          <w:rFonts w:hAnsi="宋体" w:hint="eastAsia"/>
          <w:szCs w:val="30"/>
        </w:rPr>
        <w:t>监督管理</w:t>
      </w:r>
      <w:r>
        <w:rPr>
          <w:rFonts w:hAnsi="宋体"/>
          <w:szCs w:val="30"/>
        </w:rPr>
        <w:t>部门调查，如实陈述违法事实并主动提供证据材料的；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（二）</w:t>
      </w:r>
      <w:r>
        <w:rPr>
          <w:rFonts w:hAnsi="宋体"/>
          <w:szCs w:val="30"/>
        </w:rPr>
        <w:t>违法行为轻微，社会危害性较小的；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（三）</w:t>
      </w:r>
      <w:r>
        <w:rPr>
          <w:rFonts w:hAnsi="宋体"/>
          <w:szCs w:val="30"/>
        </w:rPr>
        <w:t>受他人诱骗实施违法行为的；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lastRenderedPageBreak/>
        <w:t>（四）</w:t>
      </w:r>
      <w:r>
        <w:rPr>
          <w:rFonts w:hAnsi="宋体"/>
          <w:szCs w:val="30"/>
        </w:rPr>
        <w:t>在共同违法行为中起次要或者辅助作用的；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（五）</w:t>
      </w:r>
      <w:r>
        <w:rPr>
          <w:rFonts w:hAnsi="宋体"/>
          <w:szCs w:val="30"/>
        </w:rPr>
        <w:t>当事人因残疾或者重大疾病等原因生活确有困难的；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（六）</w:t>
      </w:r>
      <w:r>
        <w:rPr>
          <w:rFonts w:hAnsi="宋体"/>
          <w:szCs w:val="30"/>
        </w:rPr>
        <w:t>其他依法可以从轻或者减轻行政处罚的。</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第十条</w:t>
      </w:r>
      <w:r>
        <w:rPr>
          <w:rFonts w:ascii="黑体" w:eastAsia="黑体" w:hAnsi="黑体" w:hint="eastAsia"/>
          <w:szCs w:val="30"/>
        </w:rPr>
        <w:t xml:space="preserve">  </w:t>
      </w:r>
      <w:r>
        <w:rPr>
          <w:rFonts w:hAnsi="宋体" w:hint="eastAsia"/>
          <w:szCs w:val="30"/>
        </w:rPr>
        <w:t>有下列情形之一的，可以依法从重行政处罚：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（一）</w:t>
      </w:r>
      <w:r>
        <w:rPr>
          <w:rFonts w:hAnsi="宋体"/>
          <w:szCs w:val="30"/>
        </w:rPr>
        <w:t>违法行为造成他人人身伤亡或者重大财产损失等严重危害后果的；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（二）</w:t>
      </w:r>
      <w:r>
        <w:rPr>
          <w:rFonts w:hAnsi="宋体"/>
          <w:szCs w:val="30"/>
        </w:rPr>
        <w:t>在发生自然灾害、事故灾难、公共卫生或者社会安全事件期间实施违法行为的；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（三）</w:t>
      </w:r>
      <w:r>
        <w:rPr>
          <w:rFonts w:hAnsi="宋体"/>
          <w:szCs w:val="30"/>
        </w:rPr>
        <w:t>教唆、胁迫、诱骗他人实施违法行为的；</w:t>
      </w:r>
    </w:p>
    <w:p w:rsidR="000C50F8" w:rsidRDefault="000C50F8" w:rsidP="000C50F8">
      <w:pPr>
        <w:tabs>
          <w:tab w:val="left" w:pos="790"/>
          <w:tab w:val="left" w:pos="1264"/>
        </w:tabs>
        <w:overflowPunct w:val="0"/>
        <w:adjustRightInd w:val="0"/>
        <w:ind w:firstLineChars="200" w:firstLine="640"/>
        <w:rPr>
          <w:rFonts w:hAnsi="宋体"/>
          <w:color w:val="FF0000"/>
          <w:szCs w:val="30"/>
        </w:rPr>
      </w:pPr>
      <w:r>
        <w:rPr>
          <w:rFonts w:hAnsi="宋体" w:hint="eastAsia"/>
          <w:szCs w:val="30"/>
        </w:rPr>
        <w:t>（四）</w:t>
      </w:r>
      <w:r>
        <w:rPr>
          <w:rFonts w:hAnsi="宋体"/>
          <w:szCs w:val="30"/>
        </w:rPr>
        <w:t>因同一性质的违法行为受过刑事处罚，或者</w:t>
      </w:r>
      <w:r>
        <w:rPr>
          <w:rFonts w:hAnsi="宋体" w:hint="eastAsia"/>
          <w:szCs w:val="30"/>
        </w:rPr>
        <w:t>一年内因同一性质的违法行为受过行政处罚，或者两年内因同一性质的违法行为受过两次行政处罚</w:t>
      </w:r>
      <w:r>
        <w:rPr>
          <w:rFonts w:hAnsi="宋体"/>
          <w:szCs w:val="30"/>
        </w:rPr>
        <w:t>；</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（五）</w:t>
      </w:r>
      <w:r>
        <w:rPr>
          <w:rFonts w:hAnsi="宋体"/>
          <w:szCs w:val="30"/>
        </w:rPr>
        <w:t>阻碍或者拒不配合行政执法人员依法执行职务或者对行政执法人员打击报复的；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（六）</w:t>
      </w:r>
      <w:r>
        <w:rPr>
          <w:rFonts w:hAnsi="宋体"/>
          <w:szCs w:val="30"/>
        </w:rPr>
        <w:t>隐藏、转移、变卖、损毁市场</w:t>
      </w:r>
      <w:r>
        <w:rPr>
          <w:rFonts w:hAnsi="宋体" w:hint="eastAsia"/>
          <w:szCs w:val="30"/>
        </w:rPr>
        <w:t>监督管理</w:t>
      </w:r>
      <w:r>
        <w:rPr>
          <w:rFonts w:hAnsi="宋体"/>
          <w:szCs w:val="30"/>
        </w:rPr>
        <w:t>部门依法查封、扣押的财物或者先行登记保存的证据的，市场</w:t>
      </w:r>
      <w:r>
        <w:rPr>
          <w:rFonts w:hAnsi="宋体" w:hint="eastAsia"/>
          <w:szCs w:val="30"/>
        </w:rPr>
        <w:t>监督管理</w:t>
      </w:r>
      <w:r>
        <w:rPr>
          <w:rFonts w:hAnsi="宋体"/>
          <w:szCs w:val="30"/>
        </w:rPr>
        <w:t>部门已依法对上述行为进行处罚的除外；</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（七）</w:t>
      </w:r>
      <w:r>
        <w:rPr>
          <w:rFonts w:hAnsi="宋体"/>
          <w:szCs w:val="30"/>
        </w:rPr>
        <w:t>伪造、隐匿、毁灭证据的；</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t>（八）</w:t>
      </w:r>
      <w:r>
        <w:rPr>
          <w:rFonts w:hAnsi="宋体"/>
          <w:szCs w:val="30"/>
        </w:rPr>
        <w:t>其他依法可以从重行政处罚的。</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第十一条</w:t>
      </w:r>
      <w:r w:rsidRPr="00562A60">
        <w:rPr>
          <w:rFonts w:ascii="黑体" w:eastAsia="方正黑体简体" w:hAnsi="黑体" w:hint="eastAsia"/>
          <w:bCs/>
          <w:szCs w:val="30"/>
        </w:rPr>
        <w:t xml:space="preserve"> </w:t>
      </w:r>
      <w:r>
        <w:rPr>
          <w:rFonts w:hAnsi="宋体" w:hint="eastAsia"/>
          <w:szCs w:val="30"/>
        </w:rPr>
        <w:t xml:space="preserve"> </w:t>
      </w:r>
      <w:r>
        <w:rPr>
          <w:rFonts w:hAnsi="宋体" w:hint="eastAsia"/>
          <w:szCs w:val="30"/>
        </w:rPr>
        <w:t>当事人不具备不予行政处罚、减轻、从轻或者从重行政处罚情形的，应当给予一般行政处罚。</w:t>
      </w:r>
    </w:p>
    <w:p w:rsidR="000C50F8" w:rsidRDefault="000C50F8" w:rsidP="000C50F8">
      <w:pPr>
        <w:tabs>
          <w:tab w:val="left" w:pos="790"/>
          <w:tab w:val="left" w:pos="1264"/>
        </w:tabs>
        <w:overflowPunct w:val="0"/>
        <w:adjustRightInd w:val="0"/>
        <w:ind w:firstLineChars="200" w:firstLine="640"/>
        <w:rPr>
          <w:rFonts w:hAnsi="宋体"/>
          <w:szCs w:val="30"/>
        </w:rPr>
      </w:pPr>
      <w:r>
        <w:rPr>
          <w:rFonts w:hAnsi="宋体" w:hint="eastAsia"/>
          <w:szCs w:val="30"/>
        </w:rPr>
        <w:lastRenderedPageBreak/>
        <w:t>当事人既有从轻行政处罚或者减轻行政处罚情形，又有一般行政处罚或从重行政处罚情形的，市场监督管理部门应当结合案件具体情况综合</w:t>
      </w:r>
      <w:proofErr w:type="gramStart"/>
      <w:r>
        <w:rPr>
          <w:rFonts w:hAnsi="宋体" w:hint="eastAsia"/>
          <w:szCs w:val="30"/>
        </w:rPr>
        <w:t>考量</w:t>
      </w:r>
      <w:proofErr w:type="gramEnd"/>
      <w:r>
        <w:rPr>
          <w:rFonts w:hAnsi="宋体" w:hint="eastAsia"/>
          <w:szCs w:val="30"/>
        </w:rPr>
        <w:t>，根据主要情节、危害后果等</w:t>
      </w:r>
      <w:proofErr w:type="gramStart"/>
      <w:r>
        <w:rPr>
          <w:rFonts w:hAnsi="宋体" w:hint="eastAsia"/>
          <w:szCs w:val="30"/>
        </w:rPr>
        <w:t>作出</w:t>
      </w:r>
      <w:proofErr w:type="gramEnd"/>
      <w:r>
        <w:rPr>
          <w:rFonts w:hAnsi="宋体" w:hint="eastAsia"/>
          <w:szCs w:val="30"/>
        </w:rPr>
        <w:t>处罚决定。</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第十二条</w:t>
      </w:r>
      <w:r>
        <w:rPr>
          <w:rFonts w:hAnsi="宋体" w:hint="eastAsia"/>
          <w:szCs w:val="30"/>
        </w:rPr>
        <w:t xml:space="preserve">  </w:t>
      </w:r>
      <w:r>
        <w:rPr>
          <w:rFonts w:hAnsi="宋体" w:hint="eastAsia"/>
          <w:szCs w:val="30"/>
        </w:rPr>
        <w:t>对当事人</w:t>
      </w:r>
      <w:r>
        <w:rPr>
          <w:rFonts w:ascii="仿宋_GB2312" w:eastAsia="仿宋_GB2312" w:hint="eastAsia"/>
          <w:szCs w:val="32"/>
        </w:rPr>
        <w:t>应当并处的行政处罚，除法律、法规</w:t>
      </w:r>
      <w:r>
        <w:rPr>
          <w:rFonts w:hint="eastAsia"/>
          <w:szCs w:val="32"/>
        </w:rPr>
        <w:t>、</w:t>
      </w:r>
      <w:r>
        <w:rPr>
          <w:rFonts w:ascii="仿宋_GB2312" w:eastAsia="仿宋_GB2312" w:hint="eastAsia"/>
          <w:szCs w:val="32"/>
        </w:rPr>
        <w:t>规章另有规定的以外，不得选择适用。</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第十三条</w:t>
      </w:r>
      <w:r>
        <w:rPr>
          <w:rFonts w:hAnsi="宋体" w:hint="eastAsia"/>
          <w:szCs w:val="30"/>
        </w:rPr>
        <w:t xml:space="preserve">  </w:t>
      </w:r>
      <w:r>
        <w:rPr>
          <w:rFonts w:hAnsi="宋体" w:hint="eastAsia"/>
          <w:szCs w:val="30"/>
        </w:rPr>
        <w:t>当事人的同一违法行为触犯法律、法规、规章中多项罚则的，应当分别依法</w:t>
      </w:r>
      <w:proofErr w:type="gramStart"/>
      <w:r>
        <w:rPr>
          <w:rFonts w:hAnsi="宋体" w:hint="eastAsia"/>
          <w:szCs w:val="30"/>
        </w:rPr>
        <w:t>作出</w:t>
      </w:r>
      <w:proofErr w:type="gramEnd"/>
      <w:r>
        <w:rPr>
          <w:rFonts w:hAnsi="宋体" w:hint="eastAsia"/>
          <w:szCs w:val="30"/>
        </w:rPr>
        <w:t>违法认定和评价，并择一重则给予行政处罚。</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第十四条</w:t>
      </w:r>
      <w:r>
        <w:rPr>
          <w:rFonts w:hAnsi="宋体" w:hint="eastAsia"/>
          <w:szCs w:val="30"/>
        </w:rPr>
        <w:t xml:space="preserve">  </w:t>
      </w:r>
      <w:r>
        <w:rPr>
          <w:rFonts w:hAnsi="宋体" w:hint="eastAsia"/>
          <w:szCs w:val="30"/>
        </w:rPr>
        <w:t>本规定及《四川省市场监督管理行政处罚裁量基准》可以作为行政处罚裁量说理依据，但不得在行政处罚告知书、决定书等对外法律文书中援引。</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第十五条</w:t>
      </w:r>
      <w:r>
        <w:rPr>
          <w:rFonts w:hAnsi="宋体" w:hint="eastAsia"/>
          <w:szCs w:val="30"/>
        </w:rPr>
        <w:t xml:space="preserve">  </w:t>
      </w:r>
      <w:r>
        <w:rPr>
          <w:rFonts w:hAnsi="宋体" w:hint="eastAsia"/>
          <w:szCs w:val="30"/>
        </w:rPr>
        <w:t>市场监督管理部门执法办案人员在案件调查中，应当根据规定的裁</w:t>
      </w:r>
      <w:proofErr w:type="gramStart"/>
      <w:r>
        <w:rPr>
          <w:rFonts w:hAnsi="宋体" w:hint="eastAsia"/>
          <w:szCs w:val="30"/>
        </w:rPr>
        <w:t>量因素</w:t>
      </w:r>
      <w:proofErr w:type="gramEnd"/>
      <w:r>
        <w:rPr>
          <w:rFonts w:hAnsi="宋体" w:hint="eastAsia"/>
          <w:szCs w:val="30"/>
        </w:rPr>
        <w:t>和情形，结合具体案情，依法、全面、客观收集相关证据。既要收集证明当事人违法的证据，也要收集对当事人有利的不予行政处罚、减轻行政处罚、从轻行政处罚等有关证据。</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第十六条</w:t>
      </w:r>
      <w:r>
        <w:rPr>
          <w:rFonts w:hAnsi="宋体" w:hint="eastAsia"/>
          <w:szCs w:val="30"/>
        </w:rPr>
        <w:t xml:space="preserve">  </w:t>
      </w:r>
      <w:r>
        <w:rPr>
          <w:rFonts w:hAnsi="宋体" w:hint="eastAsia"/>
          <w:szCs w:val="30"/>
        </w:rPr>
        <w:t>当事人的违法行为涉嫌犯罪的，市场监督管理部门应当依法移送司法机关，不得以行政处罚代替刑事处罚。</w:t>
      </w:r>
    </w:p>
    <w:p w:rsidR="000C50F8" w:rsidRDefault="000C50F8" w:rsidP="000C50F8">
      <w:pPr>
        <w:tabs>
          <w:tab w:val="left" w:pos="790"/>
          <w:tab w:val="left" w:pos="1264"/>
        </w:tabs>
        <w:overflowPunct w:val="0"/>
        <w:adjustRightInd w:val="0"/>
        <w:ind w:firstLineChars="200" w:firstLine="640"/>
        <w:rPr>
          <w:rFonts w:hAnsi="宋体"/>
          <w:szCs w:val="30"/>
        </w:rPr>
      </w:pPr>
      <w:r w:rsidRPr="00562A60">
        <w:rPr>
          <w:rFonts w:ascii="黑体" w:eastAsia="方正黑体简体" w:hAnsi="黑体" w:hint="eastAsia"/>
          <w:bCs/>
          <w:szCs w:val="30"/>
        </w:rPr>
        <w:t>第十七条</w:t>
      </w:r>
      <w:r>
        <w:rPr>
          <w:rFonts w:ascii="黑体" w:eastAsia="黑体" w:hAnsi="黑体" w:hint="eastAsia"/>
          <w:szCs w:val="30"/>
        </w:rPr>
        <w:t xml:space="preserve">  </w:t>
      </w:r>
      <w:r>
        <w:rPr>
          <w:rFonts w:hAnsi="宋体" w:hint="eastAsia"/>
          <w:szCs w:val="30"/>
        </w:rPr>
        <w:t>本规定和《四川省市场监督管理行政处罚裁量基准》由省市场监督管理局负责解释。省市场监督管理局</w:t>
      </w:r>
      <w:r>
        <w:rPr>
          <w:rFonts w:hAnsi="宋体" w:hint="eastAsia"/>
          <w:szCs w:val="30"/>
        </w:rPr>
        <w:lastRenderedPageBreak/>
        <w:t>将根据法律、法规、规章的变化和本省市场监督管理行政执法实际，对《四川省市场监督管理行政处罚裁量基准》和本规定进行动态评估、修订。</w:t>
      </w:r>
    </w:p>
    <w:p w:rsidR="000C50F8" w:rsidRDefault="000C50F8" w:rsidP="000C50F8">
      <w:pPr>
        <w:ind w:firstLineChars="200" w:firstLine="640"/>
        <w:rPr>
          <w:rFonts w:hAnsi="宋体"/>
          <w:szCs w:val="30"/>
        </w:rPr>
      </w:pPr>
      <w:r w:rsidRPr="00562A60">
        <w:rPr>
          <w:rFonts w:ascii="黑体" w:eastAsia="方正黑体简体" w:hAnsi="黑体" w:hint="eastAsia"/>
          <w:bCs/>
          <w:szCs w:val="30"/>
        </w:rPr>
        <w:t>第十八条</w:t>
      </w:r>
      <w:r>
        <w:rPr>
          <w:rFonts w:ascii="黑体" w:eastAsia="黑体" w:hAnsi="黑体" w:hint="eastAsia"/>
          <w:szCs w:val="30"/>
        </w:rPr>
        <w:t xml:space="preserve">  </w:t>
      </w:r>
      <w:r>
        <w:rPr>
          <w:rFonts w:hAnsi="宋体" w:hint="eastAsia"/>
          <w:szCs w:val="30"/>
        </w:rPr>
        <w:t>本规定和《四川省市场监督管理行政处罚裁量基准》自公布之日起</w:t>
      </w:r>
      <w:r>
        <w:rPr>
          <w:rFonts w:hAnsi="宋体" w:hint="eastAsia"/>
          <w:szCs w:val="30"/>
        </w:rPr>
        <w:t>30</w:t>
      </w:r>
      <w:r>
        <w:rPr>
          <w:rFonts w:hAnsi="宋体" w:hint="eastAsia"/>
          <w:szCs w:val="30"/>
        </w:rPr>
        <w:t>日以后施行，有效期</w:t>
      </w:r>
      <w:r>
        <w:rPr>
          <w:rFonts w:hAnsi="宋体" w:hint="eastAsia"/>
          <w:szCs w:val="30"/>
        </w:rPr>
        <w:t>5</w:t>
      </w:r>
      <w:r>
        <w:rPr>
          <w:rFonts w:hAnsi="宋体" w:hint="eastAsia"/>
          <w:szCs w:val="30"/>
        </w:rPr>
        <w:t>年。原四川省工商行政管理局</w:t>
      </w:r>
      <w:r>
        <w:rPr>
          <w:rFonts w:hAnsi="宋体" w:hint="eastAsia"/>
          <w:szCs w:val="30"/>
        </w:rPr>
        <w:t>2014</w:t>
      </w:r>
      <w:r>
        <w:rPr>
          <w:rFonts w:hAnsi="宋体" w:hint="eastAsia"/>
          <w:szCs w:val="30"/>
        </w:rPr>
        <w:t>年</w:t>
      </w:r>
      <w:r>
        <w:rPr>
          <w:rFonts w:hAnsi="宋体" w:hint="eastAsia"/>
          <w:szCs w:val="30"/>
        </w:rPr>
        <w:t>12</w:t>
      </w:r>
      <w:r>
        <w:rPr>
          <w:rFonts w:hAnsi="宋体" w:hint="eastAsia"/>
          <w:szCs w:val="30"/>
        </w:rPr>
        <w:t>月</w:t>
      </w:r>
      <w:r>
        <w:rPr>
          <w:rFonts w:hAnsi="宋体" w:hint="eastAsia"/>
          <w:szCs w:val="30"/>
        </w:rPr>
        <w:t>26</w:t>
      </w:r>
      <w:r>
        <w:rPr>
          <w:rFonts w:hAnsi="宋体" w:hint="eastAsia"/>
          <w:szCs w:val="30"/>
        </w:rPr>
        <w:t>日发布的《四川省工商行政管理规范行政处罚行政强制裁量权实施办法》《四川省工商行政管理行政执法裁量实施标准（修订版）》、原四川省质量技术监督局</w:t>
      </w:r>
      <w:r>
        <w:rPr>
          <w:rFonts w:hint="eastAsia"/>
          <w:kern w:val="2"/>
          <w:szCs w:val="32"/>
        </w:rPr>
        <w:t>2018</w:t>
      </w:r>
      <w:r>
        <w:rPr>
          <w:rFonts w:hint="eastAsia"/>
          <w:kern w:val="2"/>
          <w:szCs w:val="32"/>
        </w:rPr>
        <w:t>年</w:t>
      </w:r>
      <w:r>
        <w:rPr>
          <w:rFonts w:hint="eastAsia"/>
          <w:kern w:val="2"/>
          <w:szCs w:val="32"/>
        </w:rPr>
        <w:t>10</w:t>
      </w:r>
      <w:r>
        <w:rPr>
          <w:rFonts w:hint="eastAsia"/>
          <w:kern w:val="2"/>
          <w:szCs w:val="32"/>
        </w:rPr>
        <w:t>月</w:t>
      </w:r>
      <w:r>
        <w:rPr>
          <w:rFonts w:hint="eastAsia"/>
          <w:kern w:val="2"/>
          <w:szCs w:val="32"/>
        </w:rPr>
        <w:t>9</w:t>
      </w:r>
      <w:r>
        <w:rPr>
          <w:rFonts w:hint="eastAsia"/>
          <w:kern w:val="2"/>
          <w:szCs w:val="32"/>
        </w:rPr>
        <w:t>日</w:t>
      </w:r>
      <w:r>
        <w:rPr>
          <w:rFonts w:hAnsi="宋体" w:hint="eastAsia"/>
          <w:szCs w:val="30"/>
        </w:rPr>
        <w:t>发布的</w:t>
      </w:r>
      <w:r>
        <w:rPr>
          <w:rFonts w:hint="eastAsia"/>
          <w:kern w:val="2"/>
          <w:szCs w:val="32"/>
        </w:rPr>
        <w:t>《四川省质量技术监督行政处罚裁量权适用规则及裁量标准（</w:t>
      </w:r>
      <w:r>
        <w:rPr>
          <w:rFonts w:hint="eastAsia"/>
          <w:kern w:val="2"/>
          <w:szCs w:val="32"/>
        </w:rPr>
        <w:t>2018</w:t>
      </w:r>
      <w:r>
        <w:rPr>
          <w:rFonts w:hint="eastAsia"/>
          <w:kern w:val="2"/>
          <w:szCs w:val="32"/>
        </w:rPr>
        <w:t>年修订版）》《四川省质量技术监督行政强制裁量权适用规则（</w:t>
      </w:r>
      <w:r>
        <w:rPr>
          <w:rFonts w:hint="eastAsia"/>
          <w:kern w:val="2"/>
          <w:szCs w:val="32"/>
        </w:rPr>
        <w:t>2018</w:t>
      </w:r>
      <w:r>
        <w:rPr>
          <w:rFonts w:hint="eastAsia"/>
          <w:kern w:val="2"/>
          <w:szCs w:val="32"/>
        </w:rPr>
        <w:t>年修订版）》、原四川省食品药品监督管理局</w:t>
      </w:r>
      <w:r>
        <w:rPr>
          <w:rFonts w:eastAsia="仿宋_GB2312"/>
          <w:szCs w:val="32"/>
        </w:rPr>
        <w:t>2017</w:t>
      </w:r>
      <w:r>
        <w:rPr>
          <w:rFonts w:eastAsia="仿宋_GB2312" w:hint="eastAsia"/>
          <w:szCs w:val="32"/>
        </w:rPr>
        <w:t>年</w:t>
      </w:r>
      <w:r>
        <w:rPr>
          <w:rFonts w:eastAsia="仿宋_GB2312"/>
          <w:szCs w:val="32"/>
        </w:rPr>
        <w:t>1</w:t>
      </w:r>
      <w:r>
        <w:rPr>
          <w:rFonts w:eastAsia="仿宋_GB2312" w:hint="eastAsia"/>
          <w:szCs w:val="32"/>
        </w:rPr>
        <w:t>月</w:t>
      </w:r>
      <w:r>
        <w:rPr>
          <w:rFonts w:eastAsia="仿宋_GB2312"/>
          <w:szCs w:val="32"/>
        </w:rPr>
        <w:t>23</w:t>
      </w:r>
      <w:r>
        <w:rPr>
          <w:rFonts w:eastAsia="仿宋_GB2312" w:hint="eastAsia"/>
          <w:szCs w:val="32"/>
        </w:rPr>
        <w:t>日</w:t>
      </w:r>
      <w:r>
        <w:rPr>
          <w:rFonts w:hint="eastAsia"/>
          <w:kern w:val="2"/>
          <w:szCs w:val="32"/>
        </w:rPr>
        <w:t>发布的《四川省食品行政处罚裁量基准》、四川省知识产权局</w:t>
      </w:r>
      <w:r>
        <w:rPr>
          <w:rFonts w:hint="eastAsia"/>
          <w:kern w:val="2"/>
          <w:szCs w:val="32"/>
        </w:rPr>
        <w:t>2015</w:t>
      </w:r>
      <w:r>
        <w:rPr>
          <w:rFonts w:hint="eastAsia"/>
          <w:kern w:val="2"/>
          <w:szCs w:val="32"/>
        </w:rPr>
        <w:t>年</w:t>
      </w:r>
      <w:r>
        <w:rPr>
          <w:rFonts w:hint="eastAsia"/>
          <w:kern w:val="2"/>
          <w:szCs w:val="32"/>
        </w:rPr>
        <w:t>12</w:t>
      </w:r>
      <w:r>
        <w:rPr>
          <w:rFonts w:hint="eastAsia"/>
          <w:kern w:val="2"/>
          <w:szCs w:val="32"/>
        </w:rPr>
        <w:t>月</w:t>
      </w:r>
      <w:r>
        <w:rPr>
          <w:rFonts w:hint="eastAsia"/>
          <w:kern w:val="2"/>
          <w:szCs w:val="32"/>
        </w:rPr>
        <w:t>11</w:t>
      </w:r>
      <w:r>
        <w:rPr>
          <w:rFonts w:hint="eastAsia"/>
          <w:kern w:val="2"/>
          <w:szCs w:val="32"/>
        </w:rPr>
        <w:t>日发布的《四川省专利行政处罚裁量权实施办法》</w:t>
      </w:r>
      <w:r>
        <w:rPr>
          <w:rFonts w:hAnsi="宋体" w:hint="eastAsia"/>
          <w:szCs w:val="30"/>
        </w:rPr>
        <w:t>同时废止。法律、法规、规章对市场监督管理行政处罚裁量有新的规定的，从其规定。</w:t>
      </w:r>
    </w:p>
    <w:p w:rsidR="000C50F8" w:rsidRDefault="000C50F8" w:rsidP="000C50F8">
      <w:pPr>
        <w:tabs>
          <w:tab w:val="left" w:pos="790"/>
          <w:tab w:val="left" w:pos="1264"/>
        </w:tabs>
        <w:overflowPunct w:val="0"/>
        <w:adjustRightInd w:val="0"/>
        <w:spacing w:line="336" w:lineRule="auto"/>
        <w:ind w:firstLine="624"/>
        <w:rPr>
          <w:rFonts w:hAnsi="宋体" w:hint="eastAsia"/>
          <w:color w:val="FF0000"/>
          <w:szCs w:val="30"/>
        </w:rPr>
      </w:pPr>
    </w:p>
    <w:p w:rsidR="000C50F8" w:rsidRDefault="000C50F8" w:rsidP="000C50F8">
      <w:pPr>
        <w:tabs>
          <w:tab w:val="left" w:pos="790"/>
          <w:tab w:val="left" w:pos="1264"/>
        </w:tabs>
        <w:overflowPunct w:val="0"/>
        <w:adjustRightInd w:val="0"/>
        <w:spacing w:line="336" w:lineRule="auto"/>
        <w:ind w:firstLine="624"/>
        <w:rPr>
          <w:rFonts w:hAnsi="宋体" w:hint="eastAsia"/>
          <w:color w:val="FF0000"/>
          <w:szCs w:val="30"/>
        </w:rPr>
      </w:pPr>
    </w:p>
    <w:p w:rsidR="000C50F8" w:rsidRDefault="000C50F8" w:rsidP="000C50F8">
      <w:pPr>
        <w:tabs>
          <w:tab w:val="left" w:pos="790"/>
          <w:tab w:val="left" w:pos="1264"/>
        </w:tabs>
        <w:overflowPunct w:val="0"/>
        <w:adjustRightInd w:val="0"/>
        <w:spacing w:line="336" w:lineRule="auto"/>
        <w:ind w:firstLine="624"/>
        <w:rPr>
          <w:rFonts w:hAnsi="宋体" w:hint="eastAsia"/>
          <w:color w:val="FF0000"/>
          <w:szCs w:val="30"/>
        </w:rPr>
      </w:pPr>
    </w:p>
    <w:p w:rsidR="000C50F8" w:rsidRDefault="000C50F8" w:rsidP="000C50F8">
      <w:pPr>
        <w:tabs>
          <w:tab w:val="left" w:pos="790"/>
          <w:tab w:val="left" w:pos="1264"/>
        </w:tabs>
        <w:overflowPunct w:val="0"/>
        <w:adjustRightInd w:val="0"/>
        <w:spacing w:line="336" w:lineRule="auto"/>
        <w:ind w:firstLine="624"/>
        <w:rPr>
          <w:rFonts w:hAnsi="宋体" w:hint="eastAsia"/>
          <w:color w:val="FF0000"/>
          <w:szCs w:val="30"/>
        </w:rPr>
      </w:pPr>
    </w:p>
    <w:p w:rsidR="000C50F8" w:rsidRDefault="000C50F8" w:rsidP="000C50F8">
      <w:pPr>
        <w:tabs>
          <w:tab w:val="left" w:pos="790"/>
          <w:tab w:val="left" w:pos="1264"/>
        </w:tabs>
        <w:overflowPunct w:val="0"/>
        <w:adjustRightInd w:val="0"/>
        <w:spacing w:line="336" w:lineRule="auto"/>
        <w:ind w:firstLine="624"/>
        <w:rPr>
          <w:rFonts w:hAnsi="宋体" w:hint="eastAsia"/>
          <w:color w:val="FF0000"/>
          <w:szCs w:val="30"/>
        </w:rPr>
      </w:pPr>
    </w:p>
    <w:p w:rsidR="00691E39" w:rsidRPr="000C50F8" w:rsidRDefault="00691E39"/>
    <w:sectPr w:rsidR="00691E39" w:rsidRPr="000C50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0F8"/>
    <w:rsid w:val="000C50F8"/>
    <w:rsid w:val="00223DC9"/>
    <w:rsid w:val="00691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0F8"/>
    <w:pPr>
      <w:widowControl w:val="0"/>
      <w:jc w:val="both"/>
    </w:pPr>
    <w:rPr>
      <w:rFonts w:ascii="Times New Roman" w:eastAsia="方正仿宋简体" w:hAnsi="Times New Roman" w:cs="Times New Roman"/>
      <w:kern w:val="0"/>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0F8"/>
    <w:pPr>
      <w:widowControl w:val="0"/>
      <w:jc w:val="both"/>
    </w:pPr>
    <w:rPr>
      <w:rFonts w:ascii="Times New Roman" w:eastAsia="方正仿宋简体" w:hAnsi="Times New Roman" w:cs="Times New Roman"/>
      <w:kern w:val="0"/>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2020-12-24T06:52:00Z</dcterms:created>
  <dcterms:modified xsi:type="dcterms:W3CDTF">2020-12-24T06:53:00Z</dcterms:modified>
</cp:coreProperties>
</file>