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445"/>
        <w:spacing w:before="103" w:line="164" w:lineRule="auto"/>
        <w:outlineLvl w:val="0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FangSong" w:hAnsi="FangSong" w:eastAsia="FangSong" w:cs="FangSong"/>
          <w:sz w:val="43"/>
          <w:szCs w:val="43"/>
          <w:b/>
          <w:bCs/>
          <w:spacing w:val="7"/>
        </w:rPr>
        <w:t>2024</w:t>
      </w:r>
      <w:r>
        <w:rPr>
          <w:rFonts w:ascii="FangSong" w:hAnsi="FangSong" w:eastAsia="FangSong" w:cs="FangSong"/>
          <w:sz w:val="43"/>
          <w:szCs w:val="43"/>
          <w:spacing w:val="-94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45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农村集体资产）</w:t>
      </w:r>
    </w:p>
    <w:tbl>
      <w:tblPr>
        <w:tblStyle w:val="TableNormal"/>
        <w:tblW w:w="2096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05"/>
        <w:gridCol w:w="2632"/>
        <w:gridCol w:w="5555"/>
        <w:gridCol w:w="1567"/>
        <w:gridCol w:w="3316"/>
        <w:gridCol w:w="6986"/>
      </w:tblGrid>
      <w:tr>
        <w:trPr>
          <w:trHeight w:val="443" w:hRule="atLeast"/>
        </w:trPr>
        <w:tc>
          <w:tcPr>
            <w:tcW w:w="905" w:type="dxa"/>
            <w:vAlign w:val="top"/>
          </w:tcPr>
          <w:p>
            <w:pPr>
              <w:ind w:left="220"/>
              <w:spacing w:before="107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32" w:type="dxa"/>
            <w:vAlign w:val="top"/>
          </w:tcPr>
          <w:p>
            <w:pPr>
              <w:ind w:left="841"/>
              <w:spacing w:before="10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55" w:type="dxa"/>
            <w:vAlign w:val="top"/>
          </w:tcPr>
          <w:p>
            <w:pPr>
              <w:ind w:left="2303"/>
              <w:spacing w:before="10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67" w:type="dxa"/>
            <w:vAlign w:val="top"/>
          </w:tcPr>
          <w:p>
            <w:pPr>
              <w:ind w:left="311"/>
              <w:spacing w:before="10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16" w:type="dxa"/>
            <w:vAlign w:val="top"/>
          </w:tcPr>
          <w:p>
            <w:pPr>
              <w:ind w:left="1187"/>
              <w:spacing w:before="107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986" w:type="dxa"/>
            <w:vAlign w:val="top"/>
          </w:tcPr>
          <w:p>
            <w:pPr>
              <w:ind w:left="3017"/>
              <w:spacing w:before="10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720" w:hRule="atLeast"/>
        </w:trPr>
        <w:tc>
          <w:tcPr>
            <w:tcW w:w="905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ind w:left="424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/>
              <w:spacing w:before="65" w:line="254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</w:rPr>
              <w:t>对《四川省农村集体资产管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理办法》第十条规定的事项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作出决定，未经农村集体经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济组织全体成员会议或成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员代表会议讨论并获得过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半数通过</w:t>
            </w:r>
          </w:p>
        </w:tc>
        <w:tc>
          <w:tcPr>
            <w:tcW w:w="555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106" w:hanging="25"/>
              <w:spacing w:before="22" w:line="238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《四川省农村集体资产管理办法》第二十二条第一款第一</w:t>
            </w:r>
            <w:r>
              <w:rPr>
                <w:rFonts w:ascii="SimHei" w:hAnsi="SimHei" w:eastAsia="SimHei" w:cs="SimHei"/>
                <w:spacing w:val="6"/>
              </w:rPr>
              <w:t xml:space="preserve">  </w:t>
            </w:r>
            <w:r>
              <w:rPr>
                <w:rFonts w:ascii="SimHei" w:hAnsi="SimHei" w:eastAsia="SimHei" w:cs="SimHei"/>
                <w:spacing w:val="9"/>
              </w:rPr>
              <w:t>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农村集体经济组织有下列情形之一的，由</w:t>
            </w:r>
            <w:r>
              <w:rPr>
                <w:spacing w:val="8"/>
              </w:rPr>
              <w:t>县级以上农业</w:t>
            </w:r>
            <w:r>
              <w:rPr/>
              <w:t xml:space="preserve"> </w:t>
            </w:r>
            <w:r>
              <w:rPr>
                <w:spacing w:val="8"/>
              </w:rPr>
              <w:t>行政部门予以警告，责令改正：</w:t>
            </w:r>
          </w:p>
          <w:p>
            <w:pPr>
              <w:pStyle w:val="TableText"/>
              <w:ind w:left="113" w:right="195" w:firstLine="10"/>
              <w:spacing w:before="14" w:line="236" w:lineRule="auto"/>
              <w:jc w:val="both"/>
              <w:rPr/>
            </w:pPr>
            <w:r>
              <w:rPr>
                <w:spacing w:val="9"/>
              </w:rPr>
              <w:t>（一）对本办法第十条规定的事项作出决定，未经农村集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体经济组织全体成员会议或成员代表会议讨论并获得过半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数通过的；</w:t>
            </w:r>
          </w:p>
          <w:p>
            <w:pPr>
              <w:pStyle w:val="TableText"/>
              <w:ind w:left="114" w:right="106" w:firstLine="1"/>
              <w:spacing w:before="5" w:line="235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第二十二条第二款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违反上款第（一）、（二）、（三）项</w:t>
            </w:r>
            <w:r>
              <w:rPr>
                <w:spacing w:val="18"/>
              </w:rPr>
              <w:t xml:space="preserve"> </w:t>
            </w:r>
            <w:r>
              <w:rPr>
                <w:spacing w:val="8"/>
              </w:rPr>
              <w:t>规定的，可对直接负责的主管人员和其他责任人员处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10</w:t>
            </w:r>
            <w:r>
              <w:rPr>
                <w:spacing w:val="7"/>
              </w:rPr>
              <w:t>00</w:t>
            </w:r>
            <w:r>
              <w:rPr/>
              <w:t xml:space="preserve"> </w:t>
            </w:r>
            <w:r>
              <w:rPr>
                <w:spacing w:val="1"/>
              </w:rPr>
              <w:t>元以下罚款；</w:t>
            </w:r>
            <w:r>
              <w:rPr>
                <w:spacing w:val="-6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…</w:t>
            </w:r>
            <w:r>
              <w:rPr>
                <w:rFonts w:ascii="Times New Roman" w:hAnsi="Times New Roman" w:eastAsia="Times New Roman" w:cs="Times New Roman"/>
                <w:spacing w:val="-2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…</w:t>
            </w:r>
            <w:r>
              <w:rPr>
                <w:spacing w:val="1"/>
              </w:rPr>
              <w:t>。</w:t>
            </w:r>
          </w:p>
        </w:tc>
        <w:tc>
          <w:tcPr>
            <w:tcW w:w="1567" w:type="dxa"/>
            <w:vAlign w:val="top"/>
          </w:tcPr>
          <w:p>
            <w:pPr>
              <w:pStyle w:val="TableText"/>
              <w:ind w:left="580"/>
              <w:spacing w:before="258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16" w:type="dxa"/>
            <w:vAlign w:val="top"/>
          </w:tcPr>
          <w:p>
            <w:pPr>
              <w:pStyle w:val="TableText"/>
              <w:ind w:left="114"/>
              <w:spacing w:before="258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986" w:type="dxa"/>
            <w:vAlign w:val="top"/>
          </w:tcPr>
          <w:p>
            <w:pPr>
              <w:pStyle w:val="TableText"/>
              <w:ind w:left="124" w:right="109" w:hanging="5"/>
              <w:spacing w:before="119" w:line="243" w:lineRule="auto"/>
              <w:rPr/>
            </w:pPr>
            <w:r>
              <w:rPr>
                <w:spacing w:val="10"/>
              </w:rPr>
              <w:t>警告，责令改正，可对直接负责的主管人员和其他</w:t>
            </w:r>
            <w:r>
              <w:rPr>
                <w:spacing w:val="9"/>
              </w:rPr>
              <w:t>责任人员处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300</w:t>
            </w:r>
            <w:r>
              <w:rPr>
                <w:spacing w:val="-37"/>
              </w:rPr>
              <w:t xml:space="preserve"> </w:t>
            </w:r>
            <w:r>
              <w:rPr>
                <w:spacing w:val="9"/>
              </w:rPr>
              <w:t>元以下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907" w:hRule="atLeast"/>
        </w:trPr>
        <w:tc>
          <w:tcPr>
            <w:tcW w:w="9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6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1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16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986" w:type="dxa"/>
            <w:vAlign w:val="top"/>
          </w:tcPr>
          <w:p>
            <w:pPr>
              <w:pStyle w:val="TableText"/>
              <w:ind w:left="119"/>
              <w:spacing w:before="211" w:line="227" w:lineRule="auto"/>
              <w:rPr/>
            </w:pPr>
            <w:r>
              <w:rPr>
                <w:spacing w:val="8"/>
              </w:rPr>
              <w:t>警告，责令改正，可对直接负责的主管人员和其他责任人员处</w:t>
            </w:r>
            <w:r>
              <w:rPr>
                <w:spacing w:val="-23"/>
              </w:rPr>
              <w:t xml:space="preserve"> </w:t>
            </w:r>
            <w:r>
              <w:rPr>
                <w:spacing w:val="8"/>
              </w:rPr>
              <w:t>300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元以上</w:t>
            </w:r>
          </w:p>
          <w:p>
            <w:pPr>
              <w:pStyle w:val="TableText"/>
              <w:ind w:left="117"/>
              <w:spacing w:before="32" w:line="229" w:lineRule="auto"/>
              <w:rPr/>
            </w:pPr>
            <w:r>
              <w:rPr>
                <w:spacing w:val="4"/>
              </w:rPr>
              <w:t>600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720" w:hRule="atLeast"/>
        </w:trPr>
        <w:tc>
          <w:tcPr>
            <w:tcW w:w="9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67" w:type="dxa"/>
            <w:vAlign w:val="top"/>
          </w:tcPr>
          <w:p>
            <w:pPr>
              <w:pStyle w:val="TableText"/>
              <w:ind w:left="580"/>
              <w:spacing w:before="260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16" w:type="dxa"/>
            <w:vAlign w:val="top"/>
          </w:tcPr>
          <w:p>
            <w:pPr>
              <w:pStyle w:val="TableText"/>
              <w:ind w:left="114"/>
              <w:spacing w:before="260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986" w:type="dxa"/>
            <w:vAlign w:val="top"/>
          </w:tcPr>
          <w:p>
            <w:pPr>
              <w:pStyle w:val="TableText"/>
              <w:ind w:left="117" w:right="106" w:firstLine="1"/>
              <w:spacing w:before="117" w:line="245" w:lineRule="auto"/>
              <w:rPr/>
            </w:pPr>
            <w:r>
              <w:rPr>
                <w:spacing w:val="1"/>
              </w:rPr>
              <w:t>警告，责令改正，对直接负责的主管人员和其他责任人员处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600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1000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911" w:hRule="atLeast"/>
        </w:trPr>
        <w:tc>
          <w:tcPr>
            <w:tcW w:w="905" w:type="dxa"/>
            <w:vAlign w:val="top"/>
            <w:vMerge w:val="restart"/>
            <w:tcBorders>
              <w:bottom w:val="nil"/>
            </w:tcBorders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ind w:left="404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30"/>
              <w:spacing w:before="65" w:line="253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对土地等农村集体资产的经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营，采取欺诈、胁迫、恶意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9"/>
              </w:rPr>
              <w:t>串通等方式进行招标、发包、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入股、转让、捐赠或其他行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为</w:t>
            </w:r>
          </w:p>
        </w:tc>
        <w:tc>
          <w:tcPr>
            <w:tcW w:w="555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106" w:hanging="25"/>
              <w:spacing w:before="123" w:line="238" w:lineRule="auto"/>
              <w:jc w:val="both"/>
              <w:rPr/>
            </w:pPr>
            <w:r>
              <w:rPr>
                <w:rFonts w:ascii="SimHei" w:hAnsi="SimHei" w:eastAsia="SimHei" w:cs="SimHei"/>
                <w:spacing w:val="14"/>
              </w:rPr>
              <w:t>《四川省农村集体资产管理办法》第二十二条第一款第二</w:t>
            </w:r>
            <w:r>
              <w:rPr>
                <w:rFonts w:ascii="SimHei" w:hAnsi="SimHei" w:eastAsia="SimHei" w:cs="SimHei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pacing w:val="9"/>
              </w:rPr>
              <w:t>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农村集体经济组织有下列情形之一的，由</w:t>
            </w:r>
            <w:r>
              <w:rPr>
                <w:spacing w:val="8"/>
              </w:rPr>
              <w:t>县级以上农业</w:t>
            </w:r>
            <w:r>
              <w:rPr/>
              <w:t xml:space="preserve"> </w:t>
            </w:r>
            <w:r>
              <w:rPr>
                <w:spacing w:val="8"/>
              </w:rPr>
              <w:t>行政部门予以警告，责令改正：</w:t>
            </w:r>
          </w:p>
          <w:p>
            <w:pPr>
              <w:pStyle w:val="TableText"/>
              <w:ind w:left="113" w:right="106" w:firstLine="10"/>
              <w:spacing w:before="15" w:line="236" w:lineRule="auto"/>
              <w:jc w:val="both"/>
              <w:rPr/>
            </w:pPr>
            <w:r>
              <w:rPr>
                <w:spacing w:val="12"/>
              </w:rPr>
              <w:t>（二）对土地等农村集体资产的经营，采取欺诈、胁迫、</w:t>
            </w:r>
            <w:r>
              <w:rPr>
                <w:spacing w:val="18"/>
              </w:rPr>
              <w:t xml:space="preserve"> </w:t>
            </w:r>
            <w:r>
              <w:rPr>
                <w:spacing w:val="13"/>
              </w:rPr>
              <w:t>恶意串通等方式进行招标、发包、入股、转让、捐赠或其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他行为的；</w:t>
            </w:r>
          </w:p>
          <w:p>
            <w:pPr>
              <w:pStyle w:val="TableText"/>
              <w:ind w:left="114" w:right="106" w:firstLine="1"/>
              <w:spacing w:before="3" w:line="239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第二十二条第二款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违反上款第（一）、（二）、（三）项</w:t>
            </w:r>
            <w:r>
              <w:rPr>
                <w:spacing w:val="18"/>
              </w:rPr>
              <w:t xml:space="preserve"> </w:t>
            </w:r>
            <w:r>
              <w:rPr>
                <w:spacing w:val="8"/>
              </w:rPr>
              <w:t>规定的，可对直接负责的主管人员和其他责任人员处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10</w:t>
            </w:r>
            <w:r>
              <w:rPr>
                <w:spacing w:val="7"/>
              </w:rPr>
              <w:t>00</w:t>
            </w:r>
            <w:r>
              <w:rPr/>
              <w:t xml:space="preserve"> </w:t>
            </w:r>
            <w:r>
              <w:rPr>
                <w:spacing w:val="1"/>
              </w:rPr>
              <w:t>元以下罚款；</w:t>
            </w:r>
            <w:r>
              <w:rPr>
                <w:spacing w:val="-6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…</w:t>
            </w:r>
            <w:r>
              <w:rPr>
                <w:rFonts w:ascii="Times New Roman" w:hAnsi="Times New Roman" w:eastAsia="Times New Roman" w:cs="Times New Roman"/>
                <w:spacing w:val="-2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…</w:t>
            </w:r>
            <w:r>
              <w:rPr>
                <w:spacing w:val="1"/>
              </w:rPr>
              <w:t>。</w:t>
            </w:r>
          </w:p>
        </w:tc>
        <w:tc>
          <w:tcPr>
            <w:tcW w:w="1567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0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16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986" w:type="dxa"/>
            <w:vAlign w:val="top"/>
          </w:tcPr>
          <w:p>
            <w:pPr>
              <w:pStyle w:val="TableText"/>
              <w:ind w:left="124" w:right="109" w:hanging="5"/>
              <w:spacing w:before="217" w:line="243" w:lineRule="auto"/>
              <w:rPr/>
            </w:pPr>
            <w:r>
              <w:rPr>
                <w:spacing w:val="10"/>
              </w:rPr>
              <w:t>警告，责令改正，可对直接负责的主管人员和其他</w:t>
            </w:r>
            <w:r>
              <w:rPr>
                <w:spacing w:val="9"/>
              </w:rPr>
              <w:t>责任人员处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300</w:t>
            </w:r>
            <w:r>
              <w:rPr>
                <w:spacing w:val="-37"/>
              </w:rPr>
              <w:t xml:space="preserve"> </w:t>
            </w:r>
            <w:r>
              <w:rPr>
                <w:spacing w:val="9"/>
              </w:rPr>
              <w:t>元以下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911" w:hRule="atLeast"/>
        </w:trPr>
        <w:tc>
          <w:tcPr>
            <w:tcW w:w="9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67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1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16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986" w:type="dxa"/>
            <w:vAlign w:val="top"/>
          </w:tcPr>
          <w:p>
            <w:pPr>
              <w:pStyle w:val="TableText"/>
              <w:ind w:left="119"/>
              <w:spacing w:before="217" w:line="227" w:lineRule="auto"/>
              <w:rPr/>
            </w:pPr>
            <w:r>
              <w:rPr>
                <w:spacing w:val="8"/>
              </w:rPr>
              <w:t>警告，责令改正，可对直接负责的主管人员和其他责任人员处</w:t>
            </w:r>
            <w:r>
              <w:rPr>
                <w:spacing w:val="-23"/>
              </w:rPr>
              <w:t xml:space="preserve"> </w:t>
            </w:r>
            <w:r>
              <w:rPr>
                <w:spacing w:val="8"/>
              </w:rPr>
              <w:t>300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元以上</w:t>
            </w:r>
          </w:p>
          <w:p>
            <w:pPr>
              <w:pStyle w:val="TableText"/>
              <w:ind w:left="117"/>
              <w:spacing w:before="32" w:line="229" w:lineRule="auto"/>
              <w:rPr/>
            </w:pPr>
            <w:r>
              <w:rPr>
                <w:spacing w:val="4"/>
              </w:rPr>
              <w:t>600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721" w:hRule="atLeast"/>
        </w:trPr>
        <w:tc>
          <w:tcPr>
            <w:tcW w:w="9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67" w:type="dxa"/>
            <w:vAlign w:val="top"/>
          </w:tcPr>
          <w:p>
            <w:pPr>
              <w:pStyle w:val="TableText"/>
              <w:ind w:left="580"/>
              <w:spacing w:before="261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16" w:type="dxa"/>
            <w:vAlign w:val="top"/>
          </w:tcPr>
          <w:p>
            <w:pPr>
              <w:pStyle w:val="TableText"/>
              <w:ind w:left="114"/>
              <w:spacing w:before="261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986" w:type="dxa"/>
            <w:vAlign w:val="top"/>
          </w:tcPr>
          <w:p>
            <w:pPr>
              <w:pStyle w:val="TableText"/>
              <w:ind w:left="117" w:right="106" w:firstLine="1"/>
              <w:spacing w:before="121" w:line="245" w:lineRule="auto"/>
              <w:rPr/>
            </w:pPr>
            <w:r>
              <w:rPr>
                <w:spacing w:val="1"/>
              </w:rPr>
              <w:t>警告，责令改正，对直接负责的主管人员和其他责任人员处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600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1000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721" w:hRule="atLeast"/>
        </w:trPr>
        <w:tc>
          <w:tcPr>
            <w:tcW w:w="905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ind w:left="412"/>
              <w:spacing w:before="52" w:line="188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95" w:hanging="1"/>
              <w:spacing w:before="65" w:line="25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进行年终收益分配时，未按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全体成员会议或成员代表会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议通过的决议、决定和国家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有关规定进行提留和分配</w:t>
            </w:r>
          </w:p>
        </w:tc>
        <w:tc>
          <w:tcPr>
            <w:tcW w:w="555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106" w:hanging="25"/>
              <w:spacing w:before="20" w:line="238" w:lineRule="auto"/>
              <w:jc w:val="both"/>
              <w:rPr/>
            </w:pPr>
            <w:r>
              <w:rPr>
                <w:rFonts w:ascii="SimHei" w:hAnsi="SimHei" w:eastAsia="SimHei" w:cs="SimHei"/>
                <w:spacing w:val="14"/>
              </w:rPr>
              <w:t>《四川省农村集体资产管理办法》第二十二条第一款第三</w:t>
            </w:r>
            <w:r>
              <w:rPr>
                <w:rFonts w:ascii="SimHei" w:hAnsi="SimHei" w:eastAsia="SimHei" w:cs="SimHei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pacing w:val="9"/>
              </w:rPr>
              <w:t>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农村集体经济组织有下列情形之一的，由</w:t>
            </w:r>
            <w:r>
              <w:rPr>
                <w:spacing w:val="8"/>
              </w:rPr>
              <w:t>县级以上农业</w:t>
            </w:r>
            <w:r>
              <w:rPr/>
              <w:t xml:space="preserve"> </w:t>
            </w:r>
            <w:r>
              <w:rPr>
                <w:spacing w:val="8"/>
              </w:rPr>
              <w:t>行政部门予以警告，责令改正：</w:t>
            </w:r>
          </w:p>
          <w:p>
            <w:pPr>
              <w:pStyle w:val="TableText"/>
              <w:ind w:left="113" w:right="106" w:firstLine="10"/>
              <w:spacing w:before="13" w:line="237" w:lineRule="auto"/>
              <w:jc w:val="both"/>
              <w:rPr/>
            </w:pPr>
            <w:r>
              <w:rPr>
                <w:spacing w:val="12"/>
              </w:rPr>
              <w:t>（三）进行年终收益分配时，未按全体成员会议或成员代</w:t>
            </w:r>
            <w:r>
              <w:rPr>
                <w:spacing w:val="18"/>
              </w:rPr>
              <w:t xml:space="preserve"> </w:t>
            </w:r>
            <w:r>
              <w:rPr>
                <w:spacing w:val="13"/>
              </w:rPr>
              <w:t>表会议通过的决议、决定和国家有关规定进行提留和分配</w:t>
            </w:r>
            <w:r>
              <w:rPr>
                <w:spacing w:val="4"/>
              </w:rPr>
              <w:t xml:space="preserve"> </w:t>
            </w:r>
            <w:r>
              <w:rPr/>
              <w:t>的；</w:t>
            </w:r>
          </w:p>
          <w:p>
            <w:pPr>
              <w:pStyle w:val="TableText"/>
              <w:ind w:left="114" w:right="106" w:firstLine="1"/>
              <w:spacing w:before="2" w:line="232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第二十二条第二款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违反上款第（一）、（二）、（三）项</w:t>
            </w:r>
            <w:r>
              <w:rPr>
                <w:spacing w:val="18"/>
              </w:rPr>
              <w:t xml:space="preserve"> </w:t>
            </w:r>
            <w:r>
              <w:rPr>
                <w:spacing w:val="8"/>
              </w:rPr>
              <w:t>规定的，可对直接负责的主管人员和其他责任人员处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10</w:t>
            </w:r>
            <w:r>
              <w:rPr>
                <w:spacing w:val="7"/>
              </w:rPr>
              <w:t>00</w:t>
            </w:r>
            <w:r>
              <w:rPr/>
              <w:t xml:space="preserve"> </w:t>
            </w:r>
            <w:r>
              <w:rPr>
                <w:spacing w:val="1"/>
              </w:rPr>
              <w:t>元以下罚款；</w:t>
            </w:r>
            <w:r>
              <w:rPr>
                <w:spacing w:val="-6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…</w:t>
            </w:r>
            <w:r>
              <w:rPr>
                <w:rFonts w:ascii="Times New Roman" w:hAnsi="Times New Roman" w:eastAsia="Times New Roman" w:cs="Times New Roman"/>
                <w:spacing w:val="-2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…</w:t>
            </w:r>
            <w:r>
              <w:rPr>
                <w:spacing w:val="1"/>
              </w:rPr>
              <w:t>。</w:t>
            </w:r>
          </w:p>
        </w:tc>
        <w:tc>
          <w:tcPr>
            <w:tcW w:w="1567" w:type="dxa"/>
            <w:vAlign w:val="top"/>
          </w:tcPr>
          <w:p>
            <w:pPr>
              <w:pStyle w:val="TableText"/>
              <w:ind w:left="580"/>
              <w:spacing w:before="262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16" w:type="dxa"/>
            <w:vAlign w:val="top"/>
          </w:tcPr>
          <w:p>
            <w:pPr>
              <w:pStyle w:val="TableText"/>
              <w:ind w:left="114"/>
              <w:spacing w:before="262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986" w:type="dxa"/>
            <w:vAlign w:val="top"/>
          </w:tcPr>
          <w:p>
            <w:pPr>
              <w:pStyle w:val="TableText"/>
              <w:ind w:left="124" w:right="109" w:hanging="5"/>
              <w:spacing w:before="124" w:line="243" w:lineRule="auto"/>
              <w:rPr/>
            </w:pPr>
            <w:r>
              <w:rPr>
                <w:spacing w:val="10"/>
              </w:rPr>
              <w:t>警告，责令改正，可对直接负责的主管人员和其他</w:t>
            </w:r>
            <w:r>
              <w:rPr>
                <w:spacing w:val="9"/>
              </w:rPr>
              <w:t>责任人员处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300</w:t>
            </w:r>
            <w:r>
              <w:rPr>
                <w:spacing w:val="-37"/>
              </w:rPr>
              <w:t xml:space="preserve"> </w:t>
            </w:r>
            <w:r>
              <w:rPr>
                <w:spacing w:val="9"/>
              </w:rPr>
              <w:t>元以下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721" w:hRule="atLeast"/>
        </w:trPr>
        <w:tc>
          <w:tcPr>
            <w:tcW w:w="9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67" w:type="dxa"/>
            <w:vAlign w:val="top"/>
          </w:tcPr>
          <w:p>
            <w:pPr>
              <w:pStyle w:val="TableText"/>
              <w:ind w:left="581"/>
              <w:spacing w:before="261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16" w:type="dxa"/>
            <w:vAlign w:val="top"/>
          </w:tcPr>
          <w:p>
            <w:pPr>
              <w:pStyle w:val="TableText"/>
              <w:ind w:left="116"/>
              <w:spacing w:before="261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986" w:type="dxa"/>
            <w:vAlign w:val="top"/>
          </w:tcPr>
          <w:p>
            <w:pPr>
              <w:pStyle w:val="TableText"/>
              <w:ind w:left="119"/>
              <w:spacing w:before="122" w:line="227" w:lineRule="auto"/>
              <w:rPr/>
            </w:pPr>
            <w:r>
              <w:rPr>
                <w:spacing w:val="8"/>
              </w:rPr>
              <w:t>警告，责令改正，可对直接负责的主管人员和其他责任人员处</w:t>
            </w:r>
            <w:r>
              <w:rPr>
                <w:spacing w:val="-23"/>
              </w:rPr>
              <w:t xml:space="preserve"> </w:t>
            </w:r>
            <w:r>
              <w:rPr>
                <w:spacing w:val="8"/>
              </w:rPr>
              <w:t>300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元以上</w:t>
            </w:r>
          </w:p>
          <w:p>
            <w:pPr>
              <w:pStyle w:val="TableText"/>
              <w:ind w:left="117"/>
              <w:spacing w:before="35" w:line="229" w:lineRule="auto"/>
              <w:rPr/>
            </w:pPr>
            <w:r>
              <w:rPr>
                <w:spacing w:val="4"/>
              </w:rPr>
              <w:t>600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892" w:hRule="atLeast"/>
        </w:trPr>
        <w:tc>
          <w:tcPr>
            <w:tcW w:w="9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67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16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986" w:type="dxa"/>
            <w:vAlign w:val="top"/>
          </w:tcPr>
          <w:p>
            <w:pPr>
              <w:pStyle w:val="TableText"/>
              <w:ind w:left="117" w:right="106" w:firstLine="1"/>
              <w:spacing w:before="206" w:line="245" w:lineRule="auto"/>
              <w:rPr/>
            </w:pPr>
            <w:r>
              <w:rPr>
                <w:spacing w:val="1"/>
              </w:rPr>
              <w:t>警告，责令改正，对直接负责的主管人员和其他责任人员处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600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1000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721" w:hRule="atLeast"/>
        </w:trPr>
        <w:tc>
          <w:tcPr>
            <w:tcW w:w="905" w:type="dxa"/>
            <w:vAlign w:val="top"/>
            <w:vMerge w:val="restart"/>
            <w:tcBorders>
              <w:bottom w:val="nil"/>
            </w:tcBorders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ind w:left="408"/>
              <w:spacing w:before="52" w:line="188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5" w:firstLine="3"/>
              <w:spacing w:before="65" w:line="253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8"/>
              </w:rPr>
              <w:t>不公布或不及时公布财务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收支及资产权属变动情况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的；资产统计报表及资产变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动情况不报送乡（镇）农村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经营管理机构备案</w:t>
            </w:r>
          </w:p>
        </w:tc>
        <w:tc>
          <w:tcPr>
            <w:tcW w:w="555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106" w:hanging="25"/>
              <w:spacing w:before="131" w:line="238" w:lineRule="auto"/>
              <w:jc w:val="both"/>
              <w:rPr/>
            </w:pPr>
            <w:r>
              <w:rPr>
                <w:rFonts w:ascii="SimHei" w:hAnsi="SimHei" w:eastAsia="SimHei" w:cs="SimHei"/>
                <w:spacing w:val="14"/>
              </w:rPr>
              <w:t>《四川省农村集体资产管理办法》第二十二条第一款第四</w:t>
            </w:r>
            <w:r>
              <w:rPr>
                <w:rFonts w:ascii="SimHei" w:hAnsi="SimHei" w:eastAsia="SimHei" w:cs="SimHei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pacing w:val="9"/>
              </w:rPr>
              <w:t>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农村集体经济组织有下列情形之一的，由</w:t>
            </w:r>
            <w:r>
              <w:rPr>
                <w:spacing w:val="8"/>
              </w:rPr>
              <w:t>县级以上农业</w:t>
            </w:r>
            <w:r>
              <w:rPr/>
              <w:t xml:space="preserve"> </w:t>
            </w:r>
            <w:r>
              <w:rPr>
                <w:spacing w:val="8"/>
              </w:rPr>
              <w:t>行政部门予以警告，责令改正：</w:t>
            </w:r>
          </w:p>
          <w:p>
            <w:pPr>
              <w:pStyle w:val="TableText"/>
              <w:ind w:left="120" w:right="106" w:firstLine="3"/>
              <w:spacing w:before="13" w:line="236" w:lineRule="auto"/>
              <w:jc w:val="both"/>
              <w:rPr/>
            </w:pPr>
            <w:r>
              <w:rPr>
                <w:spacing w:val="12"/>
              </w:rPr>
              <w:t>（四）不公布或不及时公布财务收支及资产权属变动情况</w:t>
            </w:r>
            <w:r>
              <w:rPr>
                <w:spacing w:val="18"/>
              </w:rPr>
              <w:t xml:space="preserve"> </w:t>
            </w:r>
            <w:r>
              <w:rPr>
                <w:spacing w:val="13"/>
              </w:rPr>
              <w:t>的；资产统计报表及资产变动情况不报送乡（镇）</w:t>
            </w:r>
            <w:r>
              <w:rPr>
                <w:spacing w:val="12"/>
              </w:rPr>
              <w:t>农村经</w:t>
            </w:r>
            <w:r>
              <w:rPr/>
              <w:t xml:space="preserve"> </w:t>
            </w:r>
            <w:r>
              <w:rPr>
                <w:spacing w:val="7"/>
              </w:rPr>
              <w:t>营管理机构备案的；</w:t>
            </w:r>
          </w:p>
          <w:p>
            <w:pPr>
              <w:pStyle w:val="TableText"/>
              <w:ind w:left="114" w:right="105" w:firstLine="1"/>
              <w:spacing w:before="4" w:line="239" w:lineRule="auto"/>
              <w:jc w:val="both"/>
              <w:rPr/>
            </w:pPr>
            <w:r>
              <w:rPr>
                <w:rFonts w:ascii="SimHei" w:hAnsi="SimHei" w:eastAsia="SimHei" w:cs="SimHei"/>
                <w:spacing w:val="13"/>
              </w:rPr>
              <w:t>第二十二条第二款：</w:t>
            </w:r>
            <w:r>
              <w:rPr>
                <w:rFonts w:ascii="SimHei" w:hAnsi="SimHei" w:eastAsia="SimHei" w:cs="SimHei"/>
                <w:spacing w:val="-6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3"/>
              </w:rPr>
              <w:t>ⅆ</w:t>
            </w:r>
            <w:r>
              <w:rPr>
                <w:rFonts w:ascii="Times New Roman" w:hAnsi="Times New Roman" w:eastAsia="Times New Roman" w:cs="Times New Roman"/>
                <w:spacing w:val="-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3"/>
              </w:rPr>
              <w:t>ⅆ</w:t>
            </w:r>
            <w:r>
              <w:rPr>
                <w:rFonts w:ascii="Times New Roman" w:hAnsi="Times New Roman" w:eastAsia="Times New Roman" w:cs="Times New Roman"/>
                <w:spacing w:val="-20"/>
              </w:rPr>
              <w:t xml:space="preserve"> </w:t>
            </w:r>
            <w:r>
              <w:rPr>
                <w:spacing w:val="13"/>
              </w:rPr>
              <w:t>;</w:t>
            </w:r>
            <w:r>
              <w:rPr>
                <w:spacing w:val="66"/>
              </w:rPr>
              <w:t xml:space="preserve"> </w:t>
            </w:r>
            <w:r>
              <w:rPr>
                <w:spacing w:val="13"/>
              </w:rPr>
              <w:t>违反上款第（四）</w:t>
            </w:r>
            <w:r>
              <w:rPr>
                <w:spacing w:val="-59"/>
              </w:rPr>
              <w:t xml:space="preserve"> </w:t>
            </w:r>
            <w:r>
              <w:rPr>
                <w:spacing w:val="13"/>
              </w:rPr>
              <w:t>、（五）项</w:t>
            </w:r>
            <w:r>
              <w:rPr/>
              <w:t xml:space="preserve"> </w:t>
            </w:r>
            <w:r>
              <w:rPr>
                <w:spacing w:val="14"/>
              </w:rPr>
              <w:t>规定的，可对直接负责的主管人员和其他责任人员</w:t>
            </w:r>
            <w:r>
              <w:rPr>
                <w:spacing w:val="13"/>
              </w:rPr>
              <w:t>处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</w:rPr>
              <w:t>200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  <w:tc>
          <w:tcPr>
            <w:tcW w:w="1567" w:type="dxa"/>
            <w:vAlign w:val="top"/>
          </w:tcPr>
          <w:p>
            <w:pPr>
              <w:pStyle w:val="TableText"/>
              <w:ind w:left="580"/>
              <w:spacing w:before="263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16" w:type="dxa"/>
            <w:vAlign w:val="top"/>
          </w:tcPr>
          <w:p>
            <w:pPr>
              <w:pStyle w:val="TableText"/>
              <w:ind w:left="114"/>
              <w:spacing w:before="263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986" w:type="dxa"/>
            <w:vAlign w:val="top"/>
          </w:tcPr>
          <w:p>
            <w:pPr>
              <w:pStyle w:val="TableText"/>
              <w:ind w:left="119"/>
              <w:spacing w:before="270" w:line="227" w:lineRule="auto"/>
              <w:rPr/>
            </w:pPr>
            <w:r>
              <w:rPr>
                <w:spacing w:val="7"/>
              </w:rPr>
              <w:t>警告，责令改正。</w:t>
            </w:r>
          </w:p>
        </w:tc>
      </w:tr>
      <w:tr>
        <w:trPr>
          <w:trHeight w:val="916" w:hRule="atLeast"/>
        </w:trPr>
        <w:tc>
          <w:tcPr>
            <w:tcW w:w="9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67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1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16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986" w:type="dxa"/>
            <w:vAlign w:val="top"/>
          </w:tcPr>
          <w:p>
            <w:pPr>
              <w:pStyle w:val="TableText"/>
              <w:ind w:left="124" w:right="109" w:hanging="5"/>
              <w:spacing w:before="215" w:line="263" w:lineRule="auto"/>
              <w:rPr/>
            </w:pPr>
            <w:r>
              <w:rPr>
                <w:spacing w:val="9"/>
              </w:rPr>
              <w:t>警告，责令改正，可对直接负责的主管人员和其他责任人员处</w:t>
            </w:r>
            <w:r>
              <w:rPr>
                <w:spacing w:val="-10"/>
              </w:rPr>
              <w:t xml:space="preserve"> </w:t>
            </w:r>
            <w:r>
              <w:rPr>
                <w:spacing w:val="9"/>
              </w:rPr>
              <w:t>120</w:t>
            </w:r>
            <w:r>
              <w:rPr>
                <w:spacing w:val="-37"/>
              </w:rPr>
              <w:t xml:space="preserve"> </w:t>
            </w:r>
            <w:r>
              <w:rPr>
                <w:spacing w:val="9"/>
              </w:rPr>
              <w:t>元以下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916" w:hRule="atLeast"/>
        </w:trPr>
        <w:tc>
          <w:tcPr>
            <w:tcW w:w="9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67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0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16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986" w:type="dxa"/>
            <w:vAlign w:val="top"/>
          </w:tcPr>
          <w:p>
            <w:pPr>
              <w:pStyle w:val="TableText"/>
              <w:ind w:left="117" w:right="106" w:firstLine="1"/>
              <w:spacing w:before="220" w:line="262" w:lineRule="auto"/>
              <w:rPr/>
            </w:pPr>
            <w:r>
              <w:rPr>
                <w:spacing w:val="4"/>
              </w:rPr>
              <w:t>警告，责令改正，对直接负责的主管人员和其他责任人员处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120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200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911" w:hRule="atLeast"/>
        </w:trPr>
        <w:tc>
          <w:tcPr>
            <w:tcW w:w="905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ind w:left="408"/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2632" w:type="dxa"/>
            <w:vAlign w:val="top"/>
            <w:vMerge w:val="restart"/>
            <w:tcBorders>
              <w:bottom w:val="nil"/>
            </w:tcBorders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 w:firstLine="3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财会人员的任用</w:t>
            </w:r>
            <w:r>
              <w:rPr>
                <w:rFonts w:ascii="SimHei" w:hAnsi="SimHei" w:eastAsia="SimHei" w:cs="SimHei"/>
                <w:sz w:val="20"/>
                <w:szCs w:val="20"/>
                <w:spacing w:val="-5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，未经乡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（镇）农村经营管理机构考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核批准</w:t>
            </w:r>
          </w:p>
        </w:tc>
        <w:tc>
          <w:tcPr>
            <w:tcW w:w="5555" w:type="dxa"/>
            <w:vAlign w:val="top"/>
            <w:vMerge w:val="restart"/>
            <w:tcBorders>
              <w:bottom w:val="nil"/>
            </w:tcBorders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6" w:hanging="25"/>
              <w:spacing w:before="65" w:line="238" w:lineRule="auto"/>
              <w:jc w:val="both"/>
              <w:rPr/>
            </w:pPr>
            <w:r>
              <w:rPr>
                <w:rFonts w:ascii="SimHei" w:hAnsi="SimHei" w:eastAsia="SimHei" w:cs="SimHei"/>
                <w:spacing w:val="14"/>
              </w:rPr>
              <w:t>《四川省农村集体资产管理办法》第二十二条第一款第五</w:t>
            </w:r>
            <w:r>
              <w:rPr>
                <w:rFonts w:ascii="SimHei" w:hAnsi="SimHei" w:eastAsia="SimHei" w:cs="SimHei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pacing w:val="9"/>
              </w:rPr>
              <w:t>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农村集体经济组织有下列情形之一的，由</w:t>
            </w:r>
            <w:r>
              <w:rPr>
                <w:spacing w:val="8"/>
              </w:rPr>
              <w:t>县级以上农业</w:t>
            </w:r>
            <w:r>
              <w:rPr/>
              <w:t xml:space="preserve"> </w:t>
            </w:r>
            <w:r>
              <w:rPr>
                <w:spacing w:val="8"/>
              </w:rPr>
              <w:t>行政部门予以警告，责令改正：</w:t>
            </w:r>
          </w:p>
          <w:p>
            <w:pPr>
              <w:pStyle w:val="TableText"/>
              <w:ind w:left="113" w:right="106" w:firstLine="10"/>
              <w:spacing w:before="12" w:line="234" w:lineRule="auto"/>
              <w:rPr/>
            </w:pPr>
            <w:r>
              <w:rPr>
                <w:spacing w:val="12"/>
              </w:rPr>
              <w:t>（五）财会人员的任用，未经乡（镇）农村经营管理机构</w:t>
            </w:r>
            <w:r>
              <w:rPr>
                <w:spacing w:val="18"/>
              </w:rPr>
              <w:t xml:space="preserve"> </w:t>
            </w:r>
            <w:r>
              <w:rPr>
                <w:spacing w:val="6"/>
              </w:rPr>
              <w:t>考核批准的。</w:t>
            </w:r>
          </w:p>
          <w:p>
            <w:pPr>
              <w:pStyle w:val="TableText"/>
              <w:ind w:left="114" w:right="105" w:firstLine="1"/>
              <w:spacing w:before="4" w:line="239" w:lineRule="auto"/>
              <w:jc w:val="both"/>
              <w:rPr/>
            </w:pPr>
            <w:r>
              <w:rPr>
                <w:rFonts w:ascii="SimHei" w:hAnsi="SimHei" w:eastAsia="SimHei" w:cs="SimHei"/>
                <w:spacing w:val="13"/>
              </w:rPr>
              <w:t>第二十二条第二款：</w:t>
            </w:r>
            <w:r>
              <w:rPr>
                <w:rFonts w:ascii="SimHei" w:hAnsi="SimHei" w:eastAsia="SimHei" w:cs="SimHei"/>
                <w:spacing w:val="-6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3"/>
              </w:rPr>
              <w:t>ⅆ</w:t>
            </w:r>
            <w:r>
              <w:rPr>
                <w:rFonts w:ascii="Times New Roman" w:hAnsi="Times New Roman" w:eastAsia="Times New Roman" w:cs="Times New Roman"/>
                <w:spacing w:val="-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3"/>
              </w:rPr>
              <w:t>ⅆ</w:t>
            </w:r>
            <w:r>
              <w:rPr>
                <w:rFonts w:ascii="Times New Roman" w:hAnsi="Times New Roman" w:eastAsia="Times New Roman" w:cs="Times New Roman"/>
                <w:spacing w:val="-20"/>
              </w:rPr>
              <w:t xml:space="preserve"> </w:t>
            </w:r>
            <w:r>
              <w:rPr>
                <w:spacing w:val="13"/>
              </w:rPr>
              <w:t>;</w:t>
            </w:r>
            <w:r>
              <w:rPr>
                <w:spacing w:val="66"/>
              </w:rPr>
              <w:t xml:space="preserve"> </w:t>
            </w:r>
            <w:r>
              <w:rPr>
                <w:spacing w:val="13"/>
              </w:rPr>
              <w:t>违反上款第（四）</w:t>
            </w:r>
            <w:r>
              <w:rPr>
                <w:spacing w:val="-59"/>
              </w:rPr>
              <w:t xml:space="preserve"> </w:t>
            </w:r>
            <w:r>
              <w:rPr>
                <w:spacing w:val="13"/>
              </w:rPr>
              <w:t>、（五）项</w:t>
            </w:r>
            <w:r>
              <w:rPr/>
              <w:t xml:space="preserve"> </w:t>
            </w:r>
            <w:r>
              <w:rPr>
                <w:spacing w:val="14"/>
              </w:rPr>
              <w:t>规定的，可对直接负责的主管人员和其他责任人员</w:t>
            </w:r>
            <w:r>
              <w:rPr>
                <w:spacing w:val="13"/>
              </w:rPr>
              <w:t>处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</w:rPr>
              <w:t>200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  <w:tc>
          <w:tcPr>
            <w:tcW w:w="1567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0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16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986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7" w:lineRule="auto"/>
              <w:rPr/>
            </w:pPr>
            <w:r>
              <w:rPr>
                <w:spacing w:val="7"/>
              </w:rPr>
              <w:t>警告，责令改正。</w:t>
            </w:r>
          </w:p>
        </w:tc>
      </w:tr>
      <w:tr>
        <w:trPr>
          <w:trHeight w:val="916" w:hRule="atLeast"/>
        </w:trPr>
        <w:tc>
          <w:tcPr>
            <w:tcW w:w="9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67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1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16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986" w:type="dxa"/>
            <w:vAlign w:val="top"/>
          </w:tcPr>
          <w:p>
            <w:pPr>
              <w:pStyle w:val="TableText"/>
              <w:ind w:left="124" w:right="109" w:hanging="5"/>
              <w:spacing w:before="220" w:line="263" w:lineRule="auto"/>
              <w:rPr/>
            </w:pPr>
            <w:r>
              <w:rPr>
                <w:spacing w:val="9"/>
              </w:rPr>
              <w:t>警告，责令改正，可对直接负责的主管人员和其他责任人员处</w:t>
            </w:r>
            <w:r>
              <w:rPr>
                <w:spacing w:val="-10"/>
              </w:rPr>
              <w:t xml:space="preserve"> </w:t>
            </w:r>
            <w:r>
              <w:rPr>
                <w:spacing w:val="9"/>
              </w:rPr>
              <w:t>120</w:t>
            </w:r>
            <w:r>
              <w:rPr>
                <w:spacing w:val="-37"/>
              </w:rPr>
              <w:t xml:space="preserve"> </w:t>
            </w:r>
            <w:r>
              <w:rPr>
                <w:spacing w:val="9"/>
              </w:rPr>
              <w:t>元以下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921" w:hRule="atLeast"/>
        </w:trPr>
        <w:tc>
          <w:tcPr>
            <w:tcW w:w="9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67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0"/>
              <w:spacing w:before="65" w:line="229" w:lineRule="auto"/>
              <w:outlineLvl w:val="0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16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986" w:type="dxa"/>
            <w:vAlign w:val="top"/>
          </w:tcPr>
          <w:p>
            <w:pPr>
              <w:pStyle w:val="TableText"/>
              <w:ind w:left="117" w:right="106" w:firstLine="1"/>
              <w:spacing w:before="222" w:line="262" w:lineRule="auto"/>
              <w:rPr/>
            </w:pPr>
            <w:r>
              <w:rPr>
                <w:spacing w:val="4"/>
              </w:rPr>
              <w:t>警告，责令改正，对直接负责的主管人员和其他责任人员处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120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200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</w:tbl>
    <w:p>
      <w:pPr>
        <w:spacing w:line="215" w:lineRule="exact"/>
        <w:rPr>
          <w:rFonts w:ascii="Arial"/>
          <w:sz w:val="18"/>
        </w:rPr>
      </w:pPr>
      <w:r/>
    </w:p>
    <w:sectPr>
      <w:footerReference w:type="default" r:id="rId1"/>
      <w:pgSz w:w="23758" w:h="16783"/>
      <w:pgMar w:top="1414" w:right="1542" w:bottom="1482" w:left="124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1"/>
      </w:rPr>
      <w:t>— </w:t>
    </w:r>
    <w:r>
      <w:rPr>
        <w:rFonts w:ascii="SimSun" w:hAnsi="SimSun" w:eastAsia="SimSun" w:cs="SimSun"/>
        <w:sz w:val="28"/>
        <w:szCs w:val="28"/>
        <w:spacing w:val="1"/>
      </w:rPr>
      <w:t>42</w:t>
    </w:r>
    <w:r>
      <w:rPr>
        <w:rFonts w:ascii="SimSun" w:hAnsi="SimSun" w:eastAsia="SimSun" w:cs="SimSun"/>
        <w:sz w:val="28"/>
        <w:szCs w:val="28"/>
        <w:spacing w:val="-70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1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2024-12-04T10:54:03</vt:filetime>
  </property>
</Properties>
</file>