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324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7"/>
        </w:rPr>
        <w:t>2024</w:t>
      </w:r>
      <w:r>
        <w:rPr>
          <w:rFonts w:ascii="FangSong" w:hAnsi="FangSong" w:eastAsia="FangSong" w:cs="FangSong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1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肥料）</w:t>
      </w:r>
    </w:p>
    <w:p>
      <w:pPr>
        <w:spacing w:line="139" w:lineRule="exact"/>
        <w:rPr/>
      </w:pPr>
      <w:r/>
    </w:p>
    <w:tbl>
      <w:tblPr>
        <w:tblStyle w:val="TableNormal"/>
        <w:tblW w:w="2099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3457"/>
        <w:gridCol w:w="5324"/>
        <w:gridCol w:w="1550"/>
        <w:gridCol w:w="3386"/>
        <w:gridCol w:w="6418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4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24" w:type="dxa"/>
            <w:vAlign w:val="top"/>
          </w:tcPr>
          <w:p>
            <w:pPr>
              <w:ind w:left="2186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195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6" w:type="dxa"/>
            <w:vAlign w:val="top"/>
          </w:tcPr>
          <w:p>
            <w:pPr>
              <w:ind w:left="1222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18" w:type="dxa"/>
            <w:vAlign w:val="top"/>
          </w:tcPr>
          <w:p>
            <w:pPr>
              <w:ind w:left="2733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571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0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right="3"/>
              <w:spacing w:before="65" w:line="229" w:lineRule="auto"/>
              <w:jc w:val="righ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生产、销售未取得登记证的肥料产品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《肥料登记管理办法》第二十六条第一项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9"/>
              </w:rPr>
              <w:t>一的，由县级以上农业行政主管部门给予警告，并处违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元；没有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22"/>
              <w:spacing w:before="33" w:line="228" w:lineRule="auto"/>
              <w:rPr/>
            </w:pPr>
            <w:r>
              <w:rPr>
                <w:spacing w:val="8"/>
              </w:rPr>
              <w:t>（一）生产、销售未取得登记证的肥料产品；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8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49" w:line="236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8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48" w:line="237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90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48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4" w:line="215" w:lineRule="auto"/>
              <w:rPr/>
            </w:pPr>
            <w:r>
              <w:rPr>
                <w:spacing w:val="-1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8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50" w:line="236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7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假冒、伪造肥料登记证、登记证号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《肥料登记管理办法》第二十六条第二项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9"/>
              </w:rPr>
              <w:t>一的，由县级以上农业行政主管部门给予警告，并处违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元；没有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22"/>
              <w:spacing w:before="33" w:line="228" w:lineRule="auto"/>
              <w:rPr/>
            </w:pPr>
            <w:r>
              <w:rPr>
                <w:spacing w:val="8"/>
              </w:rPr>
              <w:t>（二）假冒、伪造肥料登记证、登记证号的；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9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90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48" w:line="237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4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8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50" w:line="236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88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49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5" w:line="214" w:lineRule="auto"/>
              <w:rPr/>
            </w:pPr>
            <w:r>
              <w:rPr>
                <w:spacing w:val="-1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9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9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48" w:line="237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8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3" w:hanging="2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生产、销售有效成分或含量与登记批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准的内容不符的肥料产品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《肥料登记管理办法》第二十六条第三项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9"/>
              </w:rPr>
              <w:t>一的，由县级以上农业行政主管部门给予警告，并处违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元；没有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36" w:right="107" w:hanging="24"/>
              <w:spacing w:before="2" w:line="258" w:lineRule="auto"/>
              <w:rPr/>
            </w:pPr>
            <w:r>
              <w:rPr>
                <w:rFonts w:ascii="Times New Roman" w:hAnsi="Times New Roman" w:eastAsia="Times New Roman" w:cs="Times New Roman"/>
                <w:spacing w:val="6"/>
              </w:rPr>
              <w:t>(</w:t>
            </w:r>
            <w:r>
              <w:rPr>
                <w:spacing w:val="6"/>
              </w:rPr>
              <w:t>三</w:t>
            </w:r>
            <w:r>
              <w:rPr>
                <w:rFonts w:ascii="Times New Roman" w:hAnsi="Times New Roman" w:eastAsia="Times New Roman" w:cs="Times New Roman"/>
                <w:spacing w:val="6"/>
              </w:rPr>
              <w:t>)</w:t>
            </w:r>
            <w:r>
              <w:rPr>
                <w:spacing w:val="6"/>
              </w:rPr>
              <w:t>生产、销售的肥料产品有效成分或含量与登记批准的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内容不符的。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8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50" w:line="236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90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48" w:line="237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8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50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2" w:line="216" w:lineRule="auto"/>
              <w:rPr/>
            </w:pPr>
            <w:r>
              <w:rPr>
                <w:spacing w:val="-1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8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88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48" w:line="237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6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转让肥料登记证或登记证号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25"/>
              <w:spacing w:before="66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《肥料登记管理办法》第二十七条第一项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9"/>
              </w:rPr>
              <w:t>一的，由县级以上农业行政主管部门给予警告，并处违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元；没有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49"/>
              <w:spacing w:before="33" w:line="228" w:lineRule="auto"/>
              <w:rPr/>
            </w:pPr>
            <w:r>
              <w:rPr>
                <w:spacing w:val="6"/>
              </w:rPr>
              <w:t>(一)转让肥料登记证或登记证号的；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9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90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50" w:line="236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89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48" w:line="237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190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48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4" w:line="215" w:lineRule="auto"/>
              <w:rPr/>
            </w:pPr>
            <w:r>
              <w:rPr>
                <w:spacing w:val="-1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572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18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50" w:line="236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684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8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200" w:hanging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登记证有效期满未经批准续展登记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而继续该生产肥料产品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5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《肥料登记管理办法》第二十七条第二项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10"/>
              </w:rPr>
              <w:t>一的，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由县级以上农业行政主管部门给予警告，并处违</w:t>
            </w:r>
            <w:r>
              <w:rPr/>
              <w:t xml:space="preserve"> </w:t>
            </w:r>
            <w:r>
              <w:rPr>
                <w:spacing w:val="9"/>
              </w:rPr>
              <w:t>法所得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倍以下罚款，但最高不得超过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20000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元；</w:t>
            </w:r>
            <w:r>
              <w:rPr>
                <w:spacing w:val="8"/>
              </w:rPr>
              <w:t>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12" w:right="105"/>
              <w:spacing w:before="2" w:line="257" w:lineRule="auto"/>
              <w:rPr/>
            </w:pPr>
            <w:r>
              <w:rPr>
                <w:rFonts w:ascii="Times New Roman" w:hAnsi="Times New Roman" w:eastAsia="Times New Roman" w:cs="Times New Roman"/>
                <w:spacing w:val="14"/>
              </w:rPr>
              <w:t>(</w:t>
            </w:r>
            <w:r>
              <w:rPr>
                <w:spacing w:val="14"/>
              </w:rPr>
              <w:t>二</w:t>
            </w:r>
            <w:r>
              <w:rPr>
                <w:rFonts w:ascii="Times New Roman" w:hAnsi="Times New Roman" w:eastAsia="Times New Roman" w:cs="Times New Roman"/>
                <w:spacing w:val="14"/>
              </w:rPr>
              <w:t>)</w:t>
            </w:r>
            <w:r>
              <w:rPr>
                <w:spacing w:val="14"/>
              </w:rPr>
              <w:t>登记证有效期满未经批准续展登记而继续生产该肥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料产品的；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246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107" w:line="244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68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248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107" w:line="244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68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4"/>
              <w:spacing w:before="248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108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5" w:line="229" w:lineRule="auto"/>
              <w:rPr/>
            </w:pPr>
            <w:r>
              <w:rPr>
                <w:spacing w:val="-1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68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2"/>
              <w:spacing w:before="24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/>
              <w:spacing w:before="25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109" w:line="244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504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9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3457"/>
        <w:gridCol w:w="5324"/>
        <w:gridCol w:w="1550"/>
        <w:gridCol w:w="3386"/>
        <w:gridCol w:w="6418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4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24" w:type="dxa"/>
            <w:vAlign w:val="top"/>
          </w:tcPr>
          <w:p>
            <w:pPr>
              <w:ind w:left="2186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86" w:type="dxa"/>
            <w:vAlign w:val="top"/>
          </w:tcPr>
          <w:p>
            <w:pPr>
              <w:ind w:left="1222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18" w:type="dxa"/>
            <w:vAlign w:val="top"/>
          </w:tcPr>
          <w:p>
            <w:pPr>
              <w:ind w:left="273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55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6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06" w:right="3" w:firstLine="2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生产、销售包装上未附标签、标签残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缺不清或者擅自修改标签内容的肥</w:t>
            </w:r>
          </w:p>
          <w:p>
            <w:pPr>
              <w:ind w:left="110"/>
              <w:spacing w:before="31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料产品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《肥料登记管理办法》第二十七条第三项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有下列情</w:t>
            </w:r>
            <w:r>
              <w:rPr>
                <w:spacing w:val="8"/>
              </w:rPr>
              <w:t>形之</w:t>
            </w:r>
            <w:r>
              <w:rPr/>
              <w:t xml:space="preserve"> </w:t>
            </w:r>
            <w:r>
              <w:rPr>
                <w:spacing w:val="9"/>
              </w:rPr>
              <w:t>一的，由县级以上农业行政主管部门给予警告，并处违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元；没有</w:t>
            </w:r>
            <w:r>
              <w:rPr/>
              <w:t xml:space="preserve"> </w:t>
            </w:r>
            <w:r>
              <w:rPr>
                <w:spacing w:val="5"/>
              </w:rPr>
              <w:t>违法所得的，处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元以下罚款：</w:t>
            </w:r>
          </w:p>
          <w:p>
            <w:pPr>
              <w:pStyle w:val="TableText"/>
              <w:ind w:left="146" w:right="177" w:firstLine="2"/>
              <w:spacing w:before="34" w:line="244" w:lineRule="auto"/>
              <w:rPr/>
            </w:pPr>
            <w:r>
              <w:rPr>
                <w:spacing w:val="7"/>
              </w:rPr>
              <w:t>(三)生产、销售包装上未附标签、标签残缺不清或者擅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自修改标签内容的。</w:t>
            </w:r>
          </w:p>
        </w:tc>
        <w:tc>
          <w:tcPr>
            <w:tcW w:w="155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符合从轻的情形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5" w:right="109" w:firstLine="2"/>
              <w:spacing w:before="191" w:line="244" w:lineRule="auto"/>
              <w:rPr/>
            </w:pPr>
            <w:r>
              <w:rPr>
                <w:spacing w:val="5"/>
              </w:rPr>
              <w:t>警告；有违法所得的，并处违法所得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倍以下罚款，但最高不得超</w:t>
            </w:r>
            <w:r>
              <w:rPr/>
              <w:t xml:space="preserve"> </w:t>
            </w:r>
            <w:r>
              <w:rPr>
                <w:spacing w:val="6"/>
              </w:rPr>
              <w:t>过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元；没有违法所得的，并处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85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9" w:right="55" w:hanging="1"/>
              <w:spacing w:before="190" w:line="244" w:lineRule="auto"/>
              <w:rPr/>
            </w:pPr>
            <w:r>
              <w:rPr>
                <w:spacing w:val="5"/>
              </w:rPr>
              <w:t>警告；并处违法所得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0.9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倍以下罚款；没有违法所得的，</w:t>
            </w:r>
            <w:r>
              <w:rPr/>
              <w:t xml:space="preserve"> </w:t>
            </w:r>
            <w:r>
              <w:rPr>
                <w:spacing w:val="4"/>
              </w:rPr>
              <w:t>并处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85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8"/>
              <w:spacing w:before="191" w:line="227" w:lineRule="auto"/>
              <w:rPr/>
            </w:pPr>
            <w:r>
              <w:rPr>
                <w:spacing w:val="6"/>
              </w:rPr>
              <w:t>警告；并处违法所得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1.4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倍以下罚款，但最高不得超过</w:t>
            </w:r>
          </w:p>
          <w:p>
            <w:pPr>
              <w:pStyle w:val="TableText"/>
              <w:ind w:left="130"/>
              <w:spacing w:before="32" w:line="229" w:lineRule="auto"/>
              <w:rPr/>
            </w:pPr>
            <w:r>
              <w:rPr>
                <w:spacing w:val="-1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万元。</w:t>
            </w:r>
          </w:p>
        </w:tc>
      </w:tr>
      <w:tr>
        <w:trPr>
          <w:trHeight w:val="855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18" w:type="dxa"/>
            <w:vAlign w:val="top"/>
          </w:tcPr>
          <w:p>
            <w:pPr>
              <w:pStyle w:val="TableText"/>
              <w:ind w:left="117" w:right="109"/>
              <w:spacing w:before="191" w:line="244" w:lineRule="auto"/>
              <w:rPr/>
            </w:pPr>
            <w:r>
              <w:rPr>
                <w:spacing w:val="4"/>
              </w:rPr>
              <w:t>警告；有违法所得的，并处违法所得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倍以下的罚款，但</w:t>
            </w:r>
            <w:r>
              <w:rPr/>
              <w:t xml:space="preserve"> </w:t>
            </w:r>
            <w:r>
              <w:rPr>
                <w:spacing w:val="6"/>
              </w:rPr>
              <w:t>最高不得超过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万元；没有违法所得的，并处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93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在地表水饮用水水源保护二级保护</w:t>
            </w:r>
          </w:p>
          <w:p>
            <w:pPr>
              <w:ind w:left="108" w:right="3" w:firstLine="14"/>
              <w:spacing w:before="32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区内违反规定使用化肥，或在地表水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饮用水水源保护一级保护区内使用</w:t>
            </w:r>
          </w:p>
          <w:p>
            <w:pPr>
              <w:ind w:left="111"/>
              <w:spacing w:before="32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化肥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26"/>
              <w:spacing w:before="65" w:line="250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《四川省饮用水水源保护管理条例》第四十条第三款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</w:t>
            </w:r>
            <w:r>
              <w:rPr/>
              <w:t xml:space="preserve"> </w:t>
            </w:r>
            <w:r>
              <w:rPr>
                <w:spacing w:val="8"/>
              </w:rPr>
              <w:t>反本条例第十八条第四项，使用化肥的，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>
                <w:spacing w:val="7"/>
              </w:rPr>
              <w:t>县级以上地</w:t>
            </w:r>
            <w:r>
              <w:rPr/>
              <w:t xml:space="preserve"> </w:t>
            </w:r>
            <w:r>
              <w:rPr>
                <w:spacing w:val="9"/>
              </w:rPr>
              <w:t>方人民政府农业农村主管部门责令改正；情节严重的，</w:t>
            </w:r>
          </w:p>
          <w:p>
            <w:pPr>
              <w:pStyle w:val="TableText"/>
              <w:ind w:left="111" w:right="177" w:firstLine="5"/>
              <w:spacing w:before="35" w:line="251" w:lineRule="auto"/>
              <w:rPr/>
            </w:pPr>
            <w:r>
              <w:rPr>
                <w:spacing w:val="9"/>
              </w:rPr>
              <w:t>处五千元以上二万元以下的罚款。违反本条例第十九条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第二项规定，使用化肥的，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由县级以上地方人</w:t>
            </w:r>
            <w:r>
              <w:rPr>
                <w:spacing w:val="7"/>
              </w:rPr>
              <w:t>民政府农</w:t>
            </w:r>
            <w:r>
              <w:rPr/>
              <w:t xml:space="preserve"> </w:t>
            </w:r>
            <w:r>
              <w:rPr>
                <w:spacing w:val="9"/>
              </w:rPr>
              <w:t>业农村主管部门责令改正，处一万元以上五万元以下的</w:t>
            </w:r>
            <w:r>
              <w:rPr>
                <w:spacing w:val="13"/>
              </w:rPr>
              <w:t xml:space="preserve"> </w:t>
            </w:r>
            <w:r>
              <w:rPr>
                <w:spacing w:val="3"/>
              </w:rPr>
              <w:t>罚款。</w:t>
            </w:r>
          </w:p>
          <w:p>
            <w:pPr>
              <w:pStyle w:val="TableText"/>
              <w:ind w:left="111" w:right="107" w:firstLine="17"/>
              <w:spacing w:before="22"/>
              <w:jc w:val="both"/>
              <w:rPr>
                <w:sz w:val="24"/>
                <w:szCs w:val="24"/>
              </w:rPr>
            </w:pPr>
            <w:r>
              <w:rPr>
                <w:spacing w:val="9"/>
              </w:rPr>
              <w:t>附：</w:t>
            </w:r>
            <w:r>
              <w:rPr>
                <w:rFonts w:ascii="SimHei" w:hAnsi="SimHei" w:eastAsia="SimHei" w:cs="SimHei"/>
                <w:spacing w:val="9"/>
              </w:rPr>
              <w:t>《四川省饮用水水源保护管理条例》第十</w:t>
            </w:r>
            <w:r>
              <w:rPr>
                <w:rFonts w:ascii="SimHei" w:hAnsi="SimHei" w:eastAsia="SimHei" w:cs="SimHei"/>
                <w:spacing w:val="8"/>
              </w:rPr>
              <w:t>八条第四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地表水饮用水水源二级保护区内，除遵守本条例第十</w:t>
            </w:r>
            <w:r>
              <w:rPr/>
              <w:t xml:space="preserve"> </w:t>
            </w:r>
            <w:r>
              <w:rPr>
                <w:spacing w:val="8"/>
              </w:rPr>
              <w:t>七条规定外，还应当遵守下列规定</w:t>
            </w:r>
            <w:r>
              <w:rPr>
                <w:sz w:val="24"/>
                <w:szCs w:val="24"/>
                <w:spacing w:val="8"/>
              </w:rPr>
              <w:t>：</w:t>
            </w:r>
          </w:p>
          <w:p>
            <w:pPr>
              <w:pStyle w:val="TableText"/>
              <w:ind w:left="114" w:right="177" w:hanging="2"/>
              <w:spacing w:before="17" w:line="242" w:lineRule="auto"/>
              <w:rPr/>
            </w:pPr>
            <w:r>
              <w:rPr>
                <w:spacing w:val="9"/>
              </w:rPr>
              <w:t>禁止使用农药；禁止丢弃农药、农药包装物或者清洗施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药器械；限制使用化肥；</w:t>
            </w:r>
          </w:p>
          <w:p>
            <w:pPr>
              <w:pStyle w:val="TableText"/>
              <w:ind w:left="110" w:right="107" w:hanging="24"/>
              <w:spacing w:before="29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《四川省饮用水水源保护管理条例》第十九条第二项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地</w:t>
            </w:r>
            <w:r>
              <w:rPr/>
              <w:t xml:space="preserve"> </w:t>
            </w:r>
            <w:r>
              <w:rPr>
                <w:spacing w:val="9"/>
              </w:rPr>
              <w:t>表水饮用水水源一级保护区内，除遵守本条例第十七条</w:t>
            </w:r>
            <w:r>
              <w:rPr>
                <w:spacing w:val="13"/>
              </w:rPr>
              <w:t xml:space="preserve"> </w:t>
            </w:r>
            <w:r>
              <w:rPr>
                <w:spacing w:val="11"/>
              </w:rPr>
              <w:t>和第十八条规定外，还应当遵守下列规定</w:t>
            </w:r>
            <w:r>
              <w:rPr>
                <w:spacing w:val="-5"/>
              </w:rPr>
              <w:t>：（</w:t>
            </w:r>
            <w:r>
              <w:rPr>
                <w:spacing w:val="11"/>
              </w:rPr>
              <w:t>二</w:t>
            </w:r>
            <w:r>
              <w:rPr>
                <w:spacing w:val="10"/>
              </w:rPr>
              <w:t>）禁止</w:t>
            </w:r>
            <w:r>
              <w:rPr/>
              <w:t xml:space="preserve"> </w:t>
            </w:r>
            <w:r>
              <w:rPr>
                <w:spacing w:val="6"/>
              </w:rPr>
              <w:t>使用化肥；</w:t>
            </w:r>
          </w:p>
        </w:tc>
        <w:tc>
          <w:tcPr>
            <w:tcW w:w="1550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29" w:right="125" w:hanging="16"/>
              <w:spacing w:before="232" w:line="244" w:lineRule="auto"/>
              <w:rPr/>
            </w:pPr>
            <w:r>
              <w:rPr>
                <w:spacing w:val="9"/>
              </w:rPr>
              <w:t>在地表水饮用水水源保护一级保护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区内使用化肥，符合从轻的情形的</w:t>
            </w:r>
          </w:p>
        </w:tc>
        <w:tc>
          <w:tcPr>
            <w:tcW w:w="641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2.2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101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29" w:right="125" w:hanging="16"/>
              <w:spacing w:before="131" w:line="249" w:lineRule="auto"/>
              <w:jc w:val="both"/>
              <w:rPr/>
            </w:pPr>
            <w:r>
              <w:rPr>
                <w:spacing w:val="9"/>
              </w:rPr>
              <w:t>在地表水饮用水水源保护二级保护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区内违反规定使用化肥，情节严重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6418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1.4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1191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6" w:right="125" w:hanging="3"/>
              <w:spacing w:before="220" w:line="249" w:lineRule="auto"/>
              <w:jc w:val="both"/>
              <w:rPr/>
            </w:pPr>
            <w:r>
              <w:rPr>
                <w:spacing w:val="9"/>
              </w:rPr>
              <w:t>在地表水饮用水水源保护一级保护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区内使用化肥，不符合从轻从重情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6418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2.2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万元以下的罚款。</w:t>
            </w:r>
          </w:p>
        </w:tc>
      </w:tr>
      <w:tr>
        <w:trPr>
          <w:trHeight w:val="124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86" w:type="dxa"/>
            <w:vAlign w:val="top"/>
          </w:tcPr>
          <w:p>
            <w:pPr>
              <w:pStyle w:val="TableText"/>
              <w:ind w:left="113" w:right="125"/>
              <w:spacing w:before="249" w:line="249" w:lineRule="auto"/>
              <w:jc w:val="both"/>
              <w:rPr/>
            </w:pPr>
            <w:r>
              <w:rPr>
                <w:spacing w:val="9"/>
              </w:rPr>
              <w:t>在地表水饮用水水源保护二级保护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区内违反规定使用化肥，情节严重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且符合从重情形的</w:t>
            </w:r>
          </w:p>
        </w:tc>
        <w:tc>
          <w:tcPr>
            <w:tcW w:w="6418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1.4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</w:t>
            </w:r>
            <w:r>
              <w:rPr>
                <w:spacing w:val="4"/>
              </w:rPr>
              <w:t>罚款。</w:t>
            </w:r>
          </w:p>
        </w:tc>
      </w:tr>
      <w:tr>
        <w:trPr>
          <w:trHeight w:val="1108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8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9"/>
              </w:rPr>
              <w:t>在地表水饮用水水源保护一级保护</w:t>
            </w:r>
          </w:p>
          <w:p>
            <w:pPr>
              <w:pStyle w:val="TableText"/>
              <w:ind w:left="129"/>
              <w:spacing w:before="32" w:line="228" w:lineRule="auto"/>
              <w:outlineLvl w:val="0"/>
              <w:rPr/>
            </w:pPr>
            <w:r>
              <w:rPr>
                <w:spacing w:val="8"/>
              </w:rPr>
              <w:t>区内使用化肥，符合从重情形的</w:t>
            </w:r>
          </w:p>
        </w:tc>
        <w:tc>
          <w:tcPr>
            <w:tcW w:w="6418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3.4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>
                <w:spacing w:val="4"/>
              </w:rPr>
              <w:t>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2"/>
      <w:pgSz w:w="23758" w:h="16783"/>
      <w:pgMar w:top="1416" w:right="1357" w:bottom="1483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31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2024-12-04T10:51:09</vt:filetime>
  </property>
</Properties>
</file>