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DE1" w:rsidRDefault="00701DE1">
      <w:pPr>
        <w:spacing w:line="600" w:lineRule="exact"/>
        <w:jc w:val="center"/>
        <w:outlineLvl w:val="0"/>
        <w:rPr>
          <w:rFonts w:ascii="方正小标宋简体" w:eastAsia="方正小标宋简体" w:hAnsi="宋体"/>
          <w:color w:val="000000"/>
          <w:sz w:val="72"/>
          <w:szCs w:val="72"/>
        </w:rPr>
      </w:pPr>
      <w:bookmarkStart w:id="0" w:name="_Toc15306267"/>
    </w:p>
    <w:p w:rsidR="00701DE1" w:rsidRDefault="00701DE1">
      <w:pPr>
        <w:spacing w:line="600" w:lineRule="exact"/>
        <w:jc w:val="center"/>
        <w:outlineLvl w:val="0"/>
        <w:rPr>
          <w:rFonts w:ascii="方正小标宋简体" w:eastAsia="方正小标宋简体" w:hAnsi="宋体"/>
          <w:color w:val="000000"/>
          <w:sz w:val="72"/>
          <w:szCs w:val="72"/>
        </w:rPr>
      </w:pPr>
    </w:p>
    <w:p w:rsidR="00701DE1" w:rsidRDefault="00701DE1">
      <w:pPr>
        <w:spacing w:line="600" w:lineRule="exact"/>
        <w:jc w:val="center"/>
        <w:outlineLvl w:val="0"/>
        <w:rPr>
          <w:rFonts w:ascii="方正小标宋简体" w:eastAsia="方正小标宋简体" w:hAnsi="宋体"/>
          <w:color w:val="000000"/>
          <w:sz w:val="72"/>
          <w:szCs w:val="72"/>
        </w:rPr>
      </w:pPr>
    </w:p>
    <w:p w:rsidR="00701DE1" w:rsidRDefault="00701DE1">
      <w:pPr>
        <w:spacing w:line="600" w:lineRule="exact"/>
        <w:jc w:val="center"/>
        <w:outlineLvl w:val="0"/>
        <w:rPr>
          <w:rFonts w:ascii="方正小标宋简体" w:eastAsia="方正小标宋简体" w:hAnsi="宋体"/>
          <w:color w:val="000000"/>
          <w:sz w:val="72"/>
          <w:szCs w:val="72"/>
        </w:rPr>
      </w:pPr>
    </w:p>
    <w:p w:rsidR="00701DE1" w:rsidRDefault="00131786">
      <w:pPr>
        <w:adjustRightInd w:val="0"/>
        <w:snapToGrid w:val="0"/>
        <w:spacing w:line="360" w:lineRule="auto"/>
        <w:jc w:val="center"/>
        <w:outlineLvl w:val="0"/>
        <w:rPr>
          <w:rFonts w:ascii="方正小标宋简体" w:eastAsia="方正小标宋简体" w:hAnsi="宋体"/>
          <w:color w:val="000000"/>
          <w:sz w:val="68"/>
          <w:szCs w:val="68"/>
        </w:rPr>
      </w:pPr>
      <w:bookmarkStart w:id="1" w:name="_Toc15396597"/>
      <w:bookmarkStart w:id="2" w:name="_Toc15396475"/>
      <w:bookmarkStart w:id="3" w:name="_Toc15377193"/>
      <w:bookmarkStart w:id="4" w:name="_Toc15378441"/>
      <w:bookmarkStart w:id="5" w:name="_Toc15377425"/>
      <w:r>
        <w:rPr>
          <w:rFonts w:ascii="黑体" w:eastAsia="黑体" w:hAnsi="黑体"/>
          <w:color w:val="000000"/>
          <w:sz w:val="68"/>
          <w:szCs w:val="68"/>
        </w:rPr>
        <w:t>201</w:t>
      </w:r>
      <w:r>
        <w:rPr>
          <w:rFonts w:ascii="黑体" w:eastAsia="黑体" w:hAnsi="黑体" w:hint="eastAsia"/>
          <w:color w:val="000000"/>
          <w:sz w:val="68"/>
          <w:szCs w:val="68"/>
        </w:rPr>
        <w:t>9</w:t>
      </w:r>
      <w:r>
        <w:rPr>
          <w:rFonts w:ascii="方正小标宋简体" w:eastAsia="方正小标宋简体" w:hAnsi="宋体" w:hint="eastAsia"/>
          <w:color w:val="000000"/>
          <w:sz w:val="68"/>
          <w:szCs w:val="68"/>
        </w:rPr>
        <w:t>年度</w:t>
      </w:r>
      <w:bookmarkStart w:id="6" w:name="_Toc15377194"/>
      <w:bookmarkStart w:id="7" w:name="_Toc15306268"/>
      <w:bookmarkStart w:id="8" w:name="_Toc15378442"/>
      <w:bookmarkStart w:id="9" w:name="_Toc15396598"/>
      <w:bookmarkStart w:id="10" w:name="_Toc15377426"/>
      <w:bookmarkStart w:id="11" w:name="_Toc15396476"/>
      <w:bookmarkEnd w:id="0"/>
      <w:bookmarkEnd w:id="1"/>
      <w:bookmarkEnd w:id="2"/>
      <w:bookmarkEnd w:id="3"/>
      <w:bookmarkEnd w:id="4"/>
      <w:bookmarkEnd w:id="5"/>
    </w:p>
    <w:p w:rsidR="00701DE1" w:rsidRPr="00CE5985" w:rsidRDefault="00131786">
      <w:pPr>
        <w:adjustRightInd w:val="0"/>
        <w:snapToGrid w:val="0"/>
        <w:spacing w:line="360" w:lineRule="auto"/>
        <w:jc w:val="center"/>
        <w:outlineLvl w:val="0"/>
        <w:rPr>
          <w:rFonts w:ascii="黑体" w:eastAsia="黑体" w:hAnsi="黑体"/>
          <w:color w:val="000000"/>
          <w:sz w:val="68"/>
          <w:szCs w:val="68"/>
        </w:rPr>
      </w:pPr>
      <w:r w:rsidRPr="00CE5985">
        <w:rPr>
          <w:rFonts w:ascii="黑体" w:eastAsia="黑体" w:hAnsi="黑体" w:hint="eastAsia"/>
          <w:color w:val="000000"/>
          <w:sz w:val="68"/>
          <w:szCs w:val="68"/>
        </w:rPr>
        <w:t>沐川县医疗保障局部门决算</w:t>
      </w:r>
      <w:bookmarkEnd w:id="6"/>
      <w:bookmarkEnd w:id="7"/>
      <w:bookmarkEnd w:id="8"/>
      <w:bookmarkEnd w:id="9"/>
      <w:bookmarkEnd w:id="10"/>
      <w:bookmarkEnd w:id="11"/>
    </w:p>
    <w:p w:rsidR="00701DE1" w:rsidRDefault="00131786">
      <w:pPr>
        <w:widowControl/>
        <w:jc w:val="center"/>
        <w:rPr>
          <w:rFonts w:ascii="方正小标宋简体" w:eastAsia="方正小标宋简体" w:hAnsi="宋体"/>
          <w:color w:val="000000"/>
          <w:sz w:val="36"/>
          <w:szCs w:val="36"/>
        </w:rPr>
      </w:pPr>
      <w:r>
        <w:rPr>
          <w:rFonts w:ascii="方正小标宋简体" w:eastAsia="方正小标宋简体" w:hAnsi="宋体"/>
          <w:color w:val="000000"/>
          <w:sz w:val="36"/>
          <w:szCs w:val="36"/>
        </w:rPr>
        <w:br w:type="page"/>
      </w:r>
    </w:p>
    <w:bookmarkStart w:id="12" w:name="_Toc19224_WPSOffice_Type2" w:displacedByCustomXml="next"/>
    <w:sdt>
      <w:sdtPr>
        <w:rPr>
          <w:rFonts w:ascii="宋体" w:hAnsi="宋体"/>
          <w:kern w:val="0"/>
          <w:sz w:val="20"/>
          <w:szCs w:val="20"/>
        </w:rPr>
        <w:id w:val="147461622"/>
        <w:docPartObj>
          <w:docPartGallery w:val="Table of Contents"/>
          <w:docPartUnique/>
        </w:docPartObj>
      </w:sdtPr>
      <w:sdtContent>
        <w:p w:rsidR="00701DE1" w:rsidRDefault="00131786">
          <w:pPr>
            <w:jc w:val="center"/>
          </w:pPr>
          <w:r>
            <w:rPr>
              <w:rFonts w:ascii="宋体" w:hAnsi="宋体"/>
            </w:rPr>
            <w:t>目录</w:t>
          </w:r>
        </w:p>
        <w:p w:rsidR="008368FA" w:rsidRDefault="008368FA" w:rsidP="008368FA">
          <w:pPr>
            <w:pStyle w:val="WPSOffice1"/>
            <w:tabs>
              <w:tab w:val="right" w:leader="dot" w:pos="8968"/>
            </w:tabs>
            <w:ind w:firstLineChars="1450" w:firstLine="2911"/>
            <w:rPr>
              <w:b/>
              <w:bCs/>
            </w:rPr>
          </w:pPr>
        </w:p>
        <w:p w:rsidR="00701DE1" w:rsidRDefault="002545E9" w:rsidP="003B3B47">
          <w:pPr>
            <w:pStyle w:val="WPSOffice1"/>
            <w:tabs>
              <w:tab w:val="right" w:leader="dot" w:pos="8968"/>
            </w:tabs>
            <w:ind w:firstLineChars="1450" w:firstLine="2900"/>
          </w:pPr>
          <w:hyperlink w:anchor="_Toc19224_WPSOffice_Level1" w:history="1">
            <w:r w:rsidR="00131786">
              <w:rPr>
                <w:rFonts w:ascii="仿宋" w:eastAsia="仿宋" w:hAnsi="仿宋" w:hint="eastAsia"/>
                <w:b/>
                <w:bCs/>
              </w:rPr>
              <w:t>公开时间：2020年9月24日</w:t>
            </w:r>
          </w:hyperlink>
        </w:p>
        <w:p w:rsidR="00701DE1" w:rsidRDefault="00701DE1">
          <w:pPr>
            <w:pStyle w:val="WPSOffice1"/>
            <w:tabs>
              <w:tab w:val="right" w:leader="dot" w:pos="8968"/>
            </w:tabs>
          </w:pPr>
        </w:p>
        <w:p w:rsidR="00701DE1" w:rsidRDefault="002545E9">
          <w:pPr>
            <w:pStyle w:val="WPSOffice1"/>
            <w:tabs>
              <w:tab w:val="right" w:leader="dot" w:pos="8968"/>
            </w:tabs>
          </w:pPr>
          <w:hyperlink w:anchor="_Toc13863_WPSOffice_Level1" w:history="1">
            <w:r w:rsidR="00131786">
              <w:rPr>
                <w:rFonts w:ascii="黑体" w:eastAsia="黑体" w:hAnsi="黑体" w:hint="eastAsia"/>
                <w:b/>
                <w:bCs/>
              </w:rPr>
              <w:t>第一部分 部门概况</w:t>
            </w:r>
            <w:r w:rsidR="00131786">
              <w:rPr>
                <w:b/>
                <w:bCs/>
              </w:rPr>
              <w:tab/>
            </w:r>
            <w:r w:rsidR="009F08A6">
              <w:rPr>
                <w:rFonts w:hint="eastAsia"/>
                <w:b/>
                <w:bCs/>
              </w:rPr>
              <w:t>1</w:t>
            </w:r>
          </w:hyperlink>
        </w:p>
        <w:p w:rsidR="00701DE1" w:rsidRDefault="002545E9" w:rsidP="00701DE1">
          <w:pPr>
            <w:pStyle w:val="WPSOffice2"/>
            <w:tabs>
              <w:tab w:val="right" w:leader="dot" w:pos="8968"/>
            </w:tabs>
            <w:ind w:left="420"/>
          </w:pPr>
          <w:hyperlink w:anchor="_Toc19224_WPSOffice_Level2" w:history="1">
            <w:r w:rsidR="00131786">
              <w:rPr>
                <w:rFonts w:ascii="黑体" w:eastAsia="黑体" w:hAnsi="黑体" w:cstheme="majorBidi" w:hint="eastAsia"/>
              </w:rPr>
              <w:t>一、基本职能及主要工作</w:t>
            </w:r>
            <w:r w:rsidR="00131786">
              <w:tab/>
            </w:r>
            <w:r w:rsidR="009F08A6">
              <w:rPr>
                <w:rFonts w:hint="eastAsia"/>
              </w:rPr>
              <w:t>1</w:t>
            </w:r>
          </w:hyperlink>
        </w:p>
        <w:p w:rsidR="00701DE1" w:rsidRDefault="002545E9" w:rsidP="00701DE1">
          <w:pPr>
            <w:pStyle w:val="WPSOffice2"/>
            <w:tabs>
              <w:tab w:val="right" w:leader="dot" w:pos="8968"/>
            </w:tabs>
            <w:ind w:left="420"/>
          </w:pPr>
          <w:hyperlink w:anchor="_Toc24358_WPSOffice_Level2" w:history="1">
            <w:r w:rsidR="00131786">
              <w:rPr>
                <w:rFonts w:ascii="黑体" w:eastAsia="黑体" w:hAnsiTheme="majorHAnsi" w:cstheme="majorBidi" w:hint="eastAsia"/>
              </w:rPr>
              <w:t>二、</w:t>
            </w:r>
            <w:r w:rsidR="00131786">
              <w:rPr>
                <w:rFonts w:ascii="黑体" w:eastAsia="黑体" w:hAnsi="黑体" w:cstheme="majorBidi" w:hint="eastAsia"/>
              </w:rPr>
              <w:t>机构设置</w:t>
            </w:r>
            <w:r w:rsidR="00131786">
              <w:tab/>
            </w:r>
            <w:r w:rsidR="009F08A6">
              <w:rPr>
                <w:rFonts w:hint="eastAsia"/>
              </w:rPr>
              <w:t>3</w:t>
            </w:r>
          </w:hyperlink>
        </w:p>
        <w:p w:rsidR="00701DE1" w:rsidRDefault="002545E9">
          <w:pPr>
            <w:pStyle w:val="WPSOffice1"/>
            <w:tabs>
              <w:tab w:val="right" w:leader="dot" w:pos="8968"/>
            </w:tabs>
          </w:pPr>
          <w:hyperlink w:anchor="_Toc23538_WPSOffice_Level1" w:history="1">
            <w:r w:rsidR="00131786">
              <w:rPr>
                <w:rFonts w:ascii="黑体" w:eastAsia="黑体" w:hAnsi="黑体" w:hint="eastAsia"/>
                <w:b/>
                <w:bCs/>
              </w:rPr>
              <w:t>第二部分2019年度部门决算情况说明</w:t>
            </w:r>
            <w:r w:rsidR="00131786">
              <w:rPr>
                <w:b/>
                <w:bCs/>
              </w:rPr>
              <w:tab/>
            </w:r>
            <w:r w:rsidR="00131786">
              <w:rPr>
                <w:rFonts w:hint="eastAsia"/>
                <w:b/>
                <w:bCs/>
              </w:rPr>
              <w:t>4</w:t>
            </w:r>
          </w:hyperlink>
        </w:p>
        <w:p w:rsidR="00701DE1" w:rsidRDefault="002545E9" w:rsidP="00701DE1">
          <w:pPr>
            <w:pStyle w:val="WPSOffice2"/>
            <w:tabs>
              <w:tab w:val="right" w:leader="dot" w:pos="8968"/>
            </w:tabs>
            <w:ind w:left="420"/>
          </w:pPr>
          <w:hyperlink w:anchor="_Toc3960_WPSOffice_Level2" w:history="1">
            <w:r w:rsidR="00131786">
              <w:rPr>
                <w:rFonts w:ascii="黑体" w:eastAsia="黑体" w:hAnsi="黑体" w:cstheme="majorBidi"/>
              </w:rPr>
              <w:t xml:space="preserve">一、 </w:t>
            </w:r>
            <w:r w:rsidR="00131786">
              <w:rPr>
                <w:rFonts w:ascii="黑体" w:eastAsia="黑体" w:hAnsi="黑体" w:hint="eastAsia"/>
              </w:rPr>
              <w:t>收</w:t>
            </w:r>
            <w:r w:rsidR="00131786">
              <w:rPr>
                <w:rFonts w:ascii="黑体" w:eastAsia="黑体" w:hAnsi="黑体" w:cstheme="majorBidi" w:hint="eastAsia"/>
              </w:rPr>
              <w:t>入支出决算总体情况说明</w:t>
            </w:r>
            <w:r w:rsidR="00131786">
              <w:tab/>
            </w:r>
            <w:r w:rsidR="00131786">
              <w:rPr>
                <w:rFonts w:hint="eastAsia"/>
              </w:rPr>
              <w:t>4</w:t>
            </w:r>
          </w:hyperlink>
        </w:p>
        <w:p w:rsidR="00701DE1" w:rsidRDefault="002545E9" w:rsidP="00701DE1">
          <w:pPr>
            <w:pStyle w:val="WPSOffice2"/>
            <w:tabs>
              <w:tab w:val="right" w:leader="dot" w:pos="8968"/>
            </w:tabs>
            <w:ind w:left="420"/>
          </w:pPr>
          <w:hyperlink w:anchor="_Toc9854_WPSOffice_Level2" w:history="1">
            <w:r w:rsidR="00131786">
              <w:rPr>
                <w:rFonts w:ascii="黑体" w:eastAsia="黑体" w:hAnsi="黑体" w:cstheme="majorBidi"/>
              </w:rPr>
              <w:t xml:space="preserve">二、 </w:t>
            </w:r>
            <w:r w:rsidR="00131786">
              <w:rPr>
                <w:rFonts w:ascii="黑体" w:eastAsia="黑体" w:hAnsi="黑体" w:hint="eastAsia"/>
              </w:rPr>
              <w:t>收</w:t>
            </w:r>
            <w:r w:rsidR="00131786">
              <w:rPr>
                <w:rFonts w:ascii="黑体" w:eastAsia="黑体" w:hAnsi="黑体" w:cstheme="majorBidi" w:hint="eastAsia"/>
              </w:rPr>
              <w:t>入决算情况说明</w:t>
            </w:r>
            <w:r w:rsidR="00131786">
              <w:tab/>
            </w:r>
            <w:r w:rsidR="00131786">
              <w:rPr>
                <w:rFonts w:hint="eastAsia"/>
              </w:rPr>
              <w:t>4</w:t>
            </w:r>
          </w:hyperlink>
        </w:p>
        <w:p w:rsidR="00701DE1" w:rsidRDefault="002545E9" w:rsidP="00701DE1">
          <w:pPr>
            <w:pStyle w:val="WPSOffice2"/>
            <w:tabs>
              <w:tab w:val="right" w:leader="dot" w:pos="8968"/>
            </w:tabs>
            <w:ind w:left="420"/>
          </w:pPr>
          <w:hyperlink w:anchor="_Toc24878_WPSOffice_Level2" w:history="1">
            <w:r w:rsidR="00131786">
              <w:rPr>
                <w:rFonts w:ascii="黑体" w:eastAsia="黑体" w:hAnsi="黑体" w:cstheme="majorBidi"/>
              </w:rPr>
              <w:t xml:space="preserve">三、 </w:t>
            </w:r>
            <w:r w:rsidR="00131786">
              <w:rPr>
                <w:rFonts w:ascii="黑体" w:eastAsia="黑体" w:hAnsi="黑体" w:hint="eastAsia"/>
              </w:rPr>
              <w:t>支</w:t>
            </w:r>
            <w:r w:rsidR="00131786">
              <w:rPr>
                <w:rFonts w:ascii="黑体" w:eastAsia="黑体" w:hAnsi="黑体" w:cstheme="majorBidi" w:hint="eastAsia"/>
              </w:rPr>
              <w:t>出决算情况说明</w:t>
            </w:r>
            <w:r w:rsidR="00131786">
              <w:tab/>
            </w:r>
            <w:r w:rsidR="00131786">
              <w:rPr>
                <w:rFonts w:hint="eastAsia"/>
              </w:rPr>
              <w:t>4</w:t>
            </w:r>
          </w:hyperlink>
        </w:p>
        <w:p w:rsidR="00701DE1" w:rsidRDefault="002545E9" w:rsidP="00701DE1">
          <w:pPr>
            <w:pStyle w:val="WPSOffice2"/>
            <w:tabs>
              <w:tab w:val="right" w:leader="dot" w:pos="8968"/>
            </w:tabs>
            <w:ind w:left="420"/>
          </w:pPr>
          <w:hyperlink w:anchor="_Toc2760_WPSOffice_Level2" w:history="1">
            <w:r w:rsidR="00131786">
              <w:rPr>
                <w:rFonts w:ascii="黑体" w:eastAsia="黑体" w:hAnsi="黑体" w:hint="eastAsia"/>
              </w:rPr>
              <w:t>四、财</w:t>
            </w:r>
            <w:r w:rsidR="00131786">
              <w:rPr>
                <w:rFonts w:ascii="黑体" w:eastAsia="黑体" w:hAnsi="黑体" w:cstheme="majorBidi" w:hint="eastAsia"/>
              </w:rPr>
              <w:t>政拨款收入支出决算总体情况说明</w:t>
            </w:r>
            <w:r w:rsidR="00131786">
              <w:tab/>
            </w:r>
            <w:r w:rsidR="00131786">
              <w:rPr>
                <w:rFonts w:hint="eastAsia"/>
              </w:rPr>
              <w:t>5</w:t>
            </w:r>
          </w:hyperlink>
        </w:p>
        <w:p w:rsidR="00701DE1" w:rsidRDefault="002545E9" w:rsidP="00701DE1">
          <w:pPr>
            <w:pStyle w:val="WPSOffice2"/>
            <w:tabs>
              <w:tab w:val="right" w:leader="dot" w:pos="8968"/>
            </w:tabs>
            <w:ind w:left="420"/>
          </w:pPr>
          <w:hyperlink w:anchor="_Toc13863_WPSOffice_Level2" w:history="1">
            <w:r w:rsidR="00131786">
              <w:rPr>
                <w:rFonts w:ascii="黑体" w:eastAsia="黑体" w:hAnsi="黑体" w:hint="eastAsia"/>
              </w:rPr>
              <w:t>五、一</w:t>
            </w:r>
            <w:r w:rsidR="00131786">
              <w:rPr>
                <w:rFonts w:ascii="黑体" w:eastAsia="黑体" w:hAnsi="黑体" w:cstheme="majorBidi" w:hint="eastAsia"/>
              </w:rPr>
              <w:t>般公共预算财政拨款支出决算情况说明</w:t>
            </w:r>
            <w:r w:rsidR="00131786">
              <w:tab/>
            </w:r>
            <w:r w:rsidR="00131786">
              <w:rPr>
                <w:rFonts w:hint="eastAsia"/>
              </w:rPr>
              <w:t>5</w:t>
            </w:r>
          </w:hyperlink>
        </w:p>
        <w:p w:rsidR="00701DE1" w:rsidRDefault="002545E9" w:rsidP="00701DE1">
          <w:pPr>
            <w:pStyle w:val="WPSOffice2"/>
            <w:tabs>
              <w:tab w:val="right" w:leader="dot" w:pos="8968"/>
            </w:tabs>
            <w:ind w:left="420"/>
          </w:pPr>
          <w:hyperlink w:anchor="_Toc23538_WPSOffice_Level2" w:history="1">
            <w:r w:rsidR="00131786">
              <w:rPr>
                <w:rFonts w:ascii="黑体" w:eastAsia="黑体" w:hAnsi="Times New Roman" w:hint="eastAsia"/>
              </w:rPr>
              <w:t>六、</w:t>
            </w:r>
            <w:r w:rsidR="00131786">
              <w:rPr>
                <w:rFonts w:ascii="黑体" w:eastAsia="黑体" w:hAnsi="黑体" w:hint="eastAsia"/>
              </w:rPr>
              <w:t>一</w:t>
            </w:r>
            <w:r w:rsidR="00131786">
              <w:rPr>
                <w:rFonts w:ascii="黑体" w:eastAsia="黑体" w:hAnsi="黑体" w:cstheme="majorBidi" w:hint="eastAsia"/>
              </w:rPr>
              <w:t>般公共预算财政拨款基本支出决算情况说明</w:t>
            </w:r>
            <w:r w:rsidR="00131786">
              <w:tab/>
            </w:r>
            <w:r w:rsidR="00131786">
              <w:rPr>
                <w:rFonts w:hint="eastAsia"/>
              </w:rPr>
              <w:t>6</w:t>
            </w:r>
          </w:hyperlink>
        </w:p>
        <w:p w:rsidR="00701DE1" w:rsidRDefault="002545E9" w:rsidP="00701DE1">
          <w:pPr>
            <w:pStyle w:val="WPSOffice2"/>
            <w:tabs>
              <w:tab w:val="right" w:leader="dot" w:pos="8968"/>
            </w:tabs>
            <w:ind w:left="420"/>
          </w:pPr>
          <w:hyperlink w:anchor="_Toc20874_WPSOffice_Level2" w:history="1">
            <w:r w:rsidR="00131786">
              <w:rPr>
                <w:rFonts w:ascii="黑体" w:eastAsia="黑体" w:hAnsi="Times New Roman" w:hint="eastAsia"/>
              </w:rPr>
              <w:t>七、</w:t>
            </w:r>
            <w:r w:rsidR="00131786">
              <w:rPr>
                <w:rFonts w:ascii="黑体" w:eastAsia="黑体" w:hAnsi="黑体" w:cstheme="majorBidi" w:hint="eastAsia"/>
              </w:rPr>
              <w:t>“三公”经费财政拨款支出决算情况说明</w:t>
            </w:r>
            <w:r w:rsidR="00131786">
              <w:tab/>
            </w:r>
            <w:r w:rsidR="00131786">
              <w:rPr>
                <w:rFonts w:hint="eastAsia"/>
              </w:rPr>
              <w:t>6</w:t>
            </w:r>
          </w:hyperlink>
        </w:p>
        <w:p w:rsidR="00701DE1" w:rsidRDefault="002545E9" w:rsidP="00701DE1">
          <w:pPr>
            <w:pStyle w:val="WPSOffice2"/>
            <w:tabs>
              <w:tab w:val="right" w:leader="dot" w:pos="8968"/>
            </w:tabs>
            <w:ind w:left="420"/>
          </w:pPr>
          <w:hyperlink w:anchor="_Toc24520_WPSOffice_Level2" w:history="1">
            <w:r w:rsidR="00131786">
              <w:rPr>
                <w:rFonts w:ascii="黑体" w:eastAsia="黑体" w:hAnsi="Times New Roman" w:hint="eastAsia"/>
              </w:rPr>
              <w:t>八、</w:t>
            </w:r>
            <w:r w:rsidR="00131786">
              <w:rPr>
                <w:rFonts w:ascii="黑体" w:eastAsia="黑体" w:hAnsi="黑体" w:cstheme="majorBidi" w:hint="eastAsia"/>
              </w:rPr>
              <w:t>政府性基金预算支出决算情况说明</w:t>
            </w:r>
            <w:r w:rsidR="00131786">
              <w:tab/>
            </w:r>
            <w:r w:rsidR="00131786">
              <w:rPr>
                <w:rFonts w:hint="eastAsia"/>
              </w:rPr>
              <w:t>7</w:t>
            </w:r>
          </w:hyperlink>
        </w:p>
        <w:p w:rsidR="00701DE1" w:rsidRDefault="002545E9" w:rsidP="00701DE1">
          <w:pPr>
            <w:pStyle w:val="WPSOffice2"/>
            <w:tabs>
              <w:tab w:val="right" w:leader="dot" w:pos="8968"/>
            </w:tabs>
            <w:ind w:left="420"/>
          </w:pPr>
          <w:hyperlink w:anchor="_Toc15402_WPSOffice_Level2" w:history="1">
            <w:r w:rsidR="00131786">
              <w:rPr>
                <w:rFonts w:ascii="黑体" w:eastAsia="黑体" w:hAnsi="黑体" w:cstheme="majorBidi" w:hint="eastAsia"/>
              </w:rPr>
              <w:t>九、 国有资本经营预算支出决算情况说明</w:t>
            </w:r>
            <w:r w:rsidR="00131786">
              <w:tab/>
            </w:r>
            <w:r w:rsidR="00131786">
              <w:rPr>
                <w:rFonts w:hint="eastAsia"/>
              </w:rPr>
              <w:t>7</w:t>
            </w:r>
          </w:hyperlink>
        </w:p>
        <w:p w:rsidR="00701DE1" w:rsidRDefault="002545E9" w:rsidP="00701DE1">
          <w:pPr>
            <w:pStyle w:val="WPSOffice2"/>
            <w:tabs>
              <w:tab w:val="right" w:leader="dot" w:pos="8968"/>
            </w:tabs>
            <w:ind w:left="420"/>
          </w:pPr>
          <w:hyperlink w:anchor="_Toc21798_WPSOffice_Level2" w:history="1">
            <w:r w:rsidR="00131786">
              <w:rPr>
                <w:rFonts w:ascii="黑体" w:eastAsia="黑体" w:hAnsi="黑体" w:hint="eastAsia"/>
              </w:rPr>
              <w:t>十</w:t>
            </w:r>
            <w:r w:rsidR="00131786">
              <w:rPr>
                <w:rFonts w:ascii="黑体" w:eastAsia="黑体" w:hAnsi="黑体" w:cstheme="majorBidi" w:hint="eastAsia"/>
              </w:rPr>
              <w:t>、其他重要事项的情况说明</w:t>
            </w:r>
            <w:r w:rsidR="00131786">
              <w:tab/>
            </w:r>
            <w:r w:rsidR="00131786">
              <w:rPr>
                <w:rFonts w:hint="eastAsia"/>
              </w:rPr>
              <w:t>7</w:t>
            </w:r>
          </w:hyperlink>
        </w:p>
        <w:p w:rsidR="00701DE1" w:rsidRDefault="002545E9">
          <w:pPr>
            <w:pStyle w:val="WPSOffice1"/>
            <w:tabs>
              <w:tab w:val="right" w:leader="dot" w:pos="8968"/>
            </w:tabs>
          </w:pPr>
          <w:hyperlink w:anchor="_Toc20874_WPSOffice_Level1" w:history="1">
            <w:r w:rsidR="00131786">
              <w:rPr>
                <w:rFonts w:ascii="黑体" w:eastAsia="黑体" w:hAnsi="黑体" w:hint="eastAsia"/>
                <w:b/>
                <w:bCs/>
              </w:rPr>
              <w:t>第三部分  名词解释</w:t>
            </w:r>
            <w:r w:rsidR="00131786">
              <w:rPr>
                <w:b/>
                <w:bCs/>
              </w:rPr>
              <w:tab/>
            </w:r>
            <w:r w:rsidR="00131786">
              <w:rPr>
                <w:rFonts w:hint="eastAsia"/>
                <w:b/>
                <w:bCs/>
              </w:rPr>
              <w:t>8</w:t>
            </w:r>
          </w:hyperlink>
        </w:p>
        <w:p w:rsidR="00701DE1" w:rsidRDefault="002545E9">
          <w:pPr>
            <w:pStyle w:val="WPSOffice1"/>
            <w:tabs>
              <w:tab w:val="right" w:leader="dot" w:pos="8968"/>
            </w:tabs>
          </w:pPr>
          <w:hyperlink w:anchor="_Toc24520_WPSOffice_Level1" w:history="1">
            <w:r w:rsidR="00131786">
              <w:rPr>
                <w:rFonts w:ascii="黑体" w:eastAsia="黑体" w:hAnsi="黑体" w:hint="eastAsia"/>
                <w:b/>
                <w:bCs/>
              </w:rPr>
              <w:t>第四部分 附件</w:t>
            </w:r>
            <w:r w:rsidR="00131786">
              <w:rPr>
                <w:b/>
                <w:bCs/>
              </w:rPr>
              <w:tab/>
            </w:r>
            <w:r w:rsidR="00131786">
              <w:rPr>
                <w:rFonts w:hint="eastAsia"/>
                <w:b/>
                <w:bCs/>
              </w:rPr>
              <w:t>10</w:t>
            </w:r>
          </w:hyperlink>
        </w:p>
        <w:p w:rsidR="00701DE1" w:rsidRDefault="002E4B39" w:rsidP="002E4B39">
          <w:pPr>
            <w:pStyle w:val="WPSOffice2"/>
            <w:tabs>
              <w:tab w:val="right" w:leader="dot" w:pos="8968"/>
            </w:tabs>
            <w:ind w:leftChars="95" w:left="199"/>
          </w:pPr>
          <w:r>
            <w:rPr>
              <w:rFonts w:hint="eastAsia"/>
            </w:rPr>
            <w:t xml:space="preserve"> </w:t>
          </w:r>
          <w:r>
            <w:rPr>
              <w:rFonts w:hint="eastAsia"/>
            </w:rPr>
            <w:t>附件</w:t>
          </w:r>
          <w:r>
            <w:rPr>
              <w:rFonts w:hint="eastAsia"/>
            </w:rPr>
            <w:t>1</w:t>
          </w:r>
          <w:hyperlink w:anchor="_Toc24520_WPSOffice_Level1" w:history="1">
            <w:r>
              <w:rPr>
                <w:b/>
                <w:bCs/>
              </w:rPr>
              <w:tab/>
            </w:r>
            <w:r>
              <w:rPr>
                <w:rFonts w:hint="eastAsia"/>
                <w:b/>
                <w:bCs/>
              </w:rPr>
              <w:t>10</w:t>
            </w:r>
          </w:hyperlink>
        </w:p>
        <w:p w:rsidR="00701DE1" w:rsidRDefault="002545E9">
          <w:pPr>
            <w:pStyle w:val="WPSOffice1"/>
            <w:tabs>
              <w:tab w:val="right" w:leader="dot" w:pos="8968"/>
            </w:tabs>
          </w:pPr>
          <w:hyperlink w:anchor="_Toc15402_WPSOffice_Level1" w:history="1">
            <w:r w:rsidR="00131786">
              <w:rPr>
                <w:rFonts w:ascii="黑体" w:eastAsia="黑体" w:hAnsi="黑体" w:hint="eastAsia"/>
                <w:b/>
                <w:bCs/>
              </w:rPr>
              <w:t>第五部分 附表</w:t>
            </w:r>
            <w:r w:rsidR="00131786">
              <w:rPr>
                <w:b/>
                <w:bCs/>
              </w:rPr>
              <w:tab/>
            </w:r>
            <w:r w:rsidR="00131786">
              <w:rPr>
                <w:rFonts w:hint="eastAsia"/>
                <w:b/>
                <w:bCs/>
              </w:rPr>
              <w:t>12</w:t>
            </w:r>
          </w:hyperlink>
        </w:p>
        <w:p w:rsidR="00701DE1" w:rsidRDefault="002545E9" w:rsidP="00701DE1">
          <w:pPr>
            <w:pStyle w:val="WPSOffice2"/>
            <w:tabs>
              <w:tab w:val="right" w:leader="dot" w:pos="8968"/>
            </w:tabs>
            <w:ind w:left="420"/>
          </w:pPr>
          <w:hyperlink w:anchor="_Toc779_WPSOffice_Level2" w:history="1">
            <w:r w:rsidR="00131786">
              <w:rPr>
                <w:rFonts w:ascii="仿宋" w:eastAsia="仿宋" w:hAnsi="仿宋" w:cstheme="majorBidi" w:hint="eastAsia"/>
              </w:rPr>
              <w:t>一、收入支出决算总表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7145_WPSOffice_Level2" w:history="1">
            <w:r w:rsidR="00131786">
              <w:rPr>
                <w:rFonts w:ascii="仿宋" w:eastAsia="仿宋" w:hAnsi="仿宋" w:cstheme="majorBidi" w:hint="eastAsia"/>
              </w:rPr>
              <w:t>二、收入决算表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27081_WPSOffice_Level2" w:history="1">
            <w:r w:rsidR="00131786">
              <w:rPr>
                <w:rFonts w:ascii="仿宋" w:eastAsia="仿宋" w:hAnsi="仿宋" w:cstheme="majorBidi" w:hint="eastAsia"/>
              </w:rPr>
              <w:t>三、支出决算表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27245_WPSOffice_Level2" w:history="1">
            <w:r w:rsidR="00131786">
              <w:rPr>
                <w:rFonts w:ascii="仿宋" w:eastAsia="仿宋" w:hAnsi="仿宋" w:cstheme="majorBidi" w:hint="eastAsia"/>
              </w:rPr>
              <w:t>四、财政拨款收入支出决算总表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20134_WPSOffice_Level2" w:history="1">
            <w:r w:rsidR="00131786">
              <w:rPr>
                <w:rFonts w:ascii="仿宋" w:eastAsia="仿宋" w:hAnsi="仿宋" w:cstheme="majorBidi" w:hint="eastAsia"/>
              </w:rPr>
              <w:t>五、财政拨款支出决算明细表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16579_WPSOffice_Level2" w:history="1">
            <w:r w:rsidR="00131786">
              <w:rPr>
                <w:rFonts w:ascii="仿宋" w:eastAsia="仿宋" w:hAnsi="仿宋" w:cstheme="majorBidi" w:hint="eastAsia"/>
              </w:rPr>
              <w:t>六、一般公共预算财政拨款支出决算表</w:t>
            </w:r>
            <w:r w:rsidR="00131786">
              <w:tab/>
            </w:r>
            <w:r w:rsidR="00131786">
              <w:rPr>
                <w:rFonts w:hint="eastAsia"/>
              </w:rPr>
              <w:t>12</w:t>
            </w:r>
          </w:hyperlink>
        </w:p>
        <w:p w:rsidR="00701DE1" w:rsidRDefault="002545E9" w:rsidP="00701DE1">
          <w:pPr>
            <w:pStyle w:val="WPSOffice2"/>
            <w:tabs>
              <w:tab w:val="right" w:leader="dot" w:pos="8968"/>
            </w:tabs>
            <w:ind w:left="420"/>
          </w:pPr>
          <w:hyperlink w:anchor="_Toc23170_WPSOffice_Level2" w:history="1">
            <w:r w:rsidR="00131786">
              <w:rPr>
                <w:rFonts w:ascii="仿宋" w:eastAsia="仿宋" w:hAnsi="仿宋" w:cstheme="majorBidi" w:hint="eastAsia"/>
              </w:rPr>
              <w:t>七、一般公共预算财政拨款支出决算明细表</w:t>
            </w:r>
            <w:r w:rsidR="00131786">
              <w:tab/>
            </w:r>
            <w:bookmarkStart w:id="13" w:name="_Toc23170_WPSOffice_Level2Page"/>
            <w:r w:rsidR="00131786">
              <w:t>1</w:t>
            </w:r>
            <w:bookmarkEnd w:id="13"/>
            <w:r w:rsidR="00131786">
              <w:rPr>
                <w:rFonts w:hint="eastAsia"/>
              </w:rPr>
              <w:t>2</w:t>
            </w:r>
          </w:hyperlink>
        </w:p>
        <w:p w:rsidR="00701DE1" w:rsidRDefault="002545E9" w:rsidP="00701DE1">
          <w:pPr>
            <w:pStyle w:val="WPSOffice2"/>
            <w:tabs>
              <w:tab w:val="right" w:leader="dot" w:pos="8968"/>
            </w:tabs>
            <w:ind w:left="420"/>
          </w:pPr>
          <w:hyperlink w:anchor="_Toc6065_WPSOffice_Level2" w:history="1">
            <w:r w:rsidR="00131786">
              <w:rPr>
                <w:rFonts w:ascii="仿宋" w:eastAsia="仿宋" w:hAnsi="仿宋" w:cstheme="majorBidi" w:hint="eastAsia"/>
              </w:rPr>
              <w:t>八、一般公共预算财政拨款基本支出决算表</w:t>
            </w:r>
            <w:r w:rsidR="00131786">
              <w:tab/>
            </w:r>
            <w:bookmarkStart w:id="14" w:name="_Toc6065_WPSOffice_Level2Page"/>
            <w:r w:rsidR="00131786">
              <w:t>1</w:t>
            </w:r>
            <w:bookmarkEnd w:id="14"/>
            <w:r w:rsidR="00131786">
              <w:rPr>
                <w:rFonts w:hint="eastAsia"/>
              </w:rPr>
              <w:t>2</w:t>
            </w:r>
          </w:hyperlink>
        </w:p>
        <w:p w:rsidR="00701DE1" w:rsidRDefault="002545E9" w:rsidP="00701DE1">
          <w:pPr>
            <w:pStyle w:val="WPSOffice2"/>
            <w:tabs>
              <w:tab w:val="right" w:leader="dot" w:pos="8968"/>
            </w:tabs>
            <w:ind w:left="420"/>
          </w:pPr>
          <w:hyperlink w:anchor="_Toc28882_WPSOffice_Level2" w:history="1">
            <w:r w:rsidR="00131786">
              <w:rPr>
                <w:rFonts w:ascii="仿宋" w:eastAsia="仿宋" w:hAnsi="仿宋" w:cstheme="majorBidi" w:hint="eastAsia"/>
              </w:rPr>
              <w:t>九、一般公共预算财政拨款项目支出决算表</w:t>
            </w:r>
            <w:r w:rsidR="00131786">
              <w:tab/>
            </w:r>
            <w:bookmarkStart w:id="15" w:name="_Toc28882_WPSOffice_Level2Page"/>
            <w:r w:rsidR="00131786">
              <w:t>1</w:t>
            </w:r>
            <w:bookmarkEnd w:id="15"/>
            <w:r w:rsidR="00131786">
              <w:rPr>
                <w:rFonts w:hint="eastAsia"/>
              </w:rPr>
              <w:t>2</w:t>
            </w:r>
          </w:hyperlink>
        </w:p>
        <w:p w:rsidR="00701DE1" w:rsidRDefault="002545E9" w:rsidP="00701DE1">
          <w:pPr>
            <w:pStyle w:val="WPSOffice2"/>
            <w:tabs>
              <w:tab w:val="right" w:leader="dot" w:pos="8968"/>
            </w:tabs>
            <w:ind w:left="420"/>
          </w:pPr>
          <w:hyperlink w:anchor="_Toc25490_WPSOffice_Level2" w:history="1">
            <w:r w:rsidR="00131786">
              <w:rPr>
                <w:rFonts w:ascii="仿宋" w:eastAsia="仿宋" w:hAnsi="仿宋" w:cstheme="majorBidi" w:hint="eastAsia"/>
              </w:rPr>
              <w:t>十、一般公共预算财政拨款“三公”经费支出决算表</w:t>
            </w:r>
            <w:r w:rsidR="00131786">
              <w:tab/>
            </w:r>
            <w:bookmarkStart w:id="16" w:name="_Toc25490_WPSOffice_Level2Page"/>
            <w:r w:rsidR="00131786">
              <w:t>1</w:t>
            </w:r>
            <w:bookmarkEnd w:id="16"/>
            <w:r w:rsidR="00131786">
              <w:rPr>
                <w:rFonts w:hint="eastAsia"/>
              </w:rPr>
              <w:t>2</w:t>
            </w:r>
          </w:hyperlink>
        </w:p>
        <w:p w:rsidR="00701DE1" w:rsidRDefault="002545E9" w:rsidP="00701DE1">
          <w:pPr>
            <w:pStyle w:val="WPSOffice2"/>
            <w:tabs>
              <w:tab w:val="right" w:leader="dot" w:pos="8968"/>
            </w:tabs>
            <w:ind w:left="420"/>
          </w:pPr>
          <w:hyperlink w:anchor="_Toc16467_WPSOffice_Level2" w:history="1">
            <w:r w:rsidR="00131786">
              <w:rPr>
                <w:rFonts w:ascii="仿宋" w:eastAsia="仿宋" w:hAnsi="仿宋" w:cstheme="majorBidi" w:hint="eastAsia"/>
              </w:rPr>
              <w:t>十一、政府性基金预算财政拨款收入支出决算表</w:t>
            </w:r>
            <w:r w:rsidR="00131786">
              <w:tab/>
            </w:r>
            <w:bookmarkStart w:id="17" w:name="_Toc16467_WPSOffice_Level2Page"/>
            <w:r w:rsidR="00131786">
              <w:t>1</w:t>
            </w:r>
            <w:bookmarkEnd w:id="17"/>
            <w:r w:rsidR="00131786">
              <w:rPr>
                <w:rFonts w:hint="eastAsia"/>
              </w:rPr>
              <w:t>2</w:t>
            </w:r>
          </w:hyperlink>
        </w:p>
        <w:p w:rsidR="00701DE1" w:rsidRDefault="002545E9" w:rsidP="00701DE1">
          <w:pPr>
            <w:pStyle w:val="WPSOffice2"/>
            <w:tabs>
              <w:tab w:val="right" w:leader="dot" w:pos="8968"/>
            </w:tabs>
            <w:ind w:left="420"/>
          </w:pPr>
          <w:hyperlink w:anchor="_Toc15551_WPSOffice_Level2" w:history="1">
            <w:r w:rsidR="00131786">
              <w:rPr>
                <w:rFonts w:ascii="仿宋" w:eastAsia="仿宋" w:hAnsi="仿宋" w:cstheme="majorBidi" w:hint="eastAsia"/>
              </w:rPr>
              <w:t>十二、政府性基金预算财政拨款“三公”经费支出决算表</w:t>
            </w:r>
            <w:r w:rsidR="00131786">
              <w:tab/>
            </w:r>
            <w:bookmarkStart w:id="18" w:name="_Toc15551_WPSOffice_Level2Page"/>
            <w:r w:rsidR="00131786">
              <w:t>1</w:t>
            </w:r>
            <w:bookmarkEnd w:id="18"/>
            <w:r w:rsidR="00131786">
              <w:rPr>
                <w:rFonts w:hint="eastAsia"/>
              </w:rPr>
              <w:t>2</w:t>
            </w:r>
          </w:hyperlink>
        </w:p>
        <w:p w:rsidR="00701DE1" w:rsidRDefault="002545E9" w:rsidP="00701DE1">
          <w:pPr>
            <w:pStyle w:val="WPSOffice2"/>
            <w:tabs>
              <w:tab w:val="right" w:leader="dot" w:pos="8968"/>
            </w:tabs>
            <w:ind w:left="420"/>
          </w:pPr>
          <w:hyperlink w:anchor="_Toc14944_WPSOffice_Level2" w:history="1">
            <w:r w:rsidR="00131786">
              <w:rPr>
                <w:rFonts w:ascii="仿宋" w:eastAsia="仿宋" w:hAnsi="仿宋" w:cstheme="majorBidi" w:hint="eastAsia"/>
              </w:rPr>
              <w:t>十三、国有资本经营预算支出决算表</w:t>
            </w:r>
            <w:r w:rsidR="00131786">
              <w:tab/>
            </w:r>
            <w:bookmarkStart w:id="19" w:name="_Toc14944_WPSOffice_Level2Page"/>
            <w:r w:rsidR="00131786">
              <w:t>1</w:t>
            </w:r>
            <w:bookmarkEnd w:id="19"/>
            <w:r w:rsidR="00131786">
              <w:rPr>
                <w:rFonts w:hint="eastAsia"/>
              </w:rPr>
              <w:t>2</w:t>
            </w:r>
          </w:hyperlink>
        </w:p>
        <w:bookmarkEnd w:id="12" w:displacedByCustomXml="next"/>
      </w:sdtContent>
    </w:sdt>
    <w:p w:rsidR="00701DE1" w:rsidRDefault="00701DE1" w:rsidP="008368FA">
      <w:pPr>
        <w:widowControl/>
        <w:rPr>
          <w:rFonts w:ascii="方正小标宋简体" w:eastAsia="方正小标宋简体" w:hAnsi="宋体"/>
          <w:color w:val="000000"/>
          <w:sz w:val="36"/>
          <w:szCs w:val="36"/>
        </w:rPr>
        <w:sectPr w:rsidR="00701DE1">
          <w:headerReference w:type="default" r:id="rId9"/>
          <w:footerReference w:type="default" r:id="rId10"/>
          <w:pgSz w:w="11906" w:h="16838"/>
          <w:pgMar w:top="2041" w:right="1469" w:bottom="1588" w:left="1469" w:header="851" w:footer="992" w:gutter="0"/>
          <w:pgNumType w:start="1"/>
          <w:cols w:space="425"/>
          <w:titlePg/>
          <w:docGrid w:type="lines" w:linePitch="312"/>
        </w:sectPr>
      </w:pPr>
    </w:p>
    <w:p w:rsidR="00701DE1" w:rsidRDefault="00131786" w:rsidP="008368FA">
      <w:pPr>
        <w:pStyle w:val="1"/>
        <w:ind w:firstLineChars="600" w:firstLine="2640"/>
        <w:rPr>
          <w:rStyle w:val="1Char"/>
          <w:rFonts w:ascii="黑体" w:eastAsia="黑体" w:hAnsi="黑体"/>
          <w:b/>
        </w:rPr>
      </w:pPr>
      <w:bookmarkStart w:id="20" w:name="_GoBack"/>
      <w:bookmarkStart w:id="21" w:name="_Toc15377196"/>
      <w:bookmarkStart w:id="22" w:name="_Toc15396599"/>
      <w:bookmarkStart w:id="23" w:name="_Toc13863_WPSOffice_Level1"/>
      <w:bookmarkEnd w:id="20"/>
      <w:r>
        <w:rPr>
          <w:rFonts w:ascii="黑体" w:eastAsia="黑体" w:hAnsi="黑体" w:hint="eastAsia"/>
          <w:b w:val="0"/>
        </w:rPr>
        <w:lastRenderedPageBreak/>
        <w:t xml:space="preserve">第一部分 </w:t>
      </w:r>
      <w:r>
        <w:rPr>
          <w:rStyle w:val="1Char"/>
          <w:rFonts w:ascii="黑体" w:eastAsia="黑体" w:hAnsi="黑体" w:hint="eastAsia"/>
        </w:rPr>
        <w:t>部门概况</w:t>
      </w:r>
      <w:bookmarkEnd w:id="21"/>
      <w:bookmarkEnd w:id="22"/>
      <w:bookmarkEnd w:id="23"/>
    </w:p>
    <w:p w:rsidR="00701DE1" w:rsidRDefault="00701DE1">
      <w:pPr>
        <w:widowControl/>
        <w:jc w:val="left"/>
        <w:rPr>
          <w:rFonts w:ascii="黑体" w:eastAsia="黑体"/>
          <w:color w:val="000000"/>
          <w:sz w:val="32"/>
          <w:szCs w:val="32"/>
        </w:rPr>
      </w:pPr>
    </w:p>
    <w:p w:rsidR="00701DE1" w:rsidRDefault="00131786">
      <w:pPr>
        <w:pStyle w:val="2"/>
        <w:rPr>
          <w:rStyle w:val="2Char"/>
          <w:rFonts w:ascii="仿宋" w:eastAsia="仿宋" w:hAnsi="仿宋"/>
        </w:rPr>
      </w:pPr>
      <w:bookmarkStart w:id="24" w:name="_Toc15396600"/>
      <w:bookmarkStart w:id="25" w:name="_Toc15377197"/>
      <w:bookmarkStart w:id="26" w:name="_Toc19224_WPSOffice_Level2"/>
      <w:r>
        <w:rPr>
          <w:rFonts w:ascii="黑体" w:eastAsia="黑体" w:hAnsi="黑体" w:hint="eastAsia"/>
          <w:b w:val="0"/>
          <w:color w:val="000000"/>
        </w:rPr>
        <w:t>一、基</w:t>
      </w:r>
      <w:r>
        <w:rPr>
          <w:rStyle w:val="2Char"/>
          <w:rFonts w:ascii="黑体" w:eastAsia="黑体" w:hAnsi="黑体" w:hint="eastAsia"/>
        </w:rPr>
        <w:t>本职能及主要工作</w:t>
      </w:r>
      <w:bookmarkEnd w:id="24"/>
      <w:bookmarkEnd w:id="25"/>
      <w:bookmarkEnd w:id="26"/>
    </w:p>
    <w:p w:rsidR="00701DE1" w:rsidRDefault="00131786">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27" w:name="_Toc15378445"/>
      <w:bookmarkStart w:id="28" w:name="_Toc15377198"/>
      <w:r>
        <w:rPr>
          <w:rFonts w:ascii="仿宋" w:eastAsia="仿宋" w:hAnsi="仿宋" w:hint="eastAsia"/>
          <w:bCs/>
          <w:color w:val="000000"/>
          <w:sz w:val="32"/>
          <w:szCs w:val="32"/>
        </w:rPr>
        <w:t>（一）主要职能。</w:t>
      </w:r>
      <w:bookmarkStart w:id="29" w:name="_Toc15378446"/>
      <w:bookmarkStart w:id="30" w:name="_Toc15377199"/>
      <w:bookmarkEnd w:id="27"/>
      <w:bookmarkEnd w:id="28"/>
    </w:p>
    <w:p w:rsidR="00701DE1" w:rsidRDefault="00131786">
      <w:pPr>
        <w:widowControl/>
        <w:spacing w:line="600" w:lineRule="exact"/>
        <w:ind w:firstLineChars="250" w:firstLine="800"/>
        <w:rPr>
          <w:rFonts w:ascii="仿宋_GB2312" w:eastAsia="仿宋_GB2312" w:hAnsi="仿宋"/>
          <w:sz w:val="32"/>
          <w:szCs w:val="32"/>
        </w:rPr>
      </w:pPr>
      <w:r>
        <w:rPr>
          <w:rFonts w:ascii="仿宋_GB2312" w:eastAsia="仿宋_GB2312" w:hAnsi="仿宋_GB2312" w:cs="仿宋_GB2312" w:hint="eastAsia"/>
          <w:kern w:val="0"/>
          <w:sz w:val="32"/>
          <w:szCs w:val="32"/>
        </w:rPr>
        <w:t>组织拟订全县医疗保险、生育保险、医疗救助等医疗保障方面的发展规划、政策以及相关的规范性文件、并组织实施和监督检查。组织拟订并实施医疗保障基金监督管理制度，建立健全医疗保障基金安全防控机制，监督全县医疗保障基金的运行管理。组织执行全省城乡统一的药品、医用耗材、医疗服务项目、医疗服务设施等医疗保障目录和支付标准，监督管理全县药品、医用耗材的招标采购政策实施，组织参与医药品、医用耗材招标采购平台建设。完成县委、县政府交办的其他工作。</w:t>
      </w:r>
    </w:p>
    <w:p w:rsidR="00701DE1" w:rsidRDefault="00131786">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29"/>
      <w:bookmarkEnd w:id="30"/>
    </w:p>
    <w:p w:rsidR="00701DE1" w:rsidRDefault="00131786">
      <w:pPr>
        <w:overflowPunct w:val="0"/>
        <w:adjustRightInd w:val="0"/>
        <w:snapToGrid w:val="0"/>
        <w:spacing w:line="600" w:lineRule="exact"/>
        <w:ind w:firstLine="640"/>
        <w:rPr>
          <w:rFonts w:eastAsia="仿宋_GB2312"/>
          <w:kern w:val="0"/>
          <w:sz w:val="32"/>
          <w:szCs w:val="32"/>
        </w:rPr>
      </w:pPr>
      <w:r>
        <w:rPr>
          <w:rFonts w:ascii="仿宋_GB2312" w:eastAsia="仿宋_GB2312" w:hAnsi="仿宋_GB2312" w:cs="仿宋_GB2312" w:hint="eastAsia"/>
          <w:kern w:val="0"/>
          <w:sz w:val="32"/>
          <w:szCs w:val="32"/>
        </w:rPr>
        <w:t>2019年，沐川县医保局认真践行“干在实处、走在前列”工作取向，履行职能、主动作为，稳妥推进各项工作。</w:t>
      </w:r>
      <w:r>
        <w:rPr>
          <w:rFonts w:ascii="仿宋_GB2312" w:eastAsia="仿宋_GB2312" w:hAnsi="仿宋_GB2312" w:cs="仿宋_GB2312" w:hint="eastAsia"/>
          <w:b/>
          <w:bCs/>
          <w:kern w:val="0"/>
          <w:sz w:val="32"/>
          <w:szCs w:val="32"/>
        </w:rPr>
        <w:t>一是社会保险扎实有力。</w:t>
      </w:r>
      <w:r>
        <w:rPr>
          <w:rFonts w:eastAsia="仿宋_GB2312"/>
          <w:kern w:val="0"/>
          <w:sz w:val="32"/>
          <w:szCs w:val="32"/>
        </w:rPr>
        <w:t>城镇职工基本医疗保险参保人数完成</w:t>
      </w:r>
      <w:r>
        <w:rPr>
          <w:rFonts w:eastAsia="仿宋_GB2312"/>
          <w:kern w:val="0"/>
          <w:sz w:val="32"/>
          <w:szCs w:val="32"/>
        </w:rPr>
        <w:t>1.79</w:t>
      </w:r>
      <w:r>
        <w:rPr>
          <w:rFonts w:eastAsia="仿宋_GB2312"/>
          <w:kern w:val="0"/>
          <w:sz w:val="32"/>
          <w:szCs w:val="32"/>
        </w:rPr>
        <w:t>万人，生育保险参保人数完成</w:t>
      </w:r>
      <w:r>
        <w:rPr>
          <w:rFonts w:eastAsia="仿宋_GB2312"/>
          <w:kern w:val="0"/>
          <w:sz w:val="32"/>
          <w:szCs w:val="32"/>
        </w:rPr>
        <w:t>0.67</w:t>
      </w:r>
      <w:r>
        <w:rPr>
          <w:rFonts w:eastAsia="仿宋_GB2312"/>
          <w:kern w:val="0"/>
          <w:sz w:val="32"/>
          <w:szCs w:val="32"/>
        </w:rPr>
        <w:t>万人，全面完成市局下达的目标任务。城乡居民基本医疗保险参保目标人数</w:t>
      </w:r>
      <w:r>
        <w:rPr>
          <w:rFonts w:eastAsia="仿宋_GB2312"/>
          <w:kern w:val="0"/>
          <w:sz w:val="32"/>
          <w:szCs w:val="32"/>
        </w:rPr>
        <w:t>21.42</w:t>
      </w:r>
      <w:r>
        <w:rPr>
          <w:rFonts w:eastAsia="仿宋_GB2312"/>
          <w:kern w:val="0"/>
          <w:sz w:val="32"/>
          <w:szCs w:val="32"/>
        </w:rPr>
        <w:t>万人，完成</w:t>
      </w:r>
      <w:r>
        <w:rPr>
          <w:rFonts w:eastAsia="仿宋_GB2312"/>
          <w:kern w:val="0"/>
          <w:sz w:val="32"/>
          <w:szCs w:val="32"/>
        </w:rPr>
        <w:t>21.49</w:t>
      </w:r>
      <w:r>
        <w:rPr>
          <w:rFonts w:eastAsia="仿宋_GB2312"/>
          <w:kern w:val="0"/>
          <w:sz w:val="32"/>
          <w:szCs w:val="32"/>
        </w:rPr>
        <w:t>万人，超额完成任务。</w:t>
      </w:r>
      <w:r>
        <w:rPr>
          <w:rFonts w:eastAsia="仿宋_GB2312"/>
          <w:sz w:val="32"/>
          <w:szCs w:val="32"/>
        </w:rPr>
        <w:t>医疗保险救助工作于</w:t>
      </w:r>
      <w:r>
        <w:rPr>
          <w:rFonts w:eastAsia="仿宋_GB2312"/>
          <w:sz w:val="32"/>
          <w:szCs w:val="32"/>
        </w:rPr>
        <w:t>2019</w:t>
      </w:r>
      <w:r>
        <w:rPr>
          <w:rFonts w:eastAsia="仿宋_GB2312"/>
          <w:sz w:val="32"/>
          <w:szCs w:val="32"/>
        </w:rPr>
        <w:t>年</w:t>
      </w:r>
      <w:r>
        <w:rPr>
          <w:rFonts w:eastAsia="仿宋_GB2312"/>
          <w:sz w:val="32"/>
          <w:szCs w:val="32"/>
        </w:rPr>
        <w:t>4</w:t>
      </w:r>
      <w:r>
        <w:rPr>
          <w:rFonts w:eastAsia="仿宋_GB2312"/>
          <w:sz w:val="32"/>
          <w:szCs w:val="32"/>
        </w:rPr>
        <w:t>月底由我局负责</w:t>
      </w:r>
      <w:r>
        <w:rPr>
          <w:rFonts w:eastAsia="仿宋_GB2312"/>
          <w:sz w:val="32"/>
          <w:szCs w:val="32"/>
        </w:rPr>
        <w:t>,</w:t>
      </w:r>
      <w:r>
        <w:rPr>
          <w:rFonts w:eastAsia="仿宋_GB2312"/>
          <w:sz w:val="32"/>
          <w:szCs w:val="32"/>
        </w:rPr>
        <w:lastRenderedPageBreak/>
        <w:t>支付一站式结算救助资金</w:t>
      </w:r>
      <w:r>
        <w:rPr>
          <w:rFonts w:eastAsia="仿宋_GB2312"/>
          <w:sz w:val="32"/>
          <w:szCs w:val="32"/>
        </w:rPr>
        <w:t>181.14</w:t>
      </w:r>
      <w:r>
        <w:rPr>
          <w:rFonts w:eastAsia="仿宋_GB2312"/>
          <w:sz w:val="32"/>
          <w:szCs w:val="32"/>
        </w:rPr>
        <w:t>万元，特困人员门诊补助</w:t>
      </w:r>
      <w:r>
        <w:rPr>
          <w:rFonts w:eastAsia="仿宋_GB2312"/>
          <w:sz w:val="32"/>
          <w:szCs w:val="32"/>
        </w:rPr>
        <w:t>57.18</w:t>
      </w:r>
      <w:r>
        <w:rPr>
          <w:rFonts w:eastAsia="仿宋_GB2312"/>
          <w:sz w:val="32"/>
          <w:szCs w:val="32"/>
        </w:rPr>
        <w:t>万元，通过一卡通救助支付</w:t>
      </w:r>
      <w:r>
        <w:rPr>
          <w:rFonts w:eastAsia="仿宋_GB2312"/>
          <w:sz w:val="32"/>
          <w:szCs w:val="32"/>
        </w:rPr>
        <w:t>192.06</w:t>
      </w:r>
      <w:r>
        <w:rPr>
          <w:rFonts w:eastAsia="仿宋_GB2312"/>
          <w:sz w:val="32"/>
          <w:szCs w:val="32"/>
        </w:rPr>
        <w:t>万元，矽肺病人医疗救助</w:t>
      </w:r>
      <w:r>
        <w:rPr>
          <w:rFonts w:eastAsia="仿宋_GB2312"/>
          <w:sz w:val="32"/>
          <w:szCs w:val="32"/>
        </w:rPr>
        <w:t>19.9</w:t>
      </w:r>
      <w:r>
        <w:rPr>
          <w:rFonts w:eastAsia="仿宋_GB2312"/>
          <w:sz w:val="32"/>
          <w:szCs w:val="32"/>
        </w:rPr>
        <w:t>万元，共支付</w:t>
      </w:r>
      <w:r>
        <w:rPr>
          <w:rFonts w:eastAsia="仿宋_GB2312"/>
          <w:sz w:val="32"/>
          <w:szCs w:val="32"/>
        </w:rPr>
        <w:t>450.28</w:t>
      </w:r>
      <w:r>
        <w:rPr>
          <w:rFonts w:eastAsia="仿宋_GB2312"/>
          <w:sz w:val="32"/>
          <w:szCs w:val="32"/>
        </w:rPr>
        <w:t>万元。</w:t>
      </w:r>
      <w:r>
        <w:rPr>
          <w:rFonts w:ascii="仿宋_GB2312" w:eastAsia="仿宋_GB2312" w:hAnsi="仿宋_GB2312" w:cs="仿宋_GB2312" w:hint="eastAsia"/>
          <w:b/>
          <w:bCs/>
          <w:kern w:val="0"/>
          <w:sz w:val="32"/>
          <w:szCs w:val="32"/>
        </w:rPr>
        <w:t>二是健康扶贫助推脱贫攻坚，</w:t>
      </w:r>
      <w:r>
        <w:rPr>
          <w:rFonts w:eastAsia="仿宋_GB2312"/>
          <w:sz w:val="32"/>
          <w:szCs w:val="32"/>
        </w:rPr>
        <w:t>根据市人社局《关于做好全市贫困人口医疗保险脱贫攻坚的实施意见》（乐人社发〔</w:t>
      </w:r>
      <w:r>
        <w:rPr>
          <w:rFonts w:eastAsia="仿宋_GB2312"/>
          <w:sz w:val="32"/>
          <w:szCs w:val="32"/>
        </w:rPr>
        <w:t>2016</w:t>
      </w:r>
      <w:r>
        <w:rPr>
          <w:rFonts w:eastAsia="仿宋_GB2312"/>
          <w:sz w:val="32"/>
          <w:szCs w:val="32"/>
        </w:rPr>
        <w:t>〕</w:t>
      </w:r>
      <w:r>
        <w:rPr>
          <w:rFonts w:eastAsia="仿宋_GB2312"/>
          <w:sz w:val="32"/>
          <w:szCs w:val="32"/>
        </w:rPr>
        <w:t>100</w:t>
      </w:r>
      <w:r>
        <w:rPr>
          <w:rFonts w:eastAsia="仿宋_GB2312"/>
          <w:sz w:val="32"/>
          <w:szCs w:val="32"/>
        </w:rPr>
        <w:t>号）规定，将全县</w:t>
      </w:r>
      <w:r>
        <w:rPr>
          <w:rFonts w:eastAsia="仿宋_GB2312" w:hint="eastAsia"/>
          <w:sz w:val="32"/>
          <w:szCs w:val="32"/>
        </w:rPr>
        <w:t>28651</w:t>
      </w:r>
      <w:r>
        <w:rPr>
          <w:rFonts w:eastAsia="仿宋_GB2312"/>
          <w:sz w:val="32"/>
          <w:szCs w:val="32"/>
        </w:rPr>
        <w:t>名建档立卡贫困人口全部纳入城乡居民基本医疗保险覆盖范围，财政统一按一档</w:t>
      </w:r>
      <w:r>
        <w:rPr>
          <w:rFonts w:eastAsia="仿宋_GB2312"/>
          <w:sz w:val="32"/>
          <w:szCs w:val="32"/>
        </w:rPr>
        <w:t>220</w:t>
      </w:r>
      <w:r>
        <w:rPr>
          <w:rFonts w:eastAsia="仿宋_GB2312"/>
          <w:sz w:val="32"/>
          <w:szCs w:val="32"/>
        </w:rPr>
        <w:t>元</w:t>
      </w: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人缴费标准全额代缴。建立建档立卡贫困人口医保报账绿色通道，提供快速、有序、高效的</w:t>
      </w:r>
      <w:r>
        <w:rPr>
          <w:rFonts w:eastAsia="仿宋_GB2312"/>
          <w:sz w:val="32"/>
          <w:szCs w:val="32"/>
        </w:rPr>
        <w:t>“</w:t>
      </w:r>
      <w:r>
        <w:rPr>
          <w:rFonts w:eastAsia="仿宋_GB2312"/>
          <w:sz w:val="32"/>
          <w:szCs w:val="32"/>
        </w:rPr>
        <w:t>一站式</w:t>
      </w:r>
      <w:r>
        <w:rPr>
          <w:rFonts w:eastAsia="仿宋_GB2312"/>
          <w:sz w:val="32"/>
          <w:szCs w:val="32"/>
        </w:rPr>
        <w:t>”</w:t>
      </w:r>
      <w:r>
        <w:rPr>
          <w:rFonts w:eastAsia="仿宋_GB2312"/>
          <w:sz w:val="32"/>
          <w:szCs w:val="32"/>
        </w:rPr>
        <w:t>报账服务，从</w:t>
      </w:r>
      <w:r>
        <w:rPr>
          <w:rFonts w:eastAsia="仿宋_GB2312"/>
          <w:sz w:val="32"/>
          <w:szCs w:val="32"/>
        </w:rPr>
        <w:t>4</w:t>
      </w:r>
      <w:r>
        <w:rPr>
          <w:rFonts w:eastAsia="仿宋_GB2312"/>
          <w:sz w:val="32"/>
          <w:szCs w:val="32"/>
        </w:rPr>
        <w:t>月</w:t>
      </w:r>
      <w:r>
        <w:rPr>
          <w:rFonts w:eastAsia="仿宋_GB2312"/>
          <w:sz w:val="32"/>
          <w:szCs w:val="32"/>
        </w:rPr>
        <w:t>20</w:t>
      </w:r>
      <w:r>
        <w:rPr>
          <w:rFonts w:eastAsia="仿宋_GB2312"/>
          <w:sz w:val="32"/>
          <w:szCs w:val="32"/>
        </w:rPr>
        <w:t>日起在县域内住院和特殊疾病门诊按政策范围内医疗费用</w:t>
      </w:r>
      <w:r>
        <w:rPr>
          <w:rFonts w:eastAsia="仿宋_GB2312"/>
          <w:sz w:val="32"/>
          <w:szCs w:val="32"/>
        </w:rPr>
        <w:t>93%</w:t>
      </w:r>
      <w:r>
        <w:rPr>
          <w:rFonts w:eastAsia="仿宋_GB2312"/>
          <w:sz w:val="32"/>
          <w:szCs w:val="32"/>
        </w:rPr>
        <w:t>的比例报销。</w:t>
      </w:r>
      <w:r>
        <w:rPr>
          <w:rFonts w:ascii="仿宋_GB2312" w:eastAsia="仿宋_GB2312" w:hAnsi="仿宋_GB2312" w:cs="仿宋_GB2312" w:hint="eastAsia"/>
          <w:b/>
          <w:bCs/>
          <w:kern w:val="0"/>
          <w:sz w:val="32"/>
          <w:szCs w:val="32"/>
        </w:rPr>
        <w:t>三是助力乡村振兴。</w:t>
      </w:r>
      <w:r>
        <w:rPr>
          <w:rFonts w:eastAsia="仿宋_GB2312"/>
          <w:color w:val="000000"/>
          <w:sz w:val="32"/>
          <w:szCs w:val="32"/>
        </w:rPr>
        <w:t>加强宣传，提高全民参保意识；完成全县城乡居民医疗保险参保任务</w:t>
      </w:r>
      <w:r>
        <w:rPr>
          <w:rFonts w:eastAsia="仿宋_GB2312"/>
          <w:sz w:val="32"/>
          <w:szCs w:val="32"/>
        </w:rPr>
        <w:t>；</w:t>
      </w:r>
      <w:r>
        <w:rPr>
          <w:rFonts w:eastAsia="仿宋_GB2312"/>
          <w:color w:val="000000"/>
          <w:sz w:val="32"/>
          <w:szCs w:val="32"/>
        </w:rPr>
        <w:t>全力完成低保、特困人员医疗救助。</w:t>
      </w:r>
      <w:r>
        <w:rPr>
          <w:rFonts w:ascii="仿宋_GB2312" w:eastAsia="仿宋_GB2312" w:hAnsi="仿宋_GB2312" w:cs="仿宋_GB2312" w:hint="eastAsia"/>
          <w:b/>
          <w:bCs/>
          <w:kern w:val="0"/>
          <w:sz w:val="32"/>
          <w:szCs w:val="32"/>
        </w:rPr>
        <w:t>四是狠抓民生实事工作。</w:t>
      </w:r>
      <w:r>
        <w:rPr>
          <w:rFonts w:eastAsia="仿宋_GB2312"/>
          <w:sz w:val="32"/>
          <w:szCs w:val="32"/>
        </w:rPr>
        <w:t>按照国家统一部署，提高了</w:t>
      </w:r>
      <w:r>
        <w:rPr>
          <w:rFonts w:eastAsia="仿宋_GB2312"/>
          <w:sz w:val="32"/>
          <w:szCs w:val="32"/>
        </w:rPr>
        <w:t>213530</w:t>
      </w:r>
      <w:r>
        <w:rPr>
          <w:rFonts w:eastAsia="仿宋_GB2312"/>
          <w:sz w:val="32"/>
          <w:szCs w:val="32"/>
        </w:rPr>
        <w:t>名城乡居民基本医疗保险财政补助标准，从每人每年</w:t>
      </w:r>
      <w:r>
        <w:rPr>
          <w:rFonts w:eastAsia="仿宋_GB2312"/>
          <w:sz w:val="32"/>
          <w:szCs w:val="32"/>
        </w:rPr>
        <w:t>490</w:t>
      </w:r>
      <w:r>
        <w:rPr>
          <w:rFonts w:eastAsia="仿宋_GB2312"/>
          <w:sz w:val="32"/>
          <w:szCs w:val="32"/>
        </w:rPr>
        <w:t>元提高到</w:t>
      </w:r>
      <w:r>
        <w:rPr>
          <w:rFonts w:eastAsia="仿宋_GB2312"/>
          <w:sz w:val="32"/>
          <w:szCs w:val="32"/>
        </w:rPr>
        <w:t>520</w:t>
      </w:r>
      <w:r>
        <w:rPr>
          <w:rFonts w:eastAsia="仿宋_GB2312"/>
          <w:sz w:val="32"/>
          <w:szCs w:val="32"/>
        </w:rPr>
        <w:t>元。全县</w:t>
      </w:r>
      <w:r>
        <w:rPr>
          <w:rFonts w:eastAsia="仿宋_GB2312" w:hint="eastAsia"/>
          <w:sz w:val="32"/>
          <w:szCs w:val="32"/>
        </w:rPr>
        <w:t>28651</w:t>
      </w:r>
      <w:r>
        <w:rPr>
          <w:rFonts w:eastAsia="仿宋_GB2312"/>
          <w:sz w:val="32"/>
          <w:szCs w:val="32"/>
        </w:rPr>
        <w:t>名建档立卡贫困人口参加城乡居民基本医疗保险的个人缴费部分，由财政部门按规定标准给予全额代缴，缴费标准从每人每年</w:t>
      </w:r>
      <w:r>
        <w:rPr>
          <w:rFonts w:eastAsia="仿宋_GB2312"/>
          <w:sz w:val="32"/>
          <w:szCs w:val="32"/>
        </w:rPr>
        <w:t>180</w:t>
      </w:r>
      <w:r>
        <w:rPr>
          <w:rFonts w:eastAsia="仿宋_GB2312"/>
          <w:sz w:val="32"/>
          <w:szCs w:val="32"/>
        </w:rPr>
        <w:t>元提高到</w:t>
      </w:r>
      <w:r>
        <w:rPr>
          <w:rFonts w:eastAsia="仿宋_GB2312"/>
          <w:sz w:val="32"/>
          <w:szCs w:val="32"/>
        </w:rPr>
        <w:t>220</w:t>
      </w:r>
      <w:r>
        <w:rPr>
          <w:rFonts w:eastAsia="仿宋_GB2312"/>
          <w:sz w:val="32"/>
          <w:szCs w:val="32"/>
        </w:rPr>
        <w:t>元，进一步减轻贫困人口社会保险缴费压力，确保贫困人口全部纳入基本医疗保险制度予以保障。</w:t>
      </w:r>
      <w:r>
        <w:rPr>
          <w:rFonts w:ascii="仿宋_GB2312" w:eastAsia="仿宋_GB2312" w:hAnsi="仿宋_GB2312" w:cs="仿宋_GB2312" w:hint="eastAsia"/>
          <w:b/>
          <w:bCs/>
          <w:kern w:val="0"/>
          <w:sz w:val="32"/>
          <w:szCs w:val="32"/>
        </w:rPr>
        <w:t>五是医共体工作。</w:t>
      </w:r>
      <w:r>
        <w:rPr>
          <w:rStyle w:val="a8"/>
          <w:rFonts w:ascii="仿宋_GB2312" w:eastAsia="仿宋_GB2312" w:hint="eastAsia"/>
          <w:b w:val="0"/>
          <w:sz w:val="32"/>
          <w:szCs w:val="32"/>
        </w:rPr>
        <w:t>充分利用互联网快捷高效的优势，县医疗保障局在探索医共体下“互联网+医疗健康”一站服务模式上做了突出贡献，实行“总额预付、结余留用、超支合理分担”的医保支付方式，实行“一个总额”，在医共体内共济调节使用总额指标，逐步推行医共体内住院医疗服务按</w:t>
      </w:r>
      <w:proofErr w:type="spellStart"/>
      <w:r>
        <w:rPr>
          <w:rStyle w:val="a8"/>
          <w:rFonts w:ascii="仿宋_GB2312" w:eastAsia="仿宋_GB2312" w:hint="eastAsia"/>
          <w:b w:val="0"/>
          <w:sz w:val="32"/>
          <w:szCs w:val="32"/>
        </w:rPr>
        <w:t>DRGs</w:t>
      </w:r>
      <w:proofErr w:type="spellEnd"/>
      <w:r>
        <w:rPr>
          <w:rStyle w:val="a8"/>
          <w:rFonts w:ascii="仿宋_GB2312" w:eastAsia="仿宋_GB2312" w:hint="eastAsia"/>
          <w:b w:val="0"/>
          <w:sz w:val="32"/>
          <w:szCs w:val="32"/>
        </w:rPr>
        <w:t>支付</w:t>
      </w:r>
      <w:r>
        <w:rPr>
          <w:rStyle w:val="a8"/>
          <w:rFonts w:ascii="仿宋_GB2312" w:eastAsia="仿宋_GB2312" w:hint="eastAsia"/>
          <w:b w:val="0"/>
          <w:sz w:val="32"/>
          <w:szCs w:val="32"/>
        </w:rPr>
        <w:lastRenderedPageBreak/>
        <w:t>方式。引导参保患者有序就诊，推动基层分级诊疗落地落实。</w:t>
      </w:r>
      <w:r>
        <w:rPr>
          <w:rFonts w:ascii="仿宋_GB2312" w:eastAsia="仿宋_GB2312" w:hAnsi="仿宋_GB2312" w:cs="仿宋_GB2312" w:hint="eastAsia"/>
          <w:b/>
          <w:bCs/>
          <w:kern w:val="0"/>
          <w:sz w:val="32"/>
          <w:szCs w:val="32"/>
        </w:rPr>
        <w:t>六是药品集中招采。</w:t>
      </w:r>
      <w:r>
        <w:rPr>
          <w:rFonts w:eastAsia="仿宋_GB2312"/>
          <w:sz w:val="32"/>
          <w:szCs w:val="32"/>
        </w:rPr>
        <w:t>完成了我县医疗机构的中选药品货款委托预付协议的签定工作和货款的第一次预付工作，共支付</w:t>
      </w:r>
      <w:r>
        <w:rPr>
          <w:rFonts w:eastAsia="仿宋_GB2312"/>
          <w:sz w:val="32"/>
          <w:szCs w:val="32"/>
        </w:rPr>
        <w:t>5</w:t>
      </w:r>
      <w:r>
        <w:rPr>
          <w:rFonts w:eastAsia="仿宋_GB2312"/>
          <w:sz w:val="32"/>
          <w:szCs w:val="32"/>
        </w:rPr>
        <w:t>家配送企业货款</w:t>
      </w:r>
      <w:r>
        <w:rPr>
          <w:rFonts w:eastAsia="仿宋_GB2312"/>
          <w:sz w:val="32"/>
          <w:szCs w:val="32"/>
        </w:rPr>
        <w:t>63268.66</w:t>
      </w:r>
      <w:r>
        <w:rPr>
          <w:rFonts w:eastAsia="仿宋_GB2312"/>
          <w:sz w:val="32"/>
          <w:szCs w:val="32"/>
        </w:rPr>
        <w:t>元</w:t>
      </w:r>
      <w:r>
        <w:rPr>
          <w:rFonts w:eastAsia="仿宋_GB2312" w:hint="eastAsia"/>
          <w:sz w:val="32"/>
          <w:szCs w:val="32"/>
        </w:rPr>
        <w:t>，全县</w:t>
      </w:r>
      <w:r>
        <w:rPr>
          <w:rFonts w:eastAsia="仿宋_GB2312"/>
          <w:sz w:val="32"/>
          <w:szCs w:val="32"/>
        </w:rPr>
        <w:t>享受到集采药品实惠政策使用</w:t>
      </w:r>
      <w:r>
        <w:rPr>
          <w:rFonts w:eastAsia="仿宋_GB2312" w:hint="eastAsia"/>
          <w:sz w:val="32"/>
          <w:szCs w:val="32"/>
        </w:rPr>
        <w:t>达</w:t>
      </w:r>
      <w:r>
        <w:rPr>
          <w:rFonts w:eastAsia="仿宋_GB2312"/>
          <w:sz w:val="32"/>
          <w:szCs w:val="32"/>
        </w:rPr>
        <w:t>495</w:t>
      </w:r>
      <w:r>
        <w:rPr>
          <w:rFonts w:eastAsia="仿宋_GB2312"/>
          <w:sz w:val="32"/>
          <w:szCs w:val="32"/>
        </w:rPr>
        <w:t>人次。</w:t>
      </w:r>
    </w:p>
    <w:p w:rsidR="00701DE1" w:rsidRDefault="00131786">
      <w:pPr>
        <w:pStyle w:val="2"/>
        <w:rPr>
          <w:rStyle w:val="2Char"/>
        </w:rPr>
      </w:pPr>
      <w:bookmarkStart w:id="31" w:name="_Toc15377200"/>
      <w:bookmarkStart w:id="32" w:name="_Toc15396601"/>
      <w:bookmarkStart w:id="33" w:name="_Toc24358_WPSOffice_Level2"/>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31"/>
      <w:bookmarkEnd w:id="32"/>
      <w:bookmarkEnd w:id="33"/>
    </w:p>
    <w:p w:rsidR="00701DE1" w:rsidRDefault="00131786">
      <w:pPr>
        <w:snapToGrid w:val="0"/>
        <w:spacing w:line="600" w:lineRule="exact"/>
        <w:ind w:firstLineChars="200" w:firstLine="640"/>
        <w:rPr>
          <w:rFonts w:ascii="仿宋_GB2312" w:eastAsia="仿宋_GB2312" w:hAnsi="仿宋_GB2312" w:cs="仿宋_GB2312"/>
          <w:kern w:val="0"/>
          <w:sz w:val="32"/>
          <w:szCs w:val="32"/>
        </w:rPr>
      </w:pPr>
      <w:r>
        <w:rPr>
          <w:rFonts w:ascii="仿宋" w:eastAsia="仿宋" w:hAnsi="仿宋" w:hint="eastAsia"/>
          <w:sz w:val="32"/>
          <w:szCs w:val="32"/>
        </w:rPr>
        <w:t>沐川县医疗保障局（以下简称沐川县医保局）属行政单位，</w:t>
      </w:r>
      <w:r>
        <w:rPr>
          <w:rFonts w:ascii="仿宋_GB2312" w:eastAsia="仿宋_GB2312" w:hAnsi="仿宋_GB2312" w:cs="仿宋_GB2312" w:hint="eastAsia"/>
          <w:kern w:val="0"/>
          <w:sz w:val="32"/>
          <w:szCs w:val="32"/>
        </w:rPr>
        <w:t>下</w:t>
      </w:r>
      <w:r>
        <w:rPr>
          <w:rFonts w:ascii="仿宋" w:eastAsia="仿宋" w:hAnsi="仿宋" w:hint="eastAsia"/>
          <w:sz w:val="32"/>
          <w:szCs w:val="32"/>
        </w:rPr>
        <w:t>设</w:t>
      </w:r>
      <w:r>
        <w:rPr>
          <w:rFonts w:ascii="仿宋_GB2312" w:eastAsia="仿宋_GB2312" w:hAnsi="仿宋_GB2312" w:cs="仿宋_GB2312" w:hint="eastAsia"/>
          <w:kern w:val="0"/>
          <w:sz w:val="32"/>
          <w:szCs w:val="32"/>
        </w:rPr>
        <w:t>事业单位沐川县医疗保险服务中心。</w:t>
      </w:r>
    </w:p>
    <w:p w:rsidR="00701DE1" w:rsidRDefault="00131786">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纳入沐川县医保局2019年度部门决算编制范围的二级预算单位包括：</w:t>
      </w:r>
      <w:r>
        <w:rPr>
          <w:rFonts w:hAnsi="仿宋_GB2312" w:cs="仿宋_GB2312" w:hint="eastAsia"/>
          <w:sz w:val="32"/>
          <w:szCs w:val="32"/>
        </w:rPr>
        <w:t>沐川县医疗保险服务中心。</w:t>
      </w:r>
    </w:p>
    <w:p w:rsidR="00701DE1" w:rsidRDefault="00131786">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701DE1" w:rsidRDefault="00131786">
      <w:pPr>
        <w:pStyle w:val="1"/>
        <w:ind w:right="440"/>
        <w:jc w:val="right"/>
        <w:rPr>
          <w:rStyle w:val="1Char"/>
          <w:rFonts w:ascii="黑体" w:eastAsia="黑体" w:hAnsi="黑体"/>
        </w:rPr>
      </w:pPr>
      <w:bookmarkStart w:id="34" w:name="_Toc15396602"/>
      <w:bookmarkStart w:id="35" w:name="_Toc15377204"/>
      <w:bookmarkStart w:id="36" w:name="_Toc23538_WPSOffice_Level1"/>
      <w:r>
        <w:rPr>
          <w:rFonts w:ascii="黑体" w:eastAsia="黑体" w:hAnsi="黑体" w:hint="eastAsia"/>
          <w:b w:val="0"/>
          <w:color w:val="000000"/>
        </w:rPr>
        <w:lastRenderedPageBreak/>
        <w:t>第二部分</w:t>
      </w:r>
      <w:r>
        <w:rPr>
          <w:rStyle w:val="1Char"/>
          <w:rFonts w:ascii="黑体" w:eastAsia="黑体" w:hAnsi="黑体" w:hint="eastAsia"/>
        </w:rPr>
        <w:t>2019年度部门决算情况说明</w:t>
      </w:r>
      <w:bookmarkEnd w:id="34"/>
      <w:bookmarkEnd w:id="35"/>
      <w:bookmarkEnd w:id="36"/>
    </w:p>
    <w:p w:rsidR="00701DE1" w:rsidRDefault="00701DE1"/>
    <w:p w:rsidR="00701DE1" w:rsidRDefault="00131786">
      <w:pPr>
        <w:pStyle w:val="aa"/>
        <w:numPr>
          <w:ilvl w:val="0"/>
          <w:numId w:val="1"/>
        </w:numPr>
        <w:spacing w:line="600" w:lineRule="exact"/>
        <w:ind w:firstLineChars="0"/>
        <w:outlineLvl w:val="1"/>
        <w:rPr>
          <w:rStyle w:val="2Char"/>
          <w:rFonts w:ascii="黑体" w:eastAsia="黑体" w:hAnsi="黑体"/>
          <w:b w:val="0"/>
        </w:rPr>
      </w:pPr>
      <w:bookmarkStart w:id="37" w:name="_Toc15396603"/>
      <w:bookmarkStart w:id="38" w:name="_Toc15377205"/>
      <w:bookmarkStart w:id="39" w:name="_Toc3960_WPSOffice_Level2"/>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7"/>
      <w:bookmarkEnd w:id="38"/>
      <w:bookmarkEnd w:id="39"/>
    </w:p>
    <w:p w:rsidR="00701DE1" w:rsidRDefault="00131786">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2019年度收入104.01万元；支出104.01万元。2019年新成立单位，无2018年决算数。</w:t>
      </w:r>
    </w:p>
    <w:p w:rsidR="00701DE1" w:rsidRDefault="00131786">
      <w:pPr>
        <w:pStyle w:val="aa"/>
        <w:numPr>
          <w:ilvl w:val="0"/>
          <w:numId w:val="1"/>
        </w:numPr>
        <w:spacing w:line="600" w:lineRule="exact"/>
        <w:ind w:firstLineChars="0"/>
        <w:outlineLvl w:val="1"/>
        <w:rPr>
          <w:rStyle w:val="2Char"/>
          <w:rFonts w:ascii="黑体" w:eastAsia="黑体" w:hAnsi="黑体"/>
          <w:b w:val="0"/>
        </w:rPr>
      </w:pPr>
      <w:bookmarkStart w:id="40" w:name="_Toc15396604"/>
      <w:bookmarkStart w:id="41" w:name="_Toc15377206"/>
      <w:bookmarkStart w:id="42" w:name="_Toc9854_WPSOffice_Level2"/>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0"/>
      <w:bookmarkEnd w:id="41"/>
      <w:bookmarkEnd w:id="42"/>
    </w:p>
    <w:p w:rsidR="00701DE1" w:rsidRDefault="00131786">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9年本年收入合计104.01万元，其中：一般公共预算财政拨款收入90.37万元，占86.89</w:t>
      </w:r>
      <w:r>
        <w:rPr>
          <w:rFonts w:ascii="仿宋" w:eastAsia="仿宋" w:hAnsi="仿宋"/>
          <w:color w:val="000000"/>
          <w:sz w:val="32"/>
          <w:szCs w:val="32"/>
        </w:rPr>
        <w:t>%</w:t>
      </w:r>
      <w:r>
        <w:rPr>
          <w:rFonts w:ascii="仿宋" w:eastAsia="仿宋" w:hAnsi="仿宋" w:hint="eastAsia"/>
          <w:color w:val="000000"/>
          <w:sz w:val="32"/>
          <w:szCs w:val="32"/>
        </w:rPr>
        <w:t>；年初结转和结余收入13.64万元，占13.11%。</w:t>
      </w:r>
    </w:p>
    <w:p w:rsidR="00701DE1" w:rsidRDefault="00131786">
      <w:pPr>
        <w:spacing w:line="600" w:lineRule="exact"/>
        <w:ind w:firstLineChars="200" w:firstLine="640"/>
        <w:outlineLvl w:val="1"/>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1312" behindDoc="0" locked="0" layoutInCell="1" allowOverlap="1">
            <wp:simplePos x="0" y="0"/>
            <wp:positionH relativeFrom="column">
              <wp:posOffset>911860</wp:posOffset>
            </wp:positionH>
            <wp:positionV relativeFrom="paragraph">
              <wp:posOffset>18415</wp:posOffset>
            </wp:positionV>
            <wp:extent cx="3681095" cy="2210435"/>
            <wp:effectExtent l="0" t="0" r="0" b="0"/>
            <wp:wrapSquare wrapText="bothSides"/>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11"/>
                    <a:srcRect/>
                    <a:stretch>
                      <a:fillRect/>
                    </a:stretch>
                  </pic:blipFill>
                  <pic:spPr>
                    <a:xfrm>
                      <a:off x="0" y="0"/>
                      <a:ext cx="3681095" cy="2210435"/>
                    </a:xfrm>
                    <a:prstGeom prst="rect">
                      <a:avLst/>
                    </a:prstGeom>
                    <a:noFill/>
                  </pic:spPr>
                </pic:pic>
              </a:graphicData>
            </a:graphic>
          </wp:anchor>
        </w:drawing>
      </w:r>
    </w:p>
    <w:p w:rsidR="00701DE1" w:rsidRDefault="00701DE1">
      <w:pPr>
        <w:spacing w:line="600" w:lineRule="exact"/>
        <w:rPr>
          <w:rFonts w:ascii="仿宋" w:eastAsia="仿宋" w:hAnsi="仿宋"/>
          <w:color w:val="000000" w:themeColor="text1"/>
          <w:sz w:val="32"/>
          <w:szCs w:val="32"/>
        </w:rPr>
      </w:pPr>
    </w:p>
    <w:p w:rsidR="00701DE1" w:rsidRDefault="00701DE1">
      <w:pPr>
        <w:spacing w:line="600" w:lineRule="exact"/>
        <w:rPr>
          <w:rFonts w:ascii="仿宋" w:eastAsia="仿宋" w:hAnsi="仿宋"/>
          <w:color w:val="000000" w:themeColor="text1"/>
          <w:sz w:val="32"/>
          <w:szCs w:val="32"/>
        </w:rPr>
      </w:pPr>
    </w:p>
    <w:p w:rsidR="00701DE1" w:rsidRDefault="00701DE1">
      <w:pPr>
        <w:spacing w:line="600" w:lineRule="exact"/>
        <w:rPr>
          <w:rFonts w:ascii="仿宋" w:eastAsia="仿宋" w:hAnsi="仿宋"/>
          <w:color w:val="000000" w:themeColor="text1"/>
          <w:sz w:val="32"/>
          <w:szCs w:val="32"/>
        </w:rPr>
      </w:pPr>
    </w:p>
    <w:p w:rsidR="00701DE1" w:rsidRDefault="00701DE1">
      <w:pPr>
        <w:spacing w:line="600" w:lineRule="exact"/>
        <w:rPr>
          <w:rFonts w:ascii="仿宋" w:eastAsia="仿宋" w:hAnsi="仿宋"/>
          <w:color w:val="000000" w:themeColor="text1"/>
          <w:sz w:val="32"/>
          <w:szCs w:val="32"/>
        </w:rPr>
      </w:pPr>
    </w:p>
    <w:p w:rsidR="00701DE1" w:rsidRDefault="00701DE1">
      <w:pPr>
        <w:spacing w:line="600" w:lineRule="exact"/>
        <w:rPr>
          <w:rFonts w:ascii="仿宋" w:eastAsia="仿宋" w:hAnsi="仿宋"/>
          <w:color w:val="000000" w:themeColor="text1"/>
          <w:sz w:val="32"/>
          <w:szCs w:val="32"/>
        </w:rPr>
      </w:pPr>
    </w:p>
    <w:p w:rsidR="00701DE1" w:rsidRDefault="00131786">
      <w:pPr>
        <w:spacing w:line="600" w:lineRule="exact"/>
        <w:ind w:firstLineChars="700" w:firstLine="2240"/>
        <w:rPr>
          <w:rFonts w:ascii="仿宋" w:eastAsia="仿宋" w:hAnsi="仿宋"/>
          <w:color w:val="000000" w:themeColor="text1"/>
          <w:sz w:val="32"/>
          <w:szCs w:val="32"/>
        </w:rPr>
      </w:pPr>
      <w:r>
        <w:rPr>
          <w:rFonts w:ascii="仿宋" w:eastAsia="仿宋" w:hAnsi="仿宋" w:hint="eastAsia"/>
          <w:color w:val="000000" w:themeColor="text1"/>
          <w:sz w:val="32"/>
          <w:szCs w:val="32"/>
        </w:rPr>
        <w:t>（图1：2019年收入决算结构图）</w:t>
      </w:r>
    </w:p>
    <w:p w:rsidR="00701DE1" w:rsidRDefault="00131786">
      <w:pPr>
        <w:pStyle w:val="aa"/>
        <w:numPr>
          <w:ilvl w:val="0"/>
          <w:numId w:val="1"/>
        </w:numPr>
        <w:spacing w:line="600" w:lineRule="exact"/>
        <w:ind w:firstLineChars="0"/>
        <w:outlineLvl w:val="1"/>
        <w:rPr>
          <w:rStyle w:val="2Char"/>
          <w:rFonts w:ascii="黑体" w:eastAsia="黑体" w:hAnsi="黑体"/>
          <w:b w:val="0"/>
        </w:rPr>
      </w:pPr>
      <w:bookmarkStart w:id="43" w:name="_Toc15377207"/>
      <w:bookmarkStart w:id="44" w:name="_Toc15396605"/>
      <w:bookmarkStart w:id="45" w:name="_Toc24878_WPSOffice_Level2"/>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3"/>
      <w:bookmarkEnd w:id="44"/>
      <w:bookmarkEnd w:id="45"/>
    </w:p>
    <w:p w:rsidR="00701DE1" w:rsidRDefault="00131786">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9年本年支出合计104.01万元，其中：基本支出78.76万元，占75.72</w:t>
      </w:r>
      <w:r>
        <w:rPr>
          <w:rFonts w:ascii="仿宋" w:eastAsia="仿宋" w:hAnsi="仿宋"/>
          <w:color w:val="000000"/>
          <w:sz w:val="32"/>
          <w:szCs w:val="32"/>
        </w:rPr>
        <w:t>%</w:t>
      </w:r>
      <w:r>
        <w:rPr>
          <w:rFonts w:ascii="仿宋" w:eastAsia="仿宋" w:hAnsi="仿宋" w:hint="eastAsia"/>
          <w:color w:val="000000"/>
          <w:sz w:val="32"/>
          <w:szCs w:val="32"/>
        </w:rPr>
        <w:t>；项目支出25.25万元，占24.28</w:t>
      </w:r>
      <w:r>
        <w:rPr>
          <w:rFonts w:ascii="仿宋" w:eastAsia="仿宋" w:hAnsi="仿宋"/>
          <w:color w:val="000000"/>
          <w:sz w:val="32"/>
          <w:szCs w:val="32"/>
        </w:rPr>
        <w:t>%</w:t>
      </w:r>
      <w:r>
        <w:rPr>
          <w:rFonts w:ascii="仿宋" w:eastAsia="仿宋" w:hAnsi="仿宋" w:hint="eastAsia"/>
          <w:color w:val="000000"/>
          <w:sz w:val="32"/>
          <w:szCs w:val="32"/>
        </w:rPr>
        <w:t>。</w:t>
      </w:r>
    </w:p>
    <w:p w:rsidR="00701DE1" w:rsidRDefault="00701DE1">
      <w:pPr>
        <w:spacing w:line="600" w:lineRule="exact"/>
        <w:ind w:firstLineChars="200" w:firstLine="640"/>
        <w:outlineLvl w:val="1"/>
        <w:rPr>
          <w:rFonts w:ascii="仿宋" w:eastAsia="仿宋" w:hAnsi="仿宋"/>
          <w:color w:val="000000"/>
          <w:sz w:val="32"/>
          <w:szCs w:val="32"/>
        </w:rPr>
      </w:pPr>
    </w:p>
    <w:p w:rsidR="00701DE1" w:rsidRDefault="00131786">
      <w:pPr>
        <w:spacing w:line="600" w:lineRule="exact"/>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62336" behindDoc="0" locked="0" layoutInCell="1" allowOverlap="1">
            <wp:simplePos x="0" y="0"/>
            <wp:positionH relativeFrom="column">
              <wp:posOffset>911860</wp:posOffset>
            </wp:positionH>
            <wp:positionV relativeFrom="paragraph">
              <wp:posOffset>-691515</wp:posOffset>
            </wp:positionV>
            <wp:extent cx="3529965" cy="2114550"/>
            <wp:effectExtent l="0" t="0" r="0" b="0"/>
            <wp:wrapSquare wrapText="bothSides"/>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noChangeArrowheads="1"/>
                    </pic:cNvPicPr>
                  </pic:nvPicPr>
                  <pic:blipFill>
                    <a:blip r:embed="rId12"/>
                    <a:srcRect/>
                    <a:stretch>
                      <a:fillRect/>
                    </a:stretch>
                  </pic:blipFill>
                  <pic:spPr>
                    <a:xfrm>
                      <a:off x="0" y="0"/>
                      <a:ext cx="3529965" cy="2114550"/>
                    </a:xfrm>
                    <a:prstGeom prst="rect">
                      <a:avLst/>
                    </a:prstGeom>
                    <a:noFill/>
                  </pic:spPr>
                </pic:pic>
              </a:graphicData>
            </a:graphic>
          </wp:anchor>
        </w:drawing>
      </w:r>
      <w:r>
        <w:rPr>
          <w:rFonts w:ascii="仿宋" w:eastAsia="仿宋" w:hAnsi="仿宋" w:hint="eastAsia"/>
          <w:color w:val="000000" w:themeColor="text1"/>
          <w:sz w:val="32"/>
          <w:szCs w:val="32"/>
        </w:rPr>
        <w:t xml:space="preserve"> </w:t>
      </w:r>
    </w:p>
    <w:p w:rsidR="00701DE1" w:rsidRDefault="00701DE1">
      <w:pPr>
        <w:spacing w:line="600" w:lineRule="exact"/>
        <w:ind w:firstLineChars="200" w:firstLine="640"/>
        <w:rPr>
          <w:rFonts w:ascii="仿宋" w:eastAsia="仿宋" w:hAnsi="仿宋"/>
          <w:color w:val="000000" w:themeColor="text1"/>
          <w:sz w:val="32"/>
          <w:szCs w:val="32"/>
        </w:rPr>
      </w:pPr>
    </w:p>
    <w:p w:rsidR="00701DE1" w:rsidRDefault="00131786">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701DE1" w:rsidRDefault="00701DE1">
      <w:pPr>
        <w:spacing w:line="600" w:lineRule="exact"/>
        <w:rPr>
          <w:rFonts w:ascii="仿宋" w:eastAsia="仿宋" w:hAnsi="仿宋"/>
          <w:color w:val="000000" w:themeColor="text1"/>
          <w:sz w:val="32"/>
          <w:szCs w:val="32"/>
        </w:rPr>
      </w:pPr>
    </w:p>
    <w:p w:rsidR="00701DE1" w:rsidRDefault="00131786">
      <w:pPr>
        <w:spacing w:line="600" w:lineRule="exact"/>
        <w:ind w:firstLineChars="600" w:firstLine="1920"/>
        <w:rPr>
          <w:rFonts w:ascii="仿宋" w:eastAsia="仿宋" w:hAnsi="仿宋"/>
          <w:color w:val="000000" w:themeColor="text1"/>
          <w:sz w:val="32"/>
          <w:szCs w:val="32"/>
        </w:rPr>
      </w:pPr>
      <w:r>
        <w:rPr>
          <w:rFonts w:ascii="仿宋" w:eastAsia="仿宋" w:hAnsi="仿宋" w:hint="eastAsia"/>
          <w:color w:val="000000" w:themeColor="text1"/>
          <w:sz w:val="32"/>
          <w:szCs w:val="32"/>
        </w:rPr>
        <w:t>（图2：2019年支出决算结构图）</w:t>
      </w:r>
      <w:bookmarkStart w:id="46" w:name="_Toc15396606"/>
      <w:bookmarkStart w:id="47" w:name="_Toc15377208"/>
    </w:p>
    <w:p w:rsidR="00701DE1" w:rsidRDefault="00131786">
      <w:pPr>
        <w:spacing w:line="600" w:lineRule="exact"/>
        <w:ind w:firstLineChars="200" w:firstLine="640"/>
        <w:outlineLvl w:val="1"/>
        <w:rPr>
          <w:rStyle w:val="2Char"/>
          <w:rFonts w:ascii="黑体" w:eastAsia="黑体" w:hAnsi="黑体"/>
          <w:b w:val="0"/>
        </w:rPr>
      </w:pPr>
      <w:bookmarkStart w:id="48" w:name="_Toc2760_WPSOffice_Level2"/>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6"/>
      <w:bookmarkEnd w:id="47"/>
      <w:bookmarkEnd w:id="48"/>
    </w:p>
    <w:p w:rsidR="00701DE1" w:rsidRDefault="00131786">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9年财政拨款收入104.01万元；财政拨款支出104.01万元。2019年新成立单位，无2018年财政拨款收支。</w:t>
      </w:r>
    </w:p>
    <w:p w:rsidR="00701DE1" w:rsidRDefault="00131786">
      <w:pPr>
        <w:spacing w:line="600" w:lineRule="exact"/>
        <w:ind w:firstLineChars="200" w:firstLine="640"/>
        <w:outlineLvl w:val="1"/>
        <w:rPr>
          <w:rStyle w:val="2Char"/>
          <w:rFonts w:ascii="黑体" w:eastAsia="黑体" w:hAnsi="黑体"/>
          <w:b w:val="0"/>
        </w:rPr>
      </w:pPr>
      <w:bookmarkStart w:id="49" w:name="_Toc15377209"/>
      <w:bookmarkStart w:id="50" w:name="_Toc15396607"/>
      <w:bookmarkStart w:id="51" w:name="_Toc13863_WPSOffice_Level2"/>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9"/>
      <w:bookmarkEnd w:id="50"/>
      <w:bookmarkEnd w:id="51"/>
    </w:p>
    <w:p w:rsidR="00701DE1" w:rsidRDefault="00131786">
      <w:pPr>
        <w:spacing w:line="600" w:lineRule="exact"/>
        <w:ind w:firstLineChars="200" w:firstLine="643"/>
        <w:outlineLvl w:val="2"/>
        <w:rPr>
          <w:rFonts w:ascii="仿宋" w:eastAsia="仿宋" w:hAnsi="仿宋"/>
          <w:b/>
          <w:color w:val="000000"/>
          <w:sz w:val="32"/>
          <w:szCs w:val="32"/>
        </w:rPr>
      </w:pPr>
      <w:bookmarkStart w:id="52" w:name="_Toc15377210"/>
      <w:r>
        <w:rPr>
          <w:rFonts w:ascii="仿宋" w:eastAsia="仿宋" w:hAnsi="仿宋" w:hint="eastAsia"/>
          <w:b/>
          <w:color w:val="000000"/>
          <w:sz w:val="32"/>
          <w:szCs w:val="32"/>
        </w:rPr>
        <w:t>（一）一般公共预算财政拨款支出决算总体情况</w:t>
      </w:r>
      <w:bookmarkEnd w:id="52"/>
    </w:p>
    <w:p w:rsidR="00701DE1" w:rsidRDefault="00131786">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9年一般公共预算财政拨款支出104.01万元，占本年支出合计的100</w:t>
      </w:r>
      <w:r>
        <w:rPr>
          <w:rFonts w:ascii="仿宋" w:eastAsia="仿宋" w:hAnsi="仿宋"/>
          <w:color w:val="000000"/>
          <w:sz w:val="32"/>
          <w:szCs w:val="32"/>
        </w:rPr>
        <w:t>%</w:t>
      </w:r>
      <w:r>
        <w:rPr>
          <w:rFonts w:ascii="仿宋" w:eastAsia="仿宋" w:hAnsi="仿宋" w:hint="eastAsia"/>
          <w:color w:val="000000"/>
          <w:sz w:val="32"/>
          <w:szCs w:val="32"/>
        </w:rPr>
        <w:t>。</w:t>
      </w:r>
    </w:p>
    <w:p w:rsidR="00701DE1" w:rsidRDefault="00131786">
      <w:pPr>
        <w:spacing w:line="600" w:lineRule="exact"/>
        <w:ind w:firstLineChars="200" w:firstLine="643"/>
        <w:outlineLvl w:val="2"/>
        <w:rPr>
          <w:rFonts w:ascii="仿宋" w:eastAsia="仿宋" w:hAnsi="仿宋"/>
          <w:b/>
          <w:color w:val="000000"/>
          <w:sz w:val="32"/>
          <w:szCs w:val="32"/>
        </w:rPr>
      </w:pPr>
      <w:bookmarkStart w:id="53" w:name="_Toc15377211"/>
      <w:r>
        <w:rPr>
          <w:rFonts w:ascii="仿宋" w:eastAsia="仿宋" w:hAnsi="仿宋" w:hint="eastAsia"/>
          <w:b/>
          <w:color w:val="000000"/>
          <w:sz w:val="32"/>
          <w:szCs w:val="32"/>
        </w:rPr>
        <w:t>（二）一般公共预算财政拨款支出决算结构情况</w:t>
      </w:r>
      <w:bookmarkEnd w:id="53"/>
    </w:p>
    <w:p w:rsidR="00701DE1" w:rsidRDefault="00131786">
      <w:pPr>
        <w:spacing w:line="600" w:lineRule="exact"/>
        <w:ind w:firstLine="640"/>
        <w:rPr>
          <w:rFonts w:ascii="仿宋" w:eastAsia="仿宋" w:hAnsi="仿宋"/>
          <w:color w:val="000000" w:themeColor="text1"/>
          <w:sz w:val="32"/>
          <w:szCs w:val="32"/>
        </w:rPr>
      </w:pPr>
      <w:r>
        <w:rPr>
          <w:rFonts w:ascii="仿宋" w:eastAsia="仿宋" w:hAnsi="仿宋"/>
          <w:noProof/>
          <w:color w:val="000000"/>
          <w:sz w:val="32"/>
          <w:szCs w:val="32"/>
        </w:rPr>
        <w:drawing>
          <wp:anchor distT="0" distB="0" distL="114300" distR="114300" simplePos="0" relativeHeight="251660288" behindDoc="1" locked="0" layoutInCell="1" allowOverlap="1">
            <wp:simplePos x="0" y="0"/>
            <wp:positionH relativeFrom="column">
              <wp:posOffset>959485</wp:posOffset>
            </wp:positionH>
            <wp:positionV relativeFrom="paragraph">
              <wp:posOffset>1200785</wp:posOffset>
            </wp:positionV>
            <wp:extent cx="3530600" cy="2115185"/>
            <wp:effectExtent l="0" t="0" r="0" b="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3"/>
                    <a:srcRect/>
                    <a:stretch>
                      <a:fillRect/>
                    </a:stretch>
                  </pic:blipFill>
                  <pic:spPr>
                    <a:xfrm>
                      <a:off x="0" y="0"/>
                      <a:ext cx="3530379" cy="2115047"/>
                    </a:xfrm>
                    <a:prstGeom prst="rect">
                      <a:avLst/>
                    </a:prstGeom>
                    <a:noFill/>
                  </pic:spPr>
                </pic:pic>
              </a:graphicData>
            </a:graphic>
          </wp:anchor>
        </w:drawing>
      </w: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政拨款支出104.01万元，主要用于以下方面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支出23.27万元，占22.37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71.28万元，占68.53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住房保障支出</w:t>
      </w:r>
      <w:r>
        <w:rPr>
          <w:rFonts w:ascii="仿宋" w:eastAsia="仿宋" w:hAnsi="仿宋" w:hint="eastAsia"/>
          <w:color w:val="000000" w:themeColor="text1"/>
          <w:sz w:val="32"/>
          <w:szCs w:val="32"/>
        </w:rPr>
        <w:t>9.47万元，占9.1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701DE1" w:rsidRDefault="00701DE1">
      <w:pPr>
        <w:spacing w:line="600" w:lineRule="exact"/>
        <w:ind w:firstLineChars="200" w:firstLine="640"/>
        <w:rPr>
          <w:rFonts w:ascii="仿宋" w:eastAsia="仿宋" w:hAnsi="仿宋"/>
          <w:color w:val="000000"/>
          <w:sz w:val="32"/>
          <w:szCs w:val="32"/>
        </w:rPr>
      </w:pPr>
    </w:p>
    <w:p w:rsidR="00701DE1" w:rsidRDefault="00701DE1">
      <w:pPr>
        <w:spacing w:line="600" w:lineRule="exact"/>
        <w:ind w:firstLineChars="200" w:firstLine="640"/>
        <w:rPr>
          <w:rFonts w:ascii="仿宋" w:eastAsia="仿宋" w:hAnsi="仿宋"/>
          <w:color w:val="000000"/>
          <w:sz w:val="32"/>
          <w:szCs w:val="32"/>
        </w:rPr>
      </w:pPr>
    </w:p>
    <w:p w:rsidR="00701DE1" w:rsidRDefault="00701DE1">
      <w:pPr>
        <w:spacing w:line="600" w:lineRule="exact"/>
        <w:ind w:firstLineChars="200" w:firstLine="640"/>
        <w:rPr>
          <w:rFonts w:ascii="仿宋" w:eastAsia="仿宋" w:hAnsi="仿宋"/>
          <w:color w:val="000000"/>
          <w:sz w:val="32"/>
          <w:szCs w:val="32"/>
        </w:rPr>
      </w:pPr>
    </w:p>
    <w:p w:rsidR="00701DE1" w:rsidRDefault="00701DE1">
      <w:pPr>
        <w:spacing w:line="600" w:lineRule="exact"/>
        <w:rPr>
          <w:rFonts w:ascii="仿宋" w:eastAsia="仿宋" w:hAnsi="仿宋"/>
          <w:color w:val="000000"/>
          <w:sz w:val="32"/>
          <w:szCs w:val="32"/>
        </w:rPr>
      </w:pPr>
    </w:p>
    <w:p w:rsidR="00701DE1" w:rsidRDefault="00131786">
      <w:pPr>
        <w:spacing w:line="60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（图3：2019年一般公共预算财政拨款支出决算结构）</w:t>
      </w:r>
    </w:p>
    <w:p w:rsidR="00701DE1" w:rsidRDefault="00131786">
      <w:pPr>
        <w:tabs>
          <w:tab w:val="right" w:pos="8306"/>
        </w:tabs>
        <w:spacing w:line="600" w:lineRule="exact"/>
        <w:ind w:firstLine="640"/>
        <w:outlineLvl w:val="1"/>
        <w:rPr>
          <w:rStyle w:val="2Char"/>
        </w:rPr>
      </w:pPr>
      <w:bookmarkStart w:id="54" w:name="_Toc15377214"/>
      <w:bookmarkStart w:id="55" w:name="_Toc15396608"/>
      <w:bookmarkStart w:id="56" w:name="_Toc23538_WPSOffice_Level2"/>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4"/>
      <w:bookmarkEnd w:id="55"/>
      <w:bookmarkEnd w:id="56"/>
      <w:r>
        <w:rPr>
          <w:rStyle w:val="2Char"/>
          <w:rFonts w:ascii="黑体" w:eastAsia="黑体" w:hAnsi="黑体"/>
          <w:b w:val="0"/>
        </w:rPr>
        <w:tab/>
      </w:r>
    </w:p>
    <w:p w:rsidR="00701DE1" w:rsidRDefault="00131786">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9年一般公共预算财政拨款基本支出104.01万元，其中：</w:t>
      </w:r>
    </w:p>
    <w:p w:rsidR="00701DE1" w:rsidRDefault="00131786">
      <w:pPr>
        <w:spacing w:line="600" w:lineRule="exact"/>
        <w:rPr>
          <w:rFonts w:ascii="仿宋" w:eastAsia="仿宋" w:hAnsi="仿宋"/>
          <w:color w:val="000000"/>
          <w:sz w:val="32"/>
          <w:szCs w:val="32"/>
        </w:rPr>
      </w:pPr>
      <w:r>
        <w:rPr>
          <w:rFonts w:ascii="仿宋" w:eastAsia="仿宋" w:hAnsi="仿宋" w:hint="eastAsia"/>
          <w:color w:val="000000"/>
          <w:sz w:val="32"/>
          <w:szCs w:val="32"/>
        </w:rPr>
        <w:t>人员经费74.33万元，主要包括：基本工资、津贴补贴、奖金、绩效工资、机关事业单位基本养老保险缴费、职业年金缴费、职工基本医疗保险缴费、其他社会保障缴费、其他工资福利支出、奖励金、住房公积金等。</w:t>
      </w:r>
      <w:r>
        <w:rPr>
          <w:rFonts w:ascii="仿宋" w:eastAsia="仿宋" w:hAnsi="仿宋"/>
          <w:color w:val="000000"/>
          <w:sz w:val="32"/>
          <w:szCs w:val="32"/>
        </w:rPr>
        <w:br/>
      </w:r>
      <w:r>
        <w:rPr>
          <w:rFonts w:ascii="仿宋" w:eastAsia="仿宋" w:hAnsi="仿宋" w:hint="eastAsia"/>
          <w:color w:val="000000"/>
          <w:sz w:val="32"/>
          <w:szCs w:val="32"/>
        </w:rPr>
        <w:t xml:space="preserve">　日常公用经费4.41万元，主要包括：邮电费、工会经费、福利费、公务用车运行维护费、其他交通费、其他商品和服务支出等。</w:t>
      </w:r>
    </w:p>
    <w:p w:rsidR="00701DE1" w:rsidRDefault="00131786">
      <w:pPr>
        <w:spacing w:line="600" w:lineRule="exact"/>
        <w:ind w:firstLine="640"/>
        <w:outlineLvl w:val="1"/>
        <w:rPr>
          <w:rStyle w:val="2Char"/>
          <w:rFonts w:ascii="黑体" w:eastAsia="黑体" w:hAnsi="黑体"/>
          <w:b w:val="0"/>
        </w:rPr>
      </w:pPr>
      <w:bookmarkStart w:id="57" w:name="_Toc15377215"/>
      <w:bookmarkStart w:id="58" w:name="_Toc15396609"/>
      <w:bookmarkStart w:id="59" w:name="_Toc20874_WPSOffice_Level2"/>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7"/>
      <w:bookmarkEnd w:id="58"/>
      <w:bookmarkEnd w:id="59"/>
    </w:p>
    <w:p w:rsidR="00701DE1" w:rsidRDefault="00131786">
      <w:pPr>
        <w:spacing w:line="600" w:lineRule="exact"/>
        <w:ind w:firstLine="640"/>
        <w:outlineLvl w:val="2"/>
        <w:rPr>
          <w:rFonts w:ascii="仿宋" w:eastAsia="仿宋" w:hAnsi="仿宋"/>
          <w:b/>
          <w:color w:val="000000"/>
          <w:sz w:val="32"/>
          <w:szCs w:val="32"/>
        </w:rPr>
      </w:pPr>
      <w:bookmarkStart w:id="60" w:name="_Toc15377216"/>
      <w:r>
        <w:rPr>
          <w:rFonts w:ascii="仿宋" w:eastAsia="仿宋" w:hAnsi="仿宋" w:hint="eastAsia"/>
          <w:b/>
          <w:color w:val="000000"/>
          <w:sz w:val="32"/>
          <w:szCs w:val="32"/>
        </w:rPr>
        <w:t>（一）“三公”经费财政拨款支出决算总体情况说明</w:t>
      </w:r>
      <w:bookmarkEnd w:id="60"/>
    </w:p>
    <w:p w:rsidR="00701DE1" w:rsidRDefault="00131786">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9年“三公”经费财政拨款支出决算为1.6万元。</w:t>
      </w:r>
    </w:p>
    <w:p w:rsidR="00701DE1" w:rsidRDefault="00131786">
      <w:pPr>
        <w:spacing w:line="600" w:lineRule="exact"/>
        <w:ind w:firstLine="640"/>
        <w:outlineLvl w:val="2"/>
        <w:rPr>
          <w:rFonts w:ascii="仿宋" w:eastAsia="仿宋" w:hAnsi="仿宋"/>
          <w:b/>
          <w:color w:val="000000"/>
          <w:sz w:val="32"/>
          <w:szCs w:val="32"/>
        </w:rPr>
      </w:pPr>
      <w:bookmarkStart w:id="61" w:name="_Toc15377217"/>
      <w:r>
        <w:rPr>
          <w:rFonts w:ascii="仿宋" w:eastAsia="仿宋" w:hAnsi="仿宋" w:hint="eastAsia"/>
          <w:b/>
          <w:color w:val="000000"/>
          <w:sz w:val="32"/>
          <w:szCs w:val="32"/>
        </w:rPr>
        <w:t>（二）“三公”经费财政拨款支出决算具体情况说明</w:t>
      </w:r>
      <w:bookmarkEnd w:id="61"/>
    </w:p>
    <w:p w:rsidR="00701DE1" w:rsidRDefault="00131786">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9年“三公”经费财政拨款支出决算中，公务用车购置及运行维护费支出决算1.3万元，占81.25</w:t>
      </w:r>
      <w:r>
        <w:rPr>
          <w:rFonts w:ascii="仿宋" w:eastAsia="仿宋" w:hAnsi="仿宋"/>
          <w:color w:val="000000"/>
          <w:sz w:val="32"/>
          <w:szCs w:val="32"/>
        </w:rPr>
        <w:t>%</w:t>
      </w:r>
      <w:r>
        <w:rPr>
          <w:rFonts w:ascii="仿宋" w:eastAsia="仿宋" w:hAnsi="仿宋" w:hint="eastAsia"/>
          <w:color w:val="000000"/>
          <w:sz w:val="32"/>
          <w:szCs w:val="32"/>
        </w:rPr>
        <w:t>；公务接待费支出决算0.3万元，占18.75</w:t>
      </w:r>
      <w:r>
        <w:rPr>
          <w:rFonts w:ascii="仿宋" w:eastAsia="仿宋" w:hAnsi="仿宋"/>
          <w:color w:val="000000"/>
          <w:sz w:val="32"/>
          <w:szCs w:val="32"/>
        </w:rPr>
        <w:t>%</w:t>
      </w:r>
      <w:r>
        <w:rPr>
          <w:rFonts w:ascii="仿宋" w:eastAsia="仿宋" w:hAnsi="仿宋" w:hint="eastAsia"/>
          <w:color w:val="000000"/>
          <w:sz w:val="32"/>
          <w:szCs w:val="32"/>
        </w:rPr>
        <w:t>。具体情况如下：</w:t>
      </w:r>
    </w:p>
    <w:p w:rsidR="00701DE1" w:rsidRDefault="00131786">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3360" behindDoc="0" locked="0" layoutInCell="1" allowOverlap="1">
            <wp:simplePos x="0" y="0"/>
            <wp:positionH relativeFrom="column">
              <wp:posOffset>991235</wp:posOffset>
            </wp:positionH>
            <wp:positionV relativeFrom="paragraph">
              <wp:posOffset>128905</wp:posOffset>
            </wp:positionV>
            <wp:extent cx="3545840" cy="213042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srcRect/>
                    <a:stretch>
                      <a:fillRect/>
                    </a:stretch>
                  </pic:blipFill>
                  <pic:spPr>
                    <a:xfrm>
                      <a:off x="0" y="0"/>
                      <a:ext cx="3545840" cy="2130425"/>
                    </a:xfrm>
                    <a:prstGeom prst="rect">
                      <a:avLst/>
                    </a:prstGeom>
                    <a:noFill/>
                  </pic:spPr>
                </pic:pic>
              </a:graphicData>
            </a:graphic>
          </wp:anchor>
        </w:drawing>
      </w:r>
    </w:p>
    <w:p w:rsidR="00701DE1" w:rsidRDefault="00701DE1">
      <w:pPr>
        <w:spacing w:line="600" w:lineRule="exact"/>
        <w:ind w:firstLine="640"/>
        <w:rPr>
          <w:rFonts w:ascii="仿宋" w:eastAsia="仿宋" w:hAnsi="仿宋"/>
          <w:color w:val="000000"/>
          <w:sz w:val="32"/>
          <w:szCs w:val="32"/>
        </w:rPr>
      </w:pPr>
    </w:p>
    <w:p w:rsidR="00701DE1" w:rsidRDefault="00701DE1">
      <w:pPr>
        <w:spacing w:line="600" w:lineRule="exact"/>
        <w:rPr>
          <w:rFonts w:ascii="仿宋" w:eastAsia="仿宋" w:hAnsi="仿宋"/>
          <w:color w:val="000000"/>
          <w:sz w:val="32"/>
          <w:szCs w:val="32"/>
        </w:rPr>
      </w:pPr>
    </w:p>
    <w:p w:rsidR="00701DE1" w:rsidRDefault="00701DE1">
      <w:pPr>
        <w:spacing w:line="600" w:lineRule="exact"/>
        <w:rPr>
          <w:rFonts w:ascii="仿宋" w:eastAsia="仿宋" w:hAnsi="仿宋"/>
          <w:color w:val="000000"/>
          <w:sz w:val="32"/>
          <w:szCs w:val="32"/>
        </w:rPr>
      </w:pPr>
    </w:p>
    <w:p w:rsidR="00701DE1" w:rsidRDefault="00701DE1">
      <w:pPr>
        <w:spacing w:line="600" w:lineRule="exact"/>
        <w:rPr>
          <w:rFonts w:ascii="仿宋" w:eastAsia="仿宋" w:hAnsi="仿宋"/>
          <w:color w:val="000000"/>
          <w:sz w:val="32"/>
          <w:szCs w:val="32"/>
        </w:rPr>
      </w:pPr>
    </w:p>
    <w:p w:rsidR="00701DE1" w:rsidRDefault="00701DE1">
      <w:pPr>
        <w:spacing w:line="600" w:lineRule="exact"/>
        <w:ind w:firstLine="640"/>
        <w:rPr>
          <w:rFonts w:ascii="仿宋" w:eastAsia="仿宋" w:hAnsi="仿宋"/>
          <w:color w:val="000000"/>
          <w:sz w:val="32"/>
          <w:szCs w:val="32"/>
        </w:rPr>
      </w:pPr>
    </w:p>
    <w:p w:rsidR="00701DE1" w:rsidRDefault="00131786">
      <w:pPr>
        <w:spacing w:line="600" w:lineRule="exact"/>
        <w:ind w:firstLineChars="450" w:firstLine="1440"/>
        <w:rPr>
          <w:rFonts w:ascii="仿宋" w:eastAsia="仿宋" w:hAnsi="仿宋"/>
          <w:color w:val="000000"/>
          <w:sz w:val="32"/>
          <w:szCs w:val="32"/>
        </w:rPr>
      </w:pPr>
      <w:r>
        <w:rPr>
          <w:rFonts w:ascii="仿宋" w:eastAsia="仿宋" w:hAnsi="仿宋" w:hint="eastAsia"/>
          <w:color w:val="000000"/>
          <w:sz w:val="32"/>
          <w:szCs w:val="32"/>
        </w:rPr>
        <w:t>（图4：“三公”经费财政拨款支出结构）</w:t>
      </w:r>
    </w:p>
    <w:p w:rsidR="00701DE1" w:rsidRDefault="00131786">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lastRenderedPageBreak/>
        <w:t>1</w:t>
      </w:r>
      <w:r>
        <w:rPr>
          <w:rFonts w:ascii="仿宋_GB2312" w:eastAsia="仿宋_GB2312"/>
          <w:b/>
          <w:color w:val="000000"/>
          <w:sz w:val="32"/>
          <w:szCs w:val="32"/>
        </w:rPr>
        <w:t>.</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1.3万元，</w:t>
      </w:r>
      <w:r>
        <w:rPr>
          <w:rFonts w:ascii="仿宋_GB2312" w:eastAsia="仿宋_GB2312"/>
          <w:b/>
          <w:color w:val="000000"/>
          <w:sz w:val="32"/>
          <w:szCs w:val="32"/>
        </w:rPr>
        <w:t xml:space="preserve"> </w:t>
      </w:r>
      <w:r>
        <w:rPr>
          <w:rFonts w:ascii="仿宋_GB2312" w:eastAsia="仿宋_GB2312" w:hint="eastAsia"/>
          <w:color w:val="000000"/>
          <w:sz w:val="32"/>
          <w:szCs w:val="32"/>
        </w:rPr>
        <w:t>其中：</w:t>
      </w:r>
      <w:r>
        <w:rPr>
          <w:rFonts w:ascii="仿宋_GB2312" w:eastAsia="仿宋_GB2312"/>
          <w:color w:val="000000"/>
          <w:sz w:val="32"/>
          <w:szCs w:val="32"/>
        </w:rPr>
        <w:t xml:space="preserve"> </w:t>
      </w: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1.3万元。主要用于医保业务工作、基金稽核、脱贫攻坚等所需的公务用车燃料费、维修费、过路过桥费、保险费等支出。</w:t>
      </w:r>
    </w:p>
    <w:p w:rsidR="00701DE1" w:rsidRDefault="00131786">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2</w:t>
      </w:r>
      <w:r>
        <w:rPr>
          <w:rFonts w:ascii="仿宋_GB2312" w:eastAsia="仿宋_GB2312"/>
          <w:b/>
          <w:color w:val="000000"/>
          <w:sz w:val="32"/>
          <w:szCs w:val="32"/>
        </w:rPr>
        <w:t>.</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0.3万元，其中：</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0.3</w:t>
      </w:r>
      <w:r>
        <w:rPr>
          <w:rFonts w:ascii="仿宋_GB2312" w:eastAsia="仿宋_GB2312" w:hint="eastAsia"/>
          <w:color w:val="000000"/>
          <w:sz w:val="32"/>
          <w:szCs w:val="32"/>
        </w:rPr>
        <w:t>万元，主要用于执行公务、开展业务活动开支的用餐费等，</w:t>
      </w:r>
      <w:r>
        <w:rPr>
          <w:rFonts w:ascii="仿宋_GB2312" w:eastAsia="仿宋_GB2312" w:hint="eastAsia"/>
          <w:sz w:val="32"/>
          <w:szCs w:val="32"/>
        </w:rPr>
        <w:t>国内公务接待5批次，37人次，共计支出0.3万元</w:t>
      </w:r>
      <w:r>
        <w:rPr>
          <w:rFonts w:ascii="仿宋_GB2312" w:eastAsia="仿宋_GB2312" w:hint="eastAsia"/>
          <w:color w:val="000000"/>
          <w:sz w:val="32"/>
          <w:szCs w:val="32"/>
        </w:rPr>
        <w:t>。</w:t>
      </w:r>
    </w:p>
    <w:p w:rsidR="00701DE1" w:rsidRDefault="00131786">
      <w:pPr>
        <w:spacing w:line="600" w:lineRule="exact"/>
        <w:ind w:firstLine="640"/>
        <w:outlineLvl w:val="1"/>
        <w:rPr>
          <w:rStyle w:val="2Char"/>
          <w:rFonts w:ascii="黑体" w:eastAsia="黑体" w:hAnsi="黑体"/>
        </w:rPr>
      </w:pPr>
      <w:bookmarkStart w:id="62" w:name="_Toc15377218"/>
      <w:bookmarkStart w:id="63" w:name="_Toc15396610"/>
      <w:bookmarkStart w:id="64" w:name="_Toc24520_WPSOffice_Level2"/>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62"/>
      <w:bookmarkEnd w:id="63"/>
      <w:bookmarkEnd w:id="64"/>
    </w:p>
    <w:p w:rsidR="00701DE1" w:rsidRDefault="00131786">
      <w:pPr>
        <w:spacing w:line="600" w:lineRule="exact"/>
        <w:ind w:firstLineChars="400" w:firstLine="1280"/>
        <w:rPr>
          <w:rFonts w:ascii="仿宋_GB2312" w:eastAsia="仿宋_GB2312"/>
          <w:color w:val="000000"/>
          <w:sz w:val="32"/>
          <w:szCs w:val="32"/>
        </w:rPr>
      </w:pPr>
      <w:r>
        <w:rPr>
          <w:rFonts w:ascii="仿宋_GB2312" w:eastAsia="仿宋_GB2312" w:hint="eastAsia"/>
          <w:color w:val="000000"/>
          <w:sz w:val="32"/>
          <w:szCs w:val="32"/>
        </w:rPr>
        <w:t>无政府性基金预算支出。</w:t>
      </w:r>
    </w:p>
    <w:p w:rsidR="00701DE1" w:rsidRDefault="00131786">
      <w:pPr>
        <w:numPr>
          <w:ilvl w:val="0"/>
          <w:numId w:val="2"/>
        </w:numPr>
        <w:spacing w:line="600" w:lineRule="exact"/>
        <w:ind w:firstLine="640"/>
        <w:outlineLvl w:val="1"/>
        <w:rPr>
          <w:rStyle w:val="2Char"/>
          <w:rFonts w:ascii="黑体" w:eastAsia="黑体" w:hAnsi="黑体"/>
          <w:b w:val="0"/>
        </w:rPr>
      </w:pPr>
      <w:bookmarkStart w:id="65" w:name="_Toc15377219"/>
      <w:bookmarkStart w:id="66" w:name="_Toc15396611"/>
      <w:bookmarkStart w:id="67" w:name="_Toc15402_WPSOffice_Level2"/>
      <w:r>
        <w:rPr>
          <w:rStyle w:val="2Char"/>
          <w:rFonts w:ascii="黑体" w:eastAsia="黑体" w:hAnsi="黑体" w:hint="eastAsia"/>
          <w:b w:val="0"/>
        </w:rPr>
        <w:t>国有资本经营预算支出决算情况说明</w:t>
      </w:r>
      <w:bookmarkEnd w:id="65"/>
      <w:bookmarkEnd w:id="66"/>
      <w:bookmarkEnd w:id="67"/>
    </w:p>
    <w:p w:rsidR="00701DE1" w:rsidRDefault="00131786">
      <w:pPr>
        <w:spacing w:line="600" w:lineRule="exact"/>
        <w:ind w:firstLineChars="400" w:firstLine="1280"/>
        <w:rPr>
          <w:rFonts w:ascii="仿宋_GB2312" w:eastAsia="仿宋_GB2312"/>
          <w:color w:val="000000"/>
          <w:sz w:val="32"/>
          <w:szCs w:val="32"/>
        </w:rPr>
      </w:pPr>
      <w:r>
        <w:rPr>
          <w:rFonts w:ascii="仿宋_GB2312" w:eastAsia="仿宋_GB2312" w:hint="eastAsia"/>
          <w:color w:val="000000"/>
          <w:sz w:val="32"/>
          <w:szCs w:val="32"/>
        </w:rPr>
        <w:t>无国有资本经营预算支出。</w:t>
      </w:r>
    </w:p>
    <w:p w:rsidR="00701DE1" w:rsidRDefault="00131786">
      <w:pPr>
        <w:spacing w:line="600" w:lineRule="exact"/>
        <w:ind w:firstLineChars="250" w:firstLine="800"/>
        <w:outlineLvl w:val="1"/>
        <w:rPr>
          <w:rStyle w:val="2Char"/>
          <w:rFonts w:ascii="黑体" w:eastAsia="黑体" w:hAnsi="黑体"/>
        </w:rPr>
      </w:pPr>
      <w:bookmarkStart w:id="68" w:name="_Toc15396612"/>
      <w:bookmarkStart w:id="69" w:name="_Toc15377221"/>
      <w:bookmarkStart w:id="70" w:name="_Toc21798_WPSOffice_Level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68"/>
      <w:bookmarkEnd w:id="69"/>
      <w:bookmarkEnd w:id="70"/>
    </w:p>
    <w:p w:rsidR="00701DE1" w:rsidRDefault="00131786">
      <w:pPr>
        <w:spacing w:line="600" w:lineRule="exact"/>
        <w:ind w:firstLineChars="200" w:firstLine="643"/>
        <w:outlineLvl w:val="2"/>
        <w:rPr>
          <w:rFonts w:ascii="仿宋" w:eastAsia="仿宋" w:hAnsi="仿宋"/>
          <w:color w:val="000000"/>
          <w:sz w:val="32"/>
          <w:szCs w:val="32"/>
        </w:rPr>
      </w:pPr>
      <w:bookmarkStart w:id="71" w:name="_Toc15377222"/>
      <w:r>
        <w:rPr>
          <w:rFonts w:ascii="仿宋" w:eastAsia="仿宋" w:hAnsi="仿宋" w:hint="eastAsia"/>
          <w:b/>
          <w:color w:val="000000"/>
          <w:sz w:val="32"/>
          <w:szCs w:val="32"/>
        </w:rPr>
        <w:t>（一）机关运行经费支出情况</w:t>
      </w:r>
      <w:bookmarkEnd w:id="71"/>
    </w:p>
    <w:p w:rsidR="00701DE1" w:rsidRDefault="00131786">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9年，医保局机关运行经费支出104.01万元。</w:t>
      </w:r>
    </w:p>
    <w:p w:rsidR="00701DE1" w:rsidRDefault="0013178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72" w:name="_Toc15377223"/>
      <w:r>
        <w:rPr>
          <w:rFonts w:ascii="仿宋" w:eastAsia="仿宋" w:hAnsi="仿宋" w:hint="eastAsia"/>
          <w:b/>
          <w:color w:val="000000"/>
          <w:sz w:val="32"/>
          <w:szCs w:val="32"/>
        </w:rPr>
        <w:t>（二）政府采购支出情况</w:t>
      </w:r>
      <w:bookmarkEnd w:id="72"/>
    </w:p>
    <w:p w:rsidR="00701DE1" w:rsidRDefault="00131786">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9年，无政府采购支出。</w:t>
      </w:r>
    </w:p>
    <w:p w:rsidR="00701DE1" w:rsidRDefault="0013178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73" w:name="_Toc15377224"/>
      <w:r>
        <w:rPr>
          <w:rFonts w:ascii="仿宋" w:eastAsia="仿宋" w:hAnsi="仿宋" w:hint="eastAsia"/>
          <w:b/>
          <w:color w:val="000000"/>
          <w:sz w:val="32"/>
          <w:szCs w:val="32"/>
        </w:rPr>
        <w:t>（三）国有资产占有使用情况</w:t>
      </w:r>
      <w:bookmarkEnd w:id="73"/>
    </w:p>
    <w:p w:rsidR="00701DE1" w:rsidRDefault="00131786">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日，县医保局共有车辆1辆，</w:t>
      </w:r>
      <w:r>
        <w:rPr>
          <w:rFonts w:ascii="仿宋_GB2312" w:eastAsia="仿宋_GB2312" w:hint="eastAsia"/>
          <w:color w:val="000000" w:themeColor="text1"/>
          <w:sz w:val="32"/>
          <w:szCs w:val="32"/>
        </w:rPr>
        <w:t>主要是用于开展</w:t>
      </w:r>
      <w:r>
        <w:rPr>
          <w:rFonts w:ascii="仿宋_GB2312" w:eastAsia="仿宋_GB2312" w:hint="eastAsia"/>
          <w:color w:val="000000"/>
          <w:sz w:val="32"/>
          <w:szCs w:val="32"/>
        </w:rPr>
        <w:t>医保业务工作、基金稽核、脱贫攻坚等工作。</w:t>
      </w:r>
    </w:p>
    <w:p w:rsidR="00701DE1" w:rsidRDefault="0013178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701DE1" w:rsidRDefault="0013178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医保局为2019年3月新成立单位，无专项预算项目，因此未组织开展项目支出绩效评价。</w:t>
      </w:r>
    </w:p>
    <w:p w:rsidR="00701DE1" w:rsidRDefault="00131786">
      <w:pPr>
        <w:widowControl/>
        <w:ind w:firstLineChars="745" w:firstLine="2393"/>
        <w:jc w:val="left"/>
        <w:rPr>
          <w:rStyle w:val="1Char"/>
          <w:rFonts w:ascii="黑体" w:eastAsia="黑体" w:hAnsi="黑体"/>
          <w:b w:val="0"/>
        </w:rPr>
      </w:pPr>
      <w:r>
        <w:rPr>
          <w:rFonts w:ascii="仿宋_GB2312" w:eastAsia="仿宋_GB2312"/>
          <w:b/>
          <w:color w:val="000000"/>
          <w:sz w:val="32"/>
          <w:szCs w:val="32"/>
        </w:rPr>
        <w:br w:type="page"/>
      </w:r>
      <w:bookmarkStart w:id="74" w:name="_Toc15396613"/>
      <w:bookmarkStart w:id="75" w:name="_Toc15377225"/>
      <w:bookmarkStart w:id="76" w:name="_Toc20874_WPSOffice_Level1"/>
      <w:r>
        <w:rPr>
          <w:rStyle w:val="1Char"/>
          <w:rFonts w:ascii="黑体" w:eastAsia="黑体" w:hAnsi="黑体" w:hint="eastAsia"/>
          <w:b w:val="0"/>
          <w:bCs w:val="0"/>
        </w:rPr>
        <w:lastRenderedPageBreak/>
        <w:t>第三部分</w:t>
      </w:r>
      <w:r>
        <w:rPr>
          <w:rStyle w:val="1Char"/>
          <w:rFonts w:ascii="黑体" w:eastAsia="黑体" w:hAnsi="黑体" w:hint="eastAsia"/>
          <w:bCs w:val="0"/>
        </w:rPr>
        <w:t xml:space="preserve"> </w:t>
      </w:r>
      <w:r>
        <w:rPr>
          <w:rStyle w:val="1Char"/>
          <w:rFonts w:ascii="黑体" w:eastAsia="黑体" w:hAnsi="黑体" w:hint="eastAsia"/>
        </w:rPr>
        <w:t xml:space="preserve"> </w:t>
      </w:r>
      <w:r>
        <w:rPr>
          <w:rFonts w:ascii="黑体" w:eastAsia="黑体" w:hAnsi="黑体" w:hint="eastAsia"/>
          <w:color w:val="000000"/>
          <w:sz w:val="44"/>
          <w:szCs w:val="44"/>
        </w:rPr>
        <w:t>名</w:t>
      </w:r>
      <w:r>
        <w:rPr>
          <w:rStyle w:val="1Char"/>
          <w:rFonts w:ascii="黑体" w:eastAsia="黑体" w:hAnsi="黑体" w:hint="eastAsia"/>
          <w:b w:val="0"/>
        </w:rPr>
        <w:t>词解释</w:t>
      </w:r>
      <w:bookmarkEnd w:id="74"/>
      <w:bookmarkEnd w:id="75"/>
      <w:bookmarkEnd w:id="76"/>
    </w:p>
    <w:p w:rsidR="00701DE1" w:rsidRDefault="00701DE1">
      <w:pPr>
        <w:spacing w:line="600" w:lineRule="exact"/>
        <w:jc w:val="left"/>
        <w:rPr>
          <w:rFonts w:ascii="宋体"/>
          <w:b/>
          <w:color w:val="000000"/>
          <w:sz w:val="44"/>
          <w:szCs w:val="44"/>
        </w:rPr>
      </w:pP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701DE1" w:rsidRDefault="00131786">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一般公共服务类：指保障</w:t>
      </w:r>
      <w:r>
        <w:rPr>
          <w:rFonts w:ascii="仿宋_GB2312" w:eastAsia="仿宋_GB2312" w:hAnsi="Calibri" w:cs="仿宋" w:hint="eastAsia"/>
          <w:color w:val="000000"/>
          <w:kern w:val="0"/>
          <w:sz w:val="32"/>
          <w:szCs w:val="32"/>
        </w:rPr>
        <w:t>机关正常运转的日常支出等</w:t>
      </w:r>
      <w:r>
        <w:rPr>
          <w:rFonts w:ascii="仿宋_GB2312" w:eastAsia="仿宋_GB2312" w:hint="eastAsia"/>
          <w:color w:val="000000"/>
          <w:sz w:val="32"/>
          <w:szCs w:val="32"/>
        </w:rPr>
        <w:t>。</w:t>
      </w:r>
    </w:p>
    <w:p w:rsidR="00701DE1" w:rsidRDefault="00131786">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社会保障和就业类</w:t>
      </w:r>
      <w:r>
        <w:rPr>
          <w:rFonts w:ascii="仿宋_GB2312" w:eastAsia="仿宋_GB2312" w:hAnsi="Calibri" w:cs="仿宋" w:hint="eastAsia"/>
          <w:color w:val="000000"/>
          <w:kern w:val="0"/>
          <w:sz w:val="32"/>
          <w:szCs w:val="32"/>
        </w:rPr>
        <w:t>：指为机关及下属事业单位按照规定标准为职工缴纳机关事业单位基本养老保险费等支出。</w:t>
      </w:r>
    </w:p>
    <w:p w:rsidR="00701DE1" w:rsidRDefault="00131786">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医疗卫生与计划生育类：指按照规定标准为单位职工缴纳医疗保险金等支出。</w:t>
      </w:r>
    </w:p>
    <w:p w:rsidR="00701DE1" w:rsidRDefault="00131786">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701DE1" w:rsidRDefault="00131786">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701DE1" w:rsidRDefault="00131786">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01DE1" w:rsidRDefault="0013178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1DE1" w:rsidRDefault="00701DE1">
      <w:pPr>
        <w:pStyle w:val="Default"/>
        <w:spacing w:line="560" w:lineRule="exact"/>
        <w:ind w:firstLineChars="200" w:firstLine="640"/>
        <w:rPr>
          <w:rFonts w:ascii="仿宋_GB2312" w:eastAsia="仿宋_GB2312" w:cs="黑体"/>
          <w:sz w:val="32"/>
          <w:szCs w:val="32"/>
        </w:rPr>
      </w:pPr>
    </w:p>
    <w:p w:rsidR="00701DE1" w:rsidRDefault="00701DE1">
      <w:pPr>
        <w:spacing w:line="600" w:lineRule="exact"/>
        <w:jc w:val="center"/>
        <w:outlineLvl w:val="0"/>
        <w:rPr>
          <w:rFonts w:ascii="宋体"/>
          <w:b/>
          <w:color w:val="000000"/>
          <w:sz w:val="44"/>
          <w:szCs w:val="44"/>
        </w:rPr>
      </w:pPr>
      <w:bookmarkStart w:id="77" w:name="_Toc15377226"/>
    </w:p>
    <w:p w:rsidR="00701DE1" w:rsidRDefault="00131786">
      <w:pPr>
        <w:spacing w:line="600" w:lineRule="exact"/>
        <w:jc w:val="center"/>
        <w:outlineLvl w:val="0"/>
        <w:rPr>
          <w:rStyle w:val="1Char"/>
          <w:rFonts w:ascii="黑体" w:eastAsia="黑体" w:hAnsi="黑体"/>
          <w:b w:val="0"/>
        </w:rPr>
      </w:pPr>
      <w:bookmarkStart w:id="78" w:name="_Toc24520_WPSOffice_Level1"/>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78"/>
    </w:p>
    <w:p w:rsidR="00701DE1" w:rsidRDefault="00131786">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701DE1" w:rsidRDefault="00701DE1">
      <w:pPr>
        <w:spacing w:line="580" w:lineRule="exact"/>
        <w:jc w:val="center"/>
        <w:rPr>
          <w:rFonts w:ascii="方正小标宋简体" w:eastAsia="方正小标宋简体" w:hAnsi="方正小标宋简体" w:cs="方正小标宋简体"/>
          <w:sz w:val="44"/>
          <w:szCs w:val="44"/>
        </w:rPr>
      </w:pPr>
    </w:p>
    <w:p w:rsidR="00701DE1" w:rsidRDefault="00131786">
      <w:pPr>
        <w:spacing w:line="600" w:lineRule="exact"/>
        <w:jc w:val="center"/>
        <w:rPr>
          <w:rFonts w:ascii="方正小标宋简体" w:eastAsia="方正小标宋简体" w:hAnsi="宋体"/>
          <w:color w:val="000000"/>
          <w:kern w:val="0"/>
          <w:sz w:val="40"/>
          <w:szCs w:val="44"/>
          <w:lang w:val="zh-CN"/>
        </w:rPr>
      </w:pPr>
      <w:bookmarkStart w:id="79" w:name="_Toc30077_WPSOffice_Level2"/>
      <w:r>
        <w:rPr>
          <w:rFonts w:ascii="方正小标宋简体" w:eastAsia="方正小标宋简体" w:hAnsi="宋体" w:hint="eastAsia"/>
          <w:color w:val="000000"/>
          <w:kern w:val="0"/>
          <w:sz w:val="40"/>
          <w:szCs w:val="44"/>
        </w:rPr>
        <w:t>县医保局</w:t>
      </w: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bookmarkEnd w:id="79"/>
    </w:p>
    <w:p w:rsidR="00701DE1" w:rsidRDefault="00701DE1">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701DE1" w:rsidRDefault="00131786">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bookmarkStart w:id="80" w:name="_Toc12679_WPSOffice_Level2"/>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bookmarkEnd w:id="80"/>
    </w:p>
    <w:p w:rsidR="00701DE1" w:rsidRDefault="00131786">
      <w:pPr>
        <w:snapToGrid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宋体" w:cs="宋体" w:hint="eastAsia"/>
          <w:color w:val="000000"/>
          <w:kern w:val="0"/>
          <w:sz w:val="32"/>
          <w:szCs w:val="32"/>
          <w:shd w:val="clear" w:color="auto" w:fill="FFFFFF"/>
          <w:lang w:val="zh-CN"/>
        </w:rPr>
        <w:t>（一）机构组成。</w:t>
      </w:r>
      <w:r>
        <w:rPr>
          <w:rFonts w:ascii="仿宋" w:eastAsia="仿宋" w:hAnsi="仿宋" w:hint="eastAsia"/>
          <w:sz w:val="32"/>
          <w:szCs w:val="32"/>
        </w:rPr>
        <w:t>沐川县医保局属行政单位，</w:t>
      </w:r>
      <w:r>
        <w:rPr>
          <w:rFonts w:ascii="仿宋_GB2312" w:eastAsia="仿宋_GB2312" w:hAnsi="仿宋_GB2312" w:cs="仿宋_GB2312" w:hint="eastAsia"/>
          <w:kern w:val="0"/>
          <w:sz w:val="32"/>
          <w:szCs w:val="32"/>
        </w:rPr>
        <w:t>下</w:t>
      </w:r>
      <w:r>
        <w:rPr>
          <w:rFonts w:ascii="仿宋" w:eastAsia="仿宋" w:hAnsi="仿宋" w:hint="eastAsia"/>
          <w:sz w:val="32"/>
          <w:szCs w:val="32"/>
        </w:rPr>
        <w:t>设</w:t>
      </w:r>
      <w:r>
        <w:rPr>
          <w:rFonts w:ascii="仿宋_GB2312" w:eastAsia="仿宋_GB2312" w:hAnsi="仿宋_GB2312" w:cs="仿宋_GB2312" w:hint="eastAsia"/>
          <w:kern w:val="0"/>
          <w:sz w:val="32"/>
          <w:szCs w:val="32"/>
        </w:rPr>
        <w:t>事业单位沐川县医疗保险服务中心。</w:t>
      </w:r>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r>
        <w:rPr>
          <w:rFonts w:ascii="仿宋_GB2312" w:eastAsia="仿宋_GB2312" w:hAnsi="仿宋_GB2312" w:cs="仿宋_GB2312" w:hint="eastAsia"/>
          <w:kern w:val="0"/>
          <w:sz w:val="32"/>
          <w:szCs w:val="32"/>
        </w:rPr>
        <w:t>组织拟订全县医疗保险、生育保险、医疗救助等医疗保障方面的发展规划、政策以及相关的规范性文件、并组织实施和监督检查。组织拟订并实施医疗保障基金监督管理制度，建立健全医疗保障基金安全防控机制，监督全县医疗保障基金的运行管理等。</w:t>
      </w:r>
    </w:p>
    <w:p w:rsidR="00701DE1" w:rsidRDefault="00131786">
      <w:pPr>
        <w:pStyle w:val="a7"/>
        <w:widowControl/>
        <w:spacing w:before="0" w:beforeAutospacing="0" w:after="0" w:afterAutospacing="0"/>
        <w:ind w:firstLine="640"/>
        <w:rPr>
          <w:rFonts w:ascii="微软雅黑" w:eastAsia="微软雅黑" w:hAnsi="微软雅黑" w:cs="微软雅黑"/>
          <w:color w:val="000000"/>
          <w:sz w:val="27"/>
          <w:szCs w:val="27"/>
        </w:rPr>
      </w:pPr>
      <w:r>
        <w:rPr>
          <w:rFonts w:ascii="仿宋_GB2312" w:eastAsia="仿宋_GB2312" w:hAnsi="宋体" w:cs="宋体" w:hint="eastAsia"/>
          <w:color w:val="000000"/>
          <w:sz w:val="32"/>
          <w:szCs w:val="32"/>
          <w:shd w:val="clear" w:color="auto" w:fill="FFFFFF"/>
          <w:lang w:val="zh-CN"/>
        </w:rPr>
        <w:t>（三）人员概况。县医保局核定行政编制5名、事业编制8名，2019年底实有在职行政人员4名，事业人员7名，工勤人员1名。</w:t>
      </w:r>
    </w:p>
    <w:p w:rsidR="00701DE1" w:rsidRDefault="00131786">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bookmarkStart w:id="81" w:name="_Toc18796_WPSOffice_Level2"/>
      <w:r>
        <w:rPr>
          <w:rFonts w:ascii="黑体" w:eastAsia="黑体" w:hAnsi="宋体" w:cs="宋体" w:hint="eastAsia"/>
          <w:color w:val="000000"/>
          <w:kern w:val="0"/>
          <w:sz w:val="32"/>
          <w:szCs w:val="32"/>
          <w:shd w:val="clear" w:color="auto" w:fill="FFFFFF"/>
        </w:rPr>
        <w:t>二、部门财政资金收支情况</w:t>
      </w:r>
      <w:bookmarkEnd w:id="81"/>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r>
        <w:rPr>
          <w:rFonts w:ascii="仿宋" w:eastAsia="仿宋" w:hAnsi="仿宋" w:hint="eastAsia"/>
          <w:color w:val="000000"/>
          <w:sz w:val="32"/>
          <w:szCs w:val="32"/>
        </w:rPr>
        <w:t>2019年度收入104.01万元。</w:t>
      </w:r>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r>
        <w:rPr>
          <w:rFonts w:ascii="仿宋" w:eastAsia="仿宋" w:hAnsi="仿宋" w:hint="eastAsia"/>
          <w:color w:val="000000"/>
          <w:sz w:val="32"/>
          <w:szCs w:val="32"/>
        </w:rPr>
        <w:t>2019年度支出104.01万元。</w:t>
      </w:r>
    </w:p>
    <w:p w:rsidR="00701DE1" w:rsidRDefault="00131786">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bookmarkStart w:id="82" w:name="_Toc29733_WPSOffice_Level2"/>
      <w:r>
        <w:rPr>
          <w:rFonts w:ascii="黑体" w:eastAsia="黑体" w:hAnsi="宋体" w:cs="宋体" w:hint="eastAsia"/>
          <w:color w:val="000000"/>
          <w:kern w:val="0"/>
          <w:sz w:val="32"/>
          <w:szCs w:val="32"/>
          <w:shd w:val="clear" w:color="auto" w:fill="FFFFFF"/>
        </w:rPr>
        <w:t>三、部门整体预算绩效管理情况</w:t>
      </w:r>
      <w:bookmarkEnd w:id="82"/>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701DE1" w:rsidRDefault="00131786">
      <w:pPr>
        <w:pStyle w:val="a7"/>
        <w:widowControl/>
        <w:spacing w:before="0" w:beforeAutospacing="0" w:after="0" w:afterAutospacing="0" w:line="540" w:lineRule="atLeast"/>
        <w:ind w:firstLine="640"/>
        <w:rPr>
          <w:rFonts w:ascii="微软雅黑" w:eastAsia="微软雅黑" w:hAnsi="微软雅黑" w:cs="微软雅黑"/>
          <w:color w:val="000000"/>
          <w:sz w:val="27"/>
          <w:szCs w:val="27"/>
        </w:rPr>
      </w:pPr>
      <w:r>
        <w:rPr>
          <w:rFonts w:ascii="仿宋_GB2312" w:eastAsia="仿宋_GB2312" w:hAnsi="微软雅黑" w:cs="仿宋_GB2312"/>
          <w:color w:val="000000"/>
          <w:sz w:val="32"/>
          <w:szCs w:val="32"/>
          <w:shd w:val="clear" w:color="auto" w:fill="FFFFFF"/>
        </w:rPr>
        <w:lastRenderedPageBreak/>
        <w:t>严格按照财政厅预算编制要求，认真贯彻落实中央、省委省政府关于</w:t>
      </w:r>
      <w:r>
        <w:rPr>
          <w:rFonts w:ascii="微软雅黑" w:eastAsia="微软雅黑" w:hAnsi="微软雅黑" w:cs="微软雅黑" w:hint="eastAsia"/>
          <w:color w:val="000000"/>
          <w:sz w:val="32"/>
          <w:szCs w:val="32"/>
          <w:shd w:val="clear" w:color="auto" w:fill="FFFFFF"/>
        </w:rPr>
        <w:t>“</w:t>
      </w:r>
      <w:r>
        <w:rPr>
          <w:rFonts w:ascii="仿宋_GB2312" w:eastAsia="仿宋_GB2312" w:hAnsi="微软雅黑" w:cs="仿宋_GB2312"/>
          <w:color w:val="000000"/>
          <w:sz w:val="32"/>
          <w:szCs w:val="32"/>
          <w:shd w:val="clear" w:color="auto" w:fill="FFFFFF"/>
        </w:rPr>
        <w:t>厉行节约</w:t>
      </w:r>
      <w:r>
        <w:rPr>
          <w:rFonts w:ascii="微软雅黑" w:eastAsia="微软雅黑" w:hAnsi="微软雅黑" w:cs="微软雅黑" w:hint="eastAsia"/>
          <w:color w:val="000000"/>
          <w:sz w:val="32"/>
          <w:szCs w:val="32"/>
          <w:shd w:val="clear" w:color="auto" w:fill="FFFFFF"/>
        </w:rPr>
        <w:t>”</w:t>
      </w:r>
      <w:r>
        <w:rPr>
          <w:rFonts w:ascii="仿宋_GB2312" w:eastAsia="仿宋_GB2312" w:hAnsi="微软雅黑" w:cs="仿宋_GB2312"/>
          <w:color w:val="000000"/>
          <w:sz w:val="32"/>
          <w:szCs w:val="32"/>
          <w:shd w:val="clear" w:color="auto" w:fill="FFFFFF"/>
        </w:rPr>
        <w:t>的一系列指示要求，扎实做好预算工作，确保预算编制的科学性和准确性。加强支出进度管理，完善预算动态监控，主动作为，提前谋划，确保机关</w:t>
      </w:r>
      <w:r>
        <w:rPr>
          <w:rFonts w:ascii="仿宋_GB2312" w:eastAsia="仿宋_GB2312" w:hAnsi="微软雅黑" w:cs="仿宋_GB2312" w:hint="eastAsia"/>
          <w:color w:val="000000"/>
          <w:sz w:val="32"/>
          <w:szCs w:val="32"/>
          <w:shd w:val="clear" w:color="auto" w:fill="FFFFFF"/>
        </w:rPr>
        <w:t>正常</w:t>
      </w:r>
      <w:r>
        <w:rPr>
          <w:rFonts w:ascii="仿宋_GB2312" w:eastAsia="仿宋_GB2312" w:hAnsi="微软雅黑" w:cs="仿宋_GB2312"/>
          <w:color w:val="000000"/>
          <w:sz w:val="32"/>
          <w:szCs w:val="32"/>
          <w:shd w:val="clear" w:color="auto" w:fill="FFFFFF"/>
        </w:rPr>
        <w:t>运行。</w:t>
      </w:r>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701DE1" w:rsidRDefault="00131786">
      <w:pPr>
        <w:widowControl/>
        <w:spacing w:line="580" w:lineRule="atLeast"/>
        <w:ind w:firstLine="64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部门账务实行专人管理，专户储存，专款专用；组织专人做好决算编报和审核工作。做好决算公开，财务活动接受审计、财政、纪检监察等部门的监督检查。</w:t>
      </w:r>
    </w:p>
    <w:p w:rsidR="00701DE1" w:rsidRDefault="00131786">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bookmarkStart w:id="83" w:name="_Toc22899_WPSOffice_Level2"/>
      <w:r>
        <w:rPr>
          <w:rFonts w:ascii="黑体" w:eastAsia="黑体" w:hAnsi="宋体" w:cs="宋体" w:hint="eastAsia"/>
          <w:color w:val="000000"/>
          <w:kern w:val="0"/>
          <w:sz w:val="32"/>
          <w:szCs w:val="32"/>
          <w:shd w:val="clear" w:color="auto" w:fill="FFFFFF"/>
        </w:rPr>
        <w:t>四、评价结论及建议</w:t>
      </w:r>
      <w:bookmarkEnd w:id="83"/>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701DE1" w:rsidRDefault="00131786">
      <w:pPr>
        <w:widowControl/>
        <w:spacing w:line="580" w:lineRule="atLeast"/>
        <w:ind w:firstLine="643"/>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县医保局财政预算支出，保障了机关日常正常运转，认真履行好部门职能职责，圆满完成了县委、县政府下达的各项目标任务。</w:t>
      </w:r>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（二）存在问题。无</w:t>
      </w:r>
    </w:p>
    <w:p w:rsidR="00701DE1" w:rsidRDefault="0013178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（三）改进建议。无</w:t>
      </w: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701DE1">
      <w:pPr>
        <w:spacing w:line="580" w:lineRule="exact"/>
        <w:ind w:firstLineChars="200" w:firstLine="640"/>
        <w:rPr>
          <w:rFonts w:ascii="仿宋_GB2312" w:eastAsia="仿宋_GB2312" w:hAnsi="仿宋_GB2312" w:cs="仿宋_GB2312"/>
          <w:sz w:val="32"/>
          <w:szCs w:val="32"/>
        </w:rPr>
      </w:pPr>
    </w:p>
    <w:p w:rsidR="00701DE1" w:rsidRDefault="00131786">
      <w:pPr>
        <w:spacing w:line="600" w:lineRule="exact"/>
        <w:jc w:val="center"/>
        <w:outlineLvl w:val="0"/>
        <w:rPr>
          <w:rStyle w:val="1Char"/>
          <w:rFonts w:ascii="黑体" w:eastAsia="黑体" w:hAnsi="黑体"/>
          <w:b w:val="0"/>
        </w:rPr>
      </w:pPr>
      <w:bookmarkStart w:id="84" w:name="_Toc15396618"/>
      <w:bookmarkStart w:id="85" w:name="_Toc15402_WPSOffice_Level1"/>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77"/>
      <w:bookmarkEnd w:id="84"/>
      <w:bookmarkEnd w:id="85"/>
    </w:p>
    <w:p w:rsidR="00701DE1" w:rsidRDefault="00701DE1">
      <w:pPr>
        <w:spacing w:line="600" w:lineRule="exact"/>
        <w:jc w:val="center"/>
        <w:outlineLvl w:val="0"/>
        <w:rPr>
          <w:rFonts w:ascii="仿宋" w:eastAsia="仿宋" w:hAnsi="仿宋"/>
          <w:b/>
          <w:color w:val="000000"/>
          <w:sz w:val="44"/>
          <w:szCs w:val="44"/>
        </w:rPr>
      </w:pPr>
    </w:p>
    <w:p w:rsidR="00701DE1" w:rsidRDefault="00131786">
      <w:pPr>
        <w:pStyle w:val="2"/>
        <w:rPr>
          <w:rFonts w:ascii="仿宋" w:eastAsia="仿宋" w:hAnsi="仿宋"/>
          <w:color w:val="000000"/>
        </w:rPr>
      </w:pPr>
      <w:bookmarkStart w:id="86" w:name="_Toc15396619"/>
      <w:bookmarkStart w:id="87" w:name="_Toc779_WPSOffice_Level2"/>
      <w:r>
        <w:rPr>
          <w:rFonts w:ascii="仿宋" w:eastAsia="仿宋" w:hAnsi="仿宋" w:hint="eastAsia"/>
          <w:b w:val="0"/>
          <w:color w:val="000000"/>
        </w:rPr>
        <w:t>一、收</w:t>
      </w:r>
      <w:r>
        <w:rPr>
          <w:rStyle w:val="2Char"/>
          <w:rFonts w:ascii="仿宋" w:eastAsia="仿宋" w:hAnsi="仿宋" w:hint="eastAsia"/>
        </w:rPr>
        <w:t>入支出决算总表</w:t>
      </w:r>
      <w:bookmarkEnd w:id="86"/>
      <w:bookmarkEnd w:id="87"/>
    </w:p>
    <w:p w:rsidR="00701DE1" w:rsidRDefault="00131786">
      <w:pPr>
        <w:pStyle w:val="2"/>
        <w:rPr>
          <w:rFonts w:ascii="仿宋" w:eastAsia="仿宋" w:hAnsi="仿宋"/>
          <w:color w:val="000000"/>
        </w:rPr>
      </w:pPr>
      <w:bookmarkStart w:id="88" w:name="_Toc15396620"/>
      <w:bookmarkStart w:id="89" w:name="_Toc7145_WPSOffice_Level2"/>
      <w:r>
        <w:rPr>
          <w:rFonts w:ascii="仿宋" w:eastAsia="仿宋" w:hAnsi="仿宋" w:hint="eastAsia"/>
          <w:b w:val="0"/>
          <w:color w:val="000000"/>
        </w:rPr>
        <w:t>二、收</w:t>
      </w:r>
      <w:r>
        <w:rPr>
          <w:rStyle w:val="2Char"/>
          <w:rFonts w:ascii="仿宋" w:eastAsia="仿宋" w:hAnsi="仿宋" w:hint="eastAsia"/>
        </w:rPr>
        <w:t>入决算表</w:t>
      </w:r>
      <w:bookmarkEnd w:id="88"/>
      <w:bookmarkEnd w:id="89"/>
    </w:p>
    <w:p w:rsidR="00701DE1" w:rsidRDefault="00131786">
      <w:pPr>
        <w:pStyle w:val="2"/>
        <w:rPr>
          <w:rFonts w:ascii="仿宋" w:eastAsia="仿宋" w:hAnsi="仿宋"/>
          <w:color w:val="000000"/>
        </w:rPr>
      </w:pPr>
      <w:bookmarkStart w:id="90" w:name="_Toc15396621"/>
      <w:bookmarkStart w:id="91" w:name="_Toc27081_WPSOffice_Level2"/>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90"/>
      <w:bookmarkEnd w:id="91"/>
    </w:p>
    <w:p w:rsidR="00701DE1" w:rsidRDefault="00131786">
      <w:pPr>
        <w:pStyle w:val="2"/>
        <w:rPr>
          <w:rFonts w:ascii="仿宋" w:eastAsia="仿宋" w:hAnsi="仿宋"/>
          <w:b w:val="0"/>
          <w:color w:val="000000"/>
        </w:rPr>
      </w:pPr>
      <w:bookmarkStart w:id="92" w:name="_Toc15396622"/>
      <w:bookmarkStart w:id="93" w:name="_Toc27245_WPSOffice_Level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92"/>
      <w:bookmarkEnd w:id="93"/>
    </w:p>
    <w:p w:rsidR="00701DE1" w:rsidRDefault="00131786">
      <w:pPr>
        <w:pStyle w:val="2"/>
        <w:rPr>
          <w:rStyle w:val="2Char"/>
          <w:rFonts w:ascii="仿宋" w:eastAsia="仿宋" w:hAnsi="仿宋"/>
        </w:rPr>
      </w:pPr>
      <w:bookmarkStart w:id="94" w:name="_Toc15396623"/>
      <w:bookmarkStart w:id="95" w:name="_Toc20134_WPSOffice_Level2"/>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96" w:name="_Toc15396624"/>
      <w:bookmarkEnd w:id="94"/>
      <w:bookmarkEnd w:id="95"/>
    </w:p>
    <w:p w:rsidR="00701DE1" w:rsidRDefault="00131786">
      <w:pPr>
        <w:pStyle w:val="2"/>
        <w:rPr>
          <w:rFonts w:ascii="仿宋" w:eastAsia="仿宋" w:hAnsi="仿宋"/>
          <w:color w:val="000000"/>
        </w:rPr>
      </w:pPr>
      <w:bookmarkStart w:id="97" w:name="_Toc16579_WPSOffice_Level2"/>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96"/>
      <w:bookmarkEnd w:id="97"/>
    </w:p>
    <w:p w:rsidR="00701DE1" w:rsidRDefault="00131786">
      <w:pPr>
        <w:pStyle w:val="2"/>
        <w:rPr>
          <w:rFonts w:ascii="仿宋" w:eastAsia="仿宋" w:hAnsi="仿宋"/>
          <w:color w:val="000000"/>
        </w:rPr>
      </w:pPr>
      <w:bookmarkStart w:id="98" w:name="_Toc15396625"/>
      <w:bookmarkStart w:id="99" w:name="_Toc23170_WPSOffice_Level2"/>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98"/>
      <w:bookmarkEnd w:id="99"/>
    </w:p>
    <w:p w:rsidR="00701DE1" w:rsidRDefault="00131786">
      <w:pPr>
        <w:pStyle w:val="2"/>
        <w:rPr>
          <w:rFonts w:ascii="仿宋" w:eastAsia="仿宋" w:hAnsi="仿宋"/>
          <w:color w:val="000000"/>
        </w:rPr>
      </w:pPr>
      <w:bookmarkStart w:id="100" w:name="_Toc15396626"/>
      <w:bookmarkStart w:id="101" w:name="_Toc6065_WPSOffice_Level2"/>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00"/>
      <w:bookmarkEnd w:id="101"/>
    </w:p>
    <w:p w:rsidR="00701DE1" w:rsidRDefault="00131786">
      <w:pPr>
        <w:pStyle w:val="2"/>
        <w:rPr>
          <w:rFonts w:ascii="仿宋" w:eastAsia="仿宋" w:hAnsi="仿宋"/>
          <w:color w:val="000000"/>
        </w:rPr>
      </w:pPr>
      <w:bookmarkStart w:id="102" w:name="_Toc15396627"/>
      <w:bookmarkStart w:id="103" w:name="_Toc28882_WPSOffice_Level2"/>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02"/>
      <w:bookmarkEnd w:id="103"/>
    </w:p>
    <w:p w:rsidR="00701DE1" w:rsidRDefault="00131786">
      <w:pPr>
        <w:pStyle w:val="2"/>
        <w:rPr>
          <w:rFonts w:ascii="仿宋" w:eastAsia="仿宋" w:hAnsi="仿宋"/>
          <w:color w:val="000000"/>
        </w:rPr>
      </w:pPr>
      <w:bookmarkStart w:id="104" w:name="_Toc15396628"/>
      <w:bookmarkStart w:id="105" w:name="_Toc25490_WPSOffice_Level2"/>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104"/>
      <w:bookmarkEnd w:id="105"/>
    </w:p>
    <w:p w:rsidR="00701DE1" w:rsidRDefault="00131786">
      <w:pPr>
        <w:pStyle w:val="2"/>
        <w:rPr>
          <w:rFonts w:ascii="仿宋" w:eastAsia="仿宋" w:hAnsi="仿宋"/>
          <w:color w:val="000000"/>
        </w:rPr>
      </w:pPr>
      <w:bookmarkStart w:id="106" w:name="_Toc15396629"/>
      <w:bookmarkStart w:id="107" w:name="_Toc16467_WPSOffice_Level2"/>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06"/>
      <w:bookmarkEnd w:id="107"/>
    </w:p>
    <w:p w:rsidR="00701DE1" w:rsidRDefault="00131786">
      <w:pPr>
        <w:pStyle w:val="2"/>
        <w:rPr>
          <w:rFonts w:ascii="仿宋" w:eastAsia="仿宋" w:hAnsi="仿宋"/>
          <w:color w:val="000000"/>
        </w:rPr>
      </w:pPr>
      <w:bookmarkStart w:id="108" w:name="_Toc15396630"/>
      <w:bookmarkStart w:id="109" w:name="_Toc15551_WPSOffice_Level2"/>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108"/>
      <w:bookmarkEnd w:id="109"/>
    </w:p>
    <w:p w:rsidR="00701DE1" w:rsidRDefault="00131786">
      <w:pPr>
        <w:pStyle w:val="2"/>
        <w:rPr>
          <w:rFonts w:ascii="仿宋" w:eastAsia="仿宋" w:hAnsi="仿宋"/>
          <w:color w:val="000000" w:themeColor="text1"/>
        </w:rPr>
      </w:pPr>
      <w:bookmarkStart w:id="110" w:name="_Toc15396631"/>
      <w:bookmarkStart w:id="111" w:name="_Toc14944_WPSOffice_Level2"/>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110"/>
      <w:bookmarkEnd w:id="111"/>
    </w:p>
    <w:sectPr w:rsidR="00701DE1" w:rsidSect="00701DE1">
      <w:pgSz w:w="11906" w:h="16838"/>
      <w:pgMar w:top="2041" w:right="1469" w:bottom="1588" w:left="1469"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DE1" w:rsidRDefault="00701DE1" w:rsidP="00701DE1">
      <w:r>
        <w:separator/>
      </w:r>
    </w:p>
  </w:endnote>
  <w:endnote w:type="continuationSeparator" w:id="0">
    <w:p w:rsidR="00701DE1" w:rsidRDefault="00701DE1" w:rsidP="00701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701DE1" w:rsidRDefault="002545E9">
        <w:pPr>
          <w:pStyle w:val="a5"/>
          <w:jc w:val="center"/>
        </w:pPr>
        <w:r>
          <w:fldChar w:fldCharType="begin"/>
        </w:r>
        <w:r w:rsidR="00131786">
          <w:instrText>PAGE   \* MERGEFORMAT</w:instrText>
        </w:r>
        <w:r>
          <w:fldChar w:fldCharType="separate"/>
        </w:r>
        <w:r w:rsidR="002E4B39" w:rsidRPr="002E4B39">
          <w:rPr>
            <w:noProof/>
            <w:lang w:val="zh-CN"/>
          </w:rPr>
          <w:t>2</w:t>
        </w:r>
        <w:r>
          <w:fldChar w:fldCharType="end"/>
        </w:r>
      </w:p>
    </w:sdtContent>
  </w:sdt>
  <w:p w:rsidR="00701DE1" w:rsidRDefault="00701D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DE1" w:rsidRDefault="00701DE1" w:rsidP="00701DE1">
      <w:r>
        <w:separator/>
      </w:r>
    </w:p>
  </w:footnote>
  <w:footnote w:type="continuationSeparator" w:id="0">
    <w:p w:rsidR="00701DE1" w:rsidRDefault="00701DE1" w:rsidP="00701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E1" w:rsidRDefault="00701DE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2F5E"/>
    <w:rsid w:val="0002549F"/>
    <w:rsid w:val="000468DB"/>
    <w:rsid w:val="0006487A"/>
    <w:rsid w:val="00065F8F"/>
    <w:rsid w:val="00070A43"/>
    <w:rsid w:val="00071C40"/>
    <w:rsid w:val="000768F2"/>
    <w:rsid w:val="0009184B"/>
    <w:rsid w:val="00094236"/>
    <w:rsid w:val="0009593C"/>
    <w:rsid w:val="00095C1D"/>
    <w:rsid w:val="00097322"/>
    <w:rsid w:val="000A6A92"/>
    <w:rsid w:val="000B047F"/>
    <w:rsid w:val="000B5923"/>
    <w:rsid w:val="000B5A48"/>
    <w:rsid w:val="000B6FF3"/>
    <w:rsid w:val="000C3467"/>
    <w:rsid w:val="000C3CA6"/>
    <w:rsid w:val="000D1267"/>
    <w:rsid w:val="000D1D50"/>
    <w:rsid w:val="000D5782"/>
    <w:rsid w:val="000E5249"/>
    <w:rsid w:val="000E6613"/>
    <w:rsid w:val="000E7119"/>
    <w:rsid w:val="001142A1"/>
    <w:rsid w:val="00114E9B"/>
    <w:rsid w:val="00124929"/>
    <w:rsid w:val="00131786"/>
    <w:rsid w:val="00142216"/>
    <w:rsid w:val="00144D6A"/>
    <w:rsid w:val="0014729F"/>
    <w:rsid w:val="00151636"/>
    <w:rsid w:val="00157BAB"/>
    <w:rsid w:val="001654D1"/>
    <w:rsid w:val="00165B4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345"/>
    <w:rsid w:val="00220536"/>
    <w:rsid w:val="0023156B"/>
    <w:rsid w:val="00235629"/>
    <w:rsid w:val="002545E9"/>
    <w:rsid w:val="00260C38"/>
    <w:rsid w:val="002616C0"/>
    <w:rsid w:val="00265372"/>
    <w:rsid w:val="002662AA"/>
    <w:rsid w:val="00280496"/>
    <w:rsid w:val="002837D3"/>
    <w:rsid w:val="00294DC9"/>
    <w:rsid w:val="00295495"/>
    <w:rsid w:val="002A31DE"/>
    <w:rsid w:val="002B2613"/>
    <w:rsid w:val="002D19B0"/>
    <w:rsid w:val="002D6D05"/>
    <w:rsid w:val="002E3E4E"/>
    <w:rsid w:val="002E4B39"/>
    <w:rsid w:val="002F1818"/>
    <w:rsid w:val="002F567B"/>
    <w:rsid w:val="002F57EA"/>
    <w:rsid w:val="003216A9"/>
    <w:rsid w:val="00335A74"/>
    <w:rsid w:val="003432E6"/>
    <w:rsid w:val="0036561B"/>
    <w:rsid w:val="0037013F"/>
    <w:rsid w:val="00380C92"/>
    <w:rsid w:val="00390101"/>
    <w:rsid w:val="003A484F"/>
    <w:rsid w:val="003A4883"/>
    <w:rsid w:val="003B0BE0"/>
    <w:rsid w:val="003B0C1B"/>
    <w:rsid w:val="003B3B47"/>
    <w:rsid w:val="003B688C"/>
    <w:rsid w:val="003C0291"/>
    <w:rsid w:val="003C13ED"/>
    <w:rsid w:val="003C39AE"/>
    <w:rsid w:val="003C7B60"/>
    <w:rsid w:val="003D0C0F"/>
    <w:rsid w:val="003D1FB2"/>
    <w:rsid w:val="003D66DA"/>
    <w:rsid w:val="003E1310"/>
    <w:rsid w:val="003E3EB9"/>
    <w:rsid w:val="003E6F55"/>
    <w:rsid w:val="00406254"/>
    <w:rsid w:val="004153BA"/>
    <w:rsid w:val="00416CD4"/>
    <w:rsid w:val="004223DE"/>
    <w:rsid w:val="00434489"/>
    <w:rsid w:val="00437085"/>
    <w:rsid w:val="00443880"/>
    <w:rsid w:val="004464F4"/>
    <w:rsid w:val="00447091"/>
    <w:rsid w:val="00470D79"/>
    <w:rsid w:val="00471401"/>
    <w:rsid w:val="00473F31"/>
    <w:rsid w:val="0048263A"/>
    <w:rsid w:val="00487E5D"/>
    <w:rsid w:val="004A60B0"/>
    <w:rsid w:val="004A711F"/>
    <w:rsid w:val="004B199D"/>
    <w:rsid w:val="004B4690"/>
    <w:rsid w:val="004E0A2D"/>
    <w:rsid w:val="004E206B"/>
    <w:rsid w:val="004E6DF7"/>
    <w:rsid w:val="004F0FBD"/>
    <w:rsid w:val="004F403E"/>
    <w:rsid w:val="00505A47"/>
    <w:rsid w:val="00512FDA"/>
    <w:rsid w:val="00520DA0"/>
    <w:rsid w:val="0053385C"/>
    <w:rsid w:val="005505FF"/>
    <w:rsid w:val="005664BB"/>
    <w:rsid w:val="00566FFA"/>
    <w:rsid w:val="0057481D"/>
    <w:rsid w:val="00575F0B"/>
    <w:rsid w:val="0058486E"/>
    <w:rsid w:val="00585B33"/>
    <w:rsid w:val="0059014D"/>
    <w:rsid w:val="005A502B"/>
    <w:rsid w:val="005B5C64"/>
    <w:rsid w:val="005C6BD0"/>
    <w:rsid w:val="005C6C4C"/>
    <w:rsid w:val="005D1C8B"/>
    <w:rsid w:val="005D468D"/>
    <w:rsid w:val="005D5CED"/>
    <w:rsid w:val="005D7B59"/>
    <w:rsid w:val="005F1A4C"/>
    <w:rsid w:val="00605688"/>
    <w:rsid w:val="006070AF"/>
    <w:rsid w:val="00607E6C"/>
    <w:rsid w:val="006101B1"/>
    <w:rsid w:val="00610B68"/>
    <w:rsid w:val="00614E44"/>
    <w:rsid w:val="0062270A"/>
    <w:rsid w:val="00622830"/>
    <w:rsid w:val="00623DA0"/>
    <w:rsid w:val="00627FF5"/>
    <w:rsid w:val="00630AEF"/>
    <w:rsid w:val="006325F8"/>
    <w:rsid w:val="00633463"/>
    <w:rsid w:val="00634C9A"/>
    <w:rsid w:val="006440E4"/>
    <w:rsid w:val="00654D04"/>
    <w:rsid w:val="0066343B"/>
    <w:rsid w:val="00664777"/>
    <w:rsid w:val="006748A4"/>
    <w:rsid w:val="00681A31"/>
    <w:rsid w:val="00683E73"/>
    <w:rsid w:val="006A3141"/>
    <w:rsid w:val="006A5E34"/>
    <w:rsid w:val="006B2422"/>
    <w:rsid w:val="006B2B9A"/>
    <w:rsid w:val="006C1937"/>
    <w:rsid w:val="006F020C"/>
    <w:rsid w:val="00701DE1"/>
    <w:rsid w:val="007127B7"/>
    <w:rsid w:val="0071798E"/>
    <w:rsid w:val="00723B32"/>
    <w:rsid w:val="00727533"/>
    <w:rsid w:val="007416B6"/>
    <w:rsid w:val="00746F48"/>
    <w:rsid w:val="0075404D"/>
    <w:rsid w:val="0076182A"/>
    <w:rsid w:val="00764BE1"/>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68FA"/>
    <w:rsid w:val="00836ED7"/>
    <w:rsid w:val="0083706E"/>
    <w:rsid w:val="008408F6"/>
    <w:rsid w:val="008423A5"/>
    <w:rsid w:val="00850625"/>
    <w:rsid w:val="00853718"/>
    <w:rsid w:val="00855221"/>
    <w:rsid w:val="00860645"/>
    <w:rsid w:val="00871F71"/>
    <w:rsid w:val="00872FD8"/>
    <w:rsid w:val="00883B6F"/>
    <w:rsid w:val="00885AF4"/>
    <w:rsid w:val="008939CD"/>
    <w:rsid w:val="008B37FF"/>
    <w:rsid w:val="008B768C"/>
    <w:rsid w:val="008C4DB1"/>
    <w:rsid w:val="008C4EAF"/>
    <w:rsid w:val="008C5176"/>
    <w:rsid w:val="008C7FD0"/>
    <w:rsid w:val="008E1DE7"/>
    <w:rsid w:val="008E707C"/>
    <w:rsid w:val="008F0166"/>
    <w:rsid w:val="008F1FD4"/>
    <w:rsid w:val="00900B08"/>
    <w:rsid w:val="00902155"/>
    <w:rsid w:val="00902FA3"/>
    <w:rsid w:val="00911069"/>
    <w:rsid w:val="00923564"/>
    <w:rsid w:val="0092392E"/>
    <w:rsid w:val="00923D68"/>
    <w:rsid w:val="009315F9"/>
    <w:rsid w:val="009328C5"/>
    <w:rsid w:val="00933499"/>
    <w:rsid w:val="00935C98"/>
    <w:rsid w:val="00946945"/>
    <w:rsid w:val="00951248"/>
    <w:rsid w:val="0095152F"/>
    <w:rsid w:val="00954C49"/>
    <w:rsid w:val="00955E37"/>
    <w:rsid w:val="0097099F"/>
    <w:rsid w:val="00971997"/>
    <w:rsid w:val="00971FFC"/>
    <w:rsid w:val="0098660A"/>
    <w:rsid w:val="009931C3"/>
    <w:rsid w:val="009A5A59"/>
    <w:rsid w:val="009B2C43"/>
    <w:rsid w:val="009B4EAE"/>
    <w:rsid w:val="009B7573"/>
    <w:rsid w:val="009C22F4"/>
    <w:rsid w:val="009C2E98"/>
    <w:rsid w:val="009C37FB"/>
    <w:rsid w:val="009D3447"/>
    <w:rsid w:val="009D4711"/>
    <w:rsid w:val="009F08A6"/>
    <w:rsid w:val="009F1185"/>
    <w:rsid w:val="009F18CD"/>
    <w:rsid w:val="009F2A13"/>
    <w:rsid w:val="009F7527"/>
    <w:rsid w:val="00A039ED"/>
    <w:rsid w:val="00A04EB0"/>
    <w:rsid w:val="00A13CC1"/>
    <w:rsid w:val="00A16847"/>
    <w:rsid w:val="00A237D8"/>
    <w:rsid w:val="00A268C4"/>
    <w:rsid w:val="00A305BA"/>
    <w:rsid w:val="00A307CD"/>
    <w:rsid w:val="00A331C8"/>
    <w:rsid w:val="00A35117"/>
    <w:rsid w:val="00A40A00"/>
    <w:rsid w:val="00A4142F"/>
    <w:rsid w:val="00A422EB"/>
    <w:rsid w:val="00A45B4A"/>
    <w:rsid w:val="00A45BB7"/>
    <w:rsid w:val="00A56DF2"/>
    <w:rsid w:val="00A56E6E"/>
    <w:rsid w:val="00A67AB5"/>
    <w:rsid w:val="00A733B2"/>
    <w:rsid w:val="00A741C2"/>
    <w:rsid w:val="00A808BB"/>
    <w:rsid w:val="00A91760"/>
    <w:rsid w:val="00A93B00"/>
    <w:rsid w:val="00A93C21"/>
    <w:rsid w:val="00AB64C9"/>
    <w:rsid w:val="00AC3C6A"/>
    <w:rsid w:val="00AC67BB"/>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A12"/>
    <w:rsid w:val="00BB4DF0"/>
    <w:rsid w:val="00BC289F"/>
    <w:rsid w:val="00BC2D50"/>
    <w:rsid w:val="00BC5361"/>
    <w:rsid w:val="00BC5460"/>
    <w:rsid w:val="00BC6B50"/>
    <w:rsid w:val="00BD0E25"/>
    <w:rsid w:val="00BF5BD6"/>
    <w:rsid w:val="00C01476"/>
    <w:rsid w:val="00C03E31"/>
    <w:rsid w:val="00C052BC"/>
    <w:rsid w:val="00C30E69"/>
    <w:rsid w:val="00C33E72"/>
    <w:rsid w:val="00C354B2"/>
    <w:rsid w:val="00C35554"/>
    <w:rsid w:val="00C37649"/>
    <w:rsid w:val="00C42709"/>
    <w:rsid w:val="00C52B20"/>
    <w:rsid w:val="00C533CC"/>
    <w:rsid w:val="00C5751C"/>
    <w:rsid w:val="00C60A21"/>
    <w:rsid w:val="00C61BFC"/>
    <w:rsid w:val="00C62B85"/>
    <w:rsid w:val="00C65438"/>
    <w:rsid w:val="00C91CBB"/>
    <w:rsid w:val="00CA3FBF"/>
    <w:rsid w:val="00CB4E70"/>
    <w:rsid w:val="00CC09B6"/>
    <w:rsid w:val="00CC666F"/>
    <w:rsid w:val="00CD1E3F"/>
    <w:rsid w:val="00CE44F6"/>
    <w:rsid w:val="00CE49DA"/>
    <w:rsid w:val="00CE5985"/>
    <w:rsid w:val="00CE7B61"/>
    <w:rsid w:val="00CF329C"/>
    <w:rsid w:val="00D00095"/>
    <w:rsid w:val="00D114F0"/>
    <w:rsid w:val="00D20620"/>
    <w:rsid w:val="00D2457F"/>
    <w:rsid w:val="00D254F7"/>
    <w:rsid w:val="00D26091"/>
    <w:rsid w:val="00D2685C"/>
    <w:rsid w:val="00D34E7C"/>
    <w:rsid w:val="00D35489"/>
    <w:rsid w:val="00D36AFE"/>
    <w:rsid w:val="00D37A21"/>
    <w:rsid w:val="00D51276"/>
    <w:rsid w:val="00D61CAE"/>
    <w:rsid w:val="00D7035F"/>
    <w:rsid w:val="00DA634F"/>
    <w:rsid w:val="00DA65AC"/>
    <w:rsid w:val="00DA7B34"/>
    <w:rsid w:val="00DB1913"/>
    <w:rsid w:val="00DB3FAA"/>
    <w:rsid w:val="00DC410D"/>
    <w:rsid w:val="00DC5A81"/>
    <w:rsid w:val="00DC68CA"/>
    <w:rsid w:val="00DC7CBA"/>
    <w:rsid w:val="00DD73B7"/>
    <w:rsid w:val="00DF28BC"/>
    <w:rsid w:val="00DF34B9"/>
    <w:rsid w:val="00E01053"/>
    <w:rsid w:val="00E06D0A"/>
    <w:rsid w:val="00E07ACF"/>
    <w:rsid w:val="00E331A1"/>
    <w:rsid w:val="00E33202"/>
    <w:rsid w:val="00E336A9"/>
    <w:rsid w:val="00E472B1"/>
    <w:rsid w:val="00E50624"/>
    <w:rsid w:val="00E568DF"/>
    <w:rsid w:val="00E64269"/>
    <w:rsid w:val="00E66797"/>
    <w:rsid w:val="00E67F39"/>
    <w:rsid w:val="00E82267"/>
    <w:rsid w:val="00E853CE"/>
    <w:rsid w:val="00E867B6"/>
    <w:rsid w:val="00E87F08"/>
    <w:rsid w:val="00EA010F"/>
    <w:rsid w:val="00EA2618"/>
    <w:rsid w:val="00ED1B63"/>
    <w:rsid w:val="00ED3C1F"/>
    <w:rsid w:val="00ED4085"/>
    <w:rsid w:val="00ED420E"/>
    <w:rsid w:val="00ED6FBE"/>
    <w:rsid w:val="00EE2AF1"/>
    <w:rsid w:val="00EE2F57"/>
    <w:rsid w:val="00EF4C34"/>
    <w:rsid w:val="00EF77C6"/>
    <w:rsid w:val="00F05438"/>
    <w:rsid w:val="00F1361C"/>
    <w:rsid w:val="00F156F0"/>
    <w:rsid w:val="00F160C7"/>
    <w:rsid w:val="00F2408F"/>
    <w:rsid w:val="00F240E9"/>
    <w:rsid w:val="00F36D8F"/>
    <w:rsid w:val="00F417B1"/>
    <w:rsid w:val="00F4500B"/>
    <w:rsid w:val="00F45853"/>
    <w:rsid w:val="00F602DF"/>
    <w:rsid w:val="00F754A1"/>
    <w:rsid w:val="00F81FD9"/>
    <w:rsid w:val="00F841AA"/>
    <w:rsid w:val="00F84A94"/>
    <w:rsid w:val="00F87E96"/>
    <w:rsid w:val="00FA2255"/>
    <w:rsid w:val="00FA23E8"/>
    <w:rsid w:val="00FD3CC1"/>
    <w:rsid w:val="00FD5C76"/>
    <w:rsid w:val="00FF1E02"/>
    <w:rsid w:val="00FF30B4"/>
    <w:rsid w:val="10C055FF"/>
    <w:rsid w:val="16BB723D"/>
    <w:rsid w:val="240371BF"/>
    <w:rsid w:val="27D57E8E"/>
    <w:rsid w:val="29FD04D3"/>
    <w:rsid w:val="319F7F4E"/>
    <w:rsid w:val="4ECE223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DE1"/>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701DE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1D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01DE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01DE1"/>
    <w:pPr>
      <w:spacing w:beforeLines="30"/>
    </w:pPr>
    <w:rPr>
      <w:rFonts w:ascii="仿宋_GB2312" w:eastAsia="仿宋_GB2312"/>
      <w:kern w:val="0"/>
      <w:sz w:val="30"/>
    </w:rPr>
  </w:style>
  <w:style w:type="paragraph" w:styleId="30">
    <w:name w:val="toc 3"/>
    <w:basedOn w:val="a"/>
    <w:next w:val="a"/>
    <w:uiPriority w:val="39"/>
    <w:unhideWhenUsed/>
    <w:qFormat/>
    <w:rsid w:val="00701DE1"/>
    <w:pPr>
      <w:tabs>
        <w:tab w:val="right" w:leader="dot" w:pos="8296"/>
      </w:tabs>
      <w:ind w:leftChars="400" w:left="840"/>
    </w:pPr>
  </w:style>
  <w:style w:type="paragraph" w:styleId="a4">
    <w:name w:val="Balloon Text"/>
    <w:basedOn w:val="a"/>
    <w:link w:val="Char0"/>
    <w:uiPriority w:val="99"/>
    <w:semiHidden/>
    <w:unhideWhenUsed/>
    <w:qFormat/>
    <w:rsid w:val="00701DE1"/>
    <w:rPr>
      <w:sz w:val="18"/>
      <w:szCs w:val="18"/>
    </w:rPr>
  </w:style>
  <w:style w:type="paragraph" w:styleId="a5">
    <w:name w:val="footer"/>
    <w:basedOn w:val="a"/>
    <w:link w:val="Char1"/>
    <w:uiPriority w:val="99"/>
    <w:qFormat/>
    <w:rsid w:val="00701DE1"/>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701DE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701DE1"/>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701DE1"/>
    <w:pPr>
      <w:tabs>
        <w:tab w:val="right" w:leader="dot" w:pos="8296"/>
      </w:tabs>
      <w:ind w:leftChars="200" w:left="420"/>
    </w:pPr>
  </w:style>
  <w:style w:type="paragraph" w:styleId="a7">
    <w:name w:val="Normal (Web)"/>
    <w:basedOn w:val="a"/>
    <w:rsid w:val="00701DE1"/>
    <w:pPr>
      <w:spacing w:before="100" w:beforeAutospacing="1" w:after="100" w:afterAutospacing="1"/>
      <w:jc w:val="left"/>
    </w:pPr>
    <w:rPr>
      <w:rFonts w:ascii="Calibri" w:hAnsi="Calibri"/>
      <w:kern w:val="0"/>
      <w:sz w:val="24"/>
    </w:rPr>
  </w:style>
  <w:style w:type="character" w:styleId="a8">
    <w:name w:val="Strong"/>
    <w:basedOn w:val="a0"/>
    <w:qFormat/>
    <w:rsid w:val="00701DE1"/>
    <w:rPr>
      <w:b/>
    </w:rPr>
  </w:style>
  <w:style w:type="character" w:styleId="a9">
    <w:name w:val="Hyperlink"/>
    <w:basedOn w:val="a0"/>
    <w:uiPriority w:val="99"/>
    <w:unhideWhenUsed/>
    <w:qFormat/>
    <w:rsid w:val="00701DE1"/>
    <w:rPr>
      <w:color w:val="0000FF" w:themeColor="hyperlink"/>
      <w:u w:val="single"/>
    </w:rPr>
  </w:style>
  <w:style w:type="character" w:customStyle="1" w:styleId="HeaderChar">
    <w:name w:val="Header Char"/>
    <w:basedOn w:val="a0"/>
    <w:uiPriority w:val="99"/>
    <w:semiHidden/>
    <w:qFormat/>
    <w:rsid w:val="00701DE1"/>
    <w:rPr>
      <w:rFonts w:ascii="Times New Roman" w:hAnsi="Times New Roman"/>
      <w:sz w:val="18"/>
      <w:szCs w:val="18"/>
    </w:rPr>
  </w:style>
  <w:style w:type="character" w:customStyle="1" w:styleId="Char2">
    <w:name w:val="页眉 Char"/>
    <w:link w:val="a6"/>
    <w:uiPriority w:val="99"/>
    <w:semiHidden/>
    <w:qFormat/>
    <w:locked/>
    <w:rsid w:val="00701DE1"/>
    <w:rPr>
      <w:sz w:val="18"/>
    </w:rPr>
  </w:style>
  <w:style w:type="character" w:customStyle="1" w:styleId="FooterChar">
    <w:name w:val="Footer Char"/>
    <w:basedOn w:val="a0"/>
    <w:uiPriority w:val="99"/>
    <w:semiHidden/>
    <w:qFormat/>
    <w:rsid w:val="00701DE1"/>
    <w:rPr>
      <w:rFonts w:ascii="Times New Roman" w:hAnsi="Times New Roman"/>
      <w:sz w:val="18"/>
      <w:szCs w:val="18"/>
    </w:rPr>
  </w:style>
  <w:style w:type="character" w:customStyle="1" w:styleId="Char1">
    <w:name w:val="页脚 Char"/>
    <w:link w:val="a5"/>
    <w:uiPriority w:val="99"/>
    <w:qFormat/>
    <w:locked/>
    <w:rsid w:val="00701DE1"/>
    <w:rPr>
      <w:sz w:val="18"/>
    </w:rPr>
  </w:style>
  <w:style w:type="character" w:customStyle="1" w:styleId="BodyTextChar">
    <w:name w:val="Body Text Char"/>
    <w:basedOn w:val="a0"/>
    <w:uiPriority w:val="99"/>
    <w:semiHidden/>
    <w:qFormat/>
    <w:rsid w:val="00701DE1"/>
    <w:rPr>
      <w:rFonts w:ascii="Times New Roman" w:hAnsi="Times New Roman"/>
      <w:szCs w:val="24"/>
    </w:rPr>
  </w:style>
  <w:style w:type="character" w:customStyle="1" w:styleId="Char">
    <w:name w:val="正文文本 Char"/>
    <w:link w:val="a3"/>
    <w:uiPriority w:val="99"/>
    <w:qFormat/>
    <w:locked/>
    <w:rsid w:val="00701DE1"/>
    <w:rPr>
      <w:rFonts w:ascii="仿宋_GB2312" w:eastAsia="仿宋_GB2312" w:hAnsi="Times New Roman"/>
      <w:sz w:val="24"/>
    </w:rPr>
  </w:style>
  <w:style w:type="paragraph" w:customStyle="1" w:styleId="Default">
    <w:name w:val="Default"/>
    <w:uiPriority w:val="99"/>
    <w:qFormat/>
    <w:rsid w:val="00701DE1"/>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34"/>
    <w:qFormat/>
    <w:rsid w:val="00701DE1"/>
    <w:pPr>
      <w:ind w:firstLineChars="200" w:firstLine="420"/>
    </w:pPr>
  </w:style>
  <w:style w:type="character" w:customStyle="1" w:styleId="1Char">
    <w:name w:val="标题 1 Char"/>
    <w:basedOn w:val="a0"/>
    <w:link w:val="1"/>
    <w:uiPriority w:val="9"/>
    <w:qFormat/>
    <w:rsid w:val="00701DE1"/>
    <w:rPr>
      <w:rFonts w:ascii="Times New Roman" w:hAnsi="Times New Roman"/>
      <w:b/>
      <w:bCs/>
      <w:kern w:val="44"/>
      <w:sz w:val="44"/>
      <w:szCs w:val="44"/>
    </w:rPr>
  </w:style>
  <w:style w:type="character" w:customStyle="1" w:styleId="2Char">
    <w:name w:val="标题 2 Char"/>
    <w:basedOn w:val="a0"/>
    <w:link w:val="2"/>
    <w:uiPriority w:val="9"/>
    <w:qFormat/>
    <w:rsid w:val="00701DE1"/>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701DE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701DE1"/>
    <w:rPr>
      <w:rFonts w:ascii="Times New Roman" w:hAnsi="Times New Roman"/>
      <w:kern w:val="2"/>
      <w:sz w:val="18"/>
      <w:szCs w:val="18"/>
    </w:rPr>
  </w:style>
  <w:style w:type="character" w:customStyle="1" w:styleId="3Char">
    <w:name w:val="标题 3 Char"/>
    <w:basedOn w:val="a0"/>
    <w:link w:val="3"/>
    <w:uiPriority w:val="9"/>
    <w:qFormat/>
    <w:rsid w:val="00701DE1"/>
    <w:rPr>
      <w:rFonts w:ascii="Times New Roman" w:hAnsi="Times New Roman"/>
      <w:b/>
      <w:bCs/>
      <w:kern w:val="2"/>
      <w:sz w:val="32"/>
      <w:szCs w:val="32"/>
    </w:rPr>
  </w:style>
  <w:style w:type="paragraph" w:customStyle="1" w:styleId="TOC2">
    <w:name w:val="TOC 标题2"/>
    <w:basedOn w:val="1"/>
    <w:next w:val="a"/>
    <w:uiPriority w:val="39"/>
    <w:unhideWhenUsed/>
    <w:qFormat/>
    <w:rsid w:val="00701DE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rsid w:val="00701DE1"/>
  </w:style>
  <w:style w:type="paragraph" w:customStyle="1" w:styleId="WPSOffice2">
    <w:name w:val="WPSOffice手动目录 2"/>
    <w:rsid w:val="00701DE1"/>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894D8-016B-41FD-B625-B3B242A1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14</Pages>
  <Words>4651</Words>
  <Characters>2015</Characters>
  <Application>Microsoft Office Word</Application>
  <DocSecurity>0</DocSecurity>
  <Lines>16</Lines>
  <Paragraphs>13</Paragraphs>
  <ScaleCrop>false</ScaleCrop>
  <Company>四川省财政厅</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85</cp:revision>
  <cp:lastPrinted>2020-07-23T02:58:00Z</cp:lastPrinted>
  <dcterms:created xsi:type="dcterms:W3CDTF">2020-08-04T01:49:00Z</dcterms:created>
  <dcterms:modified xsi:type="dcterms:W3CDTF">2020-09-24T07:15:00Z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