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4EDADE">
      <w:pPr>
        <w:pStyle w:val="5"/>
        <w:rPr>
          <w:rFonts w:hint="eastAsia" w:ascii="黑体" w:hAnsi="黑体" w:eastAsia="黑体" w:cs="黑体"/>
          <w:color w:val="auto"/>
          <w:kern w:val="2"/>
          <w:sz w:val="32"/>
          <w:szCs w:val="32"/>
          <w:highlight w:val="none"/>
          <w:lang w:val="en-US" w:eastAsia="zh-CN" w:bidi="ar-SA"/>
        </w:rPr>
      </w:pPr>
      <w:bookmarkStart w:id="0" w:name="_Toc15378441"/>
      <w:bookmarkStart w:id="1" w:name="_Toc15396475"/>
      <w:bookmarkStart w:id="2" w:name="_Toc15377425"/>
      <w:bookmarkStart w:id="3" w:name="_Toc15396597"/>
      <w:bookmarkStart w:id="4" w:name="_Toc15377193"/>
      <w:bookmarkStart w:id="5" w:name="_Toc15306267"/>
      <w:r>
        <w:rPr>
          <w:rFonts w:hint="eastAsia" w:ascii="黑体" w:hAnsi="黑体" w:eastAsia="黑体" w:cs="黑体"/>
          <w:color w:val="auto"/>
          <w:kern w:val="2"/>
          <w:sz w:val="32"/>
          <w:szCs w:val="32"/>
          <w:highlight w:val="none"/>
          <w:lang w:val="en-US" w:eastAsia="zh-CN" w:bidi="ar-SA"/>
        </w:rPr>
        <w:t>附件4</w:t>
      </w:r>
    </w:p>
    <w:p w14:paraId="2170665B">
      <w:pPr>
        <w:rPr>
          <w:rFonts w:ascii="Times New Roman" w:hAnsi="Times New Roman"/>
        </w:rPr>
      </w:pPr>
    </w:p>
    <w:p w14:paraId="3E2713B8">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347612B2">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04BEADB7">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0B58BA4A">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p w14:paraId="76A6D0EB">
      <w:pPr>
        <w:spacing w:before="185" w:line="232" w:lineRule="auto"/>
        <w:ind w:left="380"/>
        <w:rPr>
          <w:rFonts w:ascii="微软雅黑" w:hAnsi="微软雅黑" w:eastAsia="微软雅黑" w:cs="微软雅黑"/>
          <w:sz w:val="43"/>
          <w:szCs w:val="43"/>
        </w:rPr>
      </w:pPr>
      <w:r>
        <w:rPr>
          <w:rFonts w:ascii="Times New Roman" w:hAnsi="Times New Roman" w:eastAsia="Times New Roman" w:cs="Times New Roman"/>
          <w:spacing w:val="7"/>
          <w:sz w:val="43"/>
          <w:szCs w:val="43"/>
        </w:rPr>
        <w:t>202</w:t>
      </w:r>
      <w:r>
        <w:rPr>
          <w:rFonts w:hint="eastAsia" w:ascii="Times New Roman" w:hAnsi="Times New Roman" w:eastAsia="宋体" w:cs="Times New Roman"/>
          <w:spacing w:val="7"/>
          <w:sz w:val="43"/>
          <w:szCs w:val="43"/>
          <w:lang w:val="en-US" w:eastAsia="zh-CN"/>
        </w:rPr>
        <w:t>5</w:t>
      </w:r>
      <w:r>
        <w:rPr>
          <w:rFonts w:ascii="微软雅黑" w:hAnsi="微软雅黑" w:eastAsia="微软雅黑" w:cs="微软雅黑"/>
          <w:spacing w:val="7"/>
          <w:position w:val="-2"/>
          <w:sz w:val="43"/>
          <w:szCs w:val="43"/>
        </w:rPr>
        <w:t>年度四川省沐川县退役军人事务局</w:t>
      </w:r>
    </w:p>
    <w:p w14:paraId="4D8BD2B9">
      <w:pPr>
        <w:spacing w:before="374" w:line="502" w:lineRule="exact"/>
        <w:ind w:left="3287"/>
        <w:rPr>
          <w:rFonts w:ascii="微软雅黑" w:hAnsi="微软雅黑" w:eastAsia="微软雅黑" w:cs="微软雅黑"/>
          <w:sz w:val="50"/>
          <w:szCs w:val="50"/>
        </w:rPr>
      </w:pPr>
      <w:r>
        <w:rPr>
          <w:rFonts w:ascii="微软雅黑" w:hAnsi="微软雅黑" w:eastAsia="微软雅黑" w:cs="微软雅黑"/>
          <w:spacing w:val="-14"/>
          <w:w w:val="93"/>
          <w:position w:val="-2"/>
          <w:sz w:val="50"/>
          <w:szCs w:val="50"/>
        </w:rPr>
        <w:t>决算公开</w:t>
      </w:r>
    </w:p>
    <w:p w14:paraId="73C3826A">
      <w:pPr>
        <w:spacing w:line="502" w:lineRule="exact"/>
        <w:rPr>
          <w:rFonts w:ascii="微软雅黑" w:hAnsi="微软雅黑" w:eastAsia="微软雅黑" w:cs="微软雅黑"/>
          <w:sz w:val="50"/>
          <w:szCs w:val="50"/>
        </w:rPr>
        <w:sectPr>
          <w:headerReference r:id="rId3" w:type="default"/>
          <w:footerReference r:id="rId4" w:type="default"/>
          <w:pgSz w:w="11906" w:h="16839"/>
          <w:pgMar w:top="1431" w:right="1785" w:bottom="1171" w:left="1785" w:header="0" w:footer="803" w:gutter="0"/>
          <w:cols w:space="720" w:num="1"/>
        </w:sectPr>
      </w:pPr>
    </w:p>
    <w:p w14:paraId="2DD08666">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3F884CCD">
      <w:pPr>
        <w:widowControl/>
        <w:jc w:val="center"/>
        <w:rPr>
          <w:rFonts w:ascii="Times New Roman" w:hAnsi="Times New Roman" w:eastAsia="黑体" w:cstheme="minorBidi"/>
          <w:color w:val="auto"/>
          <w:sz w:val="28"/>
          <w:szCs w:val="28"/>
          <w:highlight w:val="none"/>
        </w:rPr>
      </w:pPr>
    </w:p>
    <w:p w14:paraId="027138E6">
      <w:pPr>
        <w:pStyle w:val="1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14 </w:t>
      </w:r>
      <w:r>
        <w:rPr>
          <w:rFonts w:hint="eastAsia" w:ascii="Times New Roman" w:hAnsi="Times New Roman" w:eastAsia="仿宋_GB2312" w:cs="仿宋_GB2312"/>
          <w:color w:val="auto"/>
          <w:sz w:val="32"/>
          <w:szCs w:val="32"/>
          <w:highlight w:val="none"/>
        </w:rPr>
        <w:t>日</w:t>
      </w:r>
    </w:p>
    <w:p w14:paraId="30BD5BE3">
      <w:pPr>
        <w:rPr>
          <w:rFonts w:ascii="Times New Roman" w:hAnsi="Times New Roman"/>
          <w:color w:val="auto"/>
          <w:highlight w:val="none"/>
        </w:rPr>
      </w:pPr>
    </w:p>
    <w:p w14:paraId="608515CE">
      <w:pPr>
        <w:pStyle w:val="11"/>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69EF782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3339974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bookmarkStart w:id="62" w:name="_GoBack"/>
      <w:bookmarkEnd w:id="62"/>
    </w:p>
    <w:p w14:paraId="29127966">
      <w:pPr>
        <w:pStyle w:val="11"/>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31AD0E3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43EEAF9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096C662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137A8DE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6358DBC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01A6406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221FFE3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5E7BF57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2BC0E11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3521678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32E80708">
      <w:pPr>
        <w:pStyle w:val="11"/>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2036467E">
      <w:pPr>
        <w:pStyle w:val="11"/>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1D571C04">
      <w:pPr>
        <w:pStyle w:val="11"/>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410CAE9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41E5521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03B33DA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4866F06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73111C7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72C49C8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720C064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7F47F0E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52F2BB4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4C493DC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631E4FC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386B78D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009F2AE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3E52E39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1932735A">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77196"/>
      <w:bookmarkStart w:id="7" w:name="_Toc15396599"/>
      <w:r>
        <w:rPr>
          <w:rFonts w:hint="eastAsia" w:ascii="Times New Roman" w:hAnsi="Times New Roman" w:eastAsia="仿宋_GB2312" w:cs="仿宋_GB2312"/>
          <w:b/>
          <w:color w:val="auto"/>
          <w:sz w:val="32"/>
          <w:szCs w:val="32"/>
          <w:highlight w:val="none"/>
        </w:rPr>
        <w:br w:type="page"/>
      </w:r>
    </w:p>
    <w:p w14:paraId="12FBAC6F">
      <w:pPr>
        <w:pStyle w:val="2"/>
        <w:jc w:val="center"/>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6"/>
      <w:bookmarkEnd w:id="7"/>
    </w:p>
    <w:p w14:paraId="6DF093EA">
      <w:pPr>
        <w:pStyle w:val="3"/>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59AB98C6">
      <w:pPr>
        <w:pStyle w:val="5"/>
        <w:spacing w:before="100" w:line="357" w:lineRule="auto"/>
        <w:ind w:left="30" w:right="91" w:firstLine="637"/>
      </w:pPr>
      <w:r>
        <w:rPr>
          <w:rFonts w:hint="eastAsia"/>
          <w:lang w:val="en-US" w:eastAsia="zh-CN"/>
        </w:rPr>
        <w:t xml:space="preserve">   </w:t>
      </w:r>
      <w:r>
        <w:rPr>
          <w:spacing w:val="8"/>
        </w:rPr>
        <w:t>沐川县退役军人事务局为县政府工作部门，主要负责全</w:t>
      </w:r>
      <w:r>
        <w:rPr>
          <w:spacing w:val="7"/>
        </w:rPr>
        <w:t>县退役军人事务工作。</w:t>
      </w:r>
    </w:p>
    <w:p w14:paraId="4294AEFA">
      <w:pPr>
        <w:pStyle w:val="5"/>
        <w:spacing w:before="1" w:line="357" w:lineRule="auto"/>
        <w:ind w:left="26" w:right="91" w:firstLine="620"/>
      </w:pPr>
      <w:r>
        <w:rPr>
          <w:spacing w:val="6"/>
        </w:rPr>
        <w:t>（</w:t>
      </w:r>
      <w:r>
        <w:rPr>
          <w:spacing w:val="-70"/>
        </w:rPr>
        <w:t xml:space="preserve"> </w:t>
      </w:r>
      <w:r>
        <w:rPr>
          <w:spacing w:val="6"/>
        </w:rPr>
        <w:t>一）拟订退役军人工作政策并组织实施，褒扬彰显退</w:t>
      </w:r>
      <w:r>
        <w:rPr>
          <w:spacing w:val="7"/>
        </w:rPr>
        <w:t>役军人为党、国家和人民牺牲奉献的精神风</w:t>
      </w:r>
      <w:r>
        <w:rPr>
          <w:spacing w:val="6"/>
        </w:rPr>
        <w:t>范和价值导向。</w:t>
      </w:r>
    </w:p>
    <w:p w14:paraId="43839CB9">
      <w:pPr>
        <w:pStyle w:val="5"/>
        <w:spacing w:before="1" w:line="357" w:lineRule="auto"/>
        <w:ind w:left="30" w:right="89" w:firstLine="617"/>
      </w:pPr>
      <w:r>
        <w:rPr>
          <w:spacing w:val="6"/>
        </w:rPr>
        <w:t>（</w:t>
      </w:r>
      <w:r>
        <w:rPr>
          <w:spacing w:val="-70"/>
        </w:rPr>
        <w:t xml:space="preserve"> </w:t>
      </w:r>
      <w:r>
        <w:rPr>
          <w:spacing w:val="6"/>
        </w:rPr>
        <w:t>二）负责军队转业干部的安置。负责复原干部、离休</w:t>
      </w:r>
      <w:r>
        <w:rPr>
          <w:spacing w:val="9"/>
        </w:rPr>
        <w:t>退休干部、退役士兵和无军籍退休退职职工的</w:t>
      </w:r>
      <w:r>
        <w:rPr>
          <w:spacing w:val="8"/>
        </w:rPr>
        <w:t>移交安置以及自主择业、就业退役军人服务管理工作。</w:t>
      </w:r>
    </w:p>
    <w:p w14:paraId="2C27F77F">
      <w:pPr>
        <w:pStyle w:val="5"/>
        <w:spacing w:before="3" w:line="356" w:lineRule="auto"/>
        <w:ind w:left="36" w:right="91" w:firstLine="610"/>
      </w:pPr>
      <w:r>
        <w:rPr>
          <w:spacing w:val="6"/>
        </w:rPr>
        <w:t>（</w:t>
      </w:r>
      <w:r>
        <w:rPr>
          <w:spacing w:val="-70"/>
        </w:rPr>
        <w:t xml:space="preserve"> </w:t>
      </w:r>
      <w:r>
        <w:rPr>
          <w:spacing w:val="6"/>
        </w:rPr>
        <w:t>三）组织退役军人教育培训工作，承担退役军人和随</w:t>
      </w:r>
      <w:r>
        <w:rPr>
          <w:spacing w:val="7"/>
        </w:rPr>
        <w:t>军随调家属就业创业扶持工作。</w:t>
      </w:r>
    </w:p>
    <w:p w14:paraId="200B96E9">
      <w:pPr>
        <w:pStyle w:val="5"/>
        <w:spacing w:before="3" w:line="357" w:lineRule="auto"/>
        <w:ind w:left="34" w:right="91" w:firstLine="613"/>
      </w:pPr>
      <w:r>
        <w:rPr>
          <w:spacing w:val="5"/>
        </w:rPr>
        <w:t>（</w:t>
      </w:r>
      <w:r>
        <w:rPr>
          <w:spacing w:val="-46"/>
        </w:rPr>
        <w:t xml:space="preserve"> </w:t>
      </w:r>
      <w:r>
        <w:rPr>
          <w:spacing w:val="5"/>
        </w:rPr>
        <w:t>四）贯彻执行国家有关退役军人特殊保障政策，拟定</w:t>
      </w:r>
      <w:r>
        <w:rPr>
          <w:spacing w:val="7"/>
        </w:rPr>
        <w:t>有关地方性政策并组织实施。</w:t>
      </w:r>
    </w:p>
    <w:p w14:paraId="39CAB030">
      <w:pPr>
        <w:pStyle w:val="5"/>
        <w:spacing w:before="1" w:line="357" w:lineRule="auto"/>
        <w:ind w:left="30" w:right="91" w:firstLine="617"/>
      </w:pPr>
      <w:r>
        <w:rPr>
          <w:spacing w:val="6"/>
        </w:rPr>
        <w:t>（</w:t>
      </w:r>
      <w:r>
        <w:rPr>
          <w:spacing w:val="-70"/>
        </w:rPr>
        <w:t xml:space="preserve"> </w:t>
      </w:r>
      <w:r>
        <w:rPr>
          <w:spacing w:val="6"/>
        </w:rPr>
        <w:t>五）组织、协调落实移交地方的离休退休军人、符合</w:t>
      </w:r>
      <w:r>
        <w:rPr>
          <w:spacing w:val="9"/>
        </w:rPr>
        <w:t>条件的其他退役军人和无军籍退休退职职工的住房保障工</w:t>
      </w:r>
    </w:p>
    <w:p w14:paraId="1DD0AD3B">
      <w:pPr>
        <w:pStyle w:val="5"/>
        <w:spacing w:before="1" w:line="220" w:lineRule="auto"/>
        <w:ind w:left="30"/>
      </w:pPr>
      <w:r>
        <w:rPr>
          <w:spacing w:val="6"/>
        </w:rPr>
        <w:t>作，</w:t>
      </w:r>
      <w:r>
        <w:rPr>
          <w:spacing w:val="-83"/>
        </w:rPr>
        <w:t xml:space="preserve"> </w:t>
      </w:r>
      <w:r>
        <w:rPr>
          <w:spacing w:val="6"/>
        </w:rPr>
        <w:t>以及退役军人医疗保障、社会保险等待遇保障工作。</w:t>
      </w:r>
    </w:p>
    <w:p w14:paraId="6E70B790">
      <w:pPr>
        <w:pStyle w:val="5"/>
        <w:keepNext/>
        <w:keepLines w:val="0"/>
        <w:pageBreakBefore w:val="0"/>
        <w:widowControl w:val="0"/>
        <w:kinsoku/>
        <w:wordWrap/>
        <w:overflowPunct/>
        <w:topLinePunct w:val="0"/>
        <w:autoSpaceDE/>
        <w:autoSpaceDN/>
        <w:bidi w:val="0"/>
        <w:adjustRightInd/>
        <w:snapToGrid/>
        <w:spacing w:before="228" w:line="348" w:lineRule="auto"/>
        <w:ind w:left="28" w:firstLine="618"/>
        <w:textAlignment w:val="auto"/>
        <w:sectPr>
          <w:footerReference r:id="rId5" w:type="default"/>
          <w:pgSz w:w="11906" w:h="16839"/>
          <w:pgMar w:top="1431" w:right="1710" w:bottom="1434" w:left="1785" w:header="0" w:footer="1157" w:gutter="0"/>
          <w:cols w:space="720" w:num="1"/>
        </w:sectPr>
      </w:pPr>
      <w:r>
        <w:rPr>
          <w:spacing w:val="6"/>
        </w:rPr>
        <w:t>（</w:t>
      </w:r>
      <w:r>
        <w:rPr>
          <w:spacing w:val="-70"/>
        </w:rPr>
        <w:t xml:space="preserve"> </w:t>
      </w:r>
      <w:r>
        <w:rPr>
          <w:spacing w:val="6"/>
        </w:rPr>
        <w:t>六）负责伤病残退役军人服务管理和抚恤工作，贯彻</w:t>
      </w:r>
      <w:r>
        <w:t>执行国家有关退役军人医疗、疗养、养老等机构的规划政策。</w:t>
      </w:r>
      <w:r>
        <w:rPr>
          <w:spacing w:val="9"/>
        </w:rPr>
        <w:t>承担不适宜继续服役的伤病残军人移交安置</w:t>
      </w:r>
      <w:r>
        <w:rPr>
          <w:spacing w:val="8"/>
        </w:rPr>
        <w:t>、退休安置、供养等工作。组织军供服务保障工作。</w:t>
      </w:r>
    </w:p>
    <w:p w14:paraId="5F60AFD9">
      <w:pPr>
        <w:pStyle w:val="5"/>
        <w:spacing w:before="218" w:line="357" w:lineRule="auto"/>
        <w:ind w:right="244"/>
      </w:pPr>
      <w:r>
        <w:rPr>
          <w:spacing w:val="9"/>
        </w:rPr>
        <w:t>（七）组织、指导拥军优属工作，承担现役军人、退役</w:t>
      </w:r>
      <w:r>
        <w:rPr>
          <w:spacing w:val="8"/>
        </w:rPr>
        <w:t>军人、军队文职人员和军属的优待、抚恤工作，贯彻执行国家有关国民党抗战老兵等有关人员优待政策。</w:t>
      </w:r>
    </w:p>
    <w:p w14:paraId="30D33D3A">
      <w:pPr>
        <w:pStyle w:val="5"/>
        <w:spacing w:before="2" w:line="357" w:lineRule="auto"/>
        <w:ind w:left="22" w:right="242" w:firstLine="624"/>
      </w:pPr>
      <w:r>
        <w:rPr>
          <w:spacing w:val="7"/>
        </w:rPr>
        <w:t>（</w:t>
      </w:r>
      <w:r>
        <w:rPr>
          <w:spacing w:val="-92"/>
        </w:rPr>
        <w:t xml:space="preserve"> </w:t>
      </w:r>
      <w:r>
        <w:rPr>
          <w:spacing w:val="7"/>
        </w:rPr>
        <w:t>八）负责烈士及退役军人荣誉奖励、军人公墓和</w:t>
      </w:r>
      <w:r>
        <w:rPr>
          <w:spacing w:val="6"/>
        </w:rPr>
        <w:t>烈士</w:t>
      </w:r>
      <w:r>
        <w:rPr>
          <w:spacing w:val="9"/>
        </w:rPr>
        <w:t>纪念设施的建设管理、纪念活动等工作，依法承担英雄烈士保护相关工作，审核拟列入全县重点保护单位的烈士纪念建筑物名录，总结表彰和宣扬退役军人、退役军人工作单位和</w:t>
      </w:r>
      <w:r>
        <w:rPr>
          <w:spacing w:val="7"/>
        </w:rPr>
        <w:t>个人先进典型事迹。</w:t>
      </w:r>
    </w:p>
    <w:p w14:paraId="6330BACE">
      <w:pPr>
        <w:pStyle w:val="5"/>
        <w:spacing w:before="1" w:line="357" w:lineRule="auto"/>
        <w:ind w:left="27" w:right="242" w:firstLine="619"/>
      </w:pPr>
      <w:r>
        <w:rPr>
          <w:spacing w:val="9"/>
        </w:rPr>
        <w:t>（九）指导并监督检查退役军人相关法律法规和政策措施的落实，组织开展退役军人权益维护和有关人员的</w:t>
      </w:r>
      <w:r>
        <w:rPr>
          <w:spacing w:val="8"/>
        </w:rPr>
        <w:t>帮扶援</w:t>
      </w:r>
      <w:r>
        <w:rPr>
          <w:spacing w:val="4"/>
        </w:rPr>
        <w:t>助工作。</w:t>
      </w:r>
    </w:p>
    <w:p w14:paraId="1A05F42E">
      <w:pPr>
        <w:pStyle w:val="5"/>
        <w:spacing w:before="1" w:line="357" w:lineRule="auto"/>
        <w:ind w:left="26" w:right="242" w:firstLine="620"/>
      </w:pPr>
      <w:r>
        <w:rPr>
          <w:spacing w:val="9"/>
        </w:rPr>
        <w:t>（十）推动建立退役军人事务分级负责和突发事件应急联动机制，组织、指导退役军人综合服务体系建设</w:t>
      </w:r>
      <w:r>
        <w:rPr>
          <w:spacing w:val="8"/>
        </w:rPr>
        <w:t>，参与指</w:t>
      </w:r>
      <w:r>
        <w:rPr>
          <w:spacing w:val="7"/>
        </w:rPr>
        <w:t>导退役军人党建工作。</w:t>
      </w:r>
    </w:p>
    <w:p w14:paraId="46A68774">
      <w:pPr>
        <w:pStyle w:val="5"/>
        <w:spacing w:before="1" w:line="357" w:lineRule="auto"/>
        <w:ind w:left="26" w:right="244" w:firstLine="620"/>
      </w:pPr>
      <w:r>
        <w:rPr>
          <w:spacing w:val="9"/>
        </w:rPr>
        <w:t>（十一）负责职责范围内的安全生产和职业健康、生态</w:t>
      </w:r>
      <w:r>
        <w:rPr>
          <w:spacing w:val="6"/>
        </w:rPr>
        <w:t>环境保护工作。</w:t>
      </w:r>
    </w:p>
    <w:p w14:paraId="074BE44A">
      <w:pPr>
        <w:pStyle w:val="5"/>
        <w:spacing w:before="1" w:line="221" w:lineRule="auto"/>
        <w:ind w:left="647"/>
      </w:pPr>
      <w:r>
        <w:rPr>
          <w:spacing w:val="9"/>
        </w:rPr>
        <w:t>（十二）完成县委、县政府交办的其他任务。</w:t>
      </w:r>
    </w:p>
    <w:p w14:paraId="6A5C3062">
      <w:pPr>
        <w:pStyle w:val="5"/>
        <w:spacing w:before="231" w:line="357" w:lineRule="auto"/>
        <w:ind w:left="23" w:firstLine="635"/>
      </w:pPr>
      <w:r>
        <w:rPr>
          <w:spacing w:val="9"/>
        </w:rPr>
        <w:t>（十三）职能转变。应加强全县退役军人思想政治工作</w:t>
      </w:r>
      <w:r>
        <w:rPr>
          <w:spacing w:val="6"/>
        </w:rPr>
        <w:t>以及服务保障体系建设，协调各方力量更好为军人军属服务，</w:t>
      </w:r>
      <w:r>
        <w:rPr>
          <w:spacing w:val="9"/>
        </w:rPr>
        <w:t>维护军人军属合法权益，更好地为增强部队战斗力和凝聚力</w:t>
      </w:r>
      <w:r>
        <w:rPr>
          <w:spacing w:val="7"/>
        </w:rPr>
        <w:t>做好组织保障。</w:t>
      </w:r>
    </w:p>
    <w:p w14:paraId="4444F5EE">
      <w:pPr>
        <w:spacing w:line="357" w:lineRule="auto"/>
        <w:sectPr>
          <w:footerReference r:id="rId6" w:type="default"/>
          <w:pgSz w:w="11906" w:h="16839"/>
          <w:pgMar w:top="1431" w:right="1557" w:bottom="1434" w:left="1785" w:header="0" w:footer="1159" w:gutter="0"/>
          <w:cols w:space="720" w:num="1"/>
        </w:sectPr>
      </w:pPr>
    </w:p>
    <w:p w14:paraId="6B9798A1">
      <w:pPr>
        <w:numPr>
          <w:numId w:val="0"/>
        </w:numPr>
        <w:rPr>
          <w:rFonts w:hint="default"/>
          <w:lang w:val="en-US" w:eastAsia="zh-CN"/>
        </w:rPr>
      </w:pPr>
    </w:p>
    <w:p w14:paraId="66047F7D">
      <w:pPr>
        <w:pStyle w:val="3"/>
        <w:rPr>
          <w:rStyle w:val="29"/>
          <w:rFonts w:ascii="Times New Roman" w:hAnsi="Times New Roman"/>
          <w:b w:val="0"/>
          <w:bCs w:val="0"/>
          <w:color w:val="auto"/>
          <w:highlight w:val="none"/>
        </w:rPr>
      </w:pPr>
      <w:bookmarkStart w:id="8" w:name="_Toc15396601"/>
      <w:bookmarkStart w:id="9" w:name="_Toc15377200"/>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8"/>
      <w:bookmarkEnd w:id="9"/>
    </w:p>
    <w:p w14:paraId="01A80AC5">
      <w:pPr>
        <w:pStyle w:val="5"/>
        <w:adjustRightInd w:val="0"/>
        <w:snapToGrid w:val="0"/>
        <w:spacing w:before="93" w:line="600" w:lineRule="exact"/>
        <w:ind w:firstLine="1092" w:firstLineChars="350"/>
        <w:rPr>
          <w:rFonts w:hint="eastAsia"/>
          <w:spacing w:val="-8"/>
        </w:rPr>
      </w:pPr>
      <w:r>
        <w:rPr>
          <w:spacing w:val="6"/>
        </w:rPr>
        <w:t>沐川县退役军人事务局下属二级预算单位</w:t>
      </w:r>
      <w:r>
        <w:rPr>
          <w:spacing w:val="-29"/>
        </w:rPr>
        <w:t xml:space="preserve"> </w:t>
      </w:r>
      <w:r>
        <w:rPr>
          <w:rFonts w:ascii="Times New Roman" w:hAnsi="Times New Roman" w:eastAsia="Times New Roman" w:cs="Times New Roman"/>
          <w:spacing w:val="6"/>
        </w:rPr>
        <w:t xml:space="preserve">1 </w:t>
      </w:r>
      <w:r>
        <w:rPr>
          <w:spacing w:val="6"/>
        </w:rPr>
        <w:t>个，其中行</w:t>
      </w:r>
      <w:r>
        <w:rPr>
          <w:spacing w:val="7"/>
        </w:rPr>
        <w:t>政单位</w:t>
      </w:r>
      <w:r>
        <w:rPr>
          <w:spacing w:val="-64"/>
        </w:rPr>
        <w:t xml:space="preserve"> </w:t>
      </w:r>
      <w:r>
        <w:rPr>
          <w:rFonts w:ascii="Times New Roman" w:hAnsi="Times New Roman" w:eastAsia="Times New Roman" w:cs="Times New Roman"/>
          <w:spacing w:val="7"/>
        </w:rPr>
        <w:t xml:space="preserve">0 </w:t>
      </w:r>
      <w:r>
        <w:rPr>
          <w:spacing w:val="7"/>
        </w:rPr>
        <w:t>个，参照公务员法管理的事业单位</w:t>
      </w:r>
      <w:r>
        <w:rPr>
          <w:spacing w:val="-62"/>
        </w:rPr>
        <w:t xml:space="preserve"> </w:t>
      </w:r>
      <w:r>
        <w:rPr>
          <w:rFonts w:ascii="Times New Roman" w:hAnsi="Times New Roman" w:eastAsia="Times New Roman" w:cs="Times New Roman"/>
          <w:spacing w:val="7"/>
        </w:rPr>
        <w:t xml:space="preserve">0 </w:t>
      </w:r>
      <w:r>
        <w:rPr>
          <w:spacing w:val="7"/>
        </w:rPr>
        <w:t>个，其他</w:t>
      </w:r>
      <w:r>
        <w:rPr>
          <w:spacing w:val="6"/>
        </w:rPr>
        <w:t>事业</w:t>
      </w:r>
      <w:r>
        <w:rPr>
          <w:spacing w:val="-8"/>
        </w:rPr>
        <w:t>单位</w:t>
      </w:r>
      <w:r>
        <w:rPr>
          <w:spacing w:val="-36"/>
        </w:rPr>
        <w:t xml:space="preserve"> </w:t>
      </w:r>
      <w:r>
        <w:rPr>
          <w:rFonts w:ascii="Times New Roman" w:hAnsi="Times New Roman" w:eastAsia="Times New Roman" w:cs="Times New Roman"/>
          <w:spacing w:val="-8"/>
        </w:rPr>
        <w:t>1</w:t>
      </w:r>
      <w:r>
        <w:rPr>
          <w:rFonts w:ascii="Times New Roman" w:hAnsi="Times New Roman" w:eastAsia="Times New Roman" w:cs="Times New Roman"/>
          <w:spacing w:val="17"/>
        </w:rPr>
        <w:t xml:space="preserve"> </w:t>
      </w:r>
      <w:r>
        <w:rPr>
          <w:spacing w:val="-8"/>
        </w:rPr>
        <w:t>个。</w:t>
      </w:r>
    </w:p>
    <w:p w14:paraId="67A16ECC">
      <w:pPr>
        <w:pStyle w:val="2"/>
        <w:bidi w:val="0"/>
        <w:rPr>
          <w:rFonts w:ascii="Times New Roman" w:hAnsi="Times New Roman"/>
          <w:color w:val="auto"/>
          <w:highlight w:val="none"/>
        </w:rPr>
      </w:pPr>
      <w:bookmarkStart w:id="10" w:name="_Toc15377204"/>
      <w:bookmarkStart w:id="11" w:name="_Toc15396602"/>
      <w:r>
        <w:rPr>
          <w:rFonts w:hint="eastAsia"/>
        </w:rPr>
        <w:t>第二部分</w:t>
      </w:r>
      <w:r>
        <w:rPr>
          <w:rFonts w:hint="eastAsia"/>
          <w:lang w:val="en-US" w:eastAsia="zh-CN"/>
        </w:rPr>
        <w:t xml:space="preserve"> </w:t>
      </w:r>
      <w:r>
        <w:rPr>
          <w:rFonts w:hint="eastAsia"/>
        </w:rPr>
        <w:t xml:space="preserve"> </w:t>
      </w:r>
      <w:r>
        <w:rPr>
          <w:rFonts w:hint="eastAsia"/>
          <w:lang w:val="en-US" w:eastAsia="zh-CN"/>
        </w:rPr>
        <w:t>2025年度</w:t>
      </w:r>
      <w:r>
        <w:rPr>
          <w:rFonts w:hint="eastAsia"/>
        </w:rPr>
        <w:t>部门决算情况说明</w:t>
      </w:r>
      <w:bookmarkEnd w:id="10"/>
      <w:bookmarkEnd w:id="11"/>
    </w:p>
    <w:p w14:paraId="398A334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2" w:name="_Toc15396603"/>
      <w:bookmarkStart w:id="13"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2"/>
      <w:bookmarkEnd w:id="13"/>
    </w:p>
    <w:p w14:paraId="6B7A1900">
      <w:pPr>
        <w:snapToGrid w:val="0"/>
        <w:spacing w:line="520" w:lineRule="exact"/>
        <w:ind w:firstLine="640" w:firstLineChars="200"/>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2513.57</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w:t>
      </w:r>
      <w:r>
        <w:rPr>
          <w:rFonts w:hint="eastAsia" w:ascii="Times New Roman" w:hAnsi="Times New Roman" w:eastAsia="仿宋_GB2312" w:cs="仿宋_GB2312"/>
          <w:color w:val="auto"/>
          <w:sz w:val="32"/>
          <w:szCs w:val="32"/>
          <w:highlight w:val="none"/>
          <w:lang w:eastAsia="zh-CN"/>
        </w:rPr>
        <w:t>增加</w:t>
      </w:r>
      <w:r>
        <w:rPr>
          <w:rFonts w:hint="eastAsia" w:ascii="Times New Roman" w:hAnsi="Times New Roman" w:eastAsia="仿宋_GB2312" w:cs="仿宋_GB2312"/>
          <w:color w:val="auto"/>
          <w:sz w:val="32"/>
          <w:szCs w:val="32"/>
          <w:highlight w:val="none"/>
          <w:lang w:val="en-US" w:eastAsia="zh-CN"/>
        </w:rPr>
        <w:t>17.83</w:t>
      </w:r>
      <w:r>
        <w:rPr>
          <w:rFonts w:hint="eastAsia" w:ascii="Times New Roman" w:hAnsi="Times New Roman" w:eastAsia="仿宋_GB2312" w:cs="仿宋_GB2312"/>
          <w:color w:val="auto"/>
          <w:sz w:val="32"/>
          <w:szCs w:val="32"/>
          <w:highlight w:val="none"/>
          <w:lang w:eastAsia="zh-CN"/>
        </w:rPr>
        <w:t>万元，增长</w:t>
      </w:r>
      <w:r>
        <w:rPr>
          <w:rFonts w:hint="eastAsia" w:ascii="Times New Roman" w:hAnsi="Times New Roman" w:eastAsia="仿宋_GB2312" w:cs="仿宋_GB2312"/>
          <w:color w:val="auto"/>
          <w:sz w:val="32"/>
          <w:szCs w:val="32"/>
          <w:highlight w:val="none"/>
          <w:lang w:val="en-US" w:eastAsia="zh-CN"/>
        </w:rPr>
        <w:t>0.71</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。主要变动原因是</w:t>
      </w:r>
      <w:r>
        <w:rPr>
          <w:rFonts w:hint="eastAsia" w:ascii="仿宋_GB2312" w:hAnsi="仿宋" w:eastAsia="仿宋_GB2312"/>
          <w:color w:val="000000"/>
          <w:sz w:val="32"/>
          <w:szCs w:val="32"/>
        </w:rPr>
        <w:t>人员增加，各类人员经费增加</w:t>
      </w:r>
      <w:r>
        <w:rPr>
          <w:rFonts w:hint="eastAsia" w:ascii="仿宋_GB2312" w:hAnsi="仿宋" w:eastAsia="仿宋_GB2312"/>
          <w:sz w:val="32"/>
          <w:szCs w:val="32"/>
          <w:lang w:val="en-US" w:eastAsia="zh-CN"/>
        </w:rPr>
        <w:t>。</w:t>
      </w:r>
    </w:p>
    <w:p w14:paraId="2AEF7C33">
      <w:pPr>
        <w:pStyle w:val="5"/>
        <w:bidi w:val="0"/>
        <w:jc w:val="center"/>
        <w:rPr>
          <w:rFonts w:hint="eastAsia" w:ascii="Times New Roman" w:hAnsi="Times New Roman" w:eastAsia="仿宋_GB2312" w:cs="仿宋_GB2312"/>
          <w:color w:val="auto"/>
          <w:sz w:val="32"/>
          <w:szCs w:val="32"/>
          <w:highlight w:val="none"/>
        </w:rPr>
      </w:pPr>
      <w:r>
        <w:drawing>
          <wp:anchor distT="0" distB="0" distL="114300" distR="114300" simplePos="0" relativeHeight="251659264" behindDoc="0" locked="0" layoutInCell="1" allowOverlap="1">
            <wp:simplePos x="0" y="0"/>
            <wp:positionH relativeFrom="column">
              <wp:posOffset>450215</wp:posOffset>
            </wp:positionH>
            <wp:positionV relativeFrom="paragraph">
              <wp:posOffset>113030</wp:posOffset>
            </wp:positionV>
            <wp:extent cx="4810125" cy="2619375"/>
            <wp:effectExtent l="4445" t="4445" r="5080" b="5080"/>
            <wp:wrapTopAndBottom/>
            <wp:docPr id="927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rPr>
        <w:t>（图1：</w:t>
      </w:r>
      <w:r>
        <w:rPr>
          <w:rFonts w:hint="eastAsia"/>
          <w:lang w:eastAsia="zh-CN"/>
        </w:rPr>
        <w:t>收入</w:t>
      </w:r>
      <w:r>
        <w:rPr>
          <w:rFonts w:hint="eastAsia"/>
        </w:rPr>
        <w:t>、</w:t>
      </w:r>
      <w:r>
        <w:rPr>
          <w:rFonts w:hint="eastAsia"/>
          <w:lang w:eastAsia="zh-CN"/>
        </w:rPr>
        <w:t>支出</w:t>
      </w:r>
      <w:r>
        <w:rPr>
          <w:rFonts w:hint="eastAsia"/>
        </w:rPr>
        <w:t>决算总计变动情况图）</w:t>
      </w:r>
    </w:p>
    <w:p w14:paraId="31D9C16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77206"/>
      <w:bookmarkStart w:id="15" w:name="_Toc15396604"/>
      <w:r>
        <w:rPr>
          <w:rFonts w:hint="eastAsia" w:ascii="Times New Roman" w:hAnsi="Times New Roman" w:eastAsia="黑体"/>
          <w:color w:val="auto"/>
          <w:sz w:val="32"/>
          <w:szCs w:val="32"/>
          <w:highlight w:val="none"/>
          <w:lang w:eastAsia="zh-CN"/>
        </w:rPr>
        <w:t>二、收入决算情况说明</w:t>
      </w:r>
      <w:bookmarkEnd w:id="14"/>
      <w:bookmarkEnd w:id="15"/>
    </w:p>
    <w:p w14:paraId="354B5A30">
      <w:pPr>
        <w:pStyle w:val="5"/>
        <w:bidi w:val="0"/>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2472.17</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2461.64</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99.57</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10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0.4</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0.52</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0.02</w:t>
      </w:r>
      <w:r>
        <w:rPr>
          <w:rFonts w:hint="eastAsia" w:ascii="Times New Roman" w:hAnsi="Times New Roman" w:eastAsia="仿宋_GB2312" w:cs="仿宋_GB2312"/>
          <w:color w:val="auto"/>
          <w:sz w:val="32"/>
          <w:szCs w:val="32"/>
          <w:highlight w:val="none"/>
          <w:lang w:eastAsia="zh-CN"/>
        </w:rPr>
        <w:t>%。</w:t>
      </w:r>
    </w:p>
    <w:p w14:paraId="300E4DFE">
      <w:pPr>
        <w:pStyle w:val="5"/>
        <w:bidi w:val="0"/>
        <w:jc w:val="center"/>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0288" behindDoc="0" locked="0" layoutInCell="1" allowOverlap="1">
            <wp:simplePos x="0" y="0"/>
            <wp:positionH relativeFrom="column">
              <wp:posOffset>450215</wp:posOffset>
            </wp:positionH>
            <wp:positionV relativeFrom="paragraph">
              <wp:posOffset>195580</wp:posOffset>
            </wp:positionV>
            <wp:extent cx="4904105" cy="2639695"/>
            <wp:effectExtent l="4445" t="4445" r="6350" b="22860"/>
            <wp:wrapTopAndBottom/>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lang w:eastAsia="zh-CN"/>
        </w:rPr>
        <w:t>（图2：收入决算结构图）</w:t>
      </w:r>
    </w:p>
    <w:p w14:paraId="7D0905A9">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6" w:name="_Toc15396605"/>
      <w:bookmarkStart w:id="17"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16"/>
      <w:bookmarkEnd w:id="17"/>
    </w:p>
    <w:p w14:paraId="0575DBDC">
      <w:pPr>
        <w:pStyle w:val="5"/>
        <w:bidi w:val="0"/>
        <w:ind w:firstLine="600" w:firstLineChars="200"/>
        <w:rPr>
          <w:rFonts w:hint="eastAsia"/>
          <w:lang w:eastAsia="zh-CN"/>
        </w:rPr>
      </w:pPr>
      <w:r>
        <w:rPr>
          <w:rFonts w:hint="eastAsia"/>
          <w:lang w:eastAsia="zh-CN"/>
        </w:rPr>
        <w:t>2025年度本年支出合计</w:t>
      </w:r>
      <w:r>
        <w:rPr>
          <w:rFonts w:hint="eastAsia"/>
        </w:rPr>
        <w:t>2513.57</w:t>
      </w:r>
      <w:r>
        <w:rPr>
          <w:rFonts w:hint="eastAsia"/>
          <w:lang w:eastAsia="zh-CN"/>
        </w:rPr>
        <w:t>万元，其中：基本支出</w:t>
      </w:r>
      <w:r>
        <w:rPr>
          <w:rFonts w:hint="eastAsia"/>
        </w:rPr>
        <w:t>259.12</w:t>
      </w:r>
      <w:r>
        <w:rPr>
          <w:rFonts w:hint="eastAsia"/>
          <w:lang w:eastAsia="zh-CN"/>
        </w:rPr>
        <w:t>万元，占</w:t>
      </w:r>
      <w:r>
        <w:rPr>
          <w:rFonts w:hint="eastAsia"/>
        </w:rPr>
        <w:t>10.3</w:t>
      </w:r>
      <w:r>
        <w:rPr>
          <w:rFonts w:hint="eastAsia"/>
          <w:lang w:val="en-US" w:eastAsia="zh-CN"/>
        </w:rPr>
        <w:t>1</w:t>
      </w:r>
      <w:r>
        <w:rPr>
          <w:rFonts w:hint="eastAsia"/>
          <w:lang w:eastAsia="zh-CN"/>
        </w:rPr>
        <w:t>%；项目支出</w:t>
      </w:r>
      <w:r>
        <w:rPr>
          <w:rFonts w:hint="eastAsia"/>
        </w:rPr>
        <w:t>2254.44</w:t>
      </w:r>
      <w:r>
        <w:rPr>
          <w:rFonts w:hint="eastAsia"/>
          <w:lang w:eastAsia="zh-CN"/>
        </w:rPr>
        <w:t>万元，占</w:t>
      </w:r>
      <w:r>
        <w:rPr>
          <w:rFonts w:hint="eastAsia"/>
        </w:rPr>
        <w:t>89.69</w:t>
      </w:r>
      <w:r>
        <w:rPr>
          <w:rFonts w:hint="eastAsia"/>
          <w:lang w:eastAsia="zh-CN"/>
        </w:rPr>
        <w:t>%；。</w:t>
      </w:r>
    </w:p>
    <w:p w14:paraId="04C7E479">
      <w:pPr>
        <w:pStyle w:val="5"/>
        <w:bidi w:val="0"/>
        <w:jc w:val="center"/>
        <w:rPr>
          <w:rFonts w:hint="eastAsia"/>
          <w:lang w:eastAsia="zh-CN"/>
        </w:rPr>
      </w:pPr>
      <w:r>
        <w:drawing>
          <wp:anchor distT="0" distB="0" distL="114300" distR="114300" simplePos="0" relativeHeight="251661312" behindDoc="0" locked="0" layoutInCell="1" allowOverlap="1">
            <wp:simplePos x="0" y="0"/>
            <wp:positionH relativeFrom="column">
              <wp:posOffset>433070</wp:posOffset>
            </wp:positionH>
            <wp:positionV relativeFrom="paragraph">
              <wp:posOffset>9525</wp:posOffset>
            </wp:positionV>
            <wp:extent cx="4960620" cy="2821940"/>
            <wp:effectExtent l="4445" t="4445" r="6985" b="12065"/>
            <wp:wrapTopAndBottom/>
            <wp:docPr id="1"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lang w:eastAsia="zh-CN"/>
        </w:rPr>
        <w:t>（图3：支出决算结构图）</w:t>
      </w:r>
    </w:p>
    <w:p w14:paraId="77E0B2FB">
      <w:pPr>
        <w:spacing w:line="600" w:lineRule="exact"/>
        <w:outlineLvl w:val="1"/>
        <w:rPr>
          <w:rStyle w:val="29"/>
          <w:rFonts w:ascii="Times New Roman" w:hAnsi="Times New Roman" w:eastAsia="黑体"/>
          <w:b w:val="0"/>
          <w:color w:val="auto"/>
          <w:highlight w:val="none"/>
        </w:rPr>
      </w:pPr>
      <w:bookmarkStart w:id="18" w:name="_Toc15396606"/>
      <w:bookmarkStart w:id="19" w:name="_Toc1537720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18"/>
      <w:bookmarkEnd w:id="19"/>
    </w:p>
    <w:p w14:paraId="3FBBD3DC">
      <w:pPr>
        <w:pStyle w:val="5"/>
        <w:spacing w:before="170" w:line="349" w:lineRule="auto"/>
        <w:ind w:left="26" w:right="248" w:firstLine="635"/>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2513.04</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w:t>
      </w:r>
      <w:r>
        <w:rPr>
          <w:rFonts w:hint="eastAsia" w:ascii="Times New Roman"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23.93</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Times New Roman" w:cs="仿宋_GB2312"/>
          <w:color w:val="auto"/>
          <w:kern w:val="2"/>
          <w:sz w:val="32"/>
          <w:szCs w:val="32"/>
          <w:highlight w:val="none"/>
          <w:lang w:val="en-US" w:eastAsia="zh-CN" w:bidi="ar-SA"/>
        </w:rPr>
        <w:t>增长0</w:t>
      </w:r>
      <w:r>
        <w:rPr>
          <w:rFonts w:hint="eastAsia" w:eastAsia="仿宋_GB2312" w:cs="仿宋_GB2312"/>
          <w:color w:val="auto"/>
          <w:kern w:val="2"/>
          <w:sz w:val="32"/>
          <w:szCs w:val="32"/>
          <w:highlight w:val="none"/>
          <w:lang w:val="en-US" w:eastAsia="zh-CN" w:bidi="ar-SA"/>
        </w:rPr>
        <w:t>.96</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_GB2312" w:hAnsi="仿宋" w:eastAsia="仿宋_GB2312"/>
          <w:color w:val="000000"/>
          <w:sz w:val="32"/>
          <w:szCs w:val="32"/>
        </w:rPr>
        <w:t>人员增加，各类人员经费增加</w:t>
      </w:r>
      <w:r>
        <w:rPr>
          <w:rFonts w:hint="eastAsia" w:ascii="仿宋_GB2312" w:hAnsi="仿宋" w:eastAsia="仿宋_GB2312"/>
          <w:sz w:val="32"/>
          <w:szCs w:val="32"/>
          <w:lang w:val="en-US" w:eastAsia="zh-CN"/>
        </w:rPr>
        <w:t>。</w:t>
      </w:r>
    </w:p>
    <w:p w14:paraId="659A865E">
      <w:pPr>
        <w:spacing w:line="600" w:lineRule="exact"/>
        <w:jc w:val="both"/>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2336" behindDoc="0" locked="0" layoutInCell="1" allowOverlap="1">
            <wp:simplePos x="0" y="0"/>
            <wp:positionH relativeFrom="column">
              <wp:posOffset>200660</wp:posOffset>
            </wp:positionH>
            <wp:positionV relativeFrom="paragraph">
              <wp:posOffset>151765</wp:posOffset>
            </wp:positionV>
            <wp:extent cx="5016500" cy="2683510"/>
            <wp:effectExtent l="4445" t="4445" r="8255" b="17145"/>
            <wp:wrapTopAndBottom/>
            <wp:docPr id="32770"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5DA94BD6">
      <w:pPr>
        <w:spacing w:line="600" w:lineRule="exact"/>
        <w:ind w:firstLine="640"/>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p>
    <w:p w14:paraId="4D62F101">
      <w:pPr>
        <w:spacing w:line="600" w:lineRule="exact"/>
        <w:ind w:firstLine="640" w:firstLineChars="200"/>
        <w:outlineLvl w:val="1"/>
        <w:rPr>
          <w:rStyle w:val="29"/>
          <w:rFonts w:ascii="Times New Roman" w:hAnsi="Times New Roman" w:eastAsia="黑体"/>
          <w:b w:val="0"/>
          <w:color w:val="auto"/>
          <w:highlight w:val="none"/>
        </w:rPr>
      </w:pPr>
      <w:bookmarkStart w:id="20" w:name="_Toc15377209"/>
      <w:bookmarkStart w:id="21"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0"/>
      <w:bookmarkEnd w:id="21"/>
    </w:p>
    <w:p w14:paraId="43802CE6">
      <w:pPr>
        <w:pStyle w:val="5"/>
        <w:bidi w:val="0"/>
        <w:ind w:firstLine="600" w:firstLineChars="200"/>
        <w:rPr>
          <w:rFonts w:hint="eastAsia"/>
        </w:rPr>
      </w:pPr>
      <w:bookmarkStart w:id="22" w:name="_Toc15377210"/>
      <w:r>
        <w:rPr>
          <w:rFonts w:hint="eastAsia"/>
        </w:rPr>
        <w:t>（一）一般公共预算财政拨款支出决算总体情况</w:t>
      </w:r>
      <w:bookmarkEnd w:id="22"/>
    </w:p>
    <w:p w14:paraId="2FA5D0C3">
      <w:pPr>
        <w:pStyle w:val="5"/>
        <w:spacing w:before="170" w:line="349" w:lineRule="auto"/>
        <w:ind w:left="26" w:right="248" w:firstLine="635"/>
        <w:rPr>
          <w:rFonts w:hint="eastAsia"/>
          <w:lang w:val="en-US" w:eastAsia="zh-CN"/>
        </w:rPr>
      </w:pPr>
      <w:r>
        <w:rPr>
          <w:rFonts w:hint="eastAsia"/>
          <w:lang w:val="en-US" w:eastAsia="zh-CN"/>
        </w:rPr>
        <w:t>2025年度一般公共预算财政拨款支出</w:t>
      </w:r>
      <w:r>
        <w:rPr>
          <w:rFonts w:hint="eastAsia"/>
        </w:rPr>
        <w:t>2503.04</w:t>
      </w:r>
      <w:r>
        <w:rPr>
          <w:rFonts w:hint="eastAsia"/>
          <w:lang w:val="en-US" w:eastAsia="zh-CN"/>
        </w:rPr>
        <w:t>万元，占本年支出合计的</w:t>
      </w:r>
      <w:r>
        <w:rPr>
          <w:rFonts w:hint="eastAsia"/>
        </w:rPr>
        <w:t>99.58</w:t>
      </w:r>
      <w:r>
        <w:rPr>
          <w:rFonts w:hint="eastAsia"/>
          <w:lang w:val="en-US" w:eastAsia="zh-CN"/>
        </w:rPr>
        <w:t>%。与上年度相比，一般公共预算财政拨款支出增加56.23万元。主要变动原因是社会保障和就业支出，优抚抚恤金项目资金。</w:t>
      </w:r>
    </w:p>
    <w:p w14:paraId="1A38E3CB">
      <w:pPr>
        <w:pStyle w:val="5"/>
        <w:bidi w:val="0"/>
        <w:ind w:left="0" w:leftChars="0" w:firstLine="0" w:firstLineChars="0"/>
        <w:jc w:val="center"/>
        <w:rPr>
          <w:rFonts w:hint="eastAsia"/>
          <w:lang w:val="en-US" w:eastAsia="zh-CN"/>
        </w:rPr>
      </w:pPr>
      <w:r>
        <w:drawing>
          <wp:inline distT="0" distB="0" distL="114300" distR="114300">
            <wp:extent cx="5325110" cy="2833370"/>
            <wp:effectExtent l="4445" t="4445" r="23495" b="19685"/>
            <wp:docPr id="3379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9315948">
      <w:pPr>
        <w:pStyle w:val="5"/>
        <w:bidi w:val="0"/>
        <w:jc w:val="center"/>
        <w:rPr>
          <w:rFonts w:hint="eastAsia"/>
        </w:rPr>
      </w:pPr>
      <w:r>
        <w:rPr>
          <w:rFonts w:hint="eastAsia"/>
          <w:lang w:val="en-US" w:eastAsia="zh-CN"/>
        </w:rPr>
        <w:t>（图5：一般公共预算财政拨款支出决算变动情况）</w:t>
      </w:r>
      <w:bookmarkStart w:id="23" w:name="_Toc15377211"/>
    </w:p>
    <w:p w14:paraId="28BF1704">
      <w:pPr>
        <w:pStyle w:val="5"/>
        <w:bidi w:val="0"/>
        <w:rPr>
          <w:rFonts w:hint="eastAsia"/>
        </w:rPr>
      </w:pPr>
      <w:r>
        <w:rPr>
          <w:rFonts w:hint="eastAsia"/>
        </w:rPr>
        <w:t>（二）一般公共预算财政拨款支出决算结构情况</w:t>
      </w:r>
      <w:bookmarkEnd w:id="23"/>
    </w:p>
    <w:p w14:paraId="7BC88D1A">
      <w:pPr>
        <w:pStyle w:val="5"/>
        <w:spacing w:before="178" w:line="356" w:lineRule="auto"/>
        <w:ind w:left="26" w:right="16" w:firstLine="634"/>
        <w:jc w:val="both"/>
        <w:rPr>
          <w:rFonts w:hint="eastAsia"/>
          <w:lang w:val="en-US" w:eastAsia="zh-CN"/>
        </w:rPr>
      </w:pPr>
      <w:r>
        <w:rPr>
          <w:rFonts w:hint="eastAsia"/>
          <w:lang w:val="en-US" w:eastAsia="zh-CN"/>
        </w:rPr>
        <w:t>2025年度一般公共预算财政拨款支出2503.04</w:t>
      </w:r>
      <w:r>
        <w:rPr>
          <w:rFonts w:hint="eastAsia"/>
          <w:lang w:val="en-US" w:eastAsia="zh-CN"/>
        </w:rPr>
        <w:t>万元，主要用于以下方面：社会保障和就业支出 2448.39万元， 占97.82%；卫生健康支出36.01万元， 占 1.44% ；住房保障支出18.65 万元， 占 0.74%。</w:t>
      </w:r>
    </w:p>
    <w:p w14:paraId="6C329998">
      <w:pPr>
        <w:pStyle w:val="5"/>
        <w:bidi w:val="0"/>
        <w:jc w:val="center"/>
        <w:rPr>
          <w:rFonts w:hint="eastAsia"/>
          <w:lang w:val="en-US" w:eastAsia="zh-CN"/>
        </w:rPr>
      </w:pPr>
      <w:r>
        <w:drawing>
          <wp:inline distT="0" distB="0" distL="114300" distR="114300">
            <wp:extent cx="5277485" cy="2897505"/>
            <wp:effectExtent l="4445" t="4445" r="13970" b="12700"/>
            <wp:docPr id="3481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8E258B7">
      <w:pPr>
        <w:pStyle w:val="5"/>
        <w:bidi w:val="0"/>
        <w:jc w:val="center"/>
        <w:rPr>
          <w:rFonts w:hint="eastAsia"/>
          <w:lang w:val="en-US" w:eastAsia="zh-CN"/>
        </w:rPr>
      </w:pPr>
    </w:p>
    <w:p w14:paraId="121FD590">
      <w:pPr>
        <w:pStyle w:val="5"/>
        <w:bidi w:val="0"/>
        <w:jc w:val="center"/>
        <w:rPr>
          <w:rFonts w:hint="eastAsia"/>
          <w:lang w:val="en-US" w:eastAsia="zh-CN"/>
        </w:rPr>
        <w:sectPr>
          <w:footerReference r:id="rId7" w:type="default"/>
          <w:pgSz w:w="11906" w:h="16839"/>
          <w:pgMar w:top="1431" w:right="1785" w:bottom="1434" w:left="1785" w:header="0" w:footer="1159" w:gutter="0"/>
          <w:cols w:space="720" w:num="1"/>
        </w:sectPr>
      </w:pPr>
      <w:r>
        <w:rPr>
          <w:rFonts w:hint="eastAsia"/>
          <w:lang w:val="en-US" w:eastAsia="zh-CN"/>
        </w:rPr>
        <w:t>（图6：一般公共预算财政拨款支出决算结构）</w:t>
      </w:r>
    </w:p>
    <w:p w14:paraId="2F0B73EB">
      <w:pPr>
        <w:pStyle w:val="5"/>
        <w:keepNext/>
        <w:keepLines/>
        <w:pageBreakBefore w:val="0"/>
        <w:widowControl w:val="0"/>
        <w:kinsoku/>
        <w:wordWrap/>
        <w:overflowPunct/>
        <w:topLinePunct w:val="0"/>
        <w:autoSpaceDE/>
        <w:autoSpaceDN/>
        <w:bidi w:val="0"/>
        <w:adjustRightInd/>
        <w:snapToGrid/>
        <w:textAlignment w:val="auto"/>
        <w:rPr>
          <w:rFonts w:hint="eastAsia"/>
        </w:rPr>
      </w:pPr>
      <w:bookmarkStart w:id="24" w:name="_Toc15377212"/>
      <w:r>
        <w:rPr>
          <w:rFonts w:hint="eastAsia"/>
        </w:rPr>
        <w:t>（三）一般公共预算财政拨款支出决算具体情况</w:t>
      </w:r>
      <w:bookmarkEnd w:id="24"/>
    </w:p>
    <w:p w14:paraId="3886904A">
      <w:pPr>
        <w:pStyle w:val="5"/>
        <w:keepNext/>
        <w:keepLines/>
        <w:pageBreakBefore w:val="0"/>
        <w:widowControl w:val="0"/>
        <w:kinsoku/>
        <w:wordWrap/>
        <w:overflowPunct/>
        <w:topLinePunct w:val="0"/>
        <w:autoSpaceDE/>
        <w:autoSpaceDN/>
        <w:bidi w:val="0"/>
        <w:adjustRightInd/>
        <w:snapToGrid/>
        <w:textAlignment w:val="auto"/>
        <w:rPr>
          <w:rFonts w:hint="eastAsia"/>
          <w:lang w:val="en-US" w:eastAsia="zh-CN"/>
        </w:rPr>
      </w:pPr>
      <w:bookmarkStart w:id="25" w:name="_Toc15378460"/>
      <w:bookmarkStart w:id="26" w:name="_Toc15377213"/>
      <w:bookmarkStart w:id="27" w:name="_Toc15377444"/>
      <w:r>
        <w:rPr>
          <w:rFonts w:hint="eastAsia"/>
          <w:lang w:val="en-US" w:eastAsia="zh-CN"/>
        </w:rPr>
        <w:t>2025年度一般公共预算支出决算数为</w:t>
      </w:r>
      <w:r>
        <w:rPr>
          <w:rFonts w:hint="eastAsia"/>
        </w:rPr>
        <w:t>2503.04</w:t>
      </w:r>
      <w:r>
        <w:rPr>
          <w:rFonts w:hint="eastAsia"/>
          <w:lang w:val="en-US" w:eastAsia="zh-CN"/>
        </w:rPr>
        <w:t>，完成预算100%。其中：</w:t>
      </w:r>
      <w:bookmarkEnd w:id="25"/>
      <w:bookmarkEnd w:id="26"/>
      <w:bookmarkEnd w:id="27"/>
    </w:p>
    <w:p w14:paraId="0B04E4B0">
      <w:pPr>
        <w:pStyle w:val="5"/>
        <w:keepNext/>
        <w:keepLines/>
        <w:pageBreakBefore w:val="0"/>
        <w:widowControl w:val="0"/>
        <w:kinsoku/>
        <w:wordWrap/>
        <w:overflowPunct/>
        <w:topLinePunct w:val="0"/>
        <w:autoSpaceDE/>
        <w:autoSpaceDN/>
        <w:bidi w:val="0"/>
        <w:adjustRightInd/>
        <w:snapToGrid/>
        <w:spacing w:before="55" w:line="354" w:lineRule="auto"/>
        <w:ind w:left="23" w:firstLine="637"/>
        <w:textAlignment w:val="auto"/>
      </w:pPr>
      <w:r>
        <w:rPr>
          <w:rFonts w:hint="eastAsia" w:ascii="Times New Roman" w:hAnsi="Times New Roman" w:eastAsia="宋体" w:cs="Times New Roman"/>
          <w:spacing w:val="-3"/>
          <w:lang w:val="en-US" w:eastAsia="zh-CN"/>
        </w:rPr>
        <w:t>1</w:t>
      </w:r>
      <w:r>
        <w:rPr>
          <w:rFonts w:ascii="Times New Roman" w:hAnsi="Times New Roman" w:eastAsia="Times New Roman" w:cs="Times New Roman"/>
          <w:spacing w:val="-3"/>
        </w:rPr>
        <w:t>.</w:t>
      </w:r>
      <w:r>
        <w:rPr>
          <w:spacing w:val="-3"/>
        </w:rPr>
        <w:t>社会保障和就业支出（类）行政事业单位</w:t>
      </w:r>
      <w:r>
        <w:rPr>
          <w:spacing w:val="-4"/>
        </w:rPr>
        <w:t>养老支出（款）</w:t>
      </w:r>
      <w:r>
        <w:rPr>
          <w:spacing w:val="2"/>
        </w:rPr>
        <w:t>机关事业单位基本养老保险缴费支出（项）</w:t>
      </w:r>
      <w:r>
        <w:rPr>
          <w:rFonts w:ascii="Times New Roman" w:hAnsi="Times New Roman" w:eastAsia="Times New Roman" w:cs="Times New Roman"/>
          <w:spacing w:val="2"/>
        </w:rPr>
        <w:t>:</w:t>
      </w:r>
      <w:r>
        <w:rPr>
          <w:spacing w:val="2"/>
        </w:rPr>
        <w:t>支出决算为</w:t>
      </w:r>
      <w:r>
        <w:rPr>
          <w:rFonts w:hint="eastAsia" w:ascii="Times New Roman" w:hAnsi="Times New Roman" w:eastAsia="宋体" w:cs="Times New Roman"/>
          <w:spacing w:val="2"/>
          <w:lang w:val="en-US" w:eastAsia="zh-CN"/>
        </w:rPr>
        <w:t>22.98</w:t>
      </w:r>
      <w:r>
        <w:rPr>
          <w:spacing w:val="6"/>
        </w:rPr>
        <w:t>万元，完成预算</w:t>
      </w:r>
      <w:r>
        <w:rPr>
          <w:rFonts w:ascii="Times New Roman" w:hAnsi="Times New Roman" w:eastAsia="Times New Roman" w:cs="Times New Roman"/>
          <w:spacing w:val="6"/>
        </w:rPr>
        <w:t>100%</w:t>
      </w:r>
      <w:r>
        <w:rPr>
          <w:spacing w:val="6"/>
        </w:rPr>
        <w:t>，决算数等于预算数。</w:t>
      </w:r>
    </w:p>
    <w:p w14:paraId="592B3E6D">
      <w:pPr>
        <w:pStyle w:val="5"/>
        <w:keepNext/>
        <w:keepLines/>
        <w:pageBreakBefore w:val="0"/>
        <w:widowControl w:val="0"/>
        <w:kinsoku/>
        <w:wordWrap/>
        <w:overflowPunct/>
        <w:topLinePunct w:val="0"/>
        <w:autoSpaceDE/>
        <w:autoSpaceDN/>
        <w:bidi w:val="0"/>
        <w:adjustRightInd/>
        <w:snapToGrid/>
        <w:spacing w:before="54" w:line="369" w:lineRule="auto"/>
        <w:ind w:left="26" w:right="314" w:firstLine="641"/>
        <w:textAlignment w:val="auto"/>
      </w:pPr>
      <w:r>
        <w:rPr>
          <w:rFonts w:hint="eastAsia" w:ascii="Times New Roman" w:hAnsi="Times New Roman" w:eastAsia="宋体" w:cs="Times New Roman"/>
          <w:spacing w:val="11"/>
          <w:lang w:val="en-US" w:eastAsia="zh-CN"/>
        </w:rPr>
        <w:t>2</w:t>
      </w:r>
      <w:r>
        <w:rPr>
          <w:rFonts w:ascii="Times New Roman" w:hAnsi="Times New Roman" w:eastAsia="Times New Roman" w:cs="Times New Roman"/>
          <w:spacing w:val="11"/>
        </w:rPr>
        <w:t>.</w:t>
      </w:r>
      <w:r>
        <w:rPr>
          <w:spacing w:val="11"/>
        </w:rPr>
        <w:t>社会保障和就业支出（类）抚恤（款）在乡复员、退</w:t>
      </w:r>
      <w:r>
        <w:rPr>
          <w:spacing w:val="7"/>
        </w:rPr>
        <w:t>伍军人生活补助（项</w:t>
      </w:r>
      <w:r>
        <w:rPr>
          <w:spacing w:val="-62"/>
        </w:rPr>
        <w:t xml:space="preserve"> </w:t>
      </w:r>
      <w:r>
        <w:rPr>
          <w:spacing w:val="7"/>
        </w:rPr>
        <w:t>）</w:t>
      </w:r>
      <w:r>
        <w:rPr>
          <w:rFonts w:ascii="Times New Roman" w:hAnsi="Times New Roman" w:eastAsia="Times New Roman" w:cs="Times New Roman"/>
          <w:spacing w:val="7"/>
        </w:rPr>
        <w:t>:</w:t>
      </w:r>
      <w:r>
        <w:rPr>
          <w:spacing w:val="7"/>
        </w:rPr>
        <w:t>支出决算为</w:t>
      </w:r>
      <w:r>
        <w:rPr>
          <w:rFonts w:hint="eastAsia" w:ascii="Times New Roman" w:hAnsi="Times New Roman" w:eastAsia="宋体" w:cs="Times New Roman"/>
          <w:spacing w:val="7"/>
          <w:lang w:val="en-US" w:eastAsia="zh-CN"/>
        </w:rPr>
        <w:t>153.2</w:t>
      </w:r>
      <w:r>
        <w:rPr>
          <w:spacing w:val="7"/>
        </w:rPr>
        <w:t>万</w:t>
      </w:r>
      <w:r>
        <w:rPr>
          <w:spacing w:val="6"/>
        </w:rPr>
        <w:t>元，完成预算</w:t>
      </w:r>
      <w:r>
        <w:rPr>
          <w:rFonts w:ascii="Times New Roman" w:hAnsi="Times New Roman" w:eastAsia="Times New Roman" w:cs="Times New Roman"/>
          <w:spacing w:val="7"/>
        </w:rPr>
        <w:t>100%</w:t>
      </w:r>
      <w:r>
        <w:rPr>
          <w:spacing w:val="7"/>
        </w:rPr>
        <w:t>，决算数等于预算数。</w:t>
      </w:r>
    </w:p>
    <w:p w14:paraId="3B560F8C">
      <w:pPr>
        <w:pStyle w:val="5"/>
        <w:keepNext/>
        <w:keepLines/>
        <w:pageBreakBefore w:val="0"/>
        <w:widowControl w:val="0"/>
        <w:kinsoku/>
        <w:wordWrap/>
        <w:overflowPunct/>
        <w:topLinePunct w:val="0"/>
        <w:autoSpaceDE/>
        <w:autoSpaceDN/>
        <w:bidi w:val="0"/>
        <w:adjustRightInd/>
        <w:snapToGrid/>
        <w:spacing w:before="55" w:line="354" w:lineRule="auto"/>
        <w:ind w:left="23" w:firstLine="637"/>
        <w:textAlignment w:val="auto"/>
        <w:rPr>
          <w:rFonts w:hint="eastAsia"/>
          <w:spacing w:val="-3"/>
          <w:lang w:eastAsia="zh-CN"/>
        </w:rPr>
      </w:pPr>
      <w:r>
        <w:rPr>
          <w:rFonts w:hint="eastAsia" w:ascii="Times New Roman" w:hAnsi="Times New Roman" w:eastAsia="宋体" w:cs="Times New Roman"/>
          <w:spacing w:val="-14"/>
          <w:position w:val="2"/>
          <w:lang w:val="en-US" w:eastAsia="zh-CN"/>
        </w:rPr>
        <w:t>3</w:t>
      </w:r>
      <w:r>
        <w:rPr>
          <w:rFonts w:ascii="Times New Roman" w:hAnsi="Times New Roman" w:eastAsia="Times New Roman" w:cs="Times New Roman"/>
          <w:spacing w:val="-14"/>
          <w:position w:val="2"/>
        </w:rPr>
        <w:t>.</w:t>
      </w:r>
      <w:r>
        <w:rPr>
          <w:spacing w:val="-14"/>
          <w:position w:val="2"/>
        </w:rPr>
        <w:t>社会保障和就业支出（类）抚恤（款）义务兵优待（项）</w:t>
      </w:r>
      <w:r>
        <w:rPr>
          <w:rFonts w:hint="eastAsia"/>
          <w:spacing w:val="-14"/>
          <w:position w:val="2"/>
          <w:lang w:eastAsia="zh-CN"/>
        </w:rPr>
        <w:t>：</w:t>
      </w:r>
      <w:r>
        <w:rPr>
          <w:spacing w:val="6"/>
        </w:rPr>
        <w:t>支出决</w:t>
      </w:r>
      <w:r>
        <w:rPr>
          <w:spacing w:val="-3"/>
        </w:rPr>
        <w:t>算为 3</w:t>
      </w:r>
      <w:r>
        <w:rPr>
          <w:rFonts w:hint="eastAsia"/>
          <w:spacing w:val="-3"/>
          <w:lang w:val="en-US" w:eastAsia="zh-CN"/>
        </w:rPr>
        <w:t>91.09</w:t>
      </w:r>
      <w:r>
        <w:rPr>
          <w:spacing w:val="-3"/>
        </w:rPr>
        <w:t xml:space="preserve"> 万元，完成预算100%，决算数等于预算数</w:t>
      </w:r>
      <w:r>
        <w:rPr>
          <w:rFonts w:hint="eastAsia"/>
          <w:spacing w:val="-3"/>
          <w:lang w:eastAsia="zh-CN"/>
        </w:rPr>
        <w:t>。</w:t>
      </w:r>
    </w:p>
    <w:p w14:paraId="75DADB3D">
      <w:pPr>
        <w:pStyle w:val="5"/>
        <w:keepNext/>
        <w:keepLines/>
        <w:pageBreakBefore w:val="0"/>
        <w:widowControl w:val="0"/>
        <w:kinsoku/>
        <w:wordWrap/>
        <w:overflowPunct/>
        <w:topLinePunct w:val="0"/>
        <w:autoSpaceDE/>
        <w:autoSpaceDN/>
        <w:bidi w:val="0"/>
        <w:adjustRightInd/>
        <w:snapToGrid/>
        <w:spacing w:before="55" w:line="354" w:lineRule="auto"/>
        <w:ind w:left="23" w:firstLine="637"/>
        <w:textAlignment w:val="auto"/>
        <w:rPr>
          <w:rFonts w:hint="eastAsia"/>
          <w:spacing w:val="-3"/>
          <w:lang w:eastAsia="zh-CN"/>
        </w:rPr>
      </w:pPr>
      <w:r>
        <w:rPr>
          <w:spacing w:val="-3"/>
        </w:rPr>
        <w:t>4.社会保障和就业支出（类）抚恤（款）</w:t>
      </w:r>
      <w:r>
        <w:rPr>
          <w:rFonts w:hint="eastAsia"/>
          <w:spacing w:val="-3"/>
        </w:rPr>
        <w:t>褒扬纪念</w:t>
      </w:r>
      <w:r>
        <w:rPr>
          <w:spacing w:val="-3"/>
        </w:rPr>
        <w:t>（项）</w:t>
      </w:r>
      <w:r>
        <w:rPr>
          <w:rFonts w:hint="eastAsia"/>
          <w:spacing w:val="-3"/>
          <w:lang w:eastAsia="zh-CN"/>
        </w:rPr>
        <w:t>：</w:t>
      </w:r>
      <w:r>
        <w:rPr>
          <w:spacing w:val="-3"/>
        </w:rPr>
        <w:t>支出决算为</w:t>
      </w:r>
      <w:r>
        <w:rPr>
          <w:rFonts w:hint="eastAsia"/>
          <w:spacing w:val="-3"/>
          <w:lang w:val="en-US" w:eastAsia="zh-CN"/>
        </w:rPr>
        <w:t>9.53</w:t>
      </w:r>
      <w:r>
        <w:rPr>
          <w:spacing w:val="-3"/>
        </w:rPr>
        <w:t xml:space="preserve"> 万元，完成预算100%，决算数等于预算数</w:t>
      </w:r>
      <w:r>
        <w:rPr>
          <w:rFonts w:hint="eastAsia"/>
          <w:spacing w:val="-3"/>
          <w:lang w:eastAsia="zh-CN"/>
        </w:rPr>
        <w:t>。</w:t>
      </w:r>
    </w:p>
    <w:p w14:paraId="288A16F8">
      <w:pPr>
        <w:pStyle w:val="5"/>
        <w:keepNext/>
        <w:keepLines/>
        <w:pageBreakBefore w:val="0"/>
        <w:widowControl w:val="0"/>
        <w:kinsoku/>
        <w:wordWrap/>
        <w:overflowPunct/>
        <w:topLinePunct w:val="0"/>
        <w:autoSpaceDE/>
        <w:autoSpaceDN/>
        <w:bidi w:val="0"/>
        <w:adjustRightInd/>
        <w:snapToGrid/>
        <w:spacing w:before="55" w:line="354" w:lineRule="auto"/>
        <w:ind w:left="23" w:firstLine="637"/>
        <w:textAlignment w:val="auto"/>
        <w:rPr>
          <w:spacing w:val="-3"/>
        </w:rPr>
      </w:pPr>
      <w:r>
        <w:rPr>
          <w:spacing w:val="-3"/>
        </w:rPr>
        <w:t>5.社会保障和就业支出（类）抚恤（款）其他优抚支出（项）:支出决算为</w:t>
      </w:r>
      <w:r>
        <w:rPr>
          <w:rFonts w:hint="eastAsia"/>
          <w:spacing w:val="-3"/>
          <w:lang w:val="en-US" w:eastAsia="zh-CN"/>
        </w:rPr>
        <w:t>1220.97</w:t>
      </w:r>
      <w:r>
        <w:rPr>
          <w:spacing w:val="-3"/>
        </w:rPr>
        <w:t xml:space="preserve"> 万元，完成预算100%，决算数等于预算数。</w:t>
      </w:r>
    </w:p>
    <w:p w14:paraId="2736B07F">
      <w:pPr>
        <w:pStyle w:val="5"/>
        <w:keepNext/>
        <w:keepLines/>
        <w:pageBreakBefore w:val="0"/>
        <w:widowControl w:val="0"/>
        <w:kinsoku/>
        <w:wordWrap/>
        <w:overflowPunct/>
        <w:topLinePunct w:val="0"/>
        <w:autoSpaceDE/>
        <w:autoSpaceDN/>
        <w:bidi w:val="0"/>
        <w:adjustRightInd/>
        <w:snapToGrid/>
        <w:spacing w:before="55" w:line="354" w:lineRule="auto"/>
        <w:ind w:left="23" w:firstLine="637"/>
        <w:textAlignment w:val="auto"/>
        <w:rPr>
          <w:rFonts w:hint="eastAsia"/>
          <w:spacing w:val="-3"/>
          <w:lang w:eastAsia="zh-CN"/>
        </w:rPr>
      </w:pPr>
      <w:r>
        <w:rPr>
          <w:spacing w:val="-3"/>
        </w:rPr>
        <w:t>6.社会保障和就业支出（类）退役安置（款）退役士兵安置（项）:支出决算为1</w:t>
      </w:r>
      <w:r>
        <w:rPr>
          <w:rFonts w:hint="eastAsia"/>
          <w:spacing w:val="-3"/>
          <w:lang w:val="en-US" w:eastAsia="zh-CN"/>
        </w:rPr>
        <w:t>44.15</w:t>
      </w:r>
      <w:r>
        <w:rPr>
          <w:spacing w:val="-3"/>
        </w:rPr>
        <w:t>万元，完成预算100%，决算数等于预算数。</w:t>
      </w:r>
    </w:p>
    <w:p w14:paraId="79A48BA4">
      <w:pPr>
        <w:pStyle w:val="5"/>
        <w:keepNext/>
        <w:keepLines/>
        <w:pageBreakBefore w:val="0"/>
        <w:widowControl w:val="0"/>
        <w:kinsoku/>
        <w:wordWrap/>
        <w:overflowPunct/>
        <w:topLinePunct w:val="0"/>
        <w:autoSpaceDE/>
        <w:autoSpaceDN/>
        <w:bidi w:val="0"/>
        <w:adjustRightInd/>
        <w:snapToGrid/>
        <w:spacing w:before="55" w:line="354" w:lineRule="auto"/>
        <w:ind w:left="23" w:firstLine="637"/>
        <w:textAlignment w:val="auto"/>
      </w:pPr>
      <w:r>
        <w:rPr>
          <w:spacing w:val="-3"/>
        </w:rPr>
        <w:t>7.社会保障和就业支出（类）退役安置（款）退役士兵管理教育（项 ）:</w:t>
      </w:r>
      <w:r>
        <w:rPr>
          <w:spacing w:val="3"/>
        </w:rPr>
        <w:t>支出决算为</w:t>
      </w:r>
      <w:r>
        <w:rPr>
          <w:rFonts w:hint="eastAsia" w:ascii="Times New Roman" w:eastAsia="宋体" w:cs="Times New Roman"/>
          <w:spacing w:val="3"/>
          <w:lang w:val="en-US" w:eastAsia="zh-CN"/>
        </w:rPr>
        <w:t>2.05</w:t>
      </w:r>
      <w:r>
        <w:rPr>
          <w:spacing w:val="3"/>
        </w:rPr>
        <w:t>万元</w:t>
      </w:r>
      <w:r>
        <w:rPr>
          <w:spacing w:val="2"/>
        </w:rPr>
        <w:t>，完成预算</w:t>
      </w:r>
      <w:r>
        <w:rPr>
          <w:rFonts w:ascii="Times New Roman" w:hAnsi="Times New Roman" w:eastAsia="Times New Roman" w:cs="Times New Roman"/>
          <w:spacing w:val="2"/>
        </w:rPr>
        <w:t>100%</w:t>
      </w:r>
      <w:r>
        <w:rPr>
          <w:rFonts w:ascii="Times New Roman" w:hAnsi="Times New Roman" w:eastAsia="Times New Roman" w:cs="Times New Roman"/>
          <w:spacing w:val="-28"/>
        </w:rPr>
        <w:t xml:space="preserve"> </w:t>
      </w:r>
      <w:r>
        <w:rPr>
          <w:spacing w:val="2"/>
        </w:rPr>
        <w:t>，</w:t>
      </w:r>
      <w:r>
        <w:rPr>
          <w:spacing w:val="7"/>
        </w:rPr>
        <w:t>决算数等于预算数。</w:t>
      </w:r>
    </w:p>
    <w:p w14:paraId="7362BCC3">
      <w:pPr>
        <w:pStyle w:val="5"/>
        <w:keepNext/>
        <w:keepLines/>
        <w:pageBreakBefore w:val="0"/>
        <w:widowControl w:val="0"/>
        <w:kinsoku/>
        <w:wordWrap/>
        <w:overflowPunct/>
        <w:topLinePunct w:val="0"/>
        <w:autoSpaceDE/>
        <w:autoSpaceDN/>
        <w:bidi w:val="0"/>
        <w:adjustRightInd/>
        <w:snapToGrid/>
        <w:spacing w:before="116" w:line="362" w:lineRule="auto"/>
        <w:ind w:right="16" w:firstLine="644" w:firstLineChars="200"/>
        <w:textAlignment w:val="auto"/>
      </w:pPr>
      <w:r>
        <w:rPr>
          <w:rFonts w:ascii="Times New Roman" w:hAnsi="Times New Roman" w:eastAsia="Times New Roman" w:cs="Times New Roman"/>
          <w:spacing w:val="11"/>
        </w:rPr>
        <w:t>8.</w:t>
      </w:r>
      <w:r>
        <w:rPr>
          <w:spacing w:val="11"/>
        </w:rPr>
        <w:t>社会保障和就业支出（类）退役安置（款）军队移交</w:t>
      </w:r>
      <w:r>
        <w:rPr>
          <w:spacing w:val="6"/>
        </w:rPr>
        <w:t>政府离退休干部管理（项）</w:t>
      </w:r>
      <w:r>
        <w:rPr>
          <w:rFonts w:ascii="Times New Roman" w:hAnsi="Times New Roman" w:eastAsia="Times New Roman" w:cs="Times New Roman"/>
          <w:spacing w:val="6"/>
        </w:rPr>
        <w:t>:</w:t>
      </w:r>
      <w:r>
        <w:rPr>
          <w:spacing w:val="6"/>
        </w:rPr>
        <w:t>支出决算为</w:t>
      </w:r>
      <w:r>
        <w:rPr>
          <w:rFonts w:hint="eastAsia"/>
          <w:spacing w:val="6"/>
          <w:lang w:val="en-US" w:eastAsia="zh-CN"/>
        </w:rPr>
        <w:t>76.45</w:t>
      </w:r>
      <w:r>
        <w:rPr>
          <w:spacing w:val="6"/>
        </w:rPr>
        <w:t xml:space="preserve"> </w:t>
      </w:r>
      <w:r>
        <w:rPr>
          <w:spacing w:val="5"/>
        </w:rPr>
        <w:t>万元，完成预</w:t>
      </w:r>
      <w:r>
        <w:rPr>
          <w:spacing w:val="4"/>
        </w:rPr>
        <w:t>算</w:t>
      </w:r>
      <w:r>
        <w:rPr>
          <w:spacing w:val="-34"/>
        </w:rPr>
        <w:t xml:space="preserve"> </w:t>
      </w:r>
      <w:r>
        <w:rPr>
          <w:rFonts w:ascii="Times New Roman" w:hAnsi="Times New Roman" w:eastAsia="Times New Roman" w:cs="Times New Roman"/>
          <w:spacing w:val="4"/>
        </w:rPr>
        <w:t>100%</w:t>
      </w:r>
      <w:r>
        <w:rPr>
          <w:spacing w:val="4"/>
        </w:rPr>
        <w:t>，决算数等于预算数</w:t>
      </w:r>
      <w:r>
        <w:rPr>
          <w:rFonts w:ascii="Times New Roman" w:hAnsi="Times New Roman" w:eastAsia="Times New Roman" w:cs="Times New Roman"/>
          <w:spacing w:val="11"/>
        </w:rPr>
        <w:t>9.</w:t>
      </w:r>
      <w:r>
        <w:rPr>
          <w:spacing w:val="11"/>
        </w:rPr>
        <w:t>社会保障和就业支出（类）退役安置（款）军队转业</w:t>
      </w:r>
      <w:r>
        <w:rPr>
          <w:spacing w:val="3"/>
        </w:rPr>
        <w:t>干部安置（项</w:t>
      </w:r>
      <w:r>
        <w:rPr>
          <w:spacing w:val="-55"/>
        </w:rPr>
        <w:t xml:space="preserve"> </w:t>
      </w:r>
      <w:r>
        <w:rPr>
          <w:spacing w:val="3"/>
        </w:rPr>
        <w:t>）</w:t>
      </w:r>
      <w:r>
        <w:rPr>
          <w:rFonts w:ascii="Times New Roman" w:hAnsi="Times New Roman" w:eastAsia="Times New Roman" w:cs="Times New Roman"/>
          <w:spacing w:val="3"/>
        </w:rPr>
        <w:t>:</w:t>
      </w:r>
      <w:r>
        <w:rPr>
          <w:spacing w:val="3"/>
        </w:rPr>
        <w:t>支</w:t>
      </w:r>
      <w:r>
        <w:rPr>
          <w:spacing w:val="11"/>
        </w:rPr>
        <w:t>出决算为</w:t>
      </w:r>
      <w:r>
        <w:rPr>
          <w:rFonts w:hint="eastAsia"/>
          <w:spacing w:val="11"/>
          <w:lang w:val="en-US" w:eastAsia="zh-CN"/>
        </w:rPr>
        <w:t>12.45</w:t>
      </w:r>
      <w:r>
        <w:rPr>
          <w:spacing w:val="11"/>
        </w:rPr>
        <w:t>万</w:t>
      </w:r>
      <w:r>
        <w:rPr>
          <w:spacing w:val="3"/>
        </w:rPr>
        <w:t>元，完成预算</w:t>
      </w:r>
      <w:r>
        <w:rPr>
          <w:spacing w:val="-33"/>
        </w:rPr>
        <w:t xml:space="preserve"> </w:t>
      </w:r>
      <w:r>
        <w:rPr>
          <w:rFonts w:ascii="Times New Roman" w:hAnsi="Times New Roman" w:eastAsia="Times New Roman" w:cs="Times New Roman"/>
          <w:spacing w:val="3"/>
        </w:rPr>
        <w:t>100%</w:t>
      </w:r>
      <w:r>
        <w:rPr>
          <w:rFonts w:ascii="Times New Roman" w:hAnsi="Times New Roman" w:eastAsia="Times New Roman" w:cs="Times New Roman"/>
          <w:spacing w:val="-29"/>
        </w:rPr>
        <w:t xml:space="preserve"> </w:t>
      </w:r>
      <w:r>
        <w:rPr>
          <w:spacing w:val="3"/>
        </w:rPr>
        <w:t>，</w:t>
      </w:r>
      <w:r>
        <w:rPr>
          <w:spacing w:val="6"/>
        </w:rPr>
        <w:t>决算数等于预算数。</w:t>
      </w:r>
    </w:p>
    <w:p w14:paraId="22A3235C">
      <w:pPr>
        <w:pStyle w:val="5"/>
        <w:keepNext/>
        <w:keepLines/>
        <w:pageBreakBefore w:val="0"/>
        <w:widowControl w:val="0"/>
        <w:kinsoku/>
        <w:wordWrap/>
        <w:overflowPunct/>
        <w:topLinePunct w:val="0"/>
        <w:autoSpaceDE/>
        <w:autoSpaceDN/>
        <w:bidi w:val="0"/>
        <w:adjustRightInd/>
        <w:snapToGrid/>
        <w:spacing w:before="58" w:line="360" w:lineRule="auto"/>
        <w:ind w:left="34" w:right="16" w:firstLine="658"/>
        <w:textAlignment w:val="auto"/>
      </w:pPr>
      <w:r>
        <w:rPr>
          <w:rFonts w:ascii="Times New Roman" w:hAnsi="Times New Roman" w:eastAsia="Times New Roman" w:cs="Times New Roman"/>
          <w:spacing w:val="4"/>
        </w:rPr>
        <w:t>10.</w:t>
      </w:r>
      <w:r>
        <w:rPr>
          <w:spacing w:val="4"/>
        </w:rPr>
        <w:t>社会保障和就业支出（类）退役安置（款）其他退役</w:t>
      </w:r>
      <w:r>
        <w:rPr>
          <w:spacing w:val="3"/>
        </w:rPr>
        <w:t>安置支出（项</w:t>
      </w:r>
      <w:r>
        <w:rPr>
          <w:spacing w:val="-53"/>
        </w:rPr>
        <w:t xml:space="preserve"> </w:t>
      </w:r>
      <w:r>
        <w:rPr>
          <w:spacing w:val="3"/>
        </w:rPr>
        <w:t>）</w:t>
      </w:r>
      <w:r>
        <w:rPr>
          <w:rFonts w:ascii="Times New Roman" w:hAnsi="Times New Roman" w:eastAsia="Times New Roman" w:cs="Times New Roman"/>
          <w:spacing w:val="3"/>
        </w:rPr>
        <w:t>:</w:t>
      </w:r>
      <w:r>
        <w:rPr>
          <w:spacing w:val="3"/>
        </w:rPr>
        <w:t>支出</w:t>
      </w:r>
      <w:r>
        <w:rPr>
          <w:spacing w:val="4"/>
        </w:rPr>
        <w:t>决算为</w:t>
      </w:r>
      <w:r>
        <w:rPr>
          <w:rFonts w:hint="eastAsia"/>
          <w:spacing w:val="4"/>
          <w:lang w:val="en-US" w:eastAsia="zh-CN"/>
        </w:rPr>
        <w:t>11.72</w:t>
      </w:r>
      <w:r>
        <w:rPr>
          <w:spacing w:val="4"/>
        </w:rPr>
        <w:t xml:space="preserve"> 万</w:t>
      </w:r>
      <w:r>
        <w:rPr>
          <w:spacing w:val="3"/>
        </w:rPr>
        <w:t>元，完成预算</w:t>
      </w:r>
      <w:r>
        <w:rPr>
          <w:spacing w:val="-33"/>
        </w:rPr>
        <w:t xml:space="preserve"> </w:t>
      </w:r>
      <w:r>
        <w:rPr>
          <w:rFonts w:ascii="Times New Roman" w:hAnsi="Times New Roman" w:eastAsia="Times New Roman" w:cs="Times New Roman"/>
          <w:spacing w:val="3"/>
        </w:rPr>
        <w:t>100%</w:t>
      </w:r>
      <w:r>
        <w:rPr>
          <w:rFonts w:ascii="Times New Roman" w:hAnsi="Times New Roman" w:eastAsia="Times New Roman" w:cs="Times New Roman"/>
          <w:spacing w:val="-29"/>
        </w:rPr>
        <w:t xml:space="preserve"> </w:t>
      </w:r>
      <w:r>
        <w:rPr>
          <w:spacing w:val="3"/>
        </w:rPr>
        <w:t>，</w:t>
      </w:r>
      <w:r>
        <w:rPr>
          <w:spacing w:val="6"/>
        </w:rPr>
        <w:t>决算数等于预算数。</w:t>
      </w:r>
    </w:p>
    <w:p w14:paraId="62974A04">
      <w:pPr>
        <w:pStyle w:val="5"/>
        <w:keepNext/>
        <w:keepLines/>
        <w:pageBreakBefore w:val="0"/>
        <w:widowControl w:val="0"/>
        <w:kinsoku/>
        <w:wordWrap/>
        <w:overflowPunct/>
        <w:topLinePunct w:val="0"/>
        <w:autoSpaceDE/>
        <w:autoSpaceDN/>
        <w:bidi w:val="0"/>
        <w:adjustRightInd/>
        <w:snapToGrid/>
        <w:spacing w:before="59" w:line="367" w:lineRule="auto"/>
        <w:ind w:left="32" w:right="16" w:firstLine="659"/>
        <w:textAlignment w:val="auto"/>
      </w:pPr>
      <w:r>
        <w:rPr>
          <w:rFonts w:ascii="Times New Roman" w:hAnsi="Times New Roman" w:eastAsia="Times New Roman" w:cs="Times New Roman"/>
          <w:spacing w:val="10"/>
        </w:rPr>
        <w:t>11.</w:t>
      </w:r>
      <w:r>
        <w:rPr>
          <w:spacing w:val="10"/>
        </w:rPr>
        <w:t>社会保障和就业（类）退役军人</w:t>
      </w:r>
      <w:r>
        <w:rPr>
          <w:spacing w:val="9"/>
        </w:rPr>
        <w:t>管理事务（款）行</w:t>
      </w:r>
      <w:r>
        <w:rPr>
          <w:spacing w:val="5"/>
        </w:rPr>
        <w:t>政运行（项）</w:t>
      </w:r>
      <w:r>
        <w:rPr>
          <w:rFonts w:ascii="Times New Roman" w:hAnsi="Times New Roman" w:eastAsia="Times New Roman" w:cs="Times New Roman"/>
          <w:spacing w:val="5"/>
        </w:rPr>
        <w:t>:</w:t>
      </w:r>
      <w:r>
        <w:rPr>
          <w:spacing w:val="5"/>
        </w:rPr>
        <w:t>支出决算为</w:t>
      </w:r>
      <w:r>
        <w:rPr>
          <w:spacing w:val="-57"/>
        </w:rPr>
        <w:t xml:space="preserve"> </w:t>
      </w:r>
      <w:r>
        <w:rPr>
          <w:rFonts w:hint="eastAsia" w:ascii="Times New Roman" w:hAnsi="Times New Roman" w:eastAsia="宋体" w:cs="Times New Roman"/>
          <w:spacing w:val="5"/>
          <w:lang w:val="en-US" w:eastAsia="zh-CN"/>
        </w:rPr>
        <w:t>80.55</w:t>
      </w:r>
      <w:r>
        <w:rPr>
          <w:spacing w:val="5"/>
        </w:rPr>
        <w:t>万元，完成预算</w:t>
      </w:r>
      <w:r>
        <w:rPr>
          <w:spacing w:val="-36"/>
        </w:rPr>
        <w:t xml:space="preserve"> </w:t>
      </w:r>
      <w:r>
        <w:rPr>
          <w:rFonts w:ascii="Times New Roman" w:hAnsi="Times New Roman" w:eastAsia="Times New Roman" w:cs="Times New Roman"/>
          <w:spacing w:val="5"/>
        </w:rPr>
        <w:t>100%</w:t>
      </w:r>
      <w:r>
        <w:rPr>
          <w:spacing w:val="5"/>
        </w:rPr>
        <w:t>，决算数等于预算数。</w:t>
      </w:r>
    </w:p>
    <w:p w14:paraId="69215F81">
      <w:pPr>
        <w:pStyle w:val="5"/>
        <w:keepNext/>
        <w:keepLines/>
        <w:pageBreakBefore w:val="0"/>
        <w:widowControl w:val="0"/>
        <w:kinsoku/>
        <w:wordWrap/>
        <w:overflowPunct/>
        <w:topLinePunct w:val="0"/>
        <w:autoSpaceDE/>
        <w:autoSpaceDN/>
        <w:bidi w:val="0"/>
        <w:adjustRightInd/>
        <w:snapToGrid/>
        <w:spacing w:before="235" w:line="334" w:lineRule="auto"/>
        <w:ind w:left="30" w:right="72" w:firstLine="664"/>
        <w:textAlignment w:val="auto"/>
      </w:pPr>
      <w:r>
        <w:rPr>
          <w:rFonts w:ascii="Times New Roman" w:hAnsi="Times New Roman" w:eastAsia="Times New Roman" w:cs="Times New Roman"/>
          <w:spacing w:val="9"/>
        </w:rPr>
        <w:t>12.</w:t>
      </w:r>
      <w:r>
        <w:rPr>
          <w:spacing w:val="9"/>
        </w:rPr>
        <w:t>社会保障和就业（类）退役军人管理事务（款）</w:t>
      </w:r>
      <w:r>
        <w:rPr>
          <w:rFonts w:hint="eastAsia"/>
          <w:spacing w:val="9"/>
        </w:rPr>
        <w:t>拥军优属</w:t>
      </w:r>
      <w:r>
        <w:rPr>
          <w:spacing w:val="-10"/>
        </w:rPr>
        <w:t>（项）</w:t>
      </w:r>
      <w:r>
        <w:rPr>
          <w:rFonts w:ascii="Times New Roman" w:hAnsi="Times New Roman" w:eastAsia="Times New Roman" w:cs="Times New Roman"/>
          <w:spacing w:val="-10"/>
        </w:rPr>
        <w:t>:</w:t>
      </w:r>
      <w:r>
        <w:rPr>
          <w:spacing w:val="-10"/>
        </w:rPr>
        <w:t>支出决算为</w:t>
      </w:r>
      <w:r>
        <w:rPr>
          <w:rFonts w:hint="eastAsia" w:ascii="Times New Roman" w:eastAsia="宋体" w:cs="Times New Roman"/>
          <w:spacing w:val="-10"/>
          <w:lang w:val="en-US" w:eastAsia="zh-CN"/>
        </w:rPr>
        <w:t>179.85</w:t>
      </w:r>
      <w:r>
        <w:rPr>
          <w:spacing w:val="-10"/>
        </w:rPr>
        <w:t>万元，完成预算</w:t>
      </w:r>
      <w:r>
        <w:rPr>
          <w:rFonts w:ascii="Times New Roman" w:hAnsi="Times New Roman" w:eastAsia="Times New Roman" w:cs="Times New Roman"/>
          <w:spacing w:val="-10"/>
        </w:rPr>
        <w:t>100%</w:t>
      </w:r>
      <w:r>
        <w:rPr>
          <w:spacing w:val="-10"/>
        </w:rPr>
        <w:t>，</w:t>
      </w:r>
      <w:r>
        <w:rPr>
          <w:spacing w:val="6"/>
        </w:rPr>
        <w:t>决算数等于预算数。</w:t>
      </w:r>
    </w:p>
    <w:p w14:paraId="1E24D7EB">
      <w:pPr>
        <w:pStyle w:val="5"/>
        <w:keepNext/>
        <w:keepLines/>
        <w:pageBreakBefore w:val="0"/>
        <w:widowControl w:val="0"/>
        <w:kinsoku/>
        <w:wordWrap/>
        <w:overflowPunct/>
        <w:topLinePunct w:val="0"/>
        <w:autoSpaceDE/>
        <w:autoSpaceDN/>
        <w:bidi w:val="0"/>
        <w:adjustRightInd/>
        <w:snapToGrid/>
        <w:spacing w:before="45" w:line="334" w:lineRule="auto"/>
        <w:ind w:left="36" w:right="156" w:firstLine="658"/>
        <w:textAlignment w:val="auto"/>
      </w:pPr>
      <w:r>
        <w:rPr>
          <w:rFonts w:ascii="Times New Roman" w:hAnsi="Times New Roman" w:eastAsia="Times New Roman" w:cs="Times New Roman"/>
          <w:spacing w:val="9"/>
        </w:rPr>
        <w:t>13.</w:t>
      </w:r>
      <w:r>
        <w:rPr>
          <w:spacing w:val="9"/>
        </w:rPr>
        <w:t>社会保障和就业（类）退役军人管理事务（款）</w:t>
      </w:r>
      <w:r>
        <w:rPr>
          <w:rFonts w:hint="eastAsia"/>
          <w:spacing w:val="9"/>
        </w:rPr>
        <w:t>事业运行</w:t>
      </w:r>
      <w:r>
        <w:rPr>
          <w:spacing w:val="2"/>
        </w:rPr>
        <w:t>（项）</w:t>
      </w:r>
      <w:r>
        <w:rPr>
          <w:rFonts w:ascii="Times New Roman" w:hAnsi="Times New Roman" w:eastAsia="Times New Roman" w:cs="Times New Roman"/>
          <w:spacing w:val="2"/>
        </w:rPr>
        <w:t>:</w:t>
      </w:r>
      <w:r>
        <w:rPr>
          <w:spacing w:val="2"/>
        </w:rPr>
        <w:t>支出决算为</w:t>
      </w:r>
      <w:r>
        <w:rPr>
          <w:rFonts w:hint="eastAsia"/>
          <w:spacing w:val="-29"/>
          <w:lang w:val="en-US" w:eastAsia="zh-CN"/>
        </w:rPr>
        <w:t>126.43</w:t>
      </w:r>
      <w:r>
        <w:rPr>
          <w:spacing w:val="2"/>
        </w:rPr>
        <w:t>万元，完成预算</w:t>
      </w:r>
      <w:r>
        <w:rPr>
          <w:rFonts w:ascii="Times New Roman" w:hAnsi="Times New Roman" w:eastAsia="Times New Roman" w:cs="Times New Roman"/>
          <w:spacing w:val="2"/>
        </w:rPr>
        <w:t>100%</w:t>
      </w:r>
      <w:r>
        <w:rPr>
          <w:spacing w:val="2"/>
        </w:rPr>
        <w:t>，决</w:t>
      </w:r>
      <w:r>
        <w:rPr>
          <w:spacing w:val="5"/>
        </w:rPr>
        <w:t>算数等于预算数。</w:t>
      </w:r>
    </w:p>
    <w:p w14:paraId="0BA27417">
      <w:pPr>
        <w:pStyle w:val="5"/>
        <w:keepNext/>
        <w:keepLines/>
        <w:pageBreakBefore w:val="0"/>
        <w:widowControl w:val="0"/>
        <w:kinsoku/>
        <w:wordWrap/>
        <w:overflowPunct/>
        <w:topLinePunct w:val="0"/>
        <w:autoSpaceDE/>
        <w:autoSpaceDN/>
        <w:bidi w:val="0"/>
        <w:adjustRightInd/>
        <w:snapToGrid/>
        <w:spacing w:before="13" w:line="360" w:lineRule="auto"/>
        <w:ind w:left="36" w:right="156" w:firstLine="655"/>
        <w:textAlignment w:val="auto"/>
        <w:rPr>
          <w:spacing w:val="5"/>
        </w:rPr>
      </w:pPr>
      <w:r>
        <w:rPr>
          <w:rFonts w:ascii="Times New Roman" w:hAnsi="Times New Roman" w:eastAsia="Times New Roman" w:cs="Times New Roman"/>
          <w:spacing w:val="7"/>
        </w:rPr>
        <w:t>14.</w:t>
      </w:r>
      <w:r>
        <w:rPr>
          <w:spacing w:val="7"/>
        </w:rPr>
        <w:t>社会保障和就业（类）退役军人管理事务（款）</w:t>
      </w:r>
      <w:r>
        <w:rPr>
          <w:rFonts w:hint="eastAsia"/>
          <w:spacing w:val="7"/>
        </w:rPr>
        <w:t>其他退役军人事务管理支出</w:t>
      </w:r>
      <w:r>
        <w:rPr>
          <w:spacing w:val="2"/>
        </w:rPr>
        <w:t>（项）</w:t>
      </w:r>
      <w:r>
        <w:rPr>
          <w:rFonts w:ascii="Times New Roman" w:hAnsi="Times New Roman" w:eastAsia="Times New Roman" w:cs="Times New Roman"/>
          <w:spacing w:val="2"/>
        </w:rPr>
        <w:t>:</w:t>
      </w:r>
      <w:r>
        <w:rPr>
          <w:spacing w:val="2"/>
        </w:rPr>
        <w:t>支出决算为</w:t>
      </w:r>
      <w:r>
        <w:rPr>
          <w:rFonts w:hint="eastAsia"/>
          <w:spacing w:val="-29"/>
          <w:lang w:val="en-US" w:eastAsia="zh-CN"/>
        </w:rPr>
        <w:t>16.14</w:t>
      </w:r>
      <w:r>
        <w:rPr>
          <w:spacing w:val="2"/>
        </w:rPr>
        <w:t>万元，完成预算</w:t>
      </w:r>
      <w:r>
        <w:rPr>
          <w:rFonts w:ascii="Times New Roman" w:hAnsi="Times New Roman" w:eastAsia="Times New Roman" w:cs="Times New Roman"/>
          <w:spacing w:val="2"/>
        </w:rPr>
        <w:t>100%</w:t>
      </w:r>
      <w:r>
        <w:rPr>
          <w:spacing w:val="2"/>
        </w:rPr>
        <w:t>，决</w:t>
      </w:r>
      <w:r>
        <w:rPr>
          <w:spacing w:val="5"/>
        </w:rPr>
        <w:t>算数等于预算数。</w:t>
      </w:r>
    </w:p>
    <w:p w14:paraId="1B2CA1D4">
      <w:pPr>
        <w:pStyle w:val="5"/>
        <w:keepNext/>
        <w:keepLines/>
        <w:pageBreakBefore w:val="0"/>
        <w:widowControl w:val="0"/>
        <w:kinsoku/>
        <w:wordWrap/>
        <w:overflowPunct/>
        <w:topLinePunct w:val="0"/>
        <w:autoSpaceDE/>
        <w:autoSpaceDN/>
        <w:bidi w:val="0"/>
        <w:adjustRightInd/>
        <w:snapToGrid/>
        <w:spacing w:before="13" w:line="369" w:lineRule="auto"/>
        <w:ind w:left="26" w:firstLine="665"/>
        <w:textAlignment w:val="auto"/>
      </w:pPr>
      <w:r>
        <w:rPr>
          <w:rFonts w:ascii="Times New Roman" w:hAnsi="Times New Roman" w:eastAsia="Times New Roman" w:cs="Times New Roman"/>
          <w:spacing w:val="-7"/>
        </w:rPr>
        <w:t>1</w:t>
      </w:r>
      <w:r>
        <w:rPr>
          <w:rFonts w:hint="eastAsia" w:ascii="Times New Roman" w:eastAsia="宋体" w:cs="Times New Roman"/>
          <w:spacing w:val="-7"/>
          <w:lang w:val="en-US" w:eastAsia="zh-CN"/>
        </w:rPr>
        <w:t>5</w:t>
      </w:r>
      <w:r>
        <w:rPr>
          <w:rFonts w:ascii="Times New Roman" w:hAnsi="Times New Roman" w:eastAsia="Times New Roman" w:cs="Times New Roman"/>
          <w:spacing w:val="-7"/>
        </w:rPr>
        <w:t xml:space="preserve">. </w:t>
      </w:r>
      <w:r>
        <w:rPr>
          <w:spacing w:val="-7"/>
        </w:rPr>
        <w:t>社会保障和就业（类）其他社会保障和就业支出（款）</w:t>
      </w:r>
      <w:r>
        <w:rPr>
          <w:spacing w:val="15"/>
        </w:rPr>
        <w:t>其他社会保障和就业支出（项）</w:t>
      </w:r>
      <w:r>
        <w:rPr>
          <w:rFonts w:ascii="Times New Roman" w:hAnsi="Times New Roman" w:eastAsia="Times New Roman" w:cs="Times New Roman"/>
          <w:spacing w:val="15"/>
        </w:rPr>
        <w:t>:</w:t>
      </w:r>
      <w:r>
        <w:rPr>
          <w:spacing w:val="15"/>
        </w:rPr>
        <w:t>支出决算为</w:t>
      </w:r>
      <w:r>
        <w:rPr>
          <w:rFonts w:hint="eastAsia" w:ascii="Times New Roman" w:eastAsia="宋体" w:cs="Times New Roman"/>
          <w:spacing w:val="15"/>
          <w:lang w:val="en-US" w:eastAsia="zh-CN"/>
        </w:rPr>
        <w:t>0.83</w:t>
      </w:r>
      <w:r>
        <w:rPr>
          <w:spacing w:val="14"/>
        </w:rPr>
        <w:t>万元，完</w:t>
      </w:r>
      <w:r>
        <w:rPr>
          <w:spacing w:val="5"/>
        </w:rPr>
        <w:t>成预算</w:t>
      </w:r>
      <w:r>
        <w:rPr>
          <w:rFonts w:ascii="Times New Roman" w:hAnsi="Times New Roman" w:eastAsia="Times New Roman" w:cs="Times New Roman"/>
          <w:spacing w:val="5"/>
        </w:rPr>
        <w:t>100%</w:t>
      </w:r>
      <w:r>
        <w:rPr>
          <w:spacing w:val="5"/>
        </w:rPr>
        <w:t>，决算数等于预算数。</w:t>
      </w:r>
    </w:p>
    <w:p w14:paraId="420D223F">
      <w:pPr>
        <w:pStyle w:val="5"/>
        <w:keepNext w:val="0"/>
        <w:keepLines w:val="0"/>
        <w:pageBreakBefore w:val="0"/>
        <w:widowControl w:val="0"/>
        <w:kinsoku/>
        <w:wordWrap/>
        <w:overflowPunct/>
        <w:topLinePunct w:val="0"/>
        <w:autoSpaceDE/>
        <w:autoSpaceDN/>
        <w:bidi w:val="0"/>
        <w:adjustRightInd/>
        <w:snapToGrid/>
        <w:spacing w:before="108" w:line="360" w:lineRule="auto"/>
        <w:ind w:left="34" w:right="159" w:firstLine="658"/>
        <w:textAlignment w:val="auto"/>
        <w:rPr>
          <w:spacing w:val="6"/>
        </w:rPr>
      </w:pPr>
      <w:r>
        <w:rPr>
          <w:rFonts w:ascii="Times New Roman" w:hAnsi="Times New Roman" w:eastAsia="Times New Roman" w:cs="Times New Roman"/>
          <w:spacing w:val="10"/>
        </w:rPr>
        <w:t>1</w:t>
      </w:r>
      <w:r>
        <w:rPr>
          <w:rFonts w:hint="eastAsia" w:ascii="Times New Roman" w:eastAsia="宋体" w:cs="Times New Roman"/>
          <w:spacing w:val="10"/>
          <w:lang w:val="en-US" w:eastAsia="zh-CN"/>
        </w:rPr>
        <w:t>6</w:t>
      </w:r>
      <w:r>
        <w:rPr>
          <w:rFonts w:ascii="Times New Roman" w:hAnsi="Times New Roman" w:eastAsia="Times New Roman" w:cs="Times New Roman"/>
          <w:spacing w:val="10"/>
        </w:rPr>
        <w:t>.</w:t>
      </w:r>
      <w:r>
        <w:rPr>
          <w:spacing w:val="10"/>
        </w:rPr>
        <w:t>卫生健康支出（类）行政事业单</w:t>
      </w:r>
      <w:r>
        <w:rPr>
          <w:spacing w:val="9"/>
        </w:rPr>
        <w:t>位医疗（款）行政</w:t>
      </w:r>
      <w:r>
        <w:rPr>
          <w:spacing w:val="3"/>
        </w:rPr>
        <w:t>单位医疗（项）</w:t>
      </w:r>
      <w:r>
        <w:rPr>
          <w:rFonts w:ascii="Times New Roman" w:hAnsi="Times New Roman" w:eastAsia="Times New Roman" w:cs="Times New Roman"/>
          <w:spacing w:val="3"/>
        </w:rPr>
        <w:t>:</w:t>
      </w:r>
      <w:r>
        <w:rPr>
          <w:spacing w:val="3"/>
        </w:rPr>
        <w:t>支出决算为</w:t>
      </w:r>
      <w:r>
        <w:rPr>
          <w:spacing w:val="-54"/>
        </w:rPr>
        <w:t xml:space="preserve"> </w:t>
      </w:r>
      <w:r>
        <w:rPr>
          <w:rFonts w:hint="eastAsia" w:ascii="Times New Roman" w:eastAsia="宋体" w:cs="Times New Roman"/>
          <w:spacing w:val="3"/>
          <w:lang w:val="en-US" w:eastAsia="zh-CN"/>
        </w:rPr>
        <w:t>9.69</w:t>
      </w:r>
      <w:r>
        <w:rPr>
          <w:spacing w:val="3"/>
        </w:rPr>
        <w:t>万元，完成预算</w:t>
      </w:r>
      <w:r>
        <w:rPr>
          <w:rFonts w:ascii="Times New Roman" w:hAnsi="Times New Roman" w:eastAsia="Times New Roman" w:cs="Times New Roman"/>
          <w:spacing w:val="3"/>
        </w:rPr>
        <w:t>100%</w:t>
      </w:r>
      <w:r>
        <w:rPr>
          <w:spacing w:val="3"/>
        </w:rPr>
        <w:t>，决</w:t>
      </w:r>
      <w:r>
        <w:rPr>
          <w:spacing w:val="6"/>
        </w:rPr>
        <w:t>算数等于预算数。</w:t>
      </w:r>
    </w:p>
    <w:p w14:paraId="1F3F5B01">
      <w:pPr>
        <w:pStyle w:val="5"/>
        <w:keepNext/>
        <w:keepLines/>
        <w:pageBreakBefore w:val="0"/>
        <w:widowControl w:val="0"/>
        <w:kinsoku/>
        <w:wordWrap/>
        <w:overflowPunct/>
        <w:topLinePunct w:val="0"/>
        <w:autoSpaceDE/>
        <w:autoSpaceDN/>
        <w:bidi w:val="0"/>
        <w:adjustRightInd/>
        <w:snapToGrid/>
        <w:spacing w:before="108" w:line="360" w:lineRule="auto"/>
        <w:ind w:left="34" w:right="156" w:firstLine="658"/>
        <w:textAlignment w:val="auto"/>
      </w:pPr>
      <w:r>
        <w:rPr>
          <w:rFonts w:ascii="Times New Roman" w:hAnsi="Times New Roman" w:eastAsia="Times New Roman" w:cs="Times New Roman"/>
          <w:spacing w:val="10"/>
        </w:rPr>
        <w:t>1</w:t>
      </w:r>
      <w:r>
        <w:rPr>
          <w:rFonts w:hint="eastAsia" w:ascii="Times New Roman" w:eastAsia="宋体" w:cs="Times New Roman"/>
          <w:spacing w:val="10"/>
          <w:lang w:val="en-US" w:eastAsia="zh-CN"/>
        </w:rPr>
        <w:t>7</w:t>
      </w:r>
      <w:r>
        <w:rPr>
          <w:rFonts w:ascii="Times New Roman" w:hAnsi="Times New Roman" w:eastAsia="Times New Roman" w:cs="Times New Roman"/>
          <w:spacing w:val="10"/>
        </w:rPr>
        <w:t>.</w:t>
      </w:r>
      <w:r>
        <w:rPr>
          <w:spacing w:val="10"/>
        </w:rPr>
        <w:t>卫生健康支出（</w:t>
      </w:r>
      <w:r>
        <w:rPr>
          <w:spacing w:val="3"/>
        </w:rPr>
        <w:t>类）行政事业单位医疗（款）事业</w:t>
      </w:r>
      <w:r>
        <w:rPr>
          <w:spacing w:val="3"/>
        </w:rPr>
        <w:t>单位医疗（项）:</w:t>
      </w:r>
      <w:r>
        <w:rPr>
          <w:spacing w:val="3"/>
        </w:rPr>
        <w:t>支出决算为</w:t>
      </w:r>
      <w:r>
        <w:rPr>
          <w:rFonts w:hint="eastAsia"/>
          <w:spacing w:val="3"/>
          <w:lang w:val="en-US" w:eastAsia="zh-CN"/>
        </w:rPr>
        <w:t>5.54</w:t>
      </w:r>
      <w:r>
        <w:rPr>
          <w:spacing w:val="3"/>
        </w:rPr>
        <w:t>万元，完成预算</w:t>
      </w:r>
      <w:r>
        <w:rPr>
          <w:rFonts w:ascii="Times New Roman" w:hAnsi="Times New Roman" w:eastAsia="Times New Roman" w:cs="Times New Roman"/>
          <w:spacing w:val="3"/>
        </w:rPr>
        <w:t>100%</w:t>
      </w:r>
      <w:r>
        <w:rPr>
          <w:spacing w:val="3"/>
        </w:rPr>
        <w:t>，决</w:t>
      </w:r>
      <w:r>
        <w:rPr>
          <w:spacing w:val="6"/>
        </w:rPr>
        <w:t>算数等于预算</w:t>
      </w:r>
      <w:r>
        <w:rPr>
          <w:rFonts w:hint="eastAsia"/>
          <w:spacing w:val="6"/>
          <w:lang w:eastAsia="zh-CN"/>
        </w:rPr>
        <w:t>数。</w:t>
      </w:r>
    </w:p>
    <w:p w14:paraId="15B047CA">
      <w:pPr>
        <w:pStyle w:val="5"/>
        <w:tabs>
          <w:tab w:val="left" w:pos="1890"/>
        </w:tabs>
        <w:spacing w:before="115" w:line="360" w:lineRule="auto"/>
        <w:ind w:right="97" w:firstLine="640" w:firstLineChars="200"/>
      </w:pPr>
      <w:r>
        <w:rPr>
          <w:rFonts w:ascii="Times New Roman" w:hAnsi="Times New Roman" w:eastAsia="Times New Roman" w:cs="Times New Roman"/>
          <w:spacing w:val="10"/>
        </w:rPr>
        <w:t>1</w:t>
      </w:r>
      <w:r>
        <w:rPr>
          <w:rFonts w:hint="eastAsia" w:ascii="Times New Roman" w:hAnsi="Times New Roman" w:eastAsia="宋体" w:cs="Times New Roman"/>
          <w:spacing w:val="10"/>
          <w:lang w:val="en-US" w:eastAsia="zh-CN"/>
        </w:rPr>
        <w:t>8</w:t>
      </w:r>
      <w:r>
        <w:rPr>
          <w:rFonts w:ascii="Times New Roman" w:hAnsi="Times New Roman" w:eastAsia="Times New Roman" w:cs="Times New Roman"/>
          <w:spacing w:val="10"/>
        </w:rPr>
        <w:t>.</w:t>
      </w:r>
      <w:r>
        <w:rPr>
          <w:spacing w:val="10"/>
        </w:rPr>
        <w:t>卫生健康支出（类）行政事业单</w:t>
      </w:r>
      <w:r>
        <w:rPr>
          <w:spacing w:val="9"/>
        </w:rPr>
        <w:t>位医疗（款）公务</w:t>
      </w:r>
      <w:r>
        <w:rPr>
          <w:spacing w:val="3"/>
        </w:rPr>
        <w:t>员医疗补助（项）</w:t>
      </w:r>
      <w:r>
        <w:rPr>
          <w:rFonts w:ascii="Times New Roman" w:hAnsi="Times New Roman" w:eastAsia="Times New Roman" w:cs="Times New Roman"/>
          <w:spacing w:val="3"/>
        </w:rPr>
        <w:t>:</w:t>
      </w:r>
      <w:r>
        <w:rPr>
          <w:spacing w:val="3"/>
        </w:rPr>
        <w:t xml:space="preserve">支出决算为 </w:t>
      </w:r>
      <w:r>
        <w:rPr>
          <w:rFonts w:hint="eastAsia"/>
          <w:spacing w:val="3"/>
          <w:lang w:val="en-US" w:eastAsia="zh-CN"/>
        </w:rPr>
        <w:t>0.92</w:t>
      </w:r>
      <w:r>
        <w:rPr>
          <w:spacing w:val="3"/>
        </w:rPr>
        <w:t>万元，完成预算</w:t>
      </w:r>
      <w:r>
        <w:rPr>
          <w:rFonts w:ascii="Times New Roman" w:hAnsi="Times New Roman" w:eastAsia="Times New Roman" w:cs="Times New Roman"/>
          <w:spacing w:val="3"/>
        </w:rPr>
        <w:t>100%</w:t>
      </w:r>
      <w:r>
        <w:rPr>
          <w:spacing w:val="3"/>
        </w:rPr>
        <w:t>，</w:t>
      </w:r>
      <w:r>
        <w:rPr>
          <w:spacing w:val="6"/>
        </w:rPr>
        <w:t>决算数等于预算数。</w:t>
      </w:r>
    </w:p>
    <w:p w14:paraId="62D40AE2">
      <w:pPr>
        <w:pStyle w:val="5"/>
        <w:spacing w:before="152" w:line="360" w:lineRule="auto"/>
        <w:ind w:left="26" w:right="97" w:firstLine="635"/>
      </w:pPr>
      <w:r>
        <w:rPr>
          <w:rFonts w:hint="eastAsia" w:ascii="Times New Roman" w:hAnsi="Times New Roman" w:eastAsia="宋体" w:cs="Times New Roman"/>
          <w:spacing w:val="5"/>
          <w:lang w:val="en-US" w:eastAsia="zh-CN"/>
        </w:rPr>
        <w:t>19</w:t>
      </w:r>
      <w:r>
        <w:rPr>
          <w:rFonts w:ascii="Times New Roman" w:hAnsi="Times New Roman" w:eastAsia="Times New Roman" w:cs="Times New Roman"/>
          <w:spacing w:val="5"/>
        </w:rPr>
        <w:t>.</w:t>
      </w:r>
      <w:r>
        <w:rPr>
          <w:spacing w:val="5"/>
        </w:rPr>
        <w:t>卫生健康支出（类）优抚对象医疗（款）优抚对象医疗补助（项</w:t>
      </w:r>
      <w:r>
        <w:rPr>
          <w:spacing w:val="-58"/>
        </w:rPr>
        <w:t xml:space="preserve"> </w:t>
      </w:r>
      <w:r>
        <w:rPr>
          <w:spacing w:val="5"/>
        </w:rPr>
        <w:t>）</w:t>
      </w:r>
      <w:r>
        <w:rPr>
          <w:rFonts w:ascii="Times New Roman" w:hAnsi="Times New Roman" w:eastAsia="Times New Roman" w:cs="Times New Roman"/>
          <w:spacing w:val="5"/>
        </w:rPr>
        <w:t>:</w:t>
      </w:r>
      <w:r>
        <w:rPr>
          <w:spacing w:val="5"/>
        </w:rPr>
        <w:t>支出决算为</w:t>
      </w:r>
      <w:r>
        <w:rPr>
          <w:spacing w:val="-56"/>
        </w:rPr>
        <w:t xml:space="preserve"> </w:t>
      </w:r>
      <w:r>
        <w:rPr>
          <w:rFonts w:hint="eastAsia" w:ascii="Times New Roman" w:hAnsi="Times New Roman" w:eastAsia="宋体" w:cs="Times New Roman"/>
          <w:spacing w:val="5"/>
          <w:lang w:val="en-US" w:eastAsia="zh-CN"/>
        </w:rPr>
        <w:t>26.32</w:t>
      </w:r>
      <w:r>
        <w:rPr>
          <w:rFonts w:ascii="Times New Roman" w:hAnsi="Times New Roman" w:eastAsia="Times New Roman" w:cs="Times New Roman"/>
          <w:spacing w:val="36"/>
        </w:rPr>
        <w:t xml:space="preserve"> </w:t>
      </w:r>
      <w:r>
        <w:rPr>
          <w:spacing w:val="5"/>
        </w:rPr>
        <w:t>万元，完成预算</w:t>
      </w:r>
      <w:r>
        <w:rPr>
          <w:rFonts w:ascii="Times New Roman" w:hAnsi="Times New Roman" w:eastAsia="Times New Roman" w:cs="Times New Roman"/>
          <w:spacing w:val="5"/>
        </w:rPr>
        <w:t>100%</w:t>
      </w:r>
      <w:r>
        <w:rPr>
          <w:spacing w:val="5"/>
        </w:rPr>
        <w:t>，决</w:t>
      </w:r>
      <w:r>
        <w:rPr>
          <w:spacing w:val="7"/>
        </w:rPr>
        <w:t>算数等于预算数。</w:t>
      </w:r>
    </w:p>
    <w:p w14:paraId="51A46A32">
      <w:pPr>
        <w:pStyle w:val="5"/>
        <w:spacing w:before="90" w:line="334" w:lineRule="auto"/>
        <w:ind w:left="29" w:right="97" w:firstLine="634"/>
        <w:rPr>
          <w:rFonts w:hint="eastAsia" w:ascii="Times New Roman" w:hAnsi="Times New Roman" w:eastAsia="仿宋_GB2312" w:cs="仿宋_GB2312"/>
          <w:color w:val="auto"/>
          <w:kern w:val="2"/>
          <w:sz w:val="32"/>
          <w:szCs w:val="32"/>
          <w:highlight w:val="none"/>
          <w:lang w:val="en-US" w:eastAsia="zh-CN" w:bidi="ar-SA"/>
        </w:rPr>
      </w:pPr>
      <w:r>
        <w:rPr>
          <w:rFonts w:ascii="Times New Roman" w:hAnsi="Times New Roman" w:eastAsia="Times New Roman" w:cs="Times New Roman"/>
          <w:spacing w:val="11"/>
        </w:rPr>
        <w:t>2</w:t>
      </w:r>
      <w:r>
        <w:rPr>
          <w:rFonts w:hint="eastAsia" w:ascii="Times New Roman" w:hAnsi="Times New Roman" w:eastAsia="宋体" w:cs="Times New Roman"/>
          <w:spacing w:val="11"/>
          <w:lang w:val="en-US" w:eastAsia="zh-CN"/>
        </w:rPr>
        <w:t>0</w:t>
      </w:r>
      <w:r>
        <w:rPr>
          <w:rFonts w:ascii="Times New Roman" w:hAnsi="Times New Roman" w:eastAsia="Times New Roman" w:cs="Times New Roman"/>
          <w:spacing w:val="11"/>
        </w:rPr>
        <w:t>.</w:t>
      </w:r>
      <w:r>
        <w:rPr>
          <w:spacing w:val="11"/>
        </w:rPr>
        <w:t>住房保障支出（类）住房改革支出</w:t>
      </w:r>
      <w:r>
        <w:rPr>
          <w:spacing w:val="10"/>
        </w:rPr>
        <w:t>（款）住房公积</w:t>
      </w:r>
      <w:r>
        <w:rPr>
          <w:spacing w:val="4"/>
        </w:rPr>
        <w:t>金（项</w:t>
      </w:r>
      <w:r>
        <w:rPr>
          <w:spacing w:val="-53"/>
        </w:rPr>
        <w:t xml:space="preserve"> </w:t>
      </w:r>
      <w:r>
        <w:rPr>
          <w:spacing w:val="4"/>
        </w:rPr>
        <w:t>）</w:t>
      </w:r>
      <w:r>
        <w:rPr>
          <w:rFonts w:ascii="Times New Roman" w:hAnsi="Times New Roman" w:eastAsia="Times New Roman" w:cs="Times New Roman"/>
          <w:spacing w:val="4"/>
        </w:rPr>
        <w:t>:</w:t>
      </w:r>
      <w:r>
        <w:rPr>
          <w:spacing w:val="4"/>
        </w:rPr>
        <w:t>支出决算为</w:t>
      </w:r>
      <w:r>
        <w:rPr>
          <w:rFonts w:hint="eastAsia"/>
          <w:spacing w:val="11"/>
          <w:lang w:val="en-US" w:eastAsia="zh-CN"/>
        </w:rPr>
        <w:t>18.65</w:t>
      </w:r>
      <w:r>
        <w:rPr>
          <w:spacing w:val="11"/>
        </w:rPr>
        <w:t xml:space="preserve"> 万元</w:t>
      </w:r>
      <w:r>
        <w:rPr>
          <w:spacing w:val="4"/>
        </w:rPr>
        <w:t>，完成预算</w:t>
      </w:r>
      <w:r>
        <w:rPr>
          <w:rFonts w:ascii="Times New Roman" w:hAnsi="Times New Roman" w:eastAsia="Times New Roman" w:cs="Times New Roman"/>
          <w:spacing w:val="4"/>
        </w:rPr>
        <w:t>100%</w:t>
      </w:r>
      <w:r>
        <w:rPr>
          <w:spacing w:val="4"/>
        </w:rPr>
        <w:t>，决算数</w:t>
      </w:r>
      <w:r>
        <w:rPr>
          <w:spacing w:val="5"/>
        </w:rPr>
        <w:t>等于预算数。</w:t>
      </w:r>
    </w:p>
    <w:p w14:paraId="150D0BAE">
      <w:pPr>
        <w:tabs>
          <w:tab w:val="right" w:pos="8306"/>
        </w:tabs>
        <w:spacing w:line="600" w:lineRule="exact"/>
        <w:ind w:firstLine="640"/>
        <w:outlineLvl w:val="1"/>
        <w:rPr>
          <w:rStyle w:val="29"/>
          <w:rFonts w:ascii="Times New Roman" w:hAnsi="Times New Roman"/>
          <w:color w:val="auto"/>
          <w:highlight w:val="none"/>
        </w:rPr>
      </w:pPr>
      <w:bookmarkStart w:id="28" w:name="_Toc15377214"/>
      <w:bookmarkStart w:id="29"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28"/>
      <w:bookmarkEnd w:id="29"/>
      <w:r>
        <w:rPr>
          <w:rStyle w:val="29"/>
          <w:rFonts w:ascii="Times New Roman" w:hAnsi="Times New Roman" w:eastAsia="黑体"/>
          <w:b w:val="0"/>
          <w:color w:val="auto"/>
          <w:highlight w:val="none"/>
        </w:rPr>
        <w:tab/>
      </w:r>
    </w:p>
    <w:p w14:paraId="4FAB122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259.12</w:t>
      </w:r>
      <w:r>
        <w:rPr>
          <w:rFonts w:hint="eastAsia" w:ascii="Times New Roman" w:hAnsi="Times New Roman" w:eastAsia="仿宋_GB2312" w:cs="仿宋_GB2312"/>
          <w:color w:val="auto"/>
          <w:kern w:val="2"/>
          <w:sz w:val="32"/>
          <w:szCs w:val="32"/>
          <w:highlight w:val="none"/>
          <w:lang w:val="en-US" w:eastAsia="zh-CN" w:bidi="ar-SA"/>
        </w:rPr>
        <w:t>万元，其中：</w:t>
      </w:r>
    </w:p>
    <w:p w14:paraId="7A41C224">
      <w:pPr>
        <w:pStyle w:val="5"/>
        <w:spacing w:before="30" w:line="357" w:lineRule="auto"/>
        <w:ind w:left="26" w:firstLine="643"/>
        <w:jc w:val="both"/>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222.69</w:t>
      </w:r>
      <w:r>
        <w:rPr>
          <w:rFonts w:hint="eastAsia" w:ascii="Times New Roman" w:hAnsi="Times New Roman" w:eastAsia="仿宋_GB2312" w:cs="仿宋_GB2312"/>
          <w:color w:val="auto"/>
          <w:kern w:val="2"/>
          <w:sz w:val="32"/>
          <w:szCs w:val="32"/>
          <w:highlight w:val="none"/>
          <w:lang w:val="en-US" w:eastAsia="zh-CN" w:bidi="ar-SA"/>
        </w:rPr>
        <w:t>万元，主要包括：</w:t>
      </w:r>
      <w:r>
        <w:rPr>
          <w:spacing w:val="-2"/>
        </w:rPr>
        <w:t>基本工资、津贴补贴、</w:t>
      </w:r>
      <w:r>
        <w:rPr>
          <w:spacing w:val="9"/>
        </w:rPr>
        <w:t>奖金、绩效工资、机关事业单位基本养老保险缴费</w:t>
      </w:r>
      <w:r>
        <w:rPr>
          <w:spacing w:val="8"/>
        </w:rPr>
        <w:t>、职工基</w:t>
      </w:r>
      <w:r>
        <w:t>本医疗保险缴费、公务员医疗补助缴费、其他社会保障缴费、</w:t>
      </w:r>
      <w:r>
        <w:rPr>
          <w:spacing w:val="9"/>
        </w:rPr>
        <w:t>住房公积金、其他工资福利支出、奖励金、对个人</w:t>
      </w:r>
      <w:r>
        <w:rPr>
          <w:spacing w:val="8"/>
        </w:rPr>
        <w:t>和家庭的</w:t>
      </w:r>
      <w:r>
        <w:rPr>
          <w:spacing w:val="5"/>
        </w:rPr>
        <w:t>补助支出等。</w:t>
      </w:r>
    </w:p>
    <w:p w14:paraId="604D3BF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公用经费</w:t>
      </w:r>
      <w:r>
        <w:rPr>
          <w:rFonts w:hint="eastAsia" w:ascii="仿宋_GB2312" w:hAnsi="仿宋_GB2312" w:eastAsia="仿宋_GB2312" w:cs="仿宋_GB2312"/>
          <w:sz w:val="32"/>
          <w:szCs w:val="32"/>
        </w:rPr>
        <w:t>36.44</w:t>
      </w:r>
      <w:r>
        <w:rPr>
          <w:rFonts w:hint="eastAsia" w:ascii="Times New Roman" w:hAnsi="Times New Roman" w:eastAsia="仿宋_GB2312" w:cs="仿宋_GB2312"/>
          <w:color w:val="auto"/>
          <w:kern w:val="2"/>
          <w:sz w:val="32"/>
          <w:szCs w:val="32"/>
          <w:highlight w:val="none"/>
          <w:lang w:val="en-US" w:eastAsia="zh-CN" w:bidi="ar-SA"/>
        </w:rPr>
        <w:t>万元，主要包括：办公费、印刷费、水费、电费、邮电费、差旅费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会议费、公务接待费、工会经费、福利费、其他交通费、其他商品和服务支出。</w:t>
      </w:r>
    </w:p>
    <w:p w14:paraId="43ECB7ED">
      <w:pPr>
        <w:spacing w:line="600" w:lineRule="exact"/>
        <w:ind w:firstLine="640"/>
        <w:outlineLvl w:val="1"/>
        <w:rPr>
          <w:rStyle w:val="29"/>
          <w:rFonts w:ascii="Times New Roman" w:hAnsi="Times New Roman" w:eastAsia="黑体"/>
          <w:b w:val="0"/>
          <w:color w:val="auto"/>
          <w:highlight w:val="none"/>
        </w:rPr>
      </w:pPr>
      <w:bookmarkStart w:id="30" w:name="_Toc15396609"/>
      <w:bookmarkStart w:id="31"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0"/>
      <w:bookmarkEnd w:id="31"/>
    </w:p>
    <w:p w14:paraId="7B80681D">
      <w:pPr>
        <w:pStyle w:val="5"/>
        <w:bidi w:val="0"/>
        <w:rPr>
          <w:rFonts w:hint="eastAsia"/>
        </w:rPr>
      </w:pPr>
      <w:bookmarkStart w:id="32" w:name="_Toc15377216"/>
      <w:r>
        <w:rPr>
          <w:rFonts w:hint="eastAsia"/>
        </w:rPr>
        <w:t>（一）财政拨款“三公”经费支出决算总体情况说明</w:t>
      </w:r>
      <w:bookmarkEnd w:id="32"/>
    </w:p>
    <w:p w14:paraId="4970BD2B">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0.48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元，增长</w:t>
      </w:r>
      <w:r>
        <w:rPr>
          <w:rFonts w:hint="eastAsia" w:eastAsia="仿宋_GB2312" w:cs="仿宋_GB2312"/>
          <w:color w:val="auto"/>
          <w:kern w:val="2"/>
          <w:sz w:val="32"/>
          <w:szCs w:val="32"/>
          <w:highlight w:val="none"/>
          <w:lang w:val="en-US" w:eastAsia="zh-CN" w:bidi="ar-SA"/>
        </w:rPr>
        <w:t>26.31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。决算数等于预算数。</w:t>
      </w:r>
    </w:p>
    <w:p w14:paraId="0F5C7DDB">
      <w:pPr>
        <w:pStyle w:val="5"/>
        <w:bidi w:val="0"/>
        <w:rPr>
          <w:rFonts w:hint="eastAsia"/>
        </w:rPr>
      </w:pPr>
      <w:bookmarkStart w:id="33" w:name="_Toc15377217"/>
      <w:r>
        <w:rPr>
          <w:rFonts w:hint="eastAsia"/>
        </w:rPr>
        <w:t>（二）财政拨款“三公”经费支出决算具体情况说明</w:t>
      </w:r>
      <w:bookmarkEnd w:id="33"/>
    </w:p>
    <w:p w14:paraId="20EDAE7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万元；公务接待费支出决算</w:t>
      </w:r>
      <w:r>
        <w:rPr>
          <w:rFonts w:hint="eastAsia" w:ascii="仿宋_GB2312" w:hAnsi="仿宋_GB2312" w:eastAsia="仿宋_GB2312" w:cs="仿宋_GB2312"/>
          <w:sz w:val="32"/>
          <w:szCs w:val="32"/>
        </w:rPr>
        <w:t>0.48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%。具体情况如下：</w:t>
      </w:r>
    </w:p>
    <w:p w14:paraId="3383E89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3360" behindDoc="0" locked="0" layoutInCell="1" allowOverlap="1">
            <wp:simplePos x="0" y="0"/>
            <wp:positionH relativeFrom="column">
              <wp:posOffset>446405</wp:posOffset>
            </wp:positionH>
            <wp:positionV relativeFrom="paragraph">
              <wp:posOffset>200025</wp:posOffset>
            </wp:positionV>
            <wp:extent cx="4784090" cy="3173095"/>
            <wp:effectExtent l="4445" t="5080" r="12065" b="22225"/>
            <wp:wrapTopAndBottom/>
            <wp:docPr id="3584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14:paraId="40088E68">
      <w:pPr>
        <w:spacing w:line="600" w:lineRule="exact"/>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w:t>
      </w:r>
    </w:p>
    <w:p w14:paraId="52CBF9DC">
      <w:pPr>
        <w:pStyle w:val="5"/>
        <w:numPr>
          <w:numId w:val="0"/>
        </w:numPr>
        <w:spacing w:before="179" w:line="354" w:lineRule="auto"/>
        <w:ind w:leftChars="0" w:right="252" w:rightChars="0" w:firstLine="643" w:firstLineChars="200"/>
        <w:jc w:val="left"/>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cs="仿宋_GB2312"/>
          <w:b/>
          <w:bCs/>
          <w:color w:val="auto"/>
          <w:kern w:val="2"/>
          <w:sz w:val="32"/>
          <w:szCs w:val="32"/>
          <w:highlight w:val="none"/>
          <w:lang w:val="en-US" w:eastAsia="zh-CN" w:bidi="ar-SA"/>
        </w:rPr>
        <w:t>1、</w:t>
      </w: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p>
    <w:p w14:paraId="50E193B5">
      <w:pPr>
        <w:pStyle w:val="5"/>
        <w:numPr>
          <w:numId w:val="0"/>
        </w:numPr>
        <w:spacing w:before="179" w:line="354" w:lineRule="auto"/>
        <w:ind w:leftChars="0" w:right="252" w:rightChars="0" w:firstLine="616" w:firstLineChars="200"/>
        <w:jc w:val="left"/>
        <w:rPr>
          <w:rFonts w:hint="eastAsia" w:ascii="Times New Roman" w:hAnsi="Times New Roman" w:eastAsia="仿宋_GB2312" w:cs="仿宋_GB2312"/>
          <w:color w:val="auto"/>
          <w:kern w:val="2"/>
          <w:sz w:val="32"/>
          <w:szCs w:val="32"/>
          <w:highlight w:val="none"/>
          <w:lang w:val="en-US" w:eastAsia="zh-CN" w:bidi="ar-SA"/>
        </w:rPr>
      </w:pPr>
      <w:r>
        <w:rPr>
          <w:spacing w:val="4"/>
        </w:rPr>
        <w:t>全年安排因公出国（境）团组</w:t>
      </w:r>
      <w:r>
        <w:rPr>
          <w:spacing w:val="-60"/>
        </w:rPr>
        <w:t xml:space="preserve"> </w:t>
      </w:r>
      <w:r>
        <w:rPr>
          <w:rFonts w:ascii="Times New Roman" w:hAnsi="Times New Roman" w:eastAsia="Times New Roman" w:cs="Times New Roman"/>
          <w:spacing w:val="4"/>
        </w:rPr>
        <w:t>0</w:t>
      </w:r>
      <w:r>
        <w:rPr>
          <w:rFonts w:ascii="Times New Roman" w:hAnsi="Times New Roman" w:eastAsia="Times New Roman" w:cs="Times New Roman"/>
          <w:spacing w:val="28"/>
        </w:rPr>
        <w:t xml:space="preserve"> </w:t>
      </w:r>
      <w:r>
        <w:rPr>
          <w:spacing w:val="4"/>
        </w:rPr>
        <w:t>次，</w:t>
      </w:r>
      <w:r>
        <w:rPr>
          <w:spacing w:val="-84"/>
        </w:rPr>
        <w:t xml:space="preserve"> </w:t>
      </w:r>
      <w:r>
        <w:rPr>
          <w:spacing w:val="4"/>
        </w:rPr>
        <w:t>出国（境）</w:t>
      </w:r>
      <w:r>
        <w:rPr>
          <w:rFonts w:ascii="Times New Roman" w:hAnsi="Times New Roman" w:eastAsia="Times New Roman" w:cs="Times New Roman"/>
          <w:spacing w:val="4"/>
        </w:rPr>
        <w:t xml:space="preserve">0 </w:t>
      </w:r>
      <w:r>
        <w:rPr>
          <w:spacing w:val="4"/>
        </w:rPr>
        <w:t>人。因公</w:t>
      </w:r>
      <w:r>
        <w:rPr>
          <w:spacing w:val="8"/>
        </w:rPr>
        <w:t>出国（境）支出决算比</w:t>
      </w:r>
      <w:r>
        <w:rPr>
          <w:rFonts w:ascii="Times New Roman" w:hAnsi="Times New Roman" w:eastAsia="Times New Roman" w:cs="Times New Roman"/>
          <w:spacing w:val="8"/>
        </w:rPr>
        <w:t xml:space="preserve">2023 </w:t>
      </w:r>
      <w:r>
        <w:rPr>
          <w:spacing w:val="8"/>
        </w:rPr>
        <w:t>年增加</w:t>
      </w:r>
      <w:r>
        <w:rPr>
          <w:spacing w:val="-47"/>
        </w:rPr>
        <w:t xml:space="preserve"> </w:t>
      </w:r>
      <w:r>
        <w:rPr>
          <w:rFonts w:ascii="Times New Roman" w:hAnsi="Times New Roman" w:eastAsia="Times New Roman" w:cs="Times New Roman"/>
          <w:spacing w:val="8"/>
        </w:rPr>
        <w:t>0</w:t>
      </w:r>
      <w:r>
        <w:rPr>
          <w:rFonts w:ascii="Times New Roman" w:hAnsi="Times New Roman" w:eastAsia="Times New Roman" w:cs="Times New Roman"/>
          <w:spacing w:val="33"/>
          <w:w w:val="101"/>
        </w:rPr>
        <w:t xml:space="preserve"> </w:t>
      </w:r>
      <w:r>
        <w:rPr>
          <w:spacing w:val="8"/>
        </w:rPr>
        <w:t>万元，增长</w:t>
      </w:r>
      <w:r>
        <w:rPr>
          <w:spacing w:val="-62"/>
        </w:rPr>
        <w:t xml:space="preserve"> </w:t>
      </w:r>
      <w:r>
        <w:rPr>
          <w:rFonts w:ascii="Times New Roman" w:hAnsi="Times New Roman" w:eastAsia="Times New Roman" w:cs="Times New Roman"/>
          <w:spacing w:val="8"/>
        </w:rPr>
        <w:t>0%</w:t>
      </w:r>
      <w:r>
        <w:rPr>
          <w:spacing w:val="8"/>
        </w:rPr>
        <w:t>。</w:t>
      </w:r>
    </w:p>
    <w:p w14:paraId="15467D65">
      <w:pPr>
        <w:numPr>
          <w:ilvl w:val="0"/>
          <w:numId w:val="0"/>
        </w:numPr>
        <w:spacing w:line="600" w:lineRule="exact"/>
        <w:ind w:left="631" w:leftChars="256" w:hanging="93" w:hangingChars="29"/>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lang w:val="en-US" w:eastAsia="zh-CN" w:bidi="ar-SA"/>
        </w:rPr>
        <w:t>2.</w:t>
      </w:r>
      <w:r>
        <w:rPr>
          <w:rFonts w:hint="eastAsia" w:ascii="Times New Roman" w:hAnsi="Times New Roman" w:eastAsia="仿宋_GB2312" w:cs="仿宋_GB2312"/>
          <w:b/>
          <w:bCs/>
          <w:color w:val="auto"/>
          <w:kern w:val="2"/>
          <w:sz w:val="32"/>
          <w:szCs w:val="32"/>
          <w:highlight w:val="none"/>
          <w:lang w:val="en-US" w:eastAsia="zh-CN" w:bidi="ar-SA"/>
        </w:rPr>
        <w:t>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p>
    <w:p w14:paraId="2050B677">
      <w:pPr>
        <w:pStyle w:val="5"/>
        <w:bidi w:val="0"/>
        <w:ind w:firstLine="600" w:firstLineChars="200"/>
        <w:rPr>
          <w:rFonts w:hint="eastAsia"/>
          <w:lang w:val="en-US" w:eastAsia="zh-CN"/>
        </w:rPr>
      </w:pPr>
      <w:r>
        <w:rPr>
          <w:rFonts w:hint="eastAsia"/>
          <w:lang w:val="en-US" w:eastAsia="zh-CN"/>
        </w:rPr>
        <w:t>公务用车购置及运行维护费支出决算比上年度增加0万元，增长/下降0%。</w:t>
      </w:r>
    </w:p>
    <w:p w14:paraId="609D1133">
      <w:pPr>
        <w:pStyle w:val="5"/>
        <w:spacing w:before="166" w:line="355" w:lineRule="auto"/>
        <w:ind w:left="334" w:leftChars="159" w:firstLine="633" w:firstLineChars="198"/>
        <w:jc w:val="both"/>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w:t>
      </w:r>
      <w:r>
        <w:rPr>
          <w:spacing w:val="-3"/>
        </w:rPr>
        <w:t>其中：轿车</w:t>
      </w:r>
      <w:r>
        <w:rPr>
          <w:spacing w:val="-62"/>
        </w:rPr>
        <w:t xml:space="preserve"> </w:t>
      </w:r>
      <w:r>
        <w:rPr>
          <w:rFonts w:ascii="Times New Roman" w:hAnsi="Times New Roman" w:eastAsia="Times New Roman" w:cs="Times New Roman"/>
          <w:spacing w:val="-3"/>
        </w:rPr>
        <w:t xml:space="preserve">0 </w:t>
      </w:r>
      <w:r>
        <w:rPr>
          <w:spacing w:val="-3"/>
        </w:rPr>
        <w:t>辆、金额</w:t>
      </w:r>
      <w:r>
        <w:rPr>
          <w:spacing w:val="-62"/>
        </w:rPr>
        <w:t xml:space="preserve"> </w:t>
      </w:r>
      <w:r>
        <w:rPr>
          <w:rFonts w:ascii="Times New Roman" w:hAnsi="Times New Roman" w:eastAsia="Times New Roman" w:cs="Times New Roman"/>
          <w:spacing w:val="-3"/>
        </w:rPr>
        <w:t>0</w:t>
      </w:r>
      <w:r>
        <w:rPr>
          <w:rFonts w:ascii="Times New Roman" w:hAnsi="Times New Roman" w:eastAsia="Times New Roman" w:cs="Times New Roman"/>
          <w:spacing w:val="33"/>
          <w:w w:val="101"/>
        </w:rPr>
        <w:t xml:space="preserve"> </w:t>
      </w:r>
      <w:r>
        <w:rPr>
          <w:spacing w:val="-3"/>
        </w:rPr>
        <w:t>万元，越野车</w:t>
      </w:r>
      <w:r>
        <w:rPr>
          <w:spacing w:val="-62"/>
        </w:rPr>
        <w:t xml:space="preserve"> </w:t>
      </w:r>
      <w:r>
        <w:rPr>
          <w:rFonts w:ascii="Times New Roman" w:hAnsi="Times New Roman" w:eastAsia="Times New Roman" w:cs="Times New Roman"/>
          <w:spacing w:val="-3"/>
        </w:rPr>
        <w:t xml:space="preserve">0 </w:t>
      </w:r>
      <w:r>
        <w:rPr>
          <w:spacing w:val="-3"/>
        </w:rPr>
        <w:t>辆、</w:t>
      </w:r>
      <w:r>
        <w:rPr>
          <w:spacing w:val="5"/>
        </w:rPr>
        <w:t>金额</w:t>
      </w:r>
      <w:r>
        <w:rPr>
          <w:spacing w:val="-46"/>
        </w:rPr>
        <w:t xml:space="preserve"> </w:t>
      </w:r>
      <w:r>
        <w:rPr>
          <w:rFonts w:ascii="Times New Roman" w:hAnsi="Times New Roman" w:eastAsia="Times New Roman" w:cs="Times New Roman"/>
          <w:spacing w:val="5"/>
        </w:rPr>
        <w:t>0</w:t>
      </w:r>
      <w:r>
        <w:rPr>
          <w:rFonts w:ascii="Times New Roman" w:hAnsi="Times New Roman" w:eastAsia="Times New Roman" w:cs="Times New Roman"/>
          <w:spacing w:val="33"/>
          <w:w w:val="101"/>
        </w:rPr>
        <w:t xml:space="preserve"> </w:t>
      </w:r>
      <w:r>
        <w:rPr>
          <w:spacing w:val="5"/>
        </w:rPr>
        <w:t>万元，载客汽车</w:t>
      </w:r>
      <w:r>
        <w:rPr>
          <w:spacing w:val="-62"/>
        </w:rPr>
        <w:t xml:space="preserve"> </w:t>
      </w:r>
      <w:r>
        <w:rPr>
          <w:rFonts w:ascii="Times New Roman" w:hAnsi="Times New Roman" w:eastAsia="Times New Roman" w:cs="Times New Roman"/>
          <w:spacing w:val="5"/>
        </w:rPr>
        <w:t xml:space="preserve">0 </w:t>
      </w:r>
      <w:r>
        <w:rPr>
          <w:spacing w:val="5"/>
        </w:rPr>
        <w:t>辆、金额</w:t>
      </w:r>
      <w:r>
        <w:rPr>
          <w:spacing w:val="-64"/>
        </w:rPr>
        <w:t xml:space="preserve"> </w:t>
      </w:r>
      <w:r>
        <w:rPr>
          <w:rFonts w:ascii="Times New Roman" w:hAnsi="Times New Roman" w:eastAsia="Times New Roman" w:cs="Times New Roman"/>
          <w:spacing w:val="5"/>
        </w:rPr>
        <w:t>0</w:t>
      </w:r>
      <w:r>
        <w:rPr>
          <w:rFonts w:ascii="Times New Roman" w:hAnsi="Times New Roman" w:eastAsia="Times New Roman" w:cs="Times New Roman"/>
          <w:spacing w:val="33"/>
        </w:rPr>
        <w:t xml:space="preserve"> </w:t>
      </w:r>
      <w:r>
        <w:rPr>
          <w:spacing w:val="5"/>
        </w:rPr>
        <w:t>万元。截至</w:t>
      </w:r>
      <w:r>
        <w:rPr>
          <w:rFonts w:ascii="Times New Roman" w:hAnsi="Times New Roman" w:eastAsia="Times New Roman" w:cs="Times New Roman"/>
          <w:spacing w:val="5"/>
        </w:rPr>
        <w:t xml:space="preserve">2024 </w:t>
      </w:r>
      <w:r>
        <w:rPr>
          <w:spacing w:val="5"/>
        </w:rPr>
        <w:t>年</w:t>
      </w:r>
      <w:r>
        <w:rPr>
          <w:spacing w:val="-36"/>
        </w:rPr>
        <w:t xml:space="preserve"> </w:t>
      </w:r>
      <w:r>
        <w:rPr>
          <w:rFonts w:ascii="Times New Roman" w:hAnsi="Times New Roman" w:eastAsia="Times New Roman" w:cs="Times New Roman"/>
          <w:spacing w:val="5"/>
        </w:rPr>
        <w:t>12</w:t>
      </w:r>
      <w:r>
        <w:rPr>
          <w:spacing w:val="7"/>
        </w:rPr>
        <w:t>月</w:t>
      </w:r>
      <w:r>
        <w:rPr>
          <w:spacing w:val="-42"/>
        </w:rPr>
        <w:t xml:space="preserve"> </w:t>
      </w:r>
      <w:r>
        <w:rPr>
          <w:rFonts w:ascii="Times New Roman" w:hAnsi="Times New Roman" w:eastAsia="Times New Roman" w:cs="Times New Roman"/>
          <w:spacing w:val="7"/>
        </w:rPr>
        <w:t>31</w:t>
      </w:r>
      <w:r>
        <w:rPr>
          <w:rFonts w:ascii="Times New Roman" w:hAnsi="Times New Roman" w:eastAsia="Times New Roman" w:cs="Times New Roman"/>
          <w:spacing w:val="1"/>
        </w:rPr>
        <w:t xml:space="preserve">  </w:t>
      </w:r>
      <w:r>
        <w:rPr>
          <w:spacing w:val="7"/>
        </w:rPr>
        <w:t>日，单位共有公务用车</w:t>
      </w:r>
      <w:r>
        <w:rPr>
          <w:spacing w:val="-56"/>
        </w:rPr>
        <w:t xml:space="preserve"> </w:t>
      </w:r>
      <w:r>
        <w:rPr>
          <w:rFonts w:ascii="Times New Roman" w:hAnsi="Times New Roman" w:eastAsia="Times New Roman" w:cs="Times New Roman"/>
          <w:spacing w:val="7"/>
        </w:rPr>
        <w:t>0</w:t>
      </w:r>
      <w:r>
        <w:rPr>
          <w:rFonts w:ascii="Times New Roman" w:hAnsi="Times New Roman" w:eastAsia="Times New Roman" w:cs="Times New Roman"/>
          <w:spacing w:val="23"/>
        </w:rPr>
        <w:t xml:space="preserve"> </w:t>
      </w:r>
      <w:r>
        <w:rPr>
          <w:spacing w:val="7"/>
        </w:rPr>
        <w:t>辆，其中：轿车</w:t>
      </w:r>
      <w:r>
        <w:rPr>
          <w:spacing w:val="-57"/>
        </w:rPr>
        <w:t xml:space="preserve"> </w:t>
      </w:r>
      <w:r>
        <w:rPr>
          <w:rFonts w:ascii="Times New Roman" w:hAnsi="Times New Roman" w:eastAsia="Times New Roman" w:cs="Times New Roman"/>
          <w:spacing w:val="7"/>
        </w:rPr>
        <w:t>0</w:t>
      </w:r>
      <w:r>
        <w:rPr>
          <w:rFonts w:ascii="Times New Roman" w:hAnsi="Times New Roman" w:eastAsia="Times New Roman" w:cs="Times New Roman"/>
          <w:spacing w:val="23"/>
        </w:rPr>
        <w:t xml:space="preserve"> </w:t>
      </w:r>
      <w:r>
        <w:rPr>
          <w:spacing w:val="7"/>
        </w:rPr>
        <w:t>辆、越野</w:t>
      </w:r>
      <w:r>
        <w:rPr>
          <w:spacing w:val="11"/>
        </w:rPr>
        <w:t>车</w:t>
      </w:r>
      <w:r>
        <w:rPr>
          <w:spacing w:val="-60"/>
        </w:rPr>
        <w:t xml:space="preserve"> </w:t>
      </w:r>
      <w:r>
        <w:rPr>
          <w:rFonts w:ascii="Times New Roman" w:hAnsi="Times New Roman" w:eastAsia="Times New Roman" w:cs="Times New Roman"/>
          <w:spacing w:val="11"/>
        </w:rPr>
        <w:t xml:space="preserve">0 </w:t>
      </w:r>
      <w:r>
        <w:rPr>
          <w:spacing w:val="11"/>
        </w:rPr>
        <w:t>辆、载客汽车</w:t>
      </w:r>
      <w:r>
        <w:rPr>
          <w:rFonts w:ascii="Times New Roman" w:hAnsi="Times New Roman" w:eastAsia="Times New Roman" w:cs="Times New Roman"/>
          <w:spacing w:val="11"/>
        </w:rPr>
        <w:t xml:space="preserve">0 </w:t>
      </w:r>
      <w:r>
        <w:rPr>
          <w:spacing w:val="11"/>
        </w:rPr>
        <w:t>辆。</w:t>
      </w:r>
    </w:p>
    <w:p w14:paraId="3907B2F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2A8BF3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公务用车运行维护费支出0 万元。</w:t>
      </w:r>
    </w:p>
    <w:p w14:paraId="5C3C8D81">
      <w:pPr>
        <w:numPr>
          <w:ilvl w:val="0"/>
          <w:numId w:val="2"/>
        </w:num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ascii="仿宋_GB2312" w:hAnsi="仿宋_GB2312" w:eastAsia="仿宋_GB2312" w:cs="仿宋_GB2312"/>
          <w:b/>
          <w:bCs/>
          <w:color w:val="auto"/>
          <w:kern w:val="2"/>
          <w:sz w:val="32"/>
          <w:szCs w:val="32"/>
          <w:highlight w:val="none"/>
          <w:lang w:val="en-US" w:eastAsia="zh-CN" w:bidi="ar-SA"/>
        </w:rPr>
        <w:t>0.48</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p>
    <w:p w14:paraId="692350EB">
      <w:pPr>
        <w:numPr>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26.31</w:t>
      </w:r>
      <w:r>
        <w:rPr>
          <w:rFonts w:hint="eastAsia" w:ascii="Times New Roman" w:hAnsi="Times New Roman" w:eastAsia="仿宋_GB2312" w:cs="仿宋_GB2312"/>
          <w:color w:val="auto"/>
          <w:kern w:val="2"/>
          <w:sz w:val="32"/>
          <w:szCs w:val="32"/>
          <w:highlight w:val="none"/>
          <w:lang w:val="en-US" w:eastAsia="zh-CN" w:bidi="ar-SA"/>
        </w:rPr>
        <w:t>%。</w:t>
      </w:r>
    </w:p>
    <w:p w14:paraId="6329449F">
      <w:pPr>
        <w:pStyle w:val="5"/>
        <w:spacing w:before="33" w:line="357" w:lineRule="auto"/>
        <w:ind w:left="27" w:right="78" w:firstLine="667"/>
        <w:jc w:val="both"/>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0.48</w:t>
      </w:r>
      <w:r>
        <w:rPr>
          <w:rFonts w:hint="eastAsia" w:ascii="Times New Roman" w:hAnsi="Times New Roman" w:eastAsia="仿宋_GB2312" w:cs="仿宋_GB2312"/>
          <w:color w:val="auto"/>
          <w:kern w:val="2"/>
          <w:sz w:val="32"/>
          <w:szCs w:val="32"/>
          <w:highlight w:val="none"/>
          <w:lang w:val="en-US" w:eastAsia="zh-CN" w:bidi="ar-SA"/>
        </w:rPr>
        <w:t>万元，主要用于</w:t>
      </w:r>
      <w:r>
        <w:rPr>
          <w:spacing w:val="6"/>
        </w:rPr>
        <w:t>执行</w:t>
      </w:r>
      <w:r>
        <w:rPr>
          <w:spacing w:val="5"/>
        </w:rPr>
        <w:t>公务、开展</w:t>
      </w:r>
      <w:r>
        <w:rPr>
          <w:spacing w:val="6"/>
        </w:rPr>
        <w:t>业务活动开支的交通费、住宿费、用餐费等。</w:t>
      </w:r>
      <w:r>
        <w:rPr>
          <w:spacing w:val="-82"/>
        </w:rPr>
        <w:t xml:space="preserve"> </w:t>
      </w:r>
      <w:r>
        <w:rPr>
          <w:spacing w:val="6"/>
        </w:rPr>
        <w:t>国内公务接待</w:t>
      </w:r>
      <w:r>
        <w:rPr>
          <w:rFonts w:hint="eastAsia"/>
          <w:spacing w:val="6"/>
          <w:lang w:val="en-US" w:eastAsia="zh-CN"/>
        </w:rPr>
        <w:t>6</w:t>
      </w:r>
      <w:r>
        <w:rPr>
          <w:spacing w:val="4"/>
        </w:rPr>
        <w:t>批次，</w:t>
      </w:r>
      <w:r>
        <w:rPr>
          <w:rFonts w:hint="eastAsia" w:ascii="Times New Roman" w:hAnsi="Times New Roman" w:eastAsia="宋体" w:cs="Times New Roman"/>
          <w:spacing w:val="4"/>
          <w:lang w:val="en-US" w:eastAsia="zh-CN"/>
        </w:rPr>
        <w:t>50</w:t>
      </w:r>
      <w:r>
        <w:rPr>
          <w:spacing w:val="4"/>
        </w:rPr>
        <w:t>人次（不包括陪同人员</w:t>
      </w:r>
      <w:r>
        <w:rPr>
          <w:spacing w:val="-3"/>
        </w:rPr>
        <w:t>），</w:t>
      </w:r>
      <w:r>
        <w:rPr>
          <w:spacing w:val="4"/>
        </w:rPr>
        <w:t>共计支</w:t>
      </w:r>
      <w:r>
        <w:rPr>
          <w:spacing w:val="6"/>
        </w:rPr>
        <w:t>出</w:t>
      </w:r>
      <w:r>
        <w:rPr>
          <w:rFonts w:hint="eastAsia"/>
          <w:spacing w:val="6"/>
          <w:lang w:val="en-US" w:eastAsia="zh-CN"/>
        </w:rPr>
        <w:t>0.48</w:t>
      </w:r>
      <w:r>
        <w:rPr>
          <w:spacing w:val="6"/>
        </w:rPr>
        <w:t>万元</w:t>
      </w:r>
      <w:r>
        <w:rPr>
          <w:spacing w:val="3"/>
        </w:rPr>
        <w:t>，</w:t>
      </w:r>
      <w:r>
        <w:rPr>
          <w:spacing w:val="9"/>
        </w:rPr>
        <w:t>具体内容包括：具体内容包括具体内容包括用于</w:t>
      </w:r>
      <w:r>
        <w:rPr>
          <w:spacing w:val="8"/>
        </w:rPr>
        <w:t>全年接待上</w:t>
      </w:r>
      <w:r>
        <w:rPr>
          <w:spacing w:val="7"/>
        </w:rPr>
        <w:t>级部门检查、指导工作。。</w:t>
      </w:r>
    </w:p>
    <w:p w14:paraId="7E2A1D2A">
      <w:pPr>
        <w:pStyle w:val="5"/>
        <w:spacing w:before="1" w:line="353" w:lineRule="auto"/>
        <w:ind w:left="30" w:right="97" w:firstLine="651"/>
        <w:rPr>
          <w:rFonts w:hint="eastAsia" w:ascii="Times New Roman" w:hAnsi="Times New Roman" w:eastAsia="仿宋_GB2312" w:cs="仿宋_GB2312"/>
          <w:color w:val="auto"/>
          <w:kern w:val="2"/>
          <w:sz w:val="32"/>
          <w:szCs w:val="32"/>
          <w:highlight w:val="none"/>
          <w:lang w:val="en-US" w:eastAsia="zh-CN" w:bidi="ar-SA"/>
        </w:rPr>
      </w:pPr>
      <w:r>
        <w:rPr>
          <w:spacing w:val="10"/>
        </w:rPr>
        <w:t>外事接待支出</w:t>
      </w:r>
      <w:r>
        <w:rPr>
          <w:rFonts w:ascii="Times New Roman" w:hAnsi="Times New Roman" w:eastAsia="Times New Roman" w:cs="Times New Roman"/>
          <w:spacing w:val="10"/>
        </w:rPr>
        <w:t>0</w:t>
      </w:r>
      <w:r>
        <w:rPr>
          <w:rFonts w:ascii="Times New Roman" w:hAnsi="Times New Roman" w:eastAsia="Times New Roman" w:cs="Times New Roman"/>
          <w:spacing w:val="51"/>
        </w:rPr>
        <w:t xml:space="preserve"> </w:t>
      </w:r>
      <w:r>
        <w:rPr>
          <w:spacing w:val="10"/>
        </w:rPr>
        <w:t>万元。外事接待</w:t>
      </w:r>
      <w:r>
        <w:rPr>
          <w:spacing w:val="-60"/>
        </w:rPr>
        <w:t xml:space="preserve"> </w:t>
      </w:r>
      <w:r>
        <w:rPr>
          <w:rFonts w:ascii="Times New Roman" w:hAnsi="Times New Roman" w:eastAsia="Times New Roman" w:cs="Times New Roman"/>
          <w:spacing w:val="10"/>
        </w:rPr>
        <w:t>0</w:t>
      </w:r>
      <w:r>
        <w:rPr>
          <w:rFonts w:ascii="Times New Roman" w:hAnsi="Times New Roman" w:eastAsia="Times New Roman" w:cs="Times New Roman"/>
          <w:spacing w:val="31"/>
        </w:rPr>
        <w:t xml:space="preserve"> </w:t>
      </w:r>
      <w:r>
        <w:rPr>
          <w:spacing w:val="10"/>
        </w:rPr>
        <w:t>批次，</w:t>
      </w:r>
      <w:r>
        <w:rPr>
          <w:rFonts w:ascii="Times New Roman" w:hAnsi="Times New Roman" w:eastAsia="Times New Roman" w:cs="Times New Roman"/>
          <w:spacing w:val="10"/>
        </w:rPr>
        <w:t xml:space="preserve">0 </w:t>
      </w:r>
      <w:r>
        <w:rPr>
          <w:spacing w:val="10"/>
        </w:rPr>
        <w:t>人次（不包</w:t>
      </w:r>
      <w:r>
        <w:rPr>
          <w:spacing w:val="9"/>
        </w:rPr>
        <w:t>括陪同人员</w:t>
      </w:r>
      <w:r>
        <w:rPr>
          <w:spacing w:val="24"/>
        </w:rPr>
        <w:t>），</w:t>
      </w:r>
      <w:r>
        <w:rPr>
          <w:spacing w:val="9"/>
        </w:rPr>
        <w:t>共计支出</w:t>
      </w:r>
      <w:r>
        <w:rPr>
          <w:rFonts w:ascii="Times New Roman" w:hAnsi="Times New Roman" w:eastAsia="Times New Roman" w:cs="Times New Roman"/>
          <w:spacing w:val="9"/>
        </w:rPr>
        <w:t>0</w:t>
      </w:r>
      <w:r>
        <w:rPr>
          <w:rFonts w:ascii="Times New Roman" w:hAnsi="Times New Roman" w:eastAsia="Times New Roman" w:cs="Times New Roman"/>
          <w:spacing w:val="33"/>
        </w:rPr>
        <w:t xml:space="preserve"> </w:t>
      </w:r>
      <w:r>
        <w:rPr>
          <w:spacing w:val="9"/>
        </w:rPr>
        <w:t>万元。</w:t>
      </w:r>
      <w:bookmarkStart w:id="34" w:name="_Toc15377218"/>
      <w:bookmarkStart w:id="35" w:name="_Toc15396610"/>
    </w:p>
    <w:p w14:paraId="265186AB">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34"/>
      <w:bookmarkEnd w:id="35"/>
    </w:p>
    <w:p w14:paraId="4E3A74DD">
      <w:pPr>
        <w:numPr>
          <w:ilvl w:val="0"/>
          <w:numId w:val="0"/>
        </w:numPr>
        <w:spacing w:line="600" w:lineRule="exact"/>
        <w:ind w:left="630" w:leftChars="0"/>
        <w:outlineLvl w:val="1"/>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10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0.39</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年度相比，政府性基金预算财政拨款支出减少</w:t>
      </w:r>
      <w:r>
        <w:rPr>
          <w:rFonts w:hint="eastAsia" w:eastAsia="仿宋_GB2312" w:cs="仿宋_GB2312"/>
          <w:color w:val="auto"/>
          <w:kern w:val="2"/>
          <w:sz w:val="32"/>
          <w:szCs w:val="32"/>
          <w:highlight w:val="none"/>
          <w:lang w:val="en-US" w:eastAsia="zh-CN" w:bidi="ar-SA"/>
        </w:rPr>
        <w:t>32.3</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76.36</w:t>
      </w:r>
      <w:r>
        <w:rPr>
          <w:rFonts w:hint="eastAsia" w:ascii="Times New Roman" w:hAnsi="Times New Roman" w:eastAsia="仿宋_GB2312" w:cs="仿宋_GB2312"/>
          <w:color w:val="auto"/>
          <w:kern w:val="2"/>
          <w:sz w:val="32"/>
          <w:szCs w:val="32"/>
          <w:highlight w:val="none"/>
          <w:lang w:val="en-US" w:eastAsia="zh-CN" w:bidi="ar-SA"/>
        </w:rPr>
        <w:t>%。主要变动原因是</w:t>
      </w:r>
      <w:bookmarkStart w:id="36" w:name="_Toc15396611"/>
      <w:bookmarkStart w:id="37" w:name="_Toc15377219"/>
      <w:r>
        <w:rPr>
          <w:rFonts w:hint="eastAsia" w:eastAsia="仿宋_GB2312" w:cs="仿宋_GB2312"/>
          <w:color w:val="auto"/>
          <w:kern w:val="2"/>
          <w:sz w:val="32"/>
          <w:szCs w:val="32"/>
          <w:highlight w:val="none"/>
          <w:lang w:val="en-US" w:eastAsia="zh-CN" w:bidi="ar-SA"/>
        </w:rPr>
        <w:t>项目资金减少。</w:t>
      </w:r>
    </w:p>
    <w:p w14:paraId="6CCF6401">
      <w:pPr>
        <w:numPr>
          <w:ilvl w:val="0"/>
          <w:numId w:val="0"/>
        </w:numPr>
        <w:spacing w:line="600" w:lineRule="exact"/>
        <w:ind w:left="630" w:leftChars="0"/>
        <w:outlineLvl w:val="1"/>
        <w:rPr>
          <w:rStyle w:val="29"/>
          <w:rFonts w:ascii="Times New Roman" w:hAnsi="Times New Roman" w:eastAsia="黑体"/>
          <w:b w:val="0"/>
          <w:color w:val="auto"/>
          <w:highlight w:val="none"/>
        </w:rPr>
      </w:pPr>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36"/>
      <w:bookmarkEnd w:id="37"/>
    </w:p>
    <w:p w14:paraId="1994CFA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0BCE3C64">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38" w:name="_Toc15377221"/>
      <w:bookmarkStart w:id="39" w:name="_Toc1539661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38"/>
      <w:bookmarkEnd w:id="39"/>
    </w:p>
    <w:p w14:paraId="23D5C9B1">
      <w:pPr>
        <w:pStyle w:val="5"/>
        <w:bidi w:val="0"/>
        <w:rPr>
          <w:rFonts w:hint="eastAsia"/>
        </w:rPr>
      </w:pPr>
      <w:bookmarkStart w:id="40" w:name="_Toc15377222"/>
      <w:r>
        <w:rPr>
          <w:rFonts w:hint="eastAsia"/>
        </w:rPr>
        <w:t>（一）机关运行经费支出情况</w:t>
      </w:r>
      <w:bookmarkEnd w:id="40"/>
    </w:p>
    <w:p w14:paraId="3E3A011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沐川县退役军人事务局</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36.44</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19.38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113.6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人员增加各类支出费用增加。</w:t>
      </w:r>
    </w:p>
    <w:p w14:paraId="34916C29">
      <w:pPr>
        <w:pStyle w:val="5"/>
        <w:bidi w:val="0"/>
        <w:rPr>
          <w:rFonts w:hint="eastAsia"/>
        </w:rPr>
      </w:pPr>
      <w:bookmarkStart w:id="41" w:name="_Toc15377223"/>
      <w:r>
        <w:rPr>
          <w:rFonts w:hint="eastAsia"/>
        </w:rPr>
        <w:t>（二）政府采购支出情况</w:t>
      </w:r>
      <w:bookmarkEnd w:id="41"/>
    </w:p>
    <w:p w14:paraId="42A9C89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沐川县退役军人事务局</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4F51311E">
      <w:pPr>
        <w:pStyle w:val="5"/>
        <w:bidi w:val="0"/>
        <w:rPr>
          <w:rFonts w:hint="eastAsia"/>
        </w:rPr>
      </w:pPr>
      <w:bookmarkStart w:id="42" w:name="_Toc15377224"/>
      <w:r>
        <w:rPr>
          <w:rFonts w:hint="eastAsia"/>
        </w:rPr>
        <w:t>（三）国有资产占有使用情况</w:t>
      </w:r>
      <w:bookmarkEnd w:id="42"/>
    </w:p>
    <w:p w14:paraId="60E8F2C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沐川县退役军人事务局</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46D86C9A">
      <w:pPr>
        <w:pStyle w:val="5"/>
        <w:bidi w:val="0"/>
        <w:rPr>
          <w:rFonts w:hint="eastAsia"/>
        </w:rPr>
      </w:pPr>
      <w:r>
        <w:rPr>
          <w:rFonts w:hint="eastAsia"/>
        </w:rPr>
        <w:t>（四）预算绩效管理情况</w:t>
      </w:r>
    </w:p>
    <w:p w14:paraId="17CBE528">
      <w:pPr>
        <w:pStyle w:val="5"/>
        <w:spacing w:before="151" w:line="348" w:lineRule="auto"/>
        <w:ind w:left="19" w:right="153" w:firstLine="654"/>
        <w:jc w:val="both"/>
      </w:pPr>
      <w:r>
        <w:rPr>
          <w:spacing w:val="13"/>
        </w:rPr>
        <w:t>根据预算绩效管理要求，本部门在</w:t>
      </w:r>
      <w:r>
        <w:rPr>
          <w:spacing w:val="-61"/>
        </w:rPr>
        <w:t xml:space="preserve"> </w:t>
      </w:r>
      <w:r>
        <w:rPr>
          <w:rFonts w:ascii="Times New Roman" w:hAnsi="Times New Roman" w:eastAsia="Times New Roman" w:cs="Times New Roman"/>
          <w:spacing w:val="13"/>
        </w:rPr>
        <w:t>202</w:t>
      </w:r>
      <w:r>
        <w:rPr>
          <w:rFonts w:hint="eastAsia" w:ascii="Times New Roman" w:hAnsi="Times New Roman" w:eastAsia="宋体" w:cs="Times New Roman"/>
          <w:spacing w:val="13"/>
          <w:lang w:val="en-US" w:eastAsia="zh-CN"/>
        </w:rPr>
        <w:t>5</w:t>
      </w:r>
      <w:r>
        <w:rPr>
          <w:spacing w:val="13"/>
        </w:rPr>
        <w:t>年度预算编制</w:t>
      </w:r>
      <w:r>
        <w:rPr>
          <w:spacing w:val="14"/>
        </w:rPr>
        <w:t>阶段，组织对</w:t>
      </w:r>
      <w:r>
        <w:rPr>
          <w:rFonts w:hint="eastAsia" w:ascii="仿宋_GB2312" w:hAnsi="宋体" w:cs="宋体"/>
          <w:color w:val="000000"/>
          <w:kern w:val="0"/>
          <w:szCs w:val="32"/>
          <w:shd w:val="clear" w:color="auto" w:fill="FFFFFF"/>
          <w:lang w:val="zh-CN"/>
        </w:rPr>
        <w:t>优抚抚恤金、义务兵家属优待金、退役安置补助资金</w:t>
      </w:r>
      <w:r>
        <w:rPr>
          <w:rFonts w:hint="eastAsia" w:hAnsi="宋体" w:cs="宋体"/>
          <w:color w:val="000000"/>
          <w:kern w:val="0"/>
          <w:szCs w:val="32"/>
          <w:shd w:val="clear" w:color="auto" w:fill="FFFFFF"/>
          <w:lang w:val="zh-CN"/>
        </w:rPr>
        <w:t>、</w:t>
      </w:r>
      <w:r>
        <w:rPr>
          <w:spacing w:val="14"/>
        </w:rPr>
        <w:t>重大节日慰问资金项目（项目名称</w:t>
      </w:r>
      <w:r>
        <w:rPr>
          <w:spacing w:val="13"/>
        </w:rPr>
        <w:t>）等</w:t>
      </w:r>
      <w:r>
        <w:rPr>
          <w:spacing w:val="-62"/>
        </w:rPr>
        <w:t xml:space="preserve"> </w:t>
      </w:r>
      <w:r>
        <w:rPr>
          <w:rFonts w:ascii="Times New Roman" w:hAnsi="Times New Roman" w:eastAsia="Times New Roman" w:cs="Times New Roman"/>
          <w:spacing w:val="13"/>
        </w:rPr>
        <w:t xml:space="preserve">21 </w:t>
      </w:r>
      <w:r>
        <w:rPr>
          <w:spacing w:val="13"/>
        </w:rPr>
        <w:t>个</w:t>
      </w:r>
      <w:r>
        <w:rPr>
          <w:spacing w:val="14"/>
        </w:rPr>
        <w:t>项目开展了预算事前绩效评估，对</w:t>
      </w:r>
      <w:r>
        <w:rPr>
          <w:spacing w:val="-61"/>
        </w:rPr>
        <w:t xml:space="preserve"> </w:t>
      </w:r>
      <w:r>
        <w:rPr>
          <w:rFonts w:ascii="Times New Roman" w:hAnsi="Times New Roman" w:eastAsia="Times New Roman" w:cs="Times New Roman"/>
          <w:spacing w:val="14"/>
        </w:rPr>
        <w:t xml:space="preserve">21 </w:t>
      </w:r>
      <w:r>
        <w:rPr>
          <w:spacing w:val="14"/>
        </w:rPr>
        <w:t>个项</w:t>
      </w:r>
      <w:r>
        <w:rPr>
          <w:spacing w:val="13"/>
        </w:rPr>
        <w:t>目编制了绩效目</w:t>
      </w:r>
      <w:r>
        <w:rPr>
          <w:spacing w:val="11"/>
        </w:rPr>
        <w:t>标，预算执行过程中，选取</w:t>
      </w:r>
      <w:r>
        <w:rPr>
          <w:rFonts w:ascii="Times New Roman" w:hAnsi="Times New Roman" w:eastAsia="Times New Roman" w:cs="Times New Roman"/>
          <w:spacing w:val="11"/>
        </w:rPr>
        <w:t xml:space="preserve">21 </w:t>
      </w:r>
      <w:r>
        <w:rPr>
          <w:spacing w:val="11"/>
        </w:rPr>
        <w:t>个项目开展绩效监控。</w:t>
      </w:r>
      <w:r>
        <w:rPr>
          <w:spacing w:val="12"/>
        </w:rPr>
        <w:t>组织对</w:t>
      </w:r>
      <w:r>
        <w:rPr>
          <w:spacing w:val="-44"/>
        </w:rPr>
        <w:t xml:space="preserve"> </w:t>
      </w:r>
      <w:r>
        <w:rPr>
          <w:rFonts w:ascii="Times New Roman" w:hAnsi="Times New Roman" w:eastAsia="Times New Roman" w:cs="Times New Roman"/>
          <w:spacing w:val="12"/>
        </w:rPr>
        <w:t>202</w:t>
      </w:r>
      <w:r>
        <w:rPr>
          <w:rFonts w:hint="eastAsia" w:ascii="Times New Roman" w:hAnsi="Times New Roman" w:eastAsia="宋体" w:cs="Times New Roman"/>
          <w:spacing w:val="12"/>
          <w:lang w:val="en-US" w:eastAsia="zh-CN"/>
        </w:rPr>
        <w:t>5</w:t>
      </w:r>
      <w:r>
        <w:rPr>
          <w:spacing w:val="12"/>
        </w:rPr>
        <w:t>年度一般公共预算、政府性基金预算、国</w:t>
      </w:r>
      <w:r>
        <w:rPr>
          <w:spacing w:val="9"/>
        </w:rPr>
        <w:t>有资本经营预算、社会保险基金预算以及资本资产、债券资金等全面开展绩效自评，形成沐川县退役军人事务局部门整体（含部门预算项目）绩效自评报告、重大节日慰问资金等专项预算项目绩效自评报告，绩效自评报告详见附件。</w:t>
      </w:r>
    </w:p>
    <w:p w14:paraId="7A5ED68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5D14067">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3" w:name="_Toc15396613"/>
      <w:bookmarkStart w:id="44"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3"/>
      <w:bookmarkEnd w:id="44"/>
    </w:p>
    <w:p w14:paraId="1C12EF03">
      <w:pPr>
        <w:spacing w:line="600" w:lineRule="exact"/>
        <w:jc w:val="left"/>
        <w:rPr>
          <w:rFonts w:ascii="Times New Roman" w:hAnsi="Times New Roman"/>
          <w:b/>
          <w:color w:val="auto"/>
          <w:sz w:val="44"/>
          <w:szCs w:val="44"/>
          <w:highlight w:val="none"/>
        </w:rPr>
      </w:pPr>
    </w:p>
    <w:p w14:paraId="13980254">
      <w:pPr>
        <w:pStyle w:val="5"/>
        <w:spacing w:before="101" w:line="327" w:lineRule="auto"/>
        <w:ind w:left="36" w:right="221" w:firstLine="655"/>
      </w:pPr>
      <w:r>
        <w:rPr>
          <w:rFonts w:ascii="Times New Roman" w:hAnsi="Times New Roman" w:eastAsia="Times New Roman" w:cs="Times New Roman"/>
          <w:spacing w:val="8"/>
        </w:rPr>
        <w:t>1.</w:t>
      </w:r>
      <w:r>
        <w:rPr>
          <w:spacing w:val="8"/>
        </w:rPr>
        <w:t>财政拨款收入：指单位从同级财政部门取得的</w:t>
      </w:r>
      <w:r>
        <w:rPr>
          <w:spacing w:val="7"/>
        </w:rPr>
        <w:t>财政预</w:t>
      </w:r>
      <w:r>
        <w:rPr>
          <w:spacing w:val="1"/>
        </w:rPr>
        <w:t>算资金。</w:t>
      </w:r>
    </w:p>
    <w:p w14:paraId="63A8E42D">
      <w:pPr>
        <w:pStyle w:val="5"/>
        <w:spacing w:before="18" w:line="329" w:lineRule="auto"/>
        <w:ind w:left="30" w:right="221" w:firstLine="631"/>
      </w:pPr>
      <w:r>
        <w:rPr>
          <w:rFonts w:ascii="Times New Roman" w:hAnsi="Times New Roman" w:eastAsia="Times New Roman" w:cs="Times New Roman"/>
          <w:spacing w:val="9"/>
        </w:rPr>
        <w:t>2.</w:t>
      </w:r>
      <w:r>
        <w:rPr>
          <w:spacing w:val="9"/>
        </w:rPr>
        <w:t>事业收入：指事业单位开展专业业务活动及辅助活动</w:t>
      </w:r>
      <w:r>
        <w:rPr>
          <w:spacing w:val="5"/>
        </w:rPr>
        <w:t>取得的收入。</w:t>
      </w:r>
    </w:p>
    <w:p w14:paraId="23140649">
      <w:pPr>
        <w:pStyle w:val="5"/>
        <w:spacing w:before="17" w:line="327" w:lineRule="auto"/>
        <w:ind w:left="34" w:right="221" w:firstLine="633"/>
      </w:pPr>
      <w:r>
        <w:rPr>
          <w:rFonts w:ascii="Times New Roman" w:hAnsi="Times New Roman" w:eastAsia="Times New Roman" w:cs="Times New Roman"/>
          <w:spacing w:val="9"/>
        </w:rPr>
        <w:t>3.</w:t>
      </w:r>
      <w:r>
        <w:rPr>
          <w:spacing w:val="9"/>
        </w:rPr>
        <w:t>经营收入：指事业单位在专业业务活动及其</w:t>
      </w:r>
      <w:r>
        <w:rPr>
          <w:spacing w:val="8"/>
        </w:rPr>
        <w:t>辅助活动之外开展非独立核算经营活动取得的收入。</w:t>
      </w:r>
    </w:p>
    <w:p w14:paraId="3AC17D60">
      <w:pPr>
        <w:pStyle w:val="5"/>
        <w:spacing w:before="21" w:line="419" w:lineRule="exact"/>
        <w:ind w:right="4"/>
        <w:jc w:val="right"/>
      </w:pPr>
      <w:r>
        <w:rPr>
          <w:rFonts w:ascii="Times New Roman" w:hAnsi="Times New Roman" w:eastAsia="Times New Roman" w:cs="Times New Roman"/>
          <w:spacing w:val="5"/>
          <w:position w:val="2"/>
        </w:rPr>
        <w:t>4.</w:t>
      </w:r>
      <w:r>
        <w:rPr>
          <w:spacing w:val="5"/>
          <w:position w:val="2"/>
        </w:rPr>
        <w:t>其他收入：指单位取得的除上述收入以外的各项收入。</w:t>
      </w:r>
    </w:p>
    <w:p w14:paraId="4267B1F9">
      <w:pPr>
        <w:pStyle w:val="5"/>
        <w:spacing w:before="190" w:line="319" w:lineRule="auto"/>
        <w:ind w:left="53" w:right="221" w:firstLine="616"/>
      </w:pPr>
      <w:r>
        <w:rPr>
          <w:rFonts w:ascii="Times New Roman" w:hAnsi="Times New Roman" w:eastAsia="Times New Roman" w:cs="Times New Roman"/>
          <w:spacing w:val="9"/>
        </w:rPr>
        <w:t>5.</w:t>
      </w:r>
      <w:r>
        <w:rPr>
          <w:spacing w:val="9"/>
        </w:rPr>
        <w:t>使用非财政拨款结余：指事业单位使用</w:t>
      </w:r>
      <w:r>
        <w:rPr>
          <w:spacing w:val="8"/>
        </w:rPr>
        <w:t>以前年度积累</w:t>
      </w:r>
      <w:r>
        <w:rPr>
          <w:spacing w:val="7"/>
        </w:rPr>
        <w:t>的非财政拨款结余弥补当年收支差额的金额。</w:t>
      </w:r>
    </w:p>
    <w:p w14:paraId="1118BAA1">
      <w:pPr>
        <w:pStyle w:val="5"/>
        <w:spacing w:before="3" w:line="327" w:lineRule="auto"/>
        <w:ind w:left="27" w:right="221" w:firstLine="640"/>
      </w:pPr>
      <w:r>
        <w:rPr>
          <w:rFonts w:ascii="Times New Roman" w:hAnsi="Times New Roman" w:eastAsia="Times New Roman" w:cs="Times New Roman"/>
          <w:spacing w:val="9"/>
        </w:rPr>
        <w:t>6.</w:t>
      </w:r>
      <w:r>
        <w:rPr>
          <w:spacing w:val="9"/>
        </w:rPr>
        <w:t>年初结转和结余：指以前年度尚未完成、</w:t>
      </w:r>
      <w:r>
        <w:rPr>
          <w:spacing w:val="8"/>
        </w:rPr>
        <w:t>结转到本年按有关规定继续使用的资金。</w:t>
      </w:r>
    </w:p>
    <w:p w14:paraId="1F79357E">
      <w:pPr>
        <w:pStyle w:val="5"/>
        <w:spacing w:before="67" w:line="319" w:lineRule="auto"/>
        <w:ind w:left="23" w:right="221" w:firstLine="642"/>
      </w:pPr>
      <w:r>
        <w:rPr>
          <w:rFonts w:ascii="Times New Roman" w:hAnsi="Times New Roman" w:eastAsia="Times New Roman" w:cs="Times New Roman"/>
          <w:spacing w:val="9"/>
        </w:rPr>
        <w:t>7.</w:t>
      </w:r>
      <w:r>
        <w:rPr>
          <w:spacing w:val="9"/>
        </w:rPr>
        <w:t>结余分配：指事业单位按照会计制度规定缴纳</w:t>
      </w:r>
      <w:r>
        <w:rPr>
          <w:spacing w:val="8"/>
        </w:rPr>
        <w:t>的所得</w:t>
      </w:r>
      <w:r>
        <w:rPr>
          <w:spacing w:val="9"/>
        </w:rPr>
        <w:t>税、提取的专用结余以及转入非财政拨款结余的金额等。</w:t>
      </w:r>
    </w:p>
    <w:p w14:paraId="13347824">
      <w:pPr>
        <w:pStyle w:val="5"/>
        <w:spacing w:before="2" w:line="327" w:lineRule="auto"/>
        <w:ind w:left="30" w:right="221" w:firstLine="643"/>
      </w:pPr>
      <w:r>
        <w:rPr>
          <w:rFonts w:ascii="Times New Roman" w:hAnsi="Times New Roman" w:eastAsia="Times New Roman" w:cs="Times New Roman"/>
          <w:spacing w:val="8"/>
        </w:rPr>
        <w:t>8.</w:t>
      </w:r>
      <w:r>
        <w:rPr>
          <w:spacing w:val="8"/>
        </w:rPr>
        <w:t>年末结转和结余：指单位按有关规定结转到下年或以</w:t>
      </w:r>
      <w:r>
        <w:rPr>
          <w:spacing w:val="7"/>
        </w:rPr>
        <w:t>后年度继续使用的资金。</w:t>
      </w:r>
    </w:p>
    <w:p w14:paraId="35F5A66E">
      <w:pPr>
        <w:pStyle w:val="5"/>
        <w:spacing w:before="20" w:line="419" w:lineRule="exact"/>
        <w:jc w:val="right"/>
      </w:pPr>
      <w:r>
        <w:rPr>
          <w:rFonts w:ascii="Times New Roman" w:hAnsi="Times New Roman" w:eastAsia="Times New Roman" w:cs="Times New Roman"/>
          <w:spacing w:val="-7"/>
          <w:position w:val="2"/>
        </w:rPr>
        <w:t>9.</w:t>
      </w:r>
      <w:r>
        <w:rPr>
          <w:spacing w:val="-7"/>
          <w:position w:val="2"/>
        </w:rPr>
        <w:t>社会保障和就业支出（类）行政事业单位养老支出（款）</w:t>
      </w:r>
    </w:p>
    <w:p w14:paraId="7DE7D45A">
      <w:pPr>
        <w:pStyle w:val="5"/>
        <w:keepNext w:val="0"/>
        <w:keepLines w:val="0"/>
        <w:pageBreakBefore w:val="0"/>
        <w:widowControl w:val="0"/>
        <w:kinsoku/>
        <w:wordWrap/>
        <w:overflowPunct/>
        <w:topLinePunct w:val="0"/>
        <w:autoSpaceDE/>
        <w:autoSpaceDN/>
        <w:bidi w:val="0"/>
        <w:adjustRightInd/>
        <w:snapToGrid/>
        <w:spacing w:before="184" w:line="320" w:lineRule="auto"/>
        <w:ind w:right="79"/>
        <w:textAlignment w:val="auto"/>
      </w:pPr>
      <w:r>
        <w:rPr>
          <w:spacing w:val="8"/>
        </w:rPr>
        <w:t>机关事业单位基本养老保险缴费支出（项</w:t>
      </w:r>
      <w:r>
        <w:rPr>
          <w:spacing w:val="21"/>
        </w:rPr>
        <w:t>）：</w:t>
      </w:r>
      <w:r>
        <w:rPr>
          <w:spacing w:val="8"/>
        </w:rPr>
        <w:t>指反映机关事</w:t>
      </w:r>
      <w:r>
        <w:rPr>
          <w:spacing w:val="7"/>
        </w:rPr>
        <w:t>业单位职工缴纳基本养老保险支出。</w:t>
      </w:r>
    </w:p>
    <w:p w14:paraId="10528A40">
      <w:pPr>
        <w:pStyle w:val="5"/>
        <w:spacing w:before="1" w:line="331" w:lineRule="auto"/>
        <w:ind w:left="30" w:right="51" w:firstLine="661"/>
        <w:jc w:val="both"/>
      </w:pPr>
      <w:r>
        <w:rPr>
          <w:rFonts w:ascii="Times New Roman" w:hAnsi="Times New Roman" w:eastAsia="Times New Roman" w:cs="Times New Roman"/>
          <w:spacing w:val="8"/>
        </w:rPr>
        <w:t>10.</w:t>
      </w:r>
      <w:r>
        <w:rPr>
          <w:spacing w:val="8"/>
        </w:rPr>
        <w:t>社会保障和就业支出</w:t>
      </w:r>
      <w:r>
        <w:rPr>
          <w:spacing w:val="-27"/>
        </w:rPr>
        <w:t>（（</w:t>
      </w:r>
      <w:r>
        <w:rPr>
          <w:spacing w:val="8"/>
        </w:rPr>
        <w:t>类）抚恤（款）在乡复员、</w:t>
      </w:r>
      <w:r>
        <w:rPr>
          <w:spacing w:val="5"/>
        </w:rPr>
        <w:t>退伍军人生活补助（项）</w:t>
      </w:r>
      <w:r>
        <w:rPr>
          <w:rFonts w:ascii="Times New Roman" w:hAnsi="Times New Roman" w:eastAsia="Times New Roman" w:cs="Times New Roman"/>
          <w:spacing w:val="5"/>
        </w:rPr>
        <w:t>:</w:t>
      </w:r>
      <w:r>
        <w:rPr>
          <w:spacing w:val="5"/>
        </w:rPr>
        <w:t>反映在乡退伍红军老战士（含西路</w:t>
      </w:r>
      <w:r>
        <w:rPr>
          <w:spacing w:val="7"/>
        </w:rPr>
        <w:t>军红军老战士、红军失散人员）、</w:t>
      </w:r>
      <w:r>
        <w:rPr>
          <w:rFonts w:ascii="Times New Roman" w:hAnsi="Times New Roman" w:eastAsia="Times New Roman" w:cs="Times New Roman"/>
          <w:spacing w:val="7"/>
        </w:rPr>
        <w:t>1954</w:t>
      </w:r>
      <w:r>
        <w:rPr>
          <w:spacing w:val="7"/>
        </w:rPr>
        <w:t>年</w:t>
      </w:r>
      <w:r>
        <w:rPr>
          <w:rFonts w:ascii="Times New Roman" w:hAnsi="Times New Roman" w:eastAsia="Times New Roman" w:cs="Times New Roman"/>
          <w:spacing w:val="7"/>
        </w:rPr>
        <w:t>10</w:t>
      </w:r>
      <w:r>
        <w:rPr>
          <w:spacing w:val="7"/>
        </w:rPr>
        <w:t>月</w:t>
      </w:r>
      <w:r>
        <w:rPr>
          <w:rFonts w:ascii="Times New Roman" w:hAnsi="Times New Roman" w:eastAsia="Times New Roman" w:cs="Times New Roman"/>
          <w:spacing w:val="7"/>
        </w:rPr>
        <w:t>31</w:t>
      </w:r>
      <w:r>
        <w:rPr>
          <w:spacing w:val="7"/>
        </w:rPr>
        <w:t>日前入伍的</w:t>
      </w:r>
      <w:r>
        <w:rPr>
          <w:spacing w:val="4"/>
        </w:rPr>
        <w:t>在乡复</w:t>
      </w:r>
      <w:r>
        <w:rPr>
          <w:spacing w:val="8"/>
        </w:rPr>
        <w:t>员军人、按规定办理带病回乡手续的退伍军人生活补助。</w:t>
      </w:r>
    </w:p>
    <w:p w14:paraId="478D5CCA">
      <w:pPr>
        <w:pStyle w:val="5"/>
        <w:spacing w:before="142" w:line="327" w:lineRule="auto"/>
        <w:ind w:left="27" w:right="81" w:firstLine="664"/>
      </w:pPr>
      <w:r>
        <w:rPr>
          <w:rFonts w:ascii="Times New Roman" w:hAnsi="Times New Roman" w:eastAsia="Times New Roman" w:cs="Times New Roman"/>
          <w:spacing w:val="-21"/>
        </w:rPr>
        <w:t>11.</w:t>
      </w:r>
      <w:r>
        <w:rPr>
          <w:spacing w:val="-21"/>
        </w:rPr>
        <w:t>社会保障和就业支出（类）抚恤（款）义务兵优待（项）</w:t>
      </w:r>
      <w:r>
        <w:rPr>
          <w:rFonts w:ascii="Times New Roman" w:hAnsi="Times New Roman" w:eastAsia="Times New Roman" w:cs="Times New Roman"/>
          <w:spacing w:val="-21"/>
        </w:rPr>
        <w:t>:</w:t>
      </w:r>
      <w:r>
        <w:rPr>
          <w:spacing w:val="8"/>
        </w:rPr>
        <w:t>反映用于义务兵优待方面的支出。</w:t>
      </w:r>
    </w:p>
    <w:p w14:paraId="77ACC275">
      <w:pPr>
        <w:pStyle w:val="5"/>
        <w:spacing w:before="31" w:line="341" w:lineRule="auto"/>
        <w:ind w:left="27" w:right="81" w:firstLine="664"/>
      </w:pPr>
      <w:r>
        <w:rPr>
          <w:rFonts w:ascii="Times New Roman" w:hAnsi="Times New Roman" w:eastAsia="Times New Roman" w:cs="Times New Roman"/>
          <w:spacing w:val="4"/>
        </w:rPr>
        <w:t>12.</w:t>
      </w:r>
      <w:r>
        <w:rPr>
          <w:spacing w:val="4"/>
        </w:rPr>
        <w:t>社会保障和就业支出（类）抚恤（款）烈士纪念设施</w:t>
      </w:r>
      <w:r>
        <w:rPr>
          <w:spacing w:val="5"/>
        </w:rPr>
        <w:t>管理维护（项）</w:t>
      </w:r>
      <w:r>
        <w:rPr>
          <w:rFonts w:ascii="Times New Roman" w:hAnsi="Times New Roman" w:eastAsia="Times New Roman" w:cs="Times New Roman"/>
          <w:spacing w:val="5"/>
        </w:rPr>
        <w:t>:</w:t>
      </w:r>
      <w:r>
        <w:rPr>
          <w:spacing w:val="5"/>
        </w:rPr>
        <w:t>指反映用于烈士纪念设施（烈士陵园等）日</w:t>
      </w:r>
      <w:r>
        <w:rPr>
          <w:spacing w:val="7"/>
        </w:rPr>
        <w:t>常管理、维护等方面的支出。</w:t>
      </w:r>
    </w:p>
    <w:p w14:paraId="33F3A428">
      <w:pPr>
        <w:pStyle w:val="5"/>
        <w:spacing w:before="2" w:line="327" w:lineRule="auto"/>
        <w:ind w:left="18" w:right="81" w:firstLine="673"/>
      </w:pPr>
      <w:r>
        <w:rPr>
          <w:rFonts w:ascii="Times New Roman" w:hAnsi="Times New Roman" w:eastAsia="Times New Roman" w:cs="Times New Roman"/>
          <w:spacing w:val="4"/>
        </w:rPr>
        <w:t>13.</w:t>
      </w:r>
      <w:r>
        <w:rPr>
          <w:spacing w:val="4"/>
        </w:rPr>
        <w:t>社会保障和就业支出（类）抚恤（款）其他优抚支出</w:t>
      </w:r>
      <w:r>
        <w:rPr>
          <w:spacing w:val="9"/>
        </w:rPr>
        <w:t>（项）</w:t>
      </w:r>
      <w:r>
        <w:rPr>
          <w:rFonts w:ascii="Times New Roman" w:hAnsi="Times New Roman" w:eastAsia="Times New Roman" w:cs="Times New Roman"/>
          <w:spacing w:val="9"/>
        </w:rPr>
        <w:t>:</w:t>
      </w:r>
      <w:r>
        <w:rPr>
          <w:spacing w:val="9"/>
        </w:rPr>
        <w:t>指反映除上述项目以外其他用于优抚方面的支出。</w:t>
      </w:r>
    </w:p>
    <w:p w14:paraId="758FC762">
      <w:pPr>
        <w:pStyle w:val="5"/>
        <w:spacing w:before="16" w:line="338" w:lineRule="auto"/>
        <w:ind w:left="32" w:firstLine="659"/>
      </w:pPr>
      <w:r>
        <w:rPr>
          <w:rFonts w:ascii="Times New Roman" w:hAnsi="Times New Roman" w:eastAsia="Times New Roman" w:cs="Times New Roman"/>
          <w:spacing w:val="4"/>
        </w:rPr>
        <w:t>14.</w:t>
      </w:r>
      <w:r>
        <w:rPr>
          <w:spacing w:val="4"/>
        </w:rPr>
        <w:t>社会保障和就业支出（类）退役安置（款）退役士兵</w:t>
      </w:r>
      <w:r>
        <w:rPr>
          <w:spacing w:val="-3"/>
        </w:rPr>
        <w:t>安置（项）</w:t>
      </w:r>
      <w:r>
        <w:rPr>
          <w:rFonts w:ascii="Times New Roman" w:hAnsi="Times New Roman" w:eastAsia="Times New Roman" w:cs="Times New Roman"/>
          <w:spacing w:val="-3"/>
        </w:rPr>
        <w:t>:</w:t>
      </w:r>
      <w:r>
        <w:rPr>
          <w:spacing w:val="-3"/>
        </w:rPr>
        <w:t>指反映按规定用于伤残义务兵的一次性</w:t>
      </w:r>
      <w:r>
        <w:rPr>
          <w:spacing w:val="-4"/>
        </w:rPr>
        <w:t>建房补助，</w:t>
      </w:r>
      <w:r>
        <w:rPr>
          <w:spacing w:val="8"/>
        </w:rPr>
        <w:t>对符合条件的退役士兵、转业士官的安置支出。</w:t>
      </w:r>
    </w:p>
    <w:p w14:paraId="7E50205A">
      <w:pPr>
        <w:pStyle w:val="5"/>
        <w:spacing w:before="40" w:line="331" w:lineRule="auto"/>
        <w:ind w:left="27" w:right="83" w:firstLine="650"/>
      </w:pPr>
      <w:r>
        <w:rPr>
          <w:rFonts w:ascii="Times New Roman" w:hAnsi="Times New Roman" w:eastAsia="Times New Roman" w:cs="Times New Roman"/>
          <w:b/>
          <w:bCs/>
          <w:spacing w:val="4"/>
        </w:rPr>
        <w:t>15.</w:t>
      </w:r>
      <w:r>
        <w:rPr>
          <w:spacing w:val="4"/>
        </w:rPr>
        <w:t>社会保障和就业支出（类）退役安置（款）退役士兵</w:t>
      </w:r>
      <w:r>
        <w:rPr>
          <w:spacing w:val="5"/>
        </w:rPr>
        <w:t>管理教育（项）</w:t>
      </w:r>
      <w:r>
        <w:rPr>
          <w:rFonts w:ascii="Times New Roman" w:hAnsi="Times New Roman" w:eastAsia="Times New Roman" w:cs="Times New Roman"/>
          <w:spacing w:val="5"/>
        </w:rPr>
        <w:t>:</w:t>
      </w:r>
      <w:r>
        <w:rPr>
          <w:spacing w:val="5"/>
        </w:rPr>
        <w:t>指反映按规定用于退役士兵管理服务和退役</w:t>
      </w:r>
      <w:r>
        <w:rPr>
          <w:spacing w:val="7"/>
        </w:rPr>
        <w:t>士兵参加教育等支出。</w:t>
      </w:r>
    </w:p>
    <w:p w14:paraId="7398985B">
      <w:pPr>
        <w:pStyle w:val="5"/>
        <w:spacing w:before="5" w:line="338" w:lineRule="auto"/>
        <w:ind w:left="26" w:right="83" w:firstLine="665"/>
      </w:pPr>
      <w:r>
        <w:rPr>
          <w:rFonts w:ascii="Times New Roman" w:hAnsi="Times New Roman" w:eastAsia="Times New Roman" w:cs="Times New Roman"/>
          <w:spacing w:val="4"/>
        </w:rPr>
        <w:t>16.</w:t>
      </w:r>
      <w:r>
        <w:rPr>
          <w:spacing w:val="4"/>
        </w:rPr>
        <w:t>社会保障和就业支出（类）退役安置（款）军队转业</w:t>
      </w:r>
      <w:r>
        <w:rPr>
          <w:spacing w:val="5"/>
        </w:rPr>
        <w:t>干部安置（项）</w:t>
      </w:r>
      <w:r>
        <w:rPr>
          <w:rFonts w:ascii="Times New Roman" w:hAnsi="Times New Roman" w:eastAsia="Times New Roman" w:cs="Times New Roman"/>
          <w:spacing w:val="5"/>
        </w:rPr>
        <w:t>:</w:t>
      </w:r>
      <w:r>
        <w:rPr>
          <w:spacing w:val="5"/>
        </w:rPr>
        <w:t>反映军转干部安置、人员经费、自主择业退</w:t>
      </w:r>
      <w:r>
        <w:rPr>
          <w:spacing w:val="7"/>
        </w:rPr>
        <w:t>役金等方面的支出。</w:t>
      </w:r>
    </w:p>
    <w:p w14:paraId="2EBDEB0E">
      <w:pPr>
        <w:pStyle w:val="5"/>
        <w:spacing w:before="150" w:line="348" w:lineRule="auto"/>
        <w:ind w:left="34" w:right="98" w:firstLine="660"/>
      </w:pPr>
      <w:r>
        <w:rPr>
          <w:rFonts w:ascii="Times New Roman" w:hAnsi="Times New Roman" w:eastAsia="Times New Roman" w:cs="Times New Roman"/>
          <w:spacing w:val="4"/>
        </w:rPr>
        <w:t>17.</w:t>
      </w:r>
      <w:r>
        <w:rPr>
          <w:spacing w:val="4"/>
        </w:rPr>
        <w:t>社会保障和就业支出（类）退役安置（款）其他退役</w:t>
      </w:r>
      <w:r>
        <w:rPr>
          <w:spacing w:val="5"/>
        </w:rPr>
        <w:t>安置支出（项）</w:t>
      </w:r>
      <w:r>
        <w:rPr>
          <w:rFonts w:ascii="Times New Roman" w:hAnsi="Times New Roman" w:eastAsia="Times New Roman" w:cs="Times New Roman"/>
          <w:spacing w:val="5"/>
        </w:rPr>
        <w:t>:</w:t>
      </w:r>
      <w:r>
        <w:rPr>
          <w:spacing w:val="5"/>
        </w:rPr>
        <w:t>指反映除上述项目以外其他用于退役安置方</w:t>
      </w:r>
      <w:r>
        <w:rPr>
          <w:spacing w:val="3"/>
        </w:rPr>
        <w:t>面的支出。</w:t>
      </w:r>
    </w:p>
    <w:p w14:paraId="43A4BFB9">
      <w:pPr>
        <w:pStyle w:val="5"/>
        <w:spacing w:before="86" w:line="360" w:lineRule="auto"/>
        <w:ind w:left="27" w:firstLine="664"/>
      </w:pPr>
      <w:r>
        <w:rPr>
          <w:rFonts w:ascii="Times New Roman" w:hAnsi="Times New Roman" w:eastAsia="Times New Roman" w:cs="Times New Roman"/>
          <w:spacing w:val="4"/>
        </w:rPr>
        <w:t>18.</w:t>
      </w:r>
      <w:r>
        <w:rPr>
          <w:spacing w:val="4"/>
        </w:rPr>
        <w:t>社会保障和就业（类）退役军人管理事务（款）行政</w:t>
      </w:r>
      <w:r>
        <w:rPr>
          <w:spacing w:val="9"/>
        </w:rPr>
        <w:t>运行（项）</w:t>
      </w:r>
      <w:r>
        <w:rPr>
          <w:rFonts w:ascii="Times New Roman" w:hAnsi="Times New Roman" w:eastAsia="Times New Roman" w:cs="Times New Roman"/>
          <w:spacing w:val="9"/>
        </w:rPr>
        <w:t>:</w:t>
      </w:r>
      <w:r>
        <w:rPr>
          <w:spacing w:val="9"/>
        </w:rPr>
        <w:t>指行政单位（包括实行公务员管理的事业单</w:t>
      </w:r>
      <w:r>
        <w:rPr>
          <w:spacing w:val="8"/>
        </w:rPr>
        <w:t>位）</w:t>
      </w:r>
      <w:r>
        <w:rPr>
          <w:spacing w:val="6"/>
        </w:rPr>
        <w:t>的基本支出。</w:t>
      </w:r>
    </w:p>
    <w:p w14:paraId="14676B62">
      <w:pPr>
        <w:pStyle w:val="5"/>
        <w:spacing w:before="81" w:line="361" w:lineRule="auto"/>
        <w:ind w:left="26" w:right="98" w:firstLine="665"/>
      </w:pPr>
      <w:r>
        <w:rPr>
          <w:rFonts w:ascii="Times New Roman" w:hAnsi="Times New Roman" w:eastAsia="Times New Roman" w:cs="Times New Roman"/>
          <w:spacing w:val="10"/>
        </w:rPr>
        <w:t xml:space="preserve">19.  </w:t>
      </w:r>
      <w:r>
        <w:rPr>
          <w:spacing w:val="10"/>
        </w:rPr>
        <w:t>社会保障和就业（类）退役军人</w:t>
      </w:r>
      <w:r>
        <w:rPr>
          <w:spacing w:val="9"/>
        </w:rPr>
        <w:t>管理事务（款）一</w:t>
      </w:r>
      <w:r>
        <w:rPr>
          <w:spacing w:val="5"/>
        </w:rPr>
        <w:t>般行政管理事务（项）</w:t>
      </w:r>
      <w:r>
        <w:rPr>
          <w:rFonts w:ascii="Times New Roman" w:hAnsi="Times New Roman" w:eastAsia="Times New Roman" w:cs="Times New Roman"/>
          <w:spacing w:val="5"/>
        </w:rPr>
        <w:t>:</w:t>
      </w:r>
      <w:r>
        <w:rPr>
          <w:spacing w:val="5"/>
        </w:rPr>
        <w:t>反映行政单位未单独设置项级科目的</w:t>
      </w:r>
      <w:r>
        <w:rPr>
          <w:spacing w:val="6"/>
        </w:rPr>
        <w:t>其他项目支出。</w:t>
      </w:r>
    </w:p>
    <w:p w14:paraId="093B1C8A">
      <w:pPr>
        <w:pStyle w:val="5"/>
        <w:spacing w:before="70" w:line="363" w:lineRule="auto"/>
        <w:ind w:left="29" w:right="98" w:firstLine="632"/>
      </w:pPr>
      <w:r>
        <w:rPr>
          <w:rFonts w:ascii="Times New Roman" w:hAnsi="Times New Roman" w:eastAsia="Times New Roman" w:cs="Times New Roman"/>
          <w:spacing w:val="11"/>
        </w:rPr>
        <w:t xml:space="preserve">20.  </w:t>
      </w:r>
      <w:r>
        <w:rPr>
          <w:spacing w:val="11"/>
        </w:rPr>
        <w:t>社会保障和就业（类）退役军人管理事</w:t>
      </w:r>
      <w:r>
        <w:rPr>
          <w:spacing w:val="10"/>
        </w:rPr>
        <w:t>务（款）拥</w:t>
      </w:r>
      <w:r>
        <w:rPr>
          <w:spacing w:val="5"/>
        </w:rPr>
        <w:t>军优属（项）</w:t>
      </w:r>
      <w:r>
        <w:rPr>
          <w:rFonts w:ascii="Times New Roman" w:hAnsi="Times New Roman" w:eastAsia="Times New Roman" w:cs="Times New Roman"/>
          <w:spacing w:val="5"/>
        </w:rPr>
        <w:t>:</w:t>
      </w:r>
      <w:r>
        <w:rPr>
          <w:spacing w:val="5"/>
        </w:rPr>
        <w:t>指反映用于重大节日慰问驻军、优抚对象、平</w:t>
      </w:r>
      <w:r>
        <w:rPr>
          <w:spacing w:val="9"/>
        </w:rPr>
        <w:t>时慰问维稳对象、武警中队新退役人员、重</w:t>
      </w:r>
      <w:r>
        <w:rPr>
          <w:spacing w:val="8"/>
        </w:rPr>
        <w:t>大变故对象，双</w:t>
      </w:r>
      <w:r>
        <w:rPr>
          <w:spacing w:val="9"/>
        </w:rPr>
        <w:t>拥工作经费，春节、八一等重大节日慰问退</w:t>
      </w:r>
      <w:r>
        <w:rPr>
          <w:spacing w:val="8"/>
        </w:rPr>
        <w:t>役军人和现役军</w:t>
      </w:r>
      <w:r>
        <w:rPr>
          <w:spacing w:val="7"/>
        </w:rPr>
        <w:t>人家属等项目支出。</w:t>
      </w:r>
    </w:p>
    <w:p w14:paraId="7703E2AF">
      <w:pPr>
        <w:pStyle w:val="5"/>
        <w:spacing w:before="54" w:line="362" w:lineRule="auto"/>
        <w:ind w:left="18" w:right="96" w:firstLine="642"/>
      </w:pPr>
      <w:r>
        <w:rPr>
          <w:rFonts w:ascii="Times New Roman" w:hAnsi="Times New Roman" w:eastAsia="Times New Roman" w:cs="Times New Roman"/>
          <w:spacing w:val="11"/>
        </w:rPr>
        <w:t xml:space="preserve">21.  </w:t>
      </w:r>
      <w:r>
        <w:rPr>
          <w:spacing w:val="11"/>
        </w:rPr>
        <w:t>社会保障和就业（类）退役军人管理事</w:t>
      </w:r>
      <w:r>
        <w:rPr>
          <w:spacing w:val="10"/>
        </w:rPr>
        <w:t>务（款）事</w:t>
      </w:r>
      <w:r>
        <w:rPr>
          <w:spacing w:val="5"/>
        </w:rPr>
        <w:t>业运行（项）</w:t>
      </w:r>
      <w:r>
        <w:rPr>
          <w:rFonts w:ascii="Times New Roman" w:hAnsi="Times New Roman" w:eastAsia="Times New Roman" w:cs="Times New Roman"/>
          <w:spacing w:val="5"/>
        </w:rPr>
        <w:t>:</w:t>
      </w:r>
      <w:r>
        <w:rPr>
          <w:spacing w:val="5"/>
        </w:rPr>
        <w:t>指反映事业单位的基本支出，不包括行政单位</w:t>
      </w:r>
      <w:r>
        <w:rPr>
          <w:spacing w:val="9"/>
        </w:rPr>
        <w:t>（包括实行公务员管理的事业单位）后勤服务中心、医务室</w:t>
      </w:r>
      <w:r>
        <w:rPr>
          <w:spacing w:val="8"/>
        </w:rPr>
        <w:t>等附属事业单位。</w:t>
      </w:r>
    </w:p>
    <w:p w14:paraId="6C1EBD76">
      <w:pPr>
        <w:pStyle w:val="5"/>
        <w:spacing w:before="61" w:line="361" w:lineRule="auto"/>
        <w:ind w:left="21" w:right="96" w:firstLine="640"/>
      </w:pPr>
      <w:r>
        <w:rPr>
          <w:rFonts w:ascii="Times New Roman" w:hAnsi="Times New Roman" w:eastAsia="Times New Roman" w:cs="Times New Roman"/>
          <w:spacing w:val="11"/>
        </w:rPr>
        <w:t xml:space="preserve">22.  </w:t>
      </w:r>
      <w:r>
        <w:rPr>
          <w:spacing w:val="11"/>
        </w:rPr>
        <w:t>社会保障和就业（类）退役军人管理事</w:t>
      </w:r>
      <w:r>
        <w:rPr>
          <w:spacing w:val="10"/>
        </w:rPr>
        <w:t>务（款）其</w:t>
      </w:r>
      <w:r>
        <w:rPr>
          <w:spacing w:val="5"/>
        </w:rPr>
        <w:t>他退役军人事务管理支出（项）</w:t>
      </w:r>
      <w:r>
        <w:rPr>
          <w:rFonts w:ascii="Times New Roman" w:hAnsi="Times New Roman" w:eastAsia="Times New Roman" w:cs="Times New Roman"/>
          <w:spacing w:val="5"/>
        </w:rPr>
        <w:t>:</w:t>
      </w:r>
      <w:r>
        <w:rPr>
          <w:spacing w:val="5"/>
        </w:rPr>
        <w:t>指反映除上述项目以外其他</w:t>
      </w:r>
      <w:r>
        <w:rPr>
          <w:spacing w:val="8"/>
        </w:rPr>
        <w:t>用于退役军人事务管理方面的支出。</w:t>
      </w:r>
    </w:p>
    <w:p w14:paraId="2BD78202">
      <w:pPr>
        <w:pStyle w:val="5"/>
        <w:spacing w:before="74" w:line="418" w:lineRule="exact"/>
        <w:ind w:left="661"/>
      </w:pPr>
      <w:r>
        <w:rPr>
          <w:rFonts w:ascii="Times New Roman" w:hAnsi="Times New Roman" w:eastAsia="Times New Roman" w:cs="Times New Roman"/>
          <w:spacing w:val="11"/>
          <w:position w:val="2"/>
        </w:rPr>
        <w:t xml:space="preserve">23.  </w:t>
      </w:r>
      <w:r>
        <w:rPr>
          <w:spacing w:val="11"/>
          <w:position w:val="2"/>
        </w:rPr>
        <w:t>卫生健康支出（类）行政事业单位医疗</w:t>
      </w:r>
      <w:r>
        <w:rPr>
          <w:spacing w:val="10"/>
          <w:position w:val="2"/>
        </w:rPr>
        <w:t>（款）行政</w:t>
      </w:r>
    </w:p>
    <w:p w14:paraId="0C4307D2">
      <w:pPr>
        <w:pStyle w:val="5"/>
        <w:spacing w:before="215" w:line="358" w:lineRule="auto"/>
        <w:ind w:left="21" w:right="156" w:firstLine="12"/>
      </w:pPr>
      <w:r>
        <w:rPr>
          <w:spacing w:val="5"/>
        </w:rPr>
        <w:t>单位医疗（项）</w:t>
      </w:r>
      <w:r>
        <w:rPr>
          <w:rFonts w:ascii="Times New Roman" w:hAnsi="Times New Roman" w:eastAsia="Times New Roman" w:cs="Times New Roman"/>
          <w:spacing w:val="5"/>
        </w:rPr>
        <w:t>:</w:t>
      </w:r>
      <w:r>
        <w:rPr>
          <w:spacing w:val="5"/>
        </w:rPr>
        <w:t>指行政单位及参公管理事业单位用于缴纳单</w:t>
      </w:r>
      <w:r>
        <w:rPr>
          <w:spacing w:val="8"/>
        </w:rPr>
        <w:t>位基本医疗保险支出。</w:t>
      </w:r>
    </w:p>
    <w:p w14:paraId="352B43CC">
      <w:pPr>
        <w:pStyle w:val="5"/>
        <w:spacing w:before="46" w:line="348" w:lineRule="auto"/>
        <w:ind w:left="34" w:right="64" w:firstLine="627"/>
      </w:pPr>
      <w:r>
        <w:rPr>
          <w:rFonts w:ascii="Times New Roman" w:hAnsi="Times New Roman" w:eastAsia="Times New Roman" w:cs="Times New Roman"/>
          <w:spacing w:val="11"/>
        </w:rPr>
        <w:t xml:space="preserve">24.  </w:t>
      </w:r>
      <w:r>
        <w:rPr>
          <w:spacing w:val="11"/>
        </w:rPr>
        <w:t>卫生健康支出（类）行政事业单位医疗</w:t>
      </w:r>
      <w:r>
        <w:rPr>
          <w:spacing w:val="10"/>
        </w:rPr>
        <w:t>（款）事业</w:t>
      </w:r>
      <w:r>
        <w:rPr>
          <w:spacing w:val="-3"/>
        </w:rPr>
        <w:t>单位医疗（项）</w:t>
      </w:r>
      <w:r>
        <w:rPr>
          <w:rFonts w:ascii="Times New Roman" w:hAnsi="Times New Roman" w:eastAsia="Times New Roman" w:cs="Times New Roman"/>
          <w:spacing w:val="-3"/>
        </w:rPr>
        <w:t>:</w:t>
      </w:r>
      <w:r>
        <w:rPr>
          <w:spacing w:val="-3"/>
        </w:rPr>
        <w:t>指事业单位用于缴纳单位基本医疗保险支出。</w:t>
      </w:r>
    </w:p>
    <w:p w14:paraId="6A29D4CB">
      <w:pPr>
        <w:pStyle w:val="5"/>
        <w:spacing w:before="10" w:line="343" w:lineRule="auto"/>
        <w:ind w:left="36" w:right="154" w:firstLine="627"/>
      </w:pPr>
      <w:r>
        <w:rPr>
          <w:rFonts w:ascii="Times New Roman" w:hAnsi="Times New Roman" w:eastAsia="Times New Roman" w:cs="Times New Roman"/>
          <w:spacing w:val="11"/>
        </w:rPr>
        <w:t xml:space="preserve">25.  </w:t>
      </w:r>
      <w:r>
        <w:rPr>
          <w:spacing w:val="11"/>
        </w:rPr>
        <w:t>卫生健康支出（类）行政事业单位</w:t>
      </w:r>
      <w:r>
        <w:rPr>
          <w:spacing w:val="10"/>
        </w:rPr>
        <w:t>医疗（款）公务</w:t>
      </w:r>
      <w:r>
        <w:rPr>
          <w:spacing w:val="5"/>
        </w:rPr>
        <w:t>员医疗补助（项）</w:t>
      </w:r>
      <w:r>
        <w:rPr>
          <w:rFonts w:ascii="Times New Roman" w:hAnsi="Times New Roman" w:eastAsia="Times New Roman" w:cs="Times New Roman"/>
          <w:spacing w:val="5"/>
        </w:rPr>
        <w:t>:</w:t>
      </w:r>
      <w:r>
        <w:rPr>
          <w:spacing w:val="5"/>
        </w:rPr>
        <w:t>指行政单位及参公管理事业单位用于集中</w:t>
      </w:r>
      <w:r>
        <w:rPr>
          <w:spacing w:val="7"/>
        </w:rPr>
        <w:t>缴纳公务员医疗补助支出。</w:t>
      </w:r>
    </w:p>
    <w:p w14:paraId="114BAE20">
      <w:pPr>
        <w:pStyle w:val="5"/>
        <w:spacing w:line="343" w:lineRule="auto"/>
        <w:ind w:left="34" w:right="154" w:firstLine="629"/>
      </w:pPr>
      <w:r>
        <w:rPr>
          <w:rFonts w:ascii="Times New Roman" w:hAnsi="Times New Roman" w:eastAsia="Times New Roman" w:cs="Times New Roman"/>
          <w:spacing w:val="11"/>
        </w:rPr>
        <w:t xml:space="preserve">26.  </w:t>
      </w:r>
      <w:r>
        <w:rPr>
          <w:spacing w:val="11"/>
        </w:rPr>
        <w:t>社会保障和就业（类）优抚对象医</w:t>
      </w:r>
      <w:r>
        <w:rPr>
          <w:spacing w:val="10"/>
        </w:rPr>
        <w:t>疗（款）优抚对</w:t>
      </w:r>
      <w:r>
        <w:rPr>
          <w:spacing w:val="5"/>
        </w:rPr>
        <w:t>象医疗补助（项）</w:t>
      </w:r>
      <w:r>
        <w:rPr>
          <w:rFonts w:ascii="Times New Roman" w:hAnsi="Times New Roman" w:eastAsia="Times New Roman" w:cs="Times New Roman"/>
          <w:spacing w:val="5"/>
        </w:rPr>
        <w:t>:</w:t>
      </w:r>
      <w:r>
        <w:rPr>
          <w:spacing w:val="5"/>
        </w:rPr>
        <w:t>指反映为优抚对象购买医疗保险补助项目</w:t>
      </w:r>
      <w:r>
        <w:rPr>
          <w:spacing w:val="-1"/>
        </w:rPr>
        <w:t>支出。</w:t>
      </w:r>
    </w:p>
    <w:p w14:paraId="45B2C3C2">
      <w:pPr>
        <w:pStyle w:val="5"/>
        <w:spacing w:line="343" w:lineRule="auto"/>
        <w:ind w:left="29" w:right="156" w:firstLine="634"/>
      </w:pPr>
      <w:r>
        <w:rPr>
          <w:rFonts w:ascii="Times New Roman" w:hAnsi="Times New Roman" w:eastAsia="Times New Roman" w:cs="Times New Roman"/>
          <w:spacing w:val="11"/>
        </w:rPr>
        <w:t xml:space="preserve">27.  </w:t>
      </w:r>
      <w:r>
        <w:rPr>
          <w:spacing w:val="11"/>
        </w:rPr>
        <w:t>住房保障支出（类）住房改革支出</w:t>
      </w:r>
      <w:r>
        <w:rPr>
          <w:spacing w:val="10"/>
        </w:rPr>
        <w:t>（款）住房公积</w:t>
      </w:r>
      <w:r>
        <w:rPr>
          <w:spacing w:val="5"/>
        </w:rPr>
        <w:t>金（项）</w:t>
      </w:r>
      <w:r>
        <w:rPr>
          <w:rFonts w:ascii="Times New Roman" w:hAnsi="Times New Roman" w:eastAsia="Times New Roman" w:cs="Times New Roman"/>
          <w:spacing w:val="5"/>
        </w:rPr>
        <w:t>:</w:t>
      </w:r>
      <w:r>
        <w:rPr>
          <w:spacing w:val="5"/>
        </w:rPr>
        <w:t>指反映行政事业单位按人力资源和社会保障部、财</w:t>
      </w:r>
      <w:r>
        <w:rPr>
          <w:spacing w:val="21"/>
        </w:rPr>
        <w:t>政部规定的基本工资和津贴补贴以及规定比例为职工缴纳</w:t>
      </w:r>
      <w:r>
        <w:rPr>
          <w:spacing w:val="6"/>
        </w:rPr>
        <w:t>的住房公积金。</w:t>
      </w:r>
    </w:p>
    <w:p w14:paraId="48E8BBFD">
      <w:pPr>
        <w:pStyle w:val="5"/>
        <w:spacing w:before="3" w:line="336" w:lineRule="auto"/>
        <w:ind w:left="32" w:right="156" w:firstLine="628"/>
      </w:pPr>
      <w:r>
        <w:rPr>
          <w:rFonts w:ascii="Times New Roman" w:hAnsi="Times New Roman" w:eastAsia="Times New Roman" w:cs="Times New Roman"/>
          <w:spacing w:val="5"/>
        </w:rPr>
        <w:t>28.</w:t>
      </w:r>
      <w:r>
        <w:rPr>
          <w:spacing w:val="5"/>
        </w:rPr>
        <w:t>基本支出：指为保障机构正常运转、完成日常工作任</w:t>
      </w:r>
      <w:r>
        <w:rPr>
          <w:spacing w:val="7"/>
        </w:rPr>
        <w:t>务而发生的人员支出和公用支出。</w:t>
      </w:r>
    </w:p>
    <w:p w14:paraId="17632F72">
      <w:pPr>
        <w:pStyle w:val="5"/>
        <w:spacing w:before="19" w:line="337" w:lineRule="auto"/>
        <w:ind w:left="36" w:right="154" w:firstLine="625"/>
      </w:pPr>
      <w:r>
        <w:rPr>
          <w:rFonts w:ascii="Times New Roman" w:hAnsi="Times New Roman" w:eastAsia="Times New Roman" w:cs="Times New Roman"/>
          <w:spacing w:val="5"/>
        </w:rPr>
        <w:t>29.</w:t>
      </w:r>
      <w:r>
        <w:rPr>
          <w:spacing w:val="5"/>
        </w:rPr>
        <w:t>项目支出：指在基本支出之外为完成特定行政任务和</w:t>
      </w:r>
      <w:r>
        <w:rPr>
          <w:spacing w:val="7"/>
        </w:rPr>
        <w:t>事业发展目标所发生的支出。</w:t>
      </w:r>
    </w:p>
    <w:p w14:paraId="6F9E853B">
      <w:pPr>
        <w:pStyle w:val="5"/>
        <w:spacing w:before="22" w:line="336" w:lineRule="auto"/>
        <w:ind w:left="34" w:right="154" w:firstLine="633"/>
      </w:pPr>
      <w:r>
        <w:rPr>
          <w:rFonts w:ascii="Times New Roman" w:hAnsi="Times New Roman" w:eastAsia="Times New Roman" w:cs="Times New Roman"/>
          <w:spacing w:val="5"/>
        </w:rPr>
        <w:t>30.</w:t>
      </w:r>
      <w:r>
        <w:rPr>
          <w:spacing w:val="5"/>
        </w:rPr>
        <w:t>经营支出：指事业单位在专业业务活动及其辅助活动</w:t>
      </w:r>
      <w:r>
        <w:rPr>
          <w:spacing w:val="8"/>
        </w:rPr>
        <w:t>之外开展非独立核算经营活动发生的支出。</w:t>
      </w:r>
    </w:p>
    <w:p w14:paraId="5E457DD8">
      <w:pPr>
        <w:pStyle w:val="5"/>
        <w:spacing w:before="24" w:line="347" w:lineRule="auto"/>
        <w:ind w:left="18" w:firstLine="649"/>
      </w:pPr>
      <w:r>
        <w:rPr>
          <w:rFonts w:ascii="Times New Roman" w:hAnsi="Times New Roman" w:eastAsia="Times New Roman" w:cs="Times New Roman"/>
          <w:spacing w:val="-12"/>
        </w:rPr>
        <w:t>31.</w:t>
      </w:r>
      <w:r>
        <w:rPr>
          <w:spacing w:val="-12"/>
        </w:rPr>
        <w:t>“三公”经费：指部门用财政拨款安排的因公出国（境）</w:t>
      </w:r>
      <w:r>
        <w:rPr>
          <w:spacing w:val="9"/>
        </w:rPr>
        <w:t>费、公务用车购置及运行费和公务接待费。其中，因公出国（境）费反映单位公务出国（境）的国际旅费、国外城市间</w:t>
      </w:r>
    </w:p>
    <w:p w14:paraId="04C08B15">
      <w:pPr>
        <w:pStyle w:val="5"/>
        <w:spacing w:before="196" w:line="336" w:lineRule="auto"/>
        <w:ind w:left="34" w:right="13" w:firstLine="3"/>
        <w:jc w:val="both"/>
      </w:pPr>
      <w:r>
        <w:rPr>
          <w:spacing w:val="8"/>
        </w:rPr>
        <w:t>交通费、住宿费、伙食费、培训费、公杂费等支出；公务用车购置及运行费反映单位公务用车车辆购置支出（含车辆购置税）及租用费、燃料费、维修费、过路过桥费、保险费等支出；公务接待费反映单位按规定开支的各类公务接待（含</w:t>
      </w:r>
      <w:r>
        <w:rPr>
          <w:spacing w:val="6"/>
        </w:rPr>
        <w:t>外宾接待）支出。</w:t>
      </w:r>
    </w:p>
    <w:p w14:paraId="4561D622">
      <w:pPr>
        <w:pStyle w:val="5"/>
        <w:spacing w:before="2" w:line="338" w:lineRule="auto"/>
        <w:ind w:left="20" w:right="13" w:firstLine="647"/>
        <w:jc w:val="both"/>
      </w:pPr>
      <w:r>
        <w:rPr>
          <w:rFonts w:ascii="Times New Roman" w:hAnsi="Times New Roman" w:eastAsia="Times New Roman" w:cs="Times New Roman"/>
          <w:spacing w:val="5"/>
        </w:rPr>
        <w:t>32.</w:t>
      </w:r>
      <w:r>
        <w:rPr>
          <w:spacing w:val="5"/>
        </w:rPr>
        <w:t>机关运行经费：为保障行政单位（含参照公务员法管</w:t>
      </w:r>
      <w:r>
        <w:rPr>
          <w:spacing w:val="9"/>
        </w:rPr>
        <w:t>理的事业单位）运行用于购买货物和服务的各项资金，包括</w:t>
      </w:r>
      <w:r>
        <w:rPr>
          <w:spacing w:val="6"/>
        </w:rPr>
        <w:t>办公及印刷费、邮电费、差旅费、会议费、福利费</w:t>
      </w:r>
      <w:r>
        <w:rPr>
          <w:spacing w:val="5"/>
        </w:rPr>
        <w:t>、</w:t>
      </w:r>
      <w:r>
        <w:rPr>
          <w:spacing w:val="-69"/>
        </w:rPr>
        <w:t xml:space="preserve"> </w:t>
      </w:r>
      <w:r>
        <w:rPr>
          <w:spacing w:val="5"/>
        </w:rPr>
        <w:t>日常维</w:t>
      </w:r>
      <w:r>
        <w:rPr>
          <w:spacing w:val="9"/>
        </w:rPr>
        <w:t>修费、专用材料及一般设备购置费、办公用房水电费、办公用房取暖费、办公用房物业管理费、公务用车运行维护费以</w:t>
      </w:r>
      <w:r>
        <w:rPr>
          <w:spacing w:val="6"/>
        </w:rPr>
        <w:t>及其他费用。</w:t>
      </w:r>
    </w:p>
    <w:p w14:paraId="289492B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10B0456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645684B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1D22141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3DE8B5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199A86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32.……</w:t>
      </w:r>
    </w:p>
    <w:p w14:paraId="2C61D8E4">
      <w:pPr>
        <w:spacing w:line="600" w:lineRule="exact"/>
        <w:jc w:val="center"/>
        <w:rPr>
          <w:rFonts w:hint="eastAsia" w:ascii="Times New Roman" w:hAnsi="Times New Roman" w:eastAsia="黑体"/>
          <w:color w:val="auto"/>
          <w:sz w:val="44"/>
          <w:szCs w:val="44"/>
          <w:highlight w:val="none"/>
        </w:rPr>
      </w:pPr>
      <w:bookmarkStart w:id="45" w:name="_Toc15396614"/>
      <w:bookmarkStart w:id="46" w:name="_Toc15377226"/>
    </w:p>
    <w:p w14:paraId="5BE3A171">
      <w:pPr>
        <w:spacing w:line="600" w:lineRule="exact"/>
        <w:jc w:val="center"/>
        <w:rPr>
          <w:rFonts w:hint="eastAsia" w:ascii="Times New Roman" w:hAnsi="Times New Roman" w:eastAsia="黑体"/>
          <w:color w:val="auto"/>
          <w:sz w:val="44"/>
          <w:szCs w:val="44"/>
          <w:highlight w:val="none"/>
        </w:rPr>
      </w:pPr>
    </w:p>
    <w:p w14:paraId="7D385BA0">
      <w:pPr>
        <w:spacing w:line="600" w:lineRule="exact"/>
        <w:jc w:val="center"/>
        <w:rPr>
          <w:rFonts w:hint="eastAsia" w:ascii="Times New Roman" w:hAnsi="Times New Roman" w:eastAsia="黑体"/>
          <w:color w:val="auto"/>
          <w:sz w:val="44"/>
          <w:szCs w:val="44"/>
          <w:highlight w:val="none"/>
        </w:rPr>
      </w:pPr>
    </w:p>
    <w:p w14:paraId="51CD2541">
      <w:pPr>
        <w:pStyle w:val="2"/>
        <w:bidi w:val="0"/>
        <w:jc w:val="center"/>
        <w:rPr>
          <w:rFonts w:hint="eastAsia"/>
        </w:rPr>
      </w:pPr>
      <w:r>
        <w:rPr>
          <w:rFonts w:hint="eastAsia"/>
        </w:rPr>
        <w:t>第四部分</w:t>
      </w:r>
      <w:r>
        <w:rPr>
          <w:rFonts w:hint="eastAsia"/>
          <w:lang w:val="en-US" w:eastAsia="zh-CN"/>
        </w:rPr>
        <w:t xml:space="preserve"> </w:t>
      </w:r>
      <w:r>
        <w:rPr>
          <w:rFonts w:hint="eastAsia"/>
        </w:rPr>
        <w:t xml:space="preserve"> 附件</w:t>
      </w:r>
      <w:bookmarkEnd w:id="45"/>
    </w:p>
    <w:p w14:paraId="46DA6289">
      <w:pPr>
        <w:pStyle w:val="5"/>
        <w:bidi w:val="0"/>
        <w:rPr>
          <w:rFonts w:hint="eastAsia"/>
          <w:lang w:val="en-US" w:eastAsia="zh-CN"/>
        </w:rPr>
      </w:pPr>
      <w:r>
        <w:rPr>
          <w:rFonts w:hint="eastAsia"/>
        </w:rPr>
        <w:t>附件</w:t>
      </w:r>
      <w:r>
        <w:rPr>
          <w:rFonts w:hint="eastAsia"/>
          <w:lang w:val="en-US" w:eastAsia="zh-CN"/>
        </w:rPr>
        <w:t>1</w:t>
      </w:r>
    </w:p>
    <w:p w14:paraId="34722E98">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46F8EB79">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jc w:val="center"/>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部门预算绩效自评报告范本</w:t>
      </w:r>
    </w:p>
    <w:p w14:paraId="387D488D">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p>
    <w:p w14:paraId="4589A522">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一、部门（单位）基本情况</w:t>
      </w:r>
    </w:p>
    <w:p w14:paraId="4EA5609C">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（一）机构组成。</w:t>
      </w:r>
    </w:p>
    <w:p w14:paraId="04CB1F52">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沐川县退役军人事务局下属二级预算单位1个，其中：其他事业单位1个即沐川县退役军人服务中心。</w:t>
      </w:r>
    </w:p>
    <w:p w14:paraId="5C7D0946">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（二）机构职能。</w:t>
      </w:r>
    </w:p>
    <w:p w14:paraId="12C11ED9">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沐川县退役军人事务局为县政府工作部门，主要负责全县退役军人事务工作。</w:t>
      </w:r>
    </w:p>
    <w:p w14:paraId="526689E0">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（一）拟订退役军人工作政策并组织实施，褒扬彰显退役军人为党、国家和人民牺牲奉献的精神风范和价值导向。</w:t>
      </w:r>
    </w:p>
    <w:p w14:paraId="45CF0C52">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（二）负责军队转业干部的安置。负责复原干部、离休退休干部、退役士兵和无军籍退休退职职工的移交安置以及自主择业、就业退役军人服务管理工作。</w:t>
      </w:r>
    </w:p>
    <w:p w14:paraId="33626AA8">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（三）组织退役军人教育培训工作，承担退役军人和随军随调家属就业创业扶持工作。</w:t>
      </w:r>
    </w:p>
    <w:p w14:paraId="1B7D8ADA">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（四）贯彻执行国家有关退役军人特殊保障政策，拟定有关地方性政策并组织实施。</w:t>
      </w:r>
    </w:p>
    <w:p w14:paraId="7ADE3581">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（五）组织、协调落实移交地方的离休退休军人、符合条件的其他退役军人和无军籍退休退职职工的住房保障工作，以及退役军人医疗保障、社会保险等待遇保障工作。</w:t>
      </w:r>
    </w:p>
    <w:p w14:paraId="3F65A1E5">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（六）负责伤病残退役军人服务管理和抚恤工作，贯彻执行国家有关退役军人医疗、疗养、养老等机构的规划政策。承担不适宜继续服役的伤病残军人移交安置、退休安置、供养等工作。组织军供服务保障工作。</w:t>
      </w:r>
    </w:p>
    <w:p w14:paraId="59DFB649">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（七）组织、指导拥军优属工作，承担现役军人、退役军人、军队文职人员和军属的优待、抚恤工作，贯彻执行国家有关国民党抗战老兵等有关人员优待政策。</w:t>
      </w:r>
    </w:p>
    <w:p w14:paraId="1C349E8F">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八）负责烈士及退役军人荣誉奖励、军人公墓和烈士纪念设施的建设管理、纪念活动等工作，依法承担英雄烈士保护相关工作，审核拟列入全县重点保护单位的烈士纪念建筑物名录，总结表彰和宣扬退役军人、退役军人工作单位和个人先进典型事迹。</w:t>
      </w:r>
    </w:p>
    <w:p w14:paraId="2D5C09FC">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（九）指导并监督检查退役军人相关法律法规和政策措施的落实，组织开展退役军人权益维护和有关人员的帮扶援助工作。</w:t>
      </w:r>
    </w:p>
    <w:p w14:paraId="6B2971C6">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（十）推动建立退役军人事务分级负责和突发事件应急联动机制，组织、指导退役军人综合服务体系建设，参与指导退役军人党建工作。</w:t>
      </w:r>
    </w:p>
    <w:p w14:paraId="50AD9397">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（十一）负责职责范围内的安全生产和职业健康、生态环境保护工作。</w:t>
      </w:r>
    </w:p>
    <w:p w14:paraId="01B40302">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（十二）完成县委、县政府交办的其他任务。</w:t>
      </w:r>
    </w:p>
    <w:p w14:paraId="4F9DDABF">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（十三）职能转变。应加强全县退役军人思想政治工作以及服务保障体系建设，协调各方力量更好为军人军属服务，维护军人军属合法权益，更好地为增强部队战斗力和凝聚力做好组织保障。</w:t>
      </w:r>
    </w:p>
    <w:p w14:paraId="2496BBDA">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（三）人员概况。截至2025年末，我局在编人员共14人，其中行政人员5人，事业人员9人。</w:t>
      </w:r>
    </w:p>
    <w:p w14:paraId="1C5A0DB5">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二、部门资金收支情况</w:t>
      </w:r>
    </w:p>
    <w:p w14:paraId="54D63813">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（一）收入情况。</w:t>
      </w:r>
    </w:p>
    <w:p w14:paraId="0D2B1F8D">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沐川县退役军人事务局2025年度决算报表收入情况，一般公共预算财政收入2461.64万元，政府性基金预算财政拨款收入10万元，其他收入0.52万元，年初结转结余41.4万元，共计2513.57万元。</w:t>
      </w:r>
    </w:p>
    <w:p w14:paraId="5A81153D">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（二）支出情况。</w:t>
      </w:r>
    </w:p>
    <w:p w14:paraId="75236BDF">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沐川县退役军人事务局2025年支出预算1038.24万元，其中：基本支出227.35万元，占21.9%；项目支出810.89万元，占78.1%。</w:t>
      </w:r>
    </w:p>
    <w:p w14:paraId="519AF3EB">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沐川县退役军人事务局2025年决算报表支出为2513.57万元，其中社会保障和就业支出2448.91万元，卫生健康支出36.01万元，住房保障支出18.65万元，其他支出10万元，。</w:t>
      </w:r>
    </w:p>
    <w:p w14:paraId="2DC3174F">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（三）结余分配和结转结余情况。沐川县退役军人事务局2025年决算报表结转结余0元。</w:t>
      </w:r>
    </w:p>
    <w:p w14:paraId="3DD5FA6F">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三、部门预算绩效分析</w:t>
      </w:r>
    </w:p>
    <w:p w14:paraId="40FC516A">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（一）部门预算总体绩效分析。</w:t>
      </w:r>
    </w:p>
    <w:p w14:paraId="2E92B521">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预算执行情况。包括部门公用经费及非定额公用支出控制情况、预算动态调整情况、部门整体预算执行进度情况、是否有违规记录、年终预算执行情况等。</w:t>
      </w:r>
    </w:p>
    <w:p w14:paraId="7677FC45">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整体绩效情况。资金支付过程中无违规违纪情况，全年所有项目在任务量完成、质量标准、进度计划等方面均保质保量完成资金支付</w:t>
      </w:r>
    </w:p>
    <w:p w14:paraId="3D5180FC">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1.履职效能。</w:t>
      </w:r>
    </w:p>
    <w:p w14:paraId="50784E8E">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2025年我局特定目标类项目共有优抚抚恤金、义务兵家属优待金、退役安置补助资金、重大节日慰问和双拥工作经费等项目，项目资金申报、批复情况、支出情况等均符合财政要求相关流程，均符合资金管理办法相关规定。</w:t>
      </w:r>
    </w:p>
    <w:p w14:paraId="606CBD7D">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项目1：重大节日慰问和双拥工作经费，项目内容为重大节日慰问全县退役军人群体资金，保障全县退役军人群体合法权益，提升退役军人群里满意度。主要用于春节、八一等重大节日慰问退役军人群体、驻军群体慰问资金。年初预算资金180.05万元，实际支出180.05万元，预算执行率100%，慰问标准按照相关政策标准执行，慰问资金及时全覆盖支出，支付依据合规合法。</w:t>
      </w:r>
    </w:p>
    <w:p w14:paraId="33961BA0">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项目2：优抚定补县级配套资金，项目内容为发放优抚对象抚恤和生活补助、临时价格补贴，保障全县优抚对象合法权益，提升优抚对象群体满意度。2025年优抚定补县级配套资金项目发放153.2万元，预算执行率100%，各项资金均及时支付完成，支付依据合规合法，资金支付与预算相符。</w:t>
      </w:r>
    </w:p>
    <w:p w14:paraId="758AB5DC">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项目3：大学生一次性入伍奖励金，资金项目内容为兑现入伍大学生一次性入伍奖励金，保障了入伍大学生了合法权益，提升入伍大学生群体积极性和满意度。2025年度大学生一次性入伍奖励金项目发放108.85万元，预算执行率100%，奖励金标准按照相关政策标准执行，奖励金及时全覆盖支出，支付依据合规合法，资金支付与预算相符。</w:t>
      </w:r>
    </w:p>
    <w:p w14:paraId="2491289E">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2.预算管理。</w:t>
      </w:r>
    </w:p>
    <w:p w14:paraId="678B8E10">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按照中央关于“坚决打好防范华解重大风险攻坚战”与深化预算改革相关要求，以“保运转、保民生、保重点、优结构、防风险”为主要目标，大力提高预算编制质量和精细化程度。加强支出进度管理，完善预算动态监控，主动作为，提前谋划，在完成一般性支出压减任务的情况下，确保了机关运行和重大项目的实施，无违规记录等情况。</w:t>
      </w:r>
    </w:p>
    <w:p w14:paraId="4A3962E9">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3.财务管理。</w:t>
      </w:r>
    </w:p>
    <w:p w14:paraId="4883F7CF">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全覆盖开展事前绩效评估。对各单位报送的2025年度部门预算项目中符合评审条件的其他运转类和特定目标类项目进行了事前绩效评估和预算评审。评审结果与部门预算安排挂钩，优化财政资金配置。定期开展绩效运行监控。严格落实部门预算绩效监控工作，按月对部门预算项目绩效目标实现程度和预算执行进度进行“双监控”，及时发现项目管理运作和资金拨付使用过程中的薄弱环节，纠正执行偏差，推动部门整体支出绩效目标如期完成。</w:t>
      </w:r>
    </w:p>
    <w:p w14:paraId="792F7BF5">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（二）部门预算项目绩效分析。</w:t>
      </w:r>
    </w:p>
    <w:p w14:paraId="05B5EEA9">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2025年我局特定目标类项目共有优抚抚恤金、义务兵家属优待金、退役安置补助资金、重大节日慰问和双拥工作经费等21个项目，项目资金申报、批复情况、支出情况等均符合财政要求相关流程，均符合资金管理办法相关规定。</w:t>
      </w:r>
    </w:p>
    <w:p w14:paraId="50622994">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常年项目绩效分析。该类项目总数16个，其中：预算结余率大于10%的项目共计4个。</w:t>
      </w:r>
    </w:p>
    <w:p w14:paraId="11A41911">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阶段（一次性）项目绩效分析。该类项目总数5个，其中：预算结余率大于10%的项目共计1个。</w:t>
      </w:r>
    </w:p>
    <w:p w14:paraId="571D2587">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项目决策。按照中央关于“坚决打好防范华解重大风险攻坚战”与深化预算改革相关要求，以“保运转、保民生、保重点、优结构、防风险”为主要目标，大力提高预算编制质量和精细化程度。加强支出进度管理，完善预算动态监控，主动作为，提前谋划，在完成一般性支出压减任务的情况下，确保了机关运行和重大项目的实施，无违规记录等情况。</w:t>
      </w:r>
    </w:p>
    <w:p w14:paraId="03EDA540">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2.项目执行。在国有资产管理职能职责设置情况、制度建设、资产到人、报表报送、国有资产配置标准和配置计划执行、资产使用和出租出借、资产处置和收入归缴等方面整体较好。</w:t>
      </w:r>
    </w:p>
    <w:p w14:paraId="1DCA25B3">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3.目标实现。沐川县退役军人事务局2025年度，对国有资本、行政事业性国有资产、债券资金、政府采购和政府购买服务等重点领域的，进行了绩效评价。</w:t>
      </w:r>
    </w:p>
    <w:p w14:paraId="7EDBF5FD">
      <w:pPr>
        <w:ind w:firstLine="640" w:firstLineChars="200"/>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（三）绩效结果应用情况。</w:t>
      </w:r>
    </w:p>
    <w:p w14:paraId="2908E544">
      <w:pPr>
        <w:ind w:firstLine="640" w:firstLineChars="200"/>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全覆盖开展事前绩效评估。对各单位报送的2024年度部门预算项目中符合评审条件的21个其他运转类和特定目标类项目进行了事前绩效评估和预算评审。评审结果与部门预算安排挂钩，优化财政资金配置。定期开展绩效运行监控。严格落实部门预算绩效监控工作，按月对部门预算项目绩效目标实现程度和预算执行进度进行“双监控”，及时发现项目管理运作和资金拨付使用过程中的薄弱环节，纠正执行偏差，推动部门整体支出绩效目标如期完成。</w:t>
      </w:r>
    </w:p>
    <w:p w14:paraId="156E8DA6">
      <w:pPr>
        <w:ind w:firstLine="640" w:firstLineChars="200"/>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四、评价结论及建议</w:t>
      </w:r>
    </w:p>
    <w:p w14:paraId="640241EA">
      <w:pPr>
        <w:ind w:firstLine="640" w:firstLineChars="200"/>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（一）评价结论。</w:t>
      </w:r>
    </w:p>
    <w:p w14:paraId="60E7BBF5">
      <w:pPr>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2025年退役军人事务局机关从自评情况来看决算编制合理，支出高效规范，财政支出既确保了机关正常运转，又保证了重点项目开支，财政支出绩效良好。</w:t>
      </w:r>
    </w:p>
    <w:p w14:paraId="59DBC52F">
      <w:pPr>
        <w:ind w:firstLine="640" w:firstLineChars="200"/>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（二）存在问题。</w:t>
      </w:r>
    </w:p>
    <w:p w14:paraId="440C7076">
      <w:pPr>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存在个别项目绩效考核指标评价的信息支撑资料不够完善。随着财经制度的不断改革，一系列与财务工作相关的新规定、新要求，应及时进行更新，按照最新标准执行。</w:t>
      </w:r>
    </w:p>
    <w:p w14:paraId="303B7056">
      <w:pPr>
        <w:ind w:firstLine="640" w:firstLineChars="200"/>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（三）改进建议。</w:t>
      </w:r>
    </w:p>
    <w:p w14:paraId="3D412EF3">
      <w:pPr>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建议结合本部门实际进一步加强绩效考核评价指标的细化管理和动态监控分析，加强业务培训学习，提升工作质量。</w:t>
      </w:r>
    </w:p>
    <w:p w14:paraId="15A52888">
      <w:pPr>
        <w:rPr>
          <w:rFonts w:hint="eastAsia" w:ascii="Times New Roman" w:hAnsi="Times New Roman" w:eastAsia="黑体" w:cs="黑体"/>
          <w:color w:val="auto"/>
          <w:kern w:val="0"/>
          <w:sz w:val="32"/>
          <w:szCs w:val="32"/>
          <w:highlight w:val="none"/>
          <w:shd w:val="clear" w:color="auto" w:fill="FFFFFF"/>
          <w:lang w:val="zh-CN"/>
        </w:rPr>
      </w:pPr>
    </w:p>
    <w:p w14:paraId="5030961B">
      <w:pPr>
        <w:pStyle w:val="5"/>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22144520">
      <w:pPr>
        <w:keepNext w:val="0"/>
        <w:keepLines w:val="0"/>
        <w:pageBreakBefore w:val="0"/>
        <w:widowControl w:val="0"/>
        <w:kinsoku/>
        <w:wordWrap/>
        <w:overflowPunct/>
        <w:topLinePunct w:val="0"/>
        <w:autoSpaceDE/>
        <w:autoSpaceDN/>
        <w:bidi w:val="0"/>
        <w:spacing w:line="578" w:lineRule="exact"/>
        <w:ind w:firstLine="640"/>
        <w:jc w:val="center"/>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专项预算绩效自评报告</w:t>
      </w:r>
    </w:p>
    <w:p w14:paraId="63397B0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09A2A0E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一、项目概况</w:t>
      </w:r>
    </w:p>
    <w:p w14:paraId="7663BA7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（一）设立背景及基本情况。</w:t>
      </w:r>
    </w:p>
    <w:p w14:paraId="653B343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根据根据川财社〔2024〕128号、川财社〔2024〕97号等政策文件，开展项目立项、资金申报、资金分配、项目实施等工作。沐川县退役军人事务局负责对中央、省级专项资金进行统筹管理；负责项目的申报、评审、入库工作，统一管理省级项目库，提出专项资金分配建议方案；负责统筹提出专项资金的安排建议</w:t>
      </w:r>
    </w:p>
    <w:p w14:paraId="21C2536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（二）实施目的及支持方向。</w:t>
      </w:r>
    </w:p>
    <w:p w14:paraId="559E159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为规范和加强专项资金分配、使用和管理，提高财政资金使用效益，根据《中华人民共和国预算法》等有关规定，按照有关规定执行。</w:t>
      </w:r>
    </w:p>
    <w:p w14:paraId="2ACA7F3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（三）预算安排及分配管理。</w:t>
      </w:r>
    </w:p>
    <w:p w14:paraId="50075A8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按照中央关于“坚决打好防范华解重大风险攻坚战”与深化预算改革相关要求，以“保运转、保民生、保重点、优结构、防风险”为主要目标，大力提高预算编制质量和精细化程度。加强支出进度管理，完善预算动态监控，主动作为，提前谋划，在完成一般性支出压减任务的情况下，确保了机关运行和重大项目的实施，无违规记录等情况。</w:t>
      </w:r>
    </w:p>
    <w:p w14:paraId="1B0445D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（四）项目绩效目标设置。</w:t>
      </w:r>
    </w:p>
    <w:p w14:paraId="1EB290F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项目经费支出由各股室负责人提议，交局务会讨论决定施行。具体流程为：对口业务股室对项目实施专项资金的使用范围进行认定，并对资金金额进行初审，分管领导复审，主要领导终审后由财务人员进行申报、办理，并按照相关资金使用原则，落实监管责任，定期或不定期对项目资金的使用管理情况进行检查，及时发现和纠正有关问题，确保专款专用。</w:t>
      </w:r>
    </w:p>
    <w:p w14:paraId="09D3651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二、评价实施</w:t>
      </w:r>
    </w:p>
    <w:p w14:paraId="2C99574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（一）评价目的。</w:t>
      </w:r>
    </w:p>
    <w:p w14:paraId="2CB6955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通过项目绩效自评要实现资金专款专用，合理合规使用资金。</w:t>
      </w:r>
    </w:p>
    <w:p w14:paraId="0FB8D0E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（二）预设问题及评价重点。</w:t>
      </w:r>
    </w:p>
    <w:p w14:paraId="6940CCE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2025年度资金分配遵循以下原则：一是突出支持重点，优先安排符合国家宏观政策、专款专用等特点。项目绩效目标设置是否科学合理；项目制度办法是否体系健全、要素完备；管资金、项目、政策是否管绩效，项目绩效监管是否按要求开展；项目资金财政拨付、单位执行和地方配套到位情况；资金使用拨付、项目实施是否符合规定。项目是否完成预期目标，实施结果是否与绩效目标相匹配，反映目标实现程度；项目实际完成时间与计划完成时间的比较。</w:t>
      </w:r>
    </w:p>
    <w:p w14:paraId="64AE3AD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（三）评价选点。</w:t>
      </w:r>
    </w:p>
    <w:p w14:paraId="2BF57B1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项目绩效自评所抽样点位情况。按照要求，并结合我局2025年开展绩效自评工作。</w:t>
      </w:r>
    </w:p>
    <w:p w14:paraId="255B4DC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（四）评价方法。</w:t>
      </w:r>
    </w:p>
    <w:p w14:paraId="1632A88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采用单位自评法等方法，开展2025年度资金项目绩效自评。</w:t>
      </w:r>
    </w:p>
    <w:p w14:paraId="41D77F5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（五）评价组织。</w:t>
      </w:r>
    </w:p>
    <w:p w14:paraId="45E1084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本次评价由沐川县退役军人事务局负责组织具体实施。</w:t>
      </w:r>
    </w:p>
    <w:p w14:paraId="2BAD8B2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三、绩效分析</w:t>
      </w:r>
      <w:r>
        <w:rPr>
          <w:rFonts w:hint="eastAsia" w:ascii="Times New Roman" w:hAnsi="Times New Roman" w:eastAsia="仿宋_GB2312" w:cs="仿宋_GB2312"/>
          <w:b w:val="0"/>
          <w:bCs w:val="0"/>
          <w:kern w:val="0"/>
          <w:position w:val="0"/>
          <w:sz w:val="32"/>
          <w:szCs w:val="32"/>
          <w:highlight w:val="none"/>
          <w:lang w:val="en-US" w:eastAsia="zh-CN" w:bidi="ar-SA"/>
        </w:rPr>
        <w:tab/>
      </w:r>
    </w:p>
    <w:p w14:paraId="182796D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根据项目预算绩效评价指标体系“通用指标”“专用指标”“个性指标”涉及二、三级指标进行逐项绩效分析并评分。</w:t>
      </w:r>
    </w:p>
    <w:p w14:paraId="0B311F9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（一）通用指标绩效分析。</w:t>
      </w:r>
    </w:p>
    <w:p w14:paraId="2ADD14B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 xml:space="preserve">    1.项目决策。根据《中华人民共和国预算法》《财政部关于全面推进行政事业单位内部控制建设的指导意见》《四川省人民政府关于进一步加强财政资金管理的规定》《四川省省级财政性资金管理决策程序规定》等规定，结合工作实际，财政性资金和项目管理决策遵循依法合规、分类分层、注重绩效、公开透明的原则。</w:t>
      </w:r>
    </w:p>
    <w:p w14:paraId="757C3E1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2.项目管理。根据《省对下专项转移支付管理办法》（川财预〔2017〕41号）等要求，定期组织对申报项目开展评审，对评审通过的拟入库项目开展会审，通过后准予项目入库。</w:t>
      </w:r>
    </w:p>
    <w:p w14:paraId="5811785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3.项目实施。围绕预算执行、资金使用进行绩效分析,符合相关规定要求。</w:t>
      </w:r>
    </w:p>
    <w:p w14:paraId="6935886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 xml:space="preserve">    4.项目结果。2025年度，各项目实施单位能按照相关规定和管理办法执行，建立相应的财务和内控管理制度，会计核算基本规范，账务处理基本及时，未发现挤占、截留和挪用情况。定期和不定期地对专项资金进行检查，确保资金安全，专款专用，防止挤占、截留和挪用。</w:t>
      </w:r>
    </w:p>
    <w:p w14:paraId="0582D13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 xml:space="preserve">   （二）专用指标绩效分析。</w:t>
      </w:r>
    </w:p>
    <w:p w14:paraId="7EDC756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 民生保障。民生保障资金，专款专用，使用合规合理，不乱用。</w:t>
      </w:r>
    </w:p>
    <w:p w14:paraId="025C1E8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 行政运转。行政运转资金用途合规性、程序合规性、标准合规性。</w:t>
      </w:r>
    </w:p>
    <w:p w14:paraId="535B367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3．群众满意度。根据项目受益群众满意度调查情况统计，满意度100%。</w:t>
      </w:r>
    </w:p>
    <w:p w14:paraId="70351D4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（三）个性指标绩效分析。</w:t>
      </w:r>
    </w:p>
    <w:p w14:paraId="2C5B1BF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根据项目个性自行设定部分指标，反映该项指标执行完成情况。</w:t>
      </w:r>
    </w:p>
    <w:p w14:paraId="01DFEC1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四、评价结论</w:t>
      </w:r>
    </w:p>
    <w:p w14:paraId="2C74D4F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总体而言，2025年度沐川县退役军人事务局相关项目决策较科学合理、项目管理较规范到位、项目完成质量较高、运行保障有力。</w:t>
      </w:r>
    </w:p>
    <w:p w14:paraId="70EEC1B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五、存在主要问题</w:t>
      </w:r>
    </w:p>
    <w:p w14:paraId="5BB8A59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专项资金执行率不高。2024年专项资金预算执行率个别未达到95%以上，资金执行率不高。主要原因为：个别专项资金分配程序较多、资金到位时间较长，在支付时优先使用县级资金。</w:t>
      </w:r>
    </w:p>
    <w:p w14:paraId="6CA4454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六、改进建议</w:t>
      </w:r>
    </w:p>
    <w:p w14:paraId="2EF0801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 xml:space="preserve">    </w:t>
      </w:r>
      <w:bookmarkStart w:id="47" w:name="_Hlk110546638"/>
      <w:r>
        <w:rPr>
          <w:rFonts w:hint="eastAsia" w:ascii="Times New Roman" w:hAnsi="Times New Roman" w:eastAsia="仿宋_GB2312" w:cs="仿宋_GB2312"/>
          <w:b w:val="0"/>
          <w:bCs w:val="0"/>
          <w:kern w:val="0"/>
          <w:position w:val="0"/>
          <w:sz w:val="32"/>
          <w:szCs w:val="32"/>
          <w:highlight w:val="none"/>
          <w:lang w:val="en-US" w:eastAsia="zh-CN" w:bidi="ar-SA"/>
        </w:rPr>
        <w:t>持续加强资金项目监管，切实提升资金使用质效。强化对项目的日常监督，提高资金使用效率和效益。不断提高项目过程管理水平，着力加快项目实施进度。</w:t>
      </w:r>
    </w:p>
    <w:bookmarkEnd w:id="47"/>
    <w:p w14:paraId="295859A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6D66506B">
      <w:pPr>
        <w:pStyle w:val="5"/>
        <w:spacing w:before="101" w:line="418" w:lineRule="exact"/>
        <w:ind w:left="690"/>
        <w:rPr>
          <w:rFonts w:hint="eastAsia" w:eastAsia="方正小标宋_GBK"/>
          <w:sz w:val="40"/>
          <w:szCs w:val="40"/>
        </w:rPr>
      </w:pPr>
      <w:r>
        <w:rPr>
          <w:spacing w:val="7"/>
          <w:position w:val="1"/>
        </w:rPr>
        <w:t>附表：部门预算项目支出绩效自评表（</w:t>
      </w:r>
      <w:r>
        <w:rPr>
          <w:rFonts w:ascii="Times New Roman" w:hAnsi="Times New Roman" w:eastAsia="Times New Roman" w:cs="Times New Roman"/>
          <w:spacing w:val="7"/>
          <w:position w:val="1"/>
        </w:rPr>
        <w:t xml:space="preserve">2024 </w:t>
      </w:r>
      <w:r>
        <w:rPr>
          <w:spacing w:val="7"/>
          <w:position w:val="1"/>
        </w:rPr>
        <w:t>年度）</w:t>
      </w:r>
    </w:p>
    <w:p w14:paraId="7185FB85">
      <w:pPr>
        <w:spacing w:line="578" w:lineRule="exact"/>
        <w:jc w:val="center"/>
        <w:rPr>
          <w:rFonts w:eastAsia="方正小标宋_GBK"/>
          <w:sz w:val="40"/>
          <w:szCs w:val="40"/>
        </w:rPr>
      </w:pPr>
      <w:r>
        <w:rPr>
          <w:rFonts w:hint="eastAsia" w:eastAsia="方正小标宋_GBK"/>
          <w:sz w:val="40"/>
          <w:szCs w:val="40"/>
          <w:lang w:eastAsia="zh-CN"/>
        </w:rPr>
        <w:t>总门</w:t>
      </w:r>
      <w:r>
        <w:rPr>
          <w:rFonts w:eastAsia="方正小标宋_GBK"/>
          <w:sz w:val="40"/>
          <w:szCs w:val="40"/>
        </w:rPr>
        <w:t>预算绩效自评打分表</w:t>
      </w:r>
    </w:p>
    <w:tbl>
      <w:tblPr>
        <w:tblStyle w:val="15"/>
        <w:tblW w:w="10901" w:type="dxa"/>
        <w:jc w:val="center"/>
        <w:tblLayout w:type="fixed"/>
        <w:tblCellMar>
          <w:top w:w="0" w:type="dxa"/>
          <w:left w:w="108" w:type="dxa"/>
          <w:bottom w:w="0" w:type="dxa"/>
          <w:right w:w="108" w:type="dxa"/>
        </w:tblCellMar>
      </w:tblPr>
      <w:tblGrid>
        <w:gridCol w:w="96"/>
        <w:gridCol w:w="624"/>
        <w:gridCol w:w="28"/>
        <w:gridCol w:w="737"/>
        <w:gridCol w:w="344"/>
        <w:gridCol w:w="481"/>
        <w:gridCol w:w="769"/>
        <w:gridCol w:w="586"/>
        <w:gridCol w:w="696"/>
        <w:gridCol w:w="30"/>
        <w:gridCol w:w="1127"/>
        <w:gridCol w:w="971"/>
        <w:gridCol w:w="1061"/>
        <w:gridCol w:w="938"/>
        <w:gridCol w:w="1213"/>
        <w:gridCol w:w="628"/>
        <w:gridCol w:w="104"/>
        <w:gridCol w:w="468"/>
      </w:tblGrid>
      <w:tr w14:paraId="229ADBFE">
        <w:tblPrEx>
          <w:tblCellMar>
            <w:top w:w="0" w:type="dxa"/>
            <w:left w:w="108" w:type="dxa"/>
            <w:bottom w:w="0" w:type="dxa"/>
            <w:right w:w="108" w:type="dxa"/>
          </w:tblCellMar>
        </w:tblPrEx>
        <w:trPr>
          <w:wBefore w:w="0" w:type="auto"/>
          <w:trHeight w:val="23" w:hRule="atLeast"/>
          <w:jc w:val="center"/>
        </w:trPr>
        <w:tc>
          <w:tcPr>
            <w:tcW w:w="4361" w:type="dxa"/>
            <w:gridSpan w:val="9"/>
            <w:tcBorders>
              <w:top w:val="single" w:color="000000" w:sz="4" w:space="0"/>
              <w:left w:val="single" w:color="000000" w:sz="4" w:space="0"/>
              <w:bottom w:val="nil"/>
              <w:right w:val="nil"/>
            </w:tcBorders>
            <w:noWrap w:val="0"/>
            <w:vAlign w:val="center"/>
          </w:tcPr>
          <w:p w14:paraId="4B388A63">
            <w:pPr>
              <w:widowControl/>
              <w:spacing w:line="240" w:lineRule="exact"/>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绩效评价指标</w:t>
            </w:r>
          </w:p>
        </w:tc>
        <w:tc>
          <w:tcPr>
            <w:tcW w:w="5340" w:type="dxa"/>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55FDED51">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指标解释</w:t>
            </w:r>
          </w:p>
        </w:tc>
        <w:tc>
          <w:tcPr>
            <w:tcW w:w="732" w:type="dxa"/>
            <w:gridSpan w:val="2"/>
            <w:vMerge w:val="restart"/>
            <w:tcBorders>
              <w:top w:val="single" w:color="000000" w:sz="4" w:space="0"/>
              <w:left w:val="single" w:color="000000" w:sz="4" w:space="0"/>
              <w:right w:val="single" w:color="000000" w:sz="4" w:space="0"/>
            </w:tcBorders>
            <w:noWrap w:val="0"/>
            <w:vAlign w:val="center"/>
          </w:tcPr>
          <w:p w14:paraId="36F0A7AD">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14:paraId="1C6F8457">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备注</w:t>
            </w:r>
          </w:p>
        </w:tc>
      </w:tr>
      <w:tr w14:paraId="4BE6C435">
        <w:tblPrEx>
          <w:tblCellMar>
            <w:top w:w="0" w:type="dxa"/>
            <w:left w:w="108" w:type="dxa"/>
            <w:bottom w:w="0" w:type="dxa"/>
            <w:right w:w="108" w:type="dxa"/>
          </w:tblCellMar>
        </w:tblPrEx>
        <w:trPr>
          <w:wBefore w:w="0" w:type="auto"/>
          <w:trHeight w:val="23" w:hRule="atLeast"/>
          <w:jc w:val="center"/>
        </w:trPr>
        <w:tc>
          <w:tcPr>
            <w:tcW w:w="720" w:type="dxa"/>
            <w:gridSpan w:val="2"/>
            <w:tcBorders>
              <w:top w:val="single" w:color="000000" w:sz="4" w:space="0"/>
              <w:left w:val="single" w:color="000000" w:sz="4" w:space="0"/>
              <w:bottom w:val="single" w:color="000000" w:sz="4" w:space="0"/>
              <w:right w:val="single" w:color="000000" w:sz="4" w:space="0"/>
            </w:tcBorders>
            <w:noWrap w:val="0"/>
            <w:vAlign w:val="center"/>
          </w:tcPr>
          <w:p w14:paraId="3CC13FF3">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一级指标</w:t>
            </w:r>
          </w:p>
        </w:tc>
        <w:tc>
          <w:tcPr>
            <w:tcW w:w="1590" w:type="dxa"/>
            <w:gridSpan w:val="4"/>
            <w:tcBorders>
              <w:top w:val="single" w:color="000000" w:sz="4" w:space="0"/>
              <w:left w:val="single" w:color="000000" w:sz="4" w:space="0"/>
              <w:bottom w:val="single" w:color="000000" w:sz="4" w:space="0"/>
              <w:right w:val="single" w:color="000000" w:sz="4" w:space="0"/>
            </w:tcBorders>
            <w:noWrap w:val="0"/>
            <w:vAlign w:val="center"/>
          </w:tcPr>
          <w:p w14:paraId="4D145E66">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二级指标</w:t>
            </w:r>
          </w:p>
        </w:tc>
        <w:tc>
          <w:tcPr>
            <w:tcW w:w="1355" w:type="dxa"/>
            <w:gridSpan w:val="2"/>
            <w:tcBorders>
              <w:top w:val="single" w:color="000000" w:sz="4" w:space="0"/>
              <w:left w:val="single" w:color="000000" w:sz="4" w:space="0"/>
              <w:bottom w:val="single" w:color="000000" w:sz="4" w:space="0"/>
              <w:right w:val="single" w:color="000000" w:sz="4" w:space="0"/>
            </w:tcBorders>
            <w:noWrap w:val="0"/>
            <w:vAlign w:val="center"/>
          </w:tcPr>
          <w:p w14:paraId="784BB92D">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C5F16A9">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w:t>
            </w:r>
            <w:r>
              <w:rPr>
                <w:rFonts w:hint="eastAsia" w:ascii="黑体" w:hAnsi="宋体" w:eastAsia="黑体" w:cs="黑体"/>
                <w:color w:val="000000"/>
                <w:kern w:val="0"/>
                <w:sz w:val="24"/>
                <w:szCs w:val="24"/>
                <w:lang w:bidi="ar"/>
              </w:rPr>
              <w:br w:type="textWrapping"/>
            </w:r>
            <w:r>
              <w:rPr>
                <w:rFonts w:hint="eastAsia" w:ascii="黑体" w:hAnsi="宋体" w:eastAsia="黑体" w:cs="黑体"/>
                <w:color w:val="000000"/>
                <w:kern w:val="0"/>
                <w:sz w:val="24"/>
                <w:szCs w:val="24"/>
                <w:lang w:bidi="ar"/>
              </w:rPr>
              <w:t>分值</w:t>
            </w:r>
          </w:p>
        </w:tc>
        <w:tc>
          <w:tcPr>
            <w:tcW w:w="5340" w:type="dxa"/>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5D682E32">
            <w:pPr>
              <w:widowControl/>
              <w:spacing w:line="240" w:lineRule="exact"/>
              <w:jc w:val="center"/>
              <w:rPr>
                <w:rFonts w:hint="eastAsia" w:ascii="黑体" w:hAnsi="宋体" w:eastAsia="黑体" w:cs="黑体"/>
                <w:color w:val="000000"/>
                <w:sz w:val="24"/>
                <w:szCs w:val="24"/>
              </w:rPr>
            </w:pPr>
          </w:p>
        </w:tc>
        <w:tc>
          <w:tcPr>
            <w:tcW w:w="732" w:type="dxa"/>
            <w:gridSpan w:val="2"/>
            <w:vMerge w:val="continue"/>
            <w:tcBorders>
              <w:left w:val="single" w:color="000000" w:sz="4" w:space="0"/>
              <w:bottom w:val="single" w:color="000000" w:sz="4" w:space="0"/>
              <w:right w:val="single" w:color="000000" w:sz="4" w:space="0"/>
            </w:tcBorders>
            <w:noWrap w:val="0"/>
            <w:vAlign w:val="center"/>
          </w:tcPr>
          <w:p w14:paraId="151EE618">
            <w:pPr>
              <w:widowControl/>
              <w:spacing w:line="240" w:lineRule="exact"/>
              <w:jc w:val="center"/>
              <w:rPr>
                <w:rFonts w:hint="eastAsia" w:ascii="黑体" w:hAnsi="宋体" w:eastAsia="黑体" w:cs="黑体"/>
                <w:color w:val="000000"/>
                <w:sz w:val="24"/>
                <w:szCs w:val="24"/>
              </w:rPr>
            </w:pPr>
          </w:p>
        </w:tc>
        <w:tc>
          <w:tcPr>
            <w:tcW w:w="468" w:type="dxa"/>
            <w:vMerge w:val="continue"/>
            <w:tcBorders>
              <w:left w:val="single" w:color="000000" w:sz="4" w:space="0"/>
              <w:bottom w:val="single" w:color="000000" w:sz="4" w:space="0"/>
              <w:right w:val="single" w:color="000000" w:sz="4" w:space="0"/>
            </w:tcBorders>
            <w:noWrap w:val="0"/>
            <w:vAlign w:val="center"/>
          </w:tcPr>
          <w:p w14:paraId="24747C10">
            <w:pPr>
              <w:widowControl/>
              <w:spacing w:line="240" w:lineRule="exact"/>
              <w:jc w:val="center"/>
              <w:rPr>
                <w:rFonts w:hint="eastAsia" w:ascii="黑体" w:hAnsi="宋体" w:eastAsia="黑体" w:cs="黑体"/>
                <w:color w:val="000000"/>
                <w:sz w:val="24"/>
                <w:szCs w:val="24"/>
              </w:rPr>
            </w:pPr>
          </w:p>
        </w:tc>
      </w:tr>
      <w:tr w14:paraId="36DFCC0F">
        <w:tblPrEx>
          <w:tblCellMar>
            <w:top w:w="0" w:type="dxa"/>
            <w:left w:w="108" w:type="dxa"/>
            <w:bottom w:w="0" w:type="dxa"/>
            <w:right w:w="108" w:type="dxa"/>
          </w:tblCellMar>
        </w:tblPrEx>
        <w:trPr>
          <w:wBefore w:w="0" w:type="auto"/>
          <w:trHeight w:val="23" w:hRule="atLeast"/>
          <w:jc w:val="center"/>
        </w:trPr>
        <w:tc>
          <w:tcPr>
            <w:tcW w:w="72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CDEC967">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通用指标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（54分）</w:t>
            </w:r>
          </w:p>
        </w:tc>
        <w:tc>
          <w:tcPr>
            <w:tcW w:w="1590" w:type="dxa"/>
            <w:gridSpan w:val="4"/>
            <w:vMerge w:val="restart"/>
            <w:tcBorders>
              <w:top w:val="single" w:color="000000" w:sz="4" w:space="0"/>
              <w:left w:val="single" w:color="000000" w:sz="4" w:space="0"/>
              <w:bottom w:val="single" w:color="000000" w:sz="4" w:space="0"/>
              <w:right w:val="single" w:color="000000" w:sz="4" w:space="0"/>
            </w:tcBorders>
            <w:noWrap w:val="0"/>
            <w:vAlign w:val="center"/>
          </w:tcPr>
          <w:p w14:paraId="36994BE2">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项目决策</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gridSpan w:val="2"/>
            <w:tcBorders>
              <w:top w:val="single" w:color="000000" w:sz="4" w:space="0"/>
              <w:left w:val="single" w:color="000000" w:sz="4" w:space="0"/>
              <w:bottom w:val="single" w:color="000000" w:sz="4" w:space="0"/>
              <w:right w:val="single" w:color="000000" w:sz="4" w:space="0"/>
            </w:tcBorders>
            <w:noWrap w:val="0"/>
            <w:vAlign w:val="center"/>
          </w:tcPr>
          <w:p w14:paraId="48AA8E88">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C61AF82">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gridSpan w:val="6"/>
            <w:tcBorders>
              <w:top w:val="single" w:color="000000" w:sz="4" w:space="0"/>
              <w:left w:val="single" w:color="000000" w:sz="4" w:space="0"/>
              <w:bottom w:val="single" w:color="000000" w:sz="4" w:space="0"/>
              <w:right w:val="single" w:color="000000" w:sz="4" w:space="0"/>
            </w:tcBorders>
            <w:noWrap w:val="0"/>
            <w:vAlign w:val="center"/>
          </w:tcPr>
          <w:p w14:paraId="03FB82FF">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项目决策程序是否严密</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08AEE763">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5E06F67">
            <w:pPr>
              <w:widowControl/>
              <w:spacing w:line="240" w:lineRule="exact"/>
              <w:jc w:val="left"/>
              <w:textAlignment w:val="center"/>
              <w:rPr>
                <w:rFonts w:hint="eastAsia" w:ascii="宋体" w:hAnsi="宋体" w:eastAsia="宋体" w:cs="宋体"/>
                <w:color w:val="000000"/>
                <w:kern w:val="0"/>
                <w:sz w:val="24"/>
                <w:szCs w:val="24"/>
                <w:lang w:bidi="ar"/>
              </w:rPr>
            </w:pPr>
          </w:p>
        </w:tc>
      </w:tr>
      <w:tr w14:paraId="2BA84434">
        <w:tblPrEx>
          <w:tblCellMar>
            <w:top w:w="0" w:type="dxa"/>
            <w:left w:w="108" w:type="dxa"/>
            <w:bottom w:w="0" w:type="dxa"/>
            <w:right w:w="108" w:type="dxa"/>
          </w:tblCellMar>
        </w:tblPrEx>
        <w:trPr>
          <w:wBefore w:w="0" w:type="auto"/>
          <w:trHeight w:val="23" w:hRule="atLeast"/>
          <w:jc w:val="center"/>
        </w:trPr>
        <w:tc>
          <w:tcPr>
            <w:tcW w:w="72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122555">
            <w:pPr>
              <w:widowControl/>
              <w:spacing w:line="240" w:lineRule="exact"/>
              <w:jc w:val="center"/>
              <w:rPr>
                <w:rFonts w:hint="eastAsia" w:ascii="宋体" w:hAnsi="宋体" w:eastAsia="宋体" w:cs="宋体"/>
                <w:b/>
                <w:color w:val="000000"/>
                <w:sz w:val="24"/>
                <w:szCs w:val="24"/>
              </w:rPr>
            </w:pPr>
          </w:p>
        </w:tc>
        <w:tc>
          <w:tcPr>
            <w:tcW w:w="1590" w:type="dxa"/>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21C0C74F">
            <w:pPr>
              <w:widowControl/>
              <w:spacing w:line="240" w:lineRule="exact"/>
              <w:jc w:val="center"/>
              <w:rPr>
                <w:rFonts w:hint="eastAsia" w:ascii="宋体" w:hAnsi="宋体" w:eastAsia="宋体" w:cs="宋体"/>
                <w:b/>
                <w:color w:val="000000"/>
                <w:sz w:val="24"/>
                <w:szCs w:val="24"/>
              </w:rPr>
            </w:pPr>
          </w:p>
        </w:tc>
        <w:tc>
          <w:tcPr>
            <w:tcW w:w="1355" w:type="dxa"/>
            <w:gridSpan w:val="2"/>
            <w:tcBorders>
              <w:top w:val="single" w:color="000000" w:sz="4" w:space="0"/>
              <w:left w:val="single" w:color="000000" w:sz="4" w:space="0"/>
              <w:bottom w:val="single" w:color="000000" w:sz="4" w:space="0"/>
              <w:right w:val="single" w:color="000000" w:sz="4" w:space="0"/>
            </w:tcBorders>
            <w:noWrap w:val="0"/>
            <w:vAlign w:val="center"/>
          </w:tcPr>
          <w:p w14:paraId="13AD74AB">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FA2E25E">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gridSpan w:val="6"/>
            <w:tcBorders>
              <w:top w:val="single" w:color="000000" w:sz="4" w:space="0"/>
              <w:left w:val="single" w:color="000000" w:sz="4" w:space="0"/>
              <w:bottom w:val="single" w:color="000000" w:sz="4" w:space="0"/>
              <w:right w:val="single" w:color="000000" w:sz="4" w:space="0"/>
            </w:tcBorders>
            <w:noWrap w:val="0"/>
            <w:vAlign w:val="center"/>
          </w:tcPr>
          <w:p w14:paraId="76EE3F31">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项目规划论证是否符合中省要求，项目绩效目标设置是否科学合理</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2B4D1940">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410D197">
            <w:pPr>
              <w:widowControl/>
              <w:spacing w:line="240" w:lineRule="exact"/>
              <w:jc w:val="left"/>
              <w:textAlignment w:val="center"/>
              <w:rPr>
                <w:rFonts w:hint="eastAsia" w:ascii="宋体" w:hAnsi="宋体" w:eastAsia="宋体" w:cs="宋体"/>
                <w:color w:val="000000"/>
                <w:kern w:val="0"/>
                <w:sz w:val="24"/>
                <w:szCs w:val="24"/>
                <w:lang w:bidi="ar"/>
              </w:rPr>
            </w:pPr>
          </w:p>
        </w:tc>
      </w:tr>
      <w:tr w14:paraId="509C6B4E">
        <w:tblPrEx>
          <w:tblCellMar>
            <w:top w:w="0" w:type="dxa"/>
            <w:left w:w="108" w:type="dxa"/>
            <w:bottom w:w="0" w:type="dxa"/>
            <w:right w:w="108" w:type="dxa"/>
          </w:tblCellMar>
        </w:tblPrEx>
        <w:trPr>
          <w:wBefore w:w="0" w:type="auto"/>
          <w:trHeight w:val="23" w:hRule="atLeast"/>
          <w:jc w:val="center"/>
        </w:trPr>
        <w:tc>
          <w:tcPr>
            <w:tcW w:w="72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2D62CE">
            <w:pPr>
              <w:widowControl/>
              <w:spacing w:line="240" w:lineRule="exact"/>
              <w:jc w:val="center"/>
              <w:rPr>
                <w:rFonts w:hint="eastAsia" w:ascii="宋体" w:hAnsi="宋体" w:eastAsia="宋体" w:cs="宋体"/>
                <w:b/>
                <w:color w:val="000000"/>
                <w:sz w:val="24"/>
                <w:szCs w:val="24"/>
              </w:rPr>
            </w:pPr>
          </w:p>
        </w:tc>
        <w:tc>
          <w:tcPr>
            <w:tcW w:w="1590" w:type="dxa"/>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797545C7">
            <w:pPr>
              <w:widowControl/>
              <w:spacing w:line="240" w:lineRule="exact"/>
              <w:jc w:val="center"/>
              <w:rPr>
                <w:rFonts w:hint="eastAsia" w:ascii="宋体" w:hAnsi="宋体" w:eastAsia="宋体" w:cs="宋体"/>
                <w:b/>
                <w:color w:val="000000"/>
                <w:sz w:val="24"/>
                <w:szCs w:val="24"/>
              </w:rPr>
            </w:pPr>
          </w:p>
        </w:tc>
        <w:tc>
          <w:tcPr>
            <w:tcW w:w="1355" w:type="dxa"/>
            <w:gridSpan w:val="2"/>
            <w:tcBorders>
              <w:top w:val="single" w:color="000000" w:sz="4" w:space="0"/>
              <w:left w:val="single" w:color="000000" w:sz="4" w:space="0"/>
              <w:bottom w:val="single" w:color="000000" w:sz="4" w:space="0"/>
              <w:right w:val="single" w:color="000000" w:sz="4" w:space="0"/>
            </w:tcBorders>
            <w:noWrap w:val="0"/>
            <w:vAlign w:val="center"/>
          </w:tcPr>
          <w:p w14:paraId="40B5A725">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40A65AD">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gridSpan w:val="6"/>
            <w:tcBorders>
              <w:top w:val="single" w:color="000000" w:sz="4" w:space="0"/>
              <w:left w:val="single" w:color="000000" w:sz="4" w:space="0"/>
              <w:bottom w:val="single" w:color="000000" w:sz="4" w:space="0"/>
              <w:right w:val="single" w:color="000000" w:sz="4" w:space="0"/>
            </w:tcBorders>
            <w:noWrap w:val="0"/>
            <w:vAlign w:val="center"/>
          </w:tcPr>
          <w:p w14:paraId="15379674">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项目资金是否与项目总体规划、相关行业事业发展相匹配，是否聚焦重大任务、重点领域、重点环节和重点项目</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527CB9D3">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9655FCE">
            <w:pPr>
              <w:widowControl/>
              <w:spacing w:line="240" w:lineRule="exact"/>
              <w:jc w:val="left"/>
              <w:textAlignment w:val="center"/>
              <w:rPr>
                <w:rFonts w:hint="eastAsia" w:ascii="宋体" w:hAnsi="宋体" w:eastAsia="宋体" w:cs="宋体"/>
                <w:color w:val="000000"/>
                <w:kern w:val="0"/>
                <w:sz w:val="24"/>
                <w:szCs w:val="24"/>
                <w:lang w:bidi="ar"/>
              </w:rPr>
            </w:pPr>
          </w:p>
        </w:tc>
      </w:tr>
      <w:tr w14:paraId="3AFF696B">
        <w:tblPrEx>
          <w:tblCellMar>
            <w:top w:w="0" w:type="dxa"/>
            <w:left w:w="108" w:type="dxa"/>
            <w:bottom w:w="0" w:type="dxa"/>
            <w:right w:w="108" w:type="dxa"/>
          </w:tblCellMar>
        </w:tblPrEx>
        <w:trPr>
          <w:wBefore w:w="0" w:type="auto"/>
          <w:trHeight w:val="23" w:hRule="atLeast"/>
          <w:jc w:val="center"/>
        </w:trPr>
        <w:tc>
          <w:tcPr>
            <w:tcW w:w="72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0EBBB1">
            <w:pPr>
              <w:widowControl/>
              <w:spacing w:line="240" w:lineRule="exact"/>
              <w:jc w:val="center"/>
              <w:rPr>
                <w:rFonts w:hint="eastAsia" w:ascii="宋体" w:hAnsi="宋体" w:eastAsia="宋体" w:cs="宋体"/>
                <w:b/>
                <w:color w:val="000000"/>
                <w:sz w:val="24"/>
                <w:szCs w:val="24"/>
              </w:rPr>
            </w:pPr>
          </w:p>
        </w:tc>
        <w:tc>
          <w:tcPr>
            <w:tcW w:w="1590" w:type="dxa"/>
            <w:gridSpan w:val="4"/>
            <w:vMerge w:val="restart"/>
            <w:tcBorders>
              <w:top w:val="single" w:color="000000" w:sz="4" w:space="0"/>
              <w:left w:val="single" w:color="000000" w:sz="4" w:space="0"/>
              <w:bottom w:val="single" w:color="000000" w:sz="4" w:space="0"/>
              <w:right w:val="single" w:color="000000" w:sz="4" w:space="0"/>
            </w:tcBorders>
            <w:noWrap w:val="0"/>
            <w:vAlign w:val="center"/>
          </w:tcPr>
          <w:p w14:paraId="6319ED19">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项目管理</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gridSpan w:val="2"/>
            <w:tcBorders>
              <w:top w:val="single" w:color="000000" w:sz="4" w:space="0"/>
              <w:left w:val="single" w:color="000000" w:sz="4" w:space="0"/>
              <w:bottom w:val="single" w:color="000000" w:sz="4" w:space="0"/>
              <w:right w:val="single" w:color="000000" w:sz="4" w:space="0"/>
            </w:tcBorders>
            <w:noWrap w:val="0"/>
            <w:vAlign w:val="center"/>
          </w:tcPr>
          <w:p w14:paraId="1A67CDDC">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EE1A460">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5340" w:type="dxa"/>
            <w:gridSpan w:val="6"/>
            <w:tcBorders>
              <w:top w:val="single" w:color="000000" w:sz="4" w:space="0"/>
              <w:left w:val="single" w:color="000000" w:sz="4" w:space="0"/>
              <w:bottom w:val="single" w:color="000000" w:sz="4" w:space="0"/>
              <w:right w:val="single" w:color="000000" w:sz="4" w:space="0"/>
            </w:tcBorders>
            <w:noWrap w:val="0"/>
            <w:vAlign w:val="center"/>
          </w:tcPr>
          <w:p w14:paraId="654A6FD8">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项目制度办法是否体系健全、要素完备</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4379FF10">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108F612">
            <w:pPr>
              <w:widowControl/>
              <w:spacing w:line="240" w:lineRule="exact"/>
              <w:jc w:val="left"/>
              <w:textAlignment w:val="center"/>
              <w:rPr>
                <w:rFonts w:hint="eastAsia" w:ascii="宋体" w:hAnsi="宋体" w:eastAsia="宋体" w:cs="宋体"/>
                <w:color w:val="000000"/>
                <w:kern w:val="0"/>
                <w:sz w:val="24"/>
                <w:szCs w:val="24"/>
                <w:lang w:bidi="ar"/>
              </w:rPr>
            </w:pPr>
          </w:p>
        </w:tc>
      </w:tr>
      <w:tr w14:paraId="50785235">
        <w:tblPrEx>
          <w:tblCellMar>
            <w:top w:w="0" w:type="dxa"/>
            <w:left w:w="108" w:type="dxa"/>
            <w:bottom w:w="0" w:type="dxa"/>
            <w:right w:w="108" w:type="dxa"/>
          </w:tblCellMar>
        </w:tblPrEx>
        <w:trPr>
          <w:wBefore w:w="0" w:type="auto"/>
          <w:trHeight w:val="23" w:hRule="atLeast"/>
          <w:jc w:val="center"/>
        </w:trPr>
        <w:tc>
          <w:tcPr>
            <w:tcW w:w="72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EB620F">
            <w:pPr>
              <w:widowControl/>
              <w:spacing w:line="240" w:lineRule="exact"/>
              <w:jc w:val="center"/>
              <w:rPr>
                <w:rFonts w:hint="eastAsia" w:ascii="宋体" w:hAnsi="宋体" w:eastAsia="宋体" w:cs="宋体"/>
                <w:b/>
                <w:color w:val="000000"/>
                <w:sz w:val="24"/>
                <w:szCs w:val="24"/>
              </w:rPr>
            </w:pPr>
          </w:p>
        </w:tc>
        <w:tc>
          <w:tcPr>
            <w:tcW w:w="1590" w:type="dxa"/>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72002FB9">
            <w:pPr>
              <w:widowControl/>
              <w:spacing w:line="240" w:lineRule="exact"/>
              <w:jc w:val="center"/>
              <w:rPr>
                <w:rFonts w:hint="eastAsia" w:ascii="宋体" w:hAnsi="宋体" w:eastAsia="宋体" w:cs="宋体"/>
                <w:b/>
                <w:color w:val="000000"/>
                <w:sz w:val="24"/>
                <w:szCs w:val="24"/>
              </w:rPr>
            </w:pPr>
          </w:p>
        </w:tc>
        <w:tc>
          <w:tcPr>
            <w:tcW w:w="1355" w:type="dxa"/>
            <w:gridSpan w:val="2"/>
            <w:tcBorders>
              <w:top w:val="single" w:color="000000" w:sz="4" w:space="0"/>
              <w:left w:val="single" w:color="000000" w:sz="4" w:space="0"/>
              <w:bottom w:val="single" w:color="000000" w:sz="4" w:space="0"/>
              <w:right w:val="single" w:color="000000" w:sz="4" w:space="0"/>
            </w:tcBorders>
            <w:noWrap w:val="0"/>
            <w:vAlign w:val="center"/>
          </w:tcPr>
          <w:p w14:paraId="08652FA7">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9E53344">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gridSpan w:val="6"/>
            <w:tcBorders>
              <w:top w:val="single" w:color="000000" w:sz="4" w:space="0"/>
              <w:left w:val="single" w:color="000000" w:sz="4" w:space="0"/>
              <w:bottom w:val="single" w:color="000000" w:sz="4" w:space="0"/>
              <w:right w:val="single" w:color="000000" w:sz="4" w:space="0"/>
            </w:tcBorders>
            <w:noWrap w:val="0"/>
            <w:vAlign w:val="center"/>
          </w:tcPr>
          <w:p w14:paraId="62CD88EC">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项目资金分配因素选取、权重设置、区域分布，项目管理、审批是否符合管理要求</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22E5FB84">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02345BA">
            <w:pPr>
              <w:widowControl/>
              <w:spacing w:line="240" w:lineRule="exact"/>
              <w:jc w:val="left"/>
              <w:textAlignment w:val="center"/>
              <w:rPr>
                <w:rFonts w:hint="eastAsia" w:ascii="宋体" w:hAnsi="宋体" w:eastAsia="宋体" w:cs="宋体"/>
                <w:color w:val="000000"/>
                <w:kern w:val="0"/>
                <w:sz w:val="24"/>
                <w:szCs w:val="24"/>
                <w:lang w:bidi="ar"/>
              </w:rPr>
            </w:pPr>
          </w:p>
        </w:tc>
      </w:tr>
      <w:tr w14:paraId="12BD38EF">
        <w:tblPrEx>
          <w:tblCellMar>
            <w:top w:w="0" w:type="dxa"/>
            <w:left w:w="108" w:type="dxa"/>
            <w:bottom w:w="0" w:type="dxa"/>
            <w:right w:w="108" w:type="dxa"/>
          </w:tblCellMar>
        </w:tblPrEx>
        <w:trPr>
          <w:wBefore w:w="0" w:type="auto"/>
          <w:trHeight w:val="23" w:hRule="atLeast"/>
          <w:jc w:val="center"/>
        </w:trPr>
        <w:tc>
          <w:tcPr>
            <w:tcW w:w="72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F1E92B">
            <w:pPr>
              <w:widowControl/>
              <w:spacing w:line="240" w:lineRule="exact"/>
              <w:jc w:val="center"/>
              <w:rPr>
                <w:rFonts w:hint="eastAsia" w:ascii="宋体" w:hAnsi="宋体" w:eastAsia="宋体" w:cs="宋体"/>
                <w:b/>
                <w:color w:val="000000"/>
                <w:sz w:val="24"/>
                <w:szCs w:val="24"/>
              </w:rPr>
            </w:pPr>
          </w:p>
        </w:tc>
        <w:tc>
          <w:tcPr>
            <w:tcW w:w="1590" w:type="dxa"/>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586775A8">
            <w:pPr>
              <w:widowControl/>
              <w:spacing w:line="240" w:lineRule="exact"/>
              <w:jc w:val="center"/>
              <w:rPr>
                <w:rFonts w:hint="eastAsia" w:ascii="宋体" w:hAnsi="宋体" w:eastAsia="宋体" w:cs="宋体"/>
                <w:b/>
                <w:color w:val="000000"/>
                <w:sz w:val="24"/>
                <w:szCs w:val="24"/>
              </w:rPr>
            </w:pPr>
          </w:p>
        </w:tc>
        <w:tc>
          <w:tcPr>
            <w:tcW w:w="1355" w:type="dxa"/>
            <w:gridSpan w:val="2"/>
            <w:tcBorders>
              <w:top w:val="single" w:color="000000" w:sz="4" w:space="0"/>
              <w:left w:val="single" w:color="000000" w:sz="4" w:space="0"/>
              <w:bottom w:val="single" w:color="000000" w:sz="4" w:space="0"/>
              <w:right w:val="single" w:color="000000" w:sz="4" w:space="0"/>
            </w:tcBorders>
            <w:noWrap w:val="0"/>
            <w:vAlign w:val="center"/>
          </w:tcPr>
          <w:p w14:paraId="3C11D23D">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83FBF48">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gridSpan w:val="6"/>
            <w:tcBorders>
              <w:top w:val="single" w:color="000000" w:sz="4" w:space="0"/>
              <w:left w:val="single" w:color="000000" w:sz="4" w:space="0"/>
              <w:bottom w:val="single" w:color="000000" w:sz="4" w:space="0"/>
              <w:right w:val="single" w:color="000000" w:sz="4" w:space="0"/>
            </w:tcBorders>
            <w:noWrap w:val="0"/>
            <w:vAlign w:val="center"/>
          </w:tcPr>
          <w:p w14:paraId="1F2B240A">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管资金、项目、政策是否管绩效，项目绩效监管是否按要求开展，对下指导是否有力有效</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42A8BAF5">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33F5332">
            <w:pPr>
              <w:widowControl/>
              <w:spacing w:line="240" w:lineRule="exact"/>
              <w:jc w:val="left"/>
              <w:textAlignment w:val="center"/>
              <w:rPr>
                <w:rFonts w:hint="eastAsia" w:ascii="宋体" w:hAnsi="宋体" w:eastAsia="宋体" w:cs="宋体"/>
                <w:color w:val="000000"/>
                <w:kern w:val="0"/>
                <w:sz w:val="24"/>
                <w:szCs w:val="24"/>
                <w:lang w:bidi="ar"/>
              </w:rPr>
            </w:pPr>
          </w:p>
        </w:tc>
      </w:tr>
      <w:tr w14:paraId="65F29159">
        <w:tblPrEx>
          <w:tblCellMar>
            <w:top w:w="0" w:type="dxa"/>
            <w:left w:w="108" w:type="dxa"/>
            <w:bottom w:w="0" w:type="dxa"/>
            <w:right w:w="108" w:type="dxa"/>
          </w:tblCellMar>
        </w:tblPrEx>
        <w:trPr>
          <w:wBefore w:w="0" w:type="auto"/>
          <w:trHeight w:val="23" w:hRule="atLeast"/>
          <w:jc w:val="center"/>
        </w:trPr>
        <w:tc>
          <w:tcPr>
            <w:tcW w:w="72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A22E34">
            <w:pPr>
              <w:widowControl/>
              <w:spacing w:line="240" w:lineRule="exact"/>
              <w:jc w:val="center"/>
              <w:rPr>
                <w:rFonts w:hint="eastAsia" w:ascii="宋体" w:hAnsi="宋体" w:eastAsia="宋体" w:cs="宋体"/>
                <w:b/>
                <w:color w:val="000000"/>
                <w:sz w:val="24"/>
                <w:szCs w:val="24"/>
              </w:rPr>
            </w:pPr>
          </w:p>
        </w:tc>
        <w:tc>
          <w:tcPr>
            <w:tcW w:w="1590" w:type="dxa"/>
            <w:gridSpan w:val="4"/>
            <w:vMerge w:val="restart"/>
            <w:tcBorders>
              <w:top w:val="single" w:color="000000" w:sz="4" w:space="0"/>
              <w:left w:val="single" w:color="000000" w:sz="4" w:space="0"/>
              <w:bottom w:val="single" w:color="000000" w:sz="4" w:space="0"/>
              <w:right w:val="single" w:color="000000" w:sz="4" w:space="0"/>
            </w:tcBorders>
            <w:noWrap w:val="0"/>
            <w:vAlign w:val="center"/>
          </w:tcPr>
          <w:p w14:paraId="4B8C48B1">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项目实施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gridSpan w:val="2"/>
            <w:tcBorders>
              <w:top w:val="single" w:color="000000" w:sz="4" w:space="0"/>
              <w:left w:val="single" w:color="000000" w:sz="4" w:space="0"/>
              <w:bottom w:val="single" w:color="000000" w:sz="4" w:space="0"/>
              <w:right w:val="single" w:color="000000" w:sz="4" w:space="0"/>
            </w:tcBorders>
            <w:noWrap w:val="0"/>
            <w:vAlign w:val="center"/>
          </w:tcPr>
          <w:p w14:paraId="7B0549DD">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9179302">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gridSpan w:val="6"/>
            <w:tcBorders>
              <w:top w:val="single" w:color="000000" w:sz="4" w:space="0"/>
              <w:left w:val="single" w:color="000000" w:sz="4" w:space="0"/>
              <w:bottom w:val="single" w:color="000000" w:sz="4" w:space="0"/>
              <w:right w:val="single" w:color="000000" w:sz="4" w:space="0"/>
            </w:tcBorders>
            <w:noWrap w:val="0"/>
            <w:vAlign w:val="center"/>
          </w:tcPr>
          <w:p w14:paraId="780330E9">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项目资金财政拨付、单位执行和地方配套到位情况</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2619829E">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D03F26B">
            <w:pPr>
              <w:widowControl/>
              <w:spacing w:line="240" w:lineRule="exact"/>
              <w:jc w:val="left"/>
              <w:textAlignment w:val="center"/>
              <w:rPr>
                <w:rFonts w:hint="eastAsia" w:ascii="宋体" w:hAnsi="宋体" w:eastAsia="宋体" w:cs="宋体"/>
                <w:color w:val="000000"/>
                <w:kern w:val="0"/>
                <w:sz w:val="24"/>
                <w:szCs w:val="24"/>
                <w:lang w:bidi="ar"/>
              </w:rPr>
            </w:pPr>
          </w:p>
        </w:tc>
      </w:tr>
      <w:tr w14:paraId="5B70F172">
        <w:tblPrEx>
          <w:tblCellMar>
            <w:top w:w="0" w:type="dxa"/>
            <w:left w:w="108" w:type="dxa"/>
            <w:bottom w:w="0" w:type="dxa"/>
            <w:right w:w="108" w:type="dxa"/>
          </w:tblCellMar>
        </w:tblPrEx>
        <w:trPr>
          <w:wBefore w:w="0" w:type="auto"/>
          <w:trHeight w:val="23" w:hRule="atLeast"/>
          <w:jc w:val="center"/>
        </w:trPr>
        <w:tc>
          <w:tcPr>
            <w:tcW w:w="72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54B156">
            <w:pPr>
              <w:widowControl/>
              <w:spacing w:line="240" w:lineRule="exact"/>
              <w:jc w:val="center"/>
              <w:rPr>
                <w:rFonts w:hint="eastAsia" w:ascii="宋体" w:hAnsi="宋体" w:eastAsia="宋体" w:cs="宋体"/>
                <w:b/>
                <w:color w:val="000000"/>
                <w:sz w:val="24"/>
                <w:szCs w:val="24"/>
              </w:rPr>
            </w:pPr>
          </w:p>
        </w:tc>
        <w:tc>
          <w:tcPr>
            <w:tcW w:w="1590" w:type="dxa"/>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4EAED5AC">
            <w:pPr>
              <w:widowControl/>
              <w:spacing w:line="240" w:lineRule="exact"/>
              <w:jc w:val="center"/>
              <w:rPr>
                <w:rFonts w:hint="eastAsia" w:ascii="宋体" w:hAnsi="宋体" w:eastAsia="宋体" w:cs="宋体"/>
                <w:b/>
                <w:color w:val="000000"/>
                <w:sz w:val="24"/>
                <w:szCs w:val="24"/>
              </w:rPr>
            </w:pPr>
          </w:p>
        </w:tc>
        <w:tc>
          <w:tcPr>
            <w:tcW w:w="1355" w:type="dxa"/>
            <w:gridSpan w:val="2"/>
            <w:tcBorders>
              <w:top w:val="single" w:color="000000" w:sz="4" w:space="0"/>
              <w:left w:val="single" w:color="000000" w:sz="4" w:space="0"/>
              <w:bottom w:val="single" w:color="000000" w:sz="4" w:space="0"/>
              <w:right w:val="single" w:color="000000" w:sz="4" w:space="0"/>
            </w:tcBorders>
            <w:noWrap w:val="0"/>
            <w:vAlign w:val="center"/>
          </w:tcPr>
          <w:p w14:paraId="5E332493">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21057E4">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gridSpan w:val="6"/>
            <w:tcBorders>
              <w:top w:val="single" w:color="000000" w:sz="4" w:space="0"/>
              <w:left w:val="single" w:color="000000" w:sz="4" w:space="0"/>
              <w:bottom w:val="single" w:color="000000" w:sz="4" w:space="0"/>
              <w:right w:val="single" w:color="000000" w:sz="4" w:space="0"/>
            </w:tcBorders>
            <w:noWrap w:val="0"/>
            <w:vAlign w:val="center"/>
          </w:tcPr>
          <w:p w14:paraId="32748596">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资金使用拨付、项目实施是否符合规定</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46D3F9B0">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3C2A8A4">
            <w:pPr>
              <w:widowControl/>
              <w:spacing w:line="240" w:lineRule="exact"/>
              <w:jc w:val="left"/>
              <w:textAlignment w:val="center"/>
              <w:rPr>
                <w:rFonts w:hint="eastAsia" w:ascii="宋体" w:hAnsi="宋体" w:eastAsia="宋体" w:cs="宋体"/>
                <w:color w:val="000000"/>
                <w:kern w:val="0"/>
                <w:sz w:val="24"/>
                <w:szCs w:val="24"/>
                <w:lang w:bidi="ar"/>
              </w:rPr>
            </w:pPr>
          </w:p>
        </w:tc>
      </w:tr>
      <w:tr w14:paraId="0C88BB0F">
        <w:tblPrEx>
          <w:tblCellMar>
            <w:top w:w="0" w:type="dxa"/>
            <w:left w:w="108" w:type="dxa"/>
            <w:bottom w:w="0" w:type="dxa"/>
            <w:right w:w="108" w:type="dxa"/>
          </w:tblCellMar>
        </w:tblPrEx>
        <w:trPr>
          <w:wBefore w:w="0" w:type="auto"/>
          <w:trHeight w:val="23" w:hRule="atLeast"/>
          <w:jc w:val="center"/>
        </w:trPr>
        <w:tc>
          <w:tcPr>
            <w:tcW w:w="72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DD98D2">
            <w:pPr>
              <w:widowControl/>
              <w:spacing w:line="240" w:lineRule="exact"/>
              <w:jc w:val="center"/>
              <w:rPr>
                <w:rFonts w:hint="eastAsia" w:ascii="宋体" w:hAnsi="宋体" w:eastAsia="宋体" w:cs="宋体"/>
                <w:b/>
                <w:color w:val="000000"/>
                <w:sz w:val="24"/>
                <w:szCs w:val="24"/>
              </w:rPr>
            </w:pPr>
          </w:p>
        </w:tc>
        <w:tc>
          <w:tcPr>
            <w:tcW w:w="1590" w:type="dxa"/>
            <w:gridSpan w:val="4"/>
            <w:vMerge w:val="restart"/>
            <w:tcBorders>
              <w:top w:val="single" w:color="000000" w:sz="4" w:space="0"/>
              <w:left w:val="single" w:color="000000" w:sz="4" w:space="0"/>
              <w:bottom w:val="single" w:color="000000" w:sz="4" w:space="0"/>
              <w:right w:val="single" w:color="000000" w:sz="4" w:space="0"/>
            </w:tcBorders>
            <w:noWrap w:val="0"/>
            <w:vAlign w:val="center"/>
          </w:tcPr>
          <w:p w14:paraId="4D6267BB">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项目结果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gridSpan w:val="2"/>
            <w:tcBorders>
              <w:top w:val="single" w:color="000000" w:sz="4" w:space="0"/>
              <w:left w:val="single" w:color="000000" w:sz="4" w:space="0"/>
              <w:bottom w:val="single" w:color="000000" w:sz="4" w:space="0"/>
              <w:right w:val="single" w:color="000000" w:sz="4" w:space="0"/>
            </w:tcBorders>
            <w:noWrap w:val="0"/>
            <w:vAlign w:val="center"/>
          </w:tcPr>
          <w:p w14:paraId="5E5C6ACF">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EC61290">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gridSpan w:val="6"/>
            <w:tcBorders>
              <w:top w:val="single" w:color="000000" w:sz="4" w:space="0"/>
              <w:left w:val="single" w:color="000000" w:sz="4" w:space="0"/>
              <w:bottom w:val="single" w:color="000000" w:sz="4" w:space="0"/>
              <w:right w:val="single" w:color="000000" w:sz="4" w:space="0"/>
            </w:tcBorders>
            <w:noWrap w:val="0"/>
            <w:vAlign w:val="center"/>
          </w:tcPr>
          <w:p w14:paraId="46201EE8">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项目是否完成预期目标，实施结果是否与绩效目标相匹配，反映目标实现程度</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05A3B77C">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72C6DAE">
            <w:pPr>
              <w:widowControl/>
              <w:spacing w:line="240" w:lineRule="exact"/>
              <w:jc w:val="left"/>
              <w:textAlignment w:val="center"/>
              <w:rPr>
                <w:rFonts w:hint="eastAsia" w:ascii="宋体" w:hAnsi="宋体" w:eastAsia="宋体" w:cs="宋体"/>
                <w:color w:val="000000"/>
                <w:kern w:val="0"/>
                <w:sz w:val="24"/>
                <w:szCs w:val="24"/>
                <w:lang w:bidi="ar"/>
              </w:rPr>
            </w:pPr>
          </w:p>
        </w:tc>
      </w:tr>
      <w:tr w14:paraId="0A301EA7">
        <w:tblPrEx>
          <w:tblCellMar>
            <w:top w:w="0" w:type="dxa"/>
            <w:left w:w="108" w:type="dxa"/>
            <w:bottom w:w="0" w:type="dxa"/>
            <w:right w:w="108" w:type="dxa"/>
          </w:tblCellMar>
        </w:tblPrEx>
        <w:trPr>
          <w:wBefore w:w="0" w:type="auto"/>
          <w:trHeight w:val="23" w:hRule="atLeast"/>
          <w:jc w:val="center"/>
        </w:trPr>
        <w:tc>
          <w:tcPr>
            <w:tcW w:w="72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0AC402">
            <w:pPr>
              <w:widowControl/>
              <w:spacing w:line="240" w:lineRule="exact"/>
              <w:jc w:val="center"/>
              <w:rPr>
                <w:rFonts w:hint="eastAsia" w:ascii="宋体" w:hAnsi="宋体" w:eastAsia="宋体" w:cs="宋体"/>
                <w:b/>
                <w:color w:val="000000"/>
                <w:sz w:val="24"/>
                <w:szCs w:val="24"/>
              </w:rPr>
            </w:pPr>
          </w:p>
        </w:tc>
        <w:tc>
          <w:tcPr>
            <w:tcW w:w="1590" w:type="dxa"/>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0CF0AF16">
            <w:pPr>
              <w:widowControl/>
              <w:spacing w:line="240" w:lineRule="exact"/>
              <w:jc w:val="center"/>
              <w:rPr>
                <w:rFonts w:hint="eastAsia" w:ascii="宋体" w:hAnsi="宋体" w:eastAsia="宋体" w:cs="宋体"/>
                <w:b/>
                <w:color w:val="000000"/>
                <w:sz w:val="24"/>
                <w:szCs w:val="24"/>
              </w:rPr>
            </w:pPr>
          </w:p>
        </w:tc>
        <w:tc>
          <w:tcPr>
            <w:tcW w:w="1355" w:type="dxa"/>
            <w:gridSpan w:val="2"/>
            <w:tcBorders>
              <w:top w:val="single" w:color="000000" w:sz="4" w:space="0"/>
              <w:left w:val="single" w:color="000000" w:sz="4" w:space="0"/>
              <w:bottom w:val="single" w:color="000000" w:sz="4" w:space="0"/>
              <w:right w:val="single" w:color="000000" w:sz="4" w:space="0"/>
            </w:tcBorders>
            <w:noWrap w:val="0"/>
            <w:vAlign w:val="center"/>
          </w:tcPr>
          <w:p w14:paraId="15BC0828">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9CAF4F5">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gridSpan w:val="6"/>
            <w:tcBorders>
              <w:top w:val="single" w:color="000000" w:sz="4" w:space="0"/>
              <w:left w:val="single" w:color="000000" w:sz="4" w:space="0"/>
              <w:bottom w:val="single" w:color="000000" w:sz="4" w:space="0"/>
              <w:right w:val="single" w:color="000000" w:sz="4" w:space="0"/>
            </w:tcBorders>
            <w:noWrap w:val="0"/>
            <w:vAlign w:val="center"/>
          </w:tcPr>
          <w:p w14:paraId="1FBE7D75">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项目实际完成时间与计划完成时间的比较</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2AA2F2B2">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08D0D85">
            <w:pPr>
              <w:widowControl/>
              <w:spacing w:line="240" w:lineRule="exact"/>
              <w:jc w:val="left"/>
              <w:textAlignment w:val="center"/>
              <w:rPr>
                <w:rFonts w:hint="eastAsia" w:ascii="宋体" w:hAnsi="宋体" w:eastAsia="宋体" w:cs="宋体"/>
                <w:color w:val="000000"/>
                <w:kern w:val="0"/>
                <w:sz w:val="24"/>
                <w:szCs w:val="24"/>
                <w:lang w:bidi="ar"/>
              </w:rPr>
            </w:pPr>
          </w:p>
        </w:tc>
      </w:tr>
      <w:tr w14:paraId="26FC6680">
        <w:tblPrEx>
          <w:tblCellMar>
            <w:top w:w="0" w:type="dxa"/>
            <w:left w:w="108" w:type="dxa"/>
            <w:bottom w:w="0" w:type="dxa"/>
            <w:right w:w="108" w:type="dxa"/>
          </w:tblCellMar>
        </w:tblPrEx>
        <w:trPr>
          <w:wBefore w:w="0" w:type="auto"/>
          <w:trHeight w:val="23" w:hRule="atLeast"/>
          <w:jc w:val="center"/>
        </w:trPr>
        <w:tc>
          <w:tcPr>
            <w:tcW w:w="72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4BC45C4">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4"/>
            <w:vMerge w:val="restart"/>
            <w:tcBorders>
              <w:top w:val="single" w:color="000000" w:sz="4" w:space="0"/>
              <w:left w:val="single" w:color="000000" w:sz="4" w:space="0"/>
              <w:bottom w:val="single" w:color="000000" w:sz="4" w:space="0"/>
              <w:right w:val="single" w:color="000000" w:sz="4" w:space="0"/>
            </w:tcBorders>
            <w:noWrap w:val="0"/>
            <w:vAlign w:val="center"/>
          </w:tcPr>
          <w:p w14:paraId="34D07FE3">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产业发展</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gridSpan w:val="2"/>
            <w:tcBorders>
              <w:top w:val="single" w:color="000000" w:sz="4" w:space="0"/>
              <w:left w:val="single" w:color="000000" w:sz="4" w:space="0"/>
              <w:bottom w:val="single" w:color="000000" w:sz="4" w:space="0"/>
              <w:right w:val="single" w:color="000000" w:sz="4" w:space="0"/>
            </w:tcBorders>
            <w:noWrap w:val="0"/>
            <w:vAlign w:val="center"/>
          </w:tcPr>
          <w:p w14:paraId="32E5525B">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0DBB925">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gridSpan w:val="6"/>
            <w:tcBorders>
              <w:top w:val="single" w:color="000000" w:sz="4" w:space="0"/>
              <w:left w:val="single" w:color="000000" w:sz="4" w:space="0"/>
              <w:bottom w:val="single" w:color="000000" w:sz="4" w:space="0"/>
              <w:right w:val="single" w:color="000000" w:sz="4" w:space="0"/>
            </w:tcBorders>
            <w:noWrap w:val="0"/>
            <w:vAlign w:val="center"/>
          </w:tcPr>
          <w:p w14:paraId="17FC6AEE">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项目实施是否与省委省政府支持重点、产业支持政策符合</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786EE81B">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F3065B1">
            <w:pPr>
              <w:widowControl/>
              <w:spacing w:line="240" w:lineRule="exact"/>
              <w:jc w:val="left"/>
              <w:textAlignment w:val="center"/>
              <w:rPr>
                <w:rFonts w:hint="eastAsia" w:ascii="宋体" w:hAnsi="宋体" w:eastAsia="宋体" w:cs="宋体"/>
                <w:color w:val="000000"/>
                <w:kern w:val="0"/>
                <w:sz w:val="24"/>
                <w:szCs w:val="24"/>
                <w:lang w:bidi="ar"/>
              </w:rPr>
            </w:pPr>
          </w:p>
        </w:tc>
      </w:tr>
      <w:tr w14:paraId="2963B5CB">
        <w:tblPrEx>
          <w:tblCellMar>
            <w:top w:w="0" w:type="dxa"/>
            <w:left w:w="108" w:type="dxa"/>
            <w:bottom w:w="0" w:type="dxa"/>
            <w:right w:w="108" w:type="dxa"/>
          </w:tblCellMar>
        </w:tblPrEx>
        <w:trPr>
          <w:wBefore w:w="0" w:type="auto"/>
          <w:trHeight w:val="23" w:hRule="atLeast"/>
          <w:jc w:val="center"/>
        </w:trPr>
        <w:tc>
          <w:tcPr>
            <w:tcW w:w="72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3F1B70">
            <w:pPr>
              <w:widowControl/>
              <w:spacing w:line="240" w:lineRule="exact"/>
              <w:jc w:val="center"/>
              <w:rPr>
                <w:rFonts w:hint="eastAsia" w:ascii="宋体" w:hAnsi="宋体" w:eastAsia="宋体" w:cs="宋体"/>
                <w:b/>
                <w:color w:val="000000"/>
                <w:sz w:val="24"/>
                <w:szCs w:val="24"/>
              </w:rPr>
            </w:pPr>
          </w:p>
        </w:tc>
        <w:tc>
          <w:tcPr>
            <w:tcW w:w="1590" w:type="dxa"/>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7104D982">
            <w:pPr>
              <w:widowControl/>
              <w:spacing w:line="240" w:lineRule="exact"/>
              <w:jc w:val="center"/>
              <w:rPr>
                <w:rFonts w:hint="eastAsia" w:ascii="宋体" w:hAnsi="宋体" w:eastAsia="宋体" w:cs="宋体"/>
                <w:b/>
                <w:color w:val="000000"/>
                <w:sz w:val="24"/>
                <w:szCs w:val="24"/>
              </w:rPr>
            </w:pPr>
          </w:p>
        </w:tc>
        <w:tc>
          <w:tcPr>
            <w:tcW w:w="1355" w:type="dxa"/>
            <w:gridSpan w:val="2"/>
            <w:tcBorders>
              <w:top w:val="single" w:color="000000" w:sz="4" w:space="0"/>
              <w:left w:val="single" w:color="000000" w:sz="4" w:space="0"/>
              <w:bottom w:val="single" w:color="000000" w:sz="4" w:space="0"/>
              <w:right w:val="single" w:color="000000" w:sz="4" w:space="0"/>
            </w:tcBorders>
            <w:noWrap w:val="0"/>
            <w:vAlign w:val="center"/>
          </w:tcPr>
          <w:p w14:paraId="54FEA988">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59499EF">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gridSpan w:val="6"/>
            <w:tcBorders>
              <w:top w:val="single" w:color="000000" w:sz="4" w:space="0"/>
              <w:left w:val="single" w:color="000000" w:sz="4" w:space="0"/>
              <w:bottom w:val="single" w:color="000000" w:sz="4" w:space="0"/>
              <w:right w:val="single" w:color="000000" w:sz="4" w:space="0"/>
            </w:tcBorders>
            <w:noWrap w:val="0"/>
            <w:vAlign w:val="center"/>
          </w:tcPr>
          <w:p w14:paraId="21AC81FC">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项目实施对相关企业（机构）成长性的促进作用，主要反映支持对象创新创造创业能力情况</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68CEDCA8">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2F87CA9">
            <w:pPr>
              <w:widowControl/>
              <w:spacing w:line="240" w:lineRule="exact"/>
              <w:jc w:val="left"/>
              <w:textAlignment w:val="center"/>
              <w:rPr>
                <w:rFonts w:hint="eastAsia" w:ascii="宋体" w:hAnsi="宋体" w:eastAsia="宋体" w:cs="宋体"/>
                <w:color w:val="000000"/>
                <w:kern w:val="0"/>
                <w:sz w:val="24"/>
                <w:szCs w:val="24"/>
                <w:lang w:bidi="ar"/>
              </w:rPr>
            </w:pPr>
          </w:p>
        </w:tc>
      </w:tr>
      <w:tr w14:paraId="38A9104E">
        <w:tblPrEx>
          <w:tblCellMar>
            <w:top w:w="0" w:type="dxa"/>
            <w:left w:w="108" w:type="dxa"/>
            <w:bottom w:w="0" w:type="dxa"/>
            <w:right w:w="108" w:type="dxa"/>
          </w:tblCellMar>
        </w:tblPrEx>
        <w:trPr>
          <w:wBefore w:w="0" w:type="auto"/>
          <w:trHeight w:val="23" w:hRule="atLeast"/>
          <w:jc w:val="center"/>
        </w:trPr>
        <w:tc>
          <w:tcPr>
            <w:tcW w:w="72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96BC3D">
            <w:pPr>
              <w:widowControl/>
              <w:spacing w:line="240" w:lineRule="exact"/>
              <w:jc w:val="center"/>
              <w:rPr>
                <w:rFonts w:hint="eastAsia" w:ascii="宋体" w:hAnsi="宋体" w:eastAsia="宋体" w:cs="宋体"/>
                <w:b/>
                <w:color w:val="000000"/>
                <w:sz w:val="24"/>
                <w:szCs w:val="24"/>
              </w:rPr>
            </w:pPr>
          </w:p>
        </w:tc>
        <w:tc>
          <w:tcPr>
            <w:tcW w:w="1590" w:type="dxa"/>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1C84188E">
            <w:pPr>
              <w:widowControl/>
              <w:spacing w:line="240" w:lineRule="exact"/>
              <w:jc w:val="center"/>
              <w:rPr>
                <w:rFonts w:hint="eastAsia" w:ascii="宋体" w:hAnsi="宋体" w:eastAsia="宋体" w:cs="宋体"/>
                <w:b/>
                <w:color w:val="000000"/>
                <w:sz w:val="24"/>
                <w:szCs w:val="24"/>
              </w:rPr>
            </w:pPr>
          </w:p>
        </w:tc>
        <w:tc>
          <w:tcPr>
            <w:tcW w:w="1355" w:type="dxa"/>
            <w:gridSpan w:val="2"/>
            <w:tcBorders>
              <w:top w:val="single" w:color="000000" w:sz="4" w:space="0"/>
              <w:left w:val="single" w:color="000000" w:sz="4" w:space="0"/>
              <w:bottom w:val="single" w:color="000000" w:sz="4" w:space="0"/>
              <w:right w:val="single" w:color="000000" w:sz="4" w:space="0"/>
            </w:tcBorders>
            <w:noWrap w:val="0"/>
            <w:vAlign w:val="center"/>
          </w:tcPr>
          <w:p w14:paraId="4915692E">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2A732A2">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gridSpan w:val="6"/>
            <w:tcBorders>
              <w:top w:val="single" w:color="000000" w:sz="4" w:space="0"/>
              <w:left w:val="single" w:color="000000" w:sz="4" w:space="0"/>
              <w:bottom w:val="single" w:color="000000" w:sz="4" w:space="0"/>
              <w:right w:val="single" w:color="000000" w:sz="4" w:space="0"/>
            </w:tcBorders>
            <w:noWrap w:val="0"/>
            <w:vAlign w:val="center"/>
          </w:tcPr>
          <w:p w14:paraId="67E549F9">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项目实施对相关企业（机构）主营业务收入、净利润、税收、产量等方面增长情况</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5C767028">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0B34C2A">
            <w:pPr>
              <w:widowControl/>
              <w:spacing w:line="240" w:lineRule="exact"/>
              <w:jc w:val="left"/>
              <w:textAlignment w:val="center"/>
              <w:rPr>
                <w:rFonts w:hint="eastAsia" w:ascii="宋体" w:hAnsi="宋体" w:eastAsia="宋体" w:cs="宋体"/>
                <w:color w:val="000000"/>
                <w:kern w:val="0"/>
                <w:sz w:val="24"/>
                <w:szCs w:val="24"/>
                <w:lang w:bidi="ar"/>
              </w:rPr>
            </w:pPr>
          </w:p>
        </w:tc>
      </w:tr>
      <w:tr w14:paraId="747DB7B9">
        <w:tblPrEx>
          <w:tblCellMar>
            <w:top w:w="0" w:type="dxa"/>
            <w:left w:w="108" w:type="dxa"/>
            <w:bottom w:w="0" w:type="dxa"/>
            <w:right w:w="108" w:type="dxa"/>
          </w:tblCellMar>
        </w:tblPrEx>
        <w:trPr>
          <w:wBefore w:w="0" w:type="auto"/>
          <w:trHeight w:val="23" w:hRule="atLeast"/>
          <w:jc w:val="center"/>
        </w:trPr>
        <w:tc>
          <w:tcPr>
            <w:tcW w:w="72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D09681">
            <w:pPr>
              <w:widowControl/>
              <w:spacing w:line="240" w:lineRule="exact"/>
              <w:jc w:val="center"/>
              <w:rPr>
                <w:rFonts w:hint="eastAsia" w:ascii="宋体" w:hAnsi="宋体" w:eastAsia="宋体" w:cs="宋体"/>
                <w:b/>
                <w:color w:val="000000"/>
                <w:sz w:val="24"/>
                <w:szCs w:val="24"/>
              </w:rPr>
            </w:pPr>
          </w:p>
        </w:tc>
        <w:tc>
          <w:tcPr>
            <w:tcW w:w="1590" w:type="dxa"/>
            <w:gridSpan w:val="4"/>
            <w:vMerge w:val="restart"/>
            <w:tcBorders>
              <w:top w:val="single" w:color="000000" w:sz="4" w:space="0"/>
              <w:left w:val="single" w:color="000000" w:sz="4" w:space="0"/>
              <w:bottom w:val="single" w:color="000000" w:sz="4" w:space="0"/>
              <w:right w:val="single" w:color="000000" w:sz="4" w:space="0"/>
            </w:tcBorders>
            <w:noWrap w:val="0"/>
            <w:vAlign w:val="center"/>
          </w:tcPr>
          <w:p w14:paraId="25337702">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民生保障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gridSpan w:val="2"/>
            <w:tcBorders>
              <w:top w:val="single" w:color="000000" w:sz="4" w:space="0"/>
              <w:left w:val="single" w:color="000000" w:sz="4" w:space="0"/>
              <w:bottom w:val="single" w:color="000000" w:sz="4" w:space="0"/>
              <w:right w:val="single" w:color="000000" w:sz="4" w:space="0"/>
            </w:tcBorders>
            <w:noWrap w:val="0"/>
            <w:vAlign w:val="center"/>
          </w:tcPr>
          <w:p w14:paraId="2A26AAEF">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17743D0">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gridSpan w:val="6"/>
            <w:tcBorders>
              <w:top w:val="single" w:color="000000" w:sz="4" w:space="0"/>
              <w:left w:val="single" w:color="000000" w:sz="4" w:space="0"/>
              <w:bottom w:val="single" w:color="000000" w:sz="4" w:space="0"/>
              <w:right w:val="single" w:color="000000" w:sz="4" w:space="0"/>
            </w:tcBorders>
            <w:noWrap w:val="0"/>
            <w:vAlign w:val="center"/>
          </w:tcPr>
          <w:p w14:paraId="70C4AD5B">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项目资金分配体现的均衡公平情况</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3007A5E3">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E69B427">
            <w:pPr>
              <w:widowControl/>
              <w:spacing w:line="240" w:lineRule="exact"/>
              <w:jc w:val="left"/>
              <w:textAlignment w:val="center"/>
              <w:rPr>
                <w:rFonts w:hint="eastAsia" w:ascii="宋体" w:hAnsi="宋体" w:eastAsia="宋体" w:cs="宋体"/>
                <w:color w:val="000000"/>
                <w:kern w:val="0"/>
                <w:sz w:val="24"/>
                <w:szCs w:val="24"/>
                <w:lang w:bidi="ar"/>
              </w:rPr>
            </w:pPr>
          </w:p>
        </w:tc>
      </w:tr>
      <w:tr w14:paraId="706A9533">
        <w:tblPrEx>
          <w:tblCellMar>
            <w:top w:w="0" w:type="dxa"/>
            <w:left w:w="108" w:type="dxa"/>
            <w:bottom w:w="0" w:type="dxa"/>
            <w:right w:w="108" w:type="dxa"/>
          </w:tblCellMar>
        </w:tblPrEx>
        <w:trPr>
          <w:wBefore w:w="0" w:type="auto"/>
          <w:trHeight w:val="23" w:hRule="atLeast"/>
          <w:jc w:val="center"/>
        </w:trPr>
        <w:tc>
          <w:tcPr>
            <w:tcW w:w="72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6C149C">
            <w:pPr>
              <w:widowControl/>
              <w:spacing w:line="240" w:lineRule="exact"/>
              <w:jc w:val="center"/>
              <w:rPr>
                <w:rFonts w:hint="eastAsia" w:ascii="宋体" w:hAnsi="宋体" w:eastAsia="宋体" w:cs="宋体"/>
                <w:b/>
                <w:color w:val="000000"/>
                <w:sz w:val="24"/>
                <w:szCs w:val="24"/>
              </w:rPr>
            </w:pPr>
          </w:p>
        </w:tc>
        <w:tc>
          <w:tcPr>
            <w:tcW w:w="1590" w:type="dxa"/>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4483D2DE">
            <w:pPr>
              <w:widowControl/>
              <w:spacing w:line="240" w:lineRule="exact"/>
              <w:jc w:val="center"/>
              <w:rPr>
                <w:rFonts w:hint="eastAsia" w:ascii="宋体" w:hAnsi="宋体" w:eastAsia="宋体" w:cs="宋体"/>
                <w:b/>
                <w:color w:val="000000"/>
                <w:sz w:val="24"/>
                <w:szCs w:val="24"/>
              </w:rPr>
            </w:pPr>
          </w:p>
        </w:tc>
        <w:tc>
          <w:tcPr>
            <w:tcW w:w="1355" w:type="dxa"/>
            <w:gridSpan w:val="2"/>
            <w:tcBorders>
              <w:top w:val="single" w:color="000000" w:sz="4" w:space="0"/>
              <w:left w:val="single" w:color="000000" w:sz="4" w:space="0"/>
              <w:bottom w:val="single" w:color="000000" w:sz="4" w:space="0"/>
              <w:right w:val="single" w:color="000000" w:sz="4" w:space="0"/>
            </w:tcBorders>
            <w:noWrap w:val="0"/>
            <w:vAlign w:val="center"/>
          </w:tcPr>
          <w:p w14:paraId="123F8292">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DE560D9">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gridSpan w:val="6"/>
            <w:tcBorders>
              <w:top w:val="single" w:color="000000" w:sz="4" w:space="0"/>
              <w:left w:val="single" w:color="000000" w:sz="4" w:space="0"/>
              <w:bottom w:val="single" w:color="000000" w:sz="4" w:space="0"/>
              <w:right w:val="single" w:color="000000" w:sz="4" w:space="0"/>
            </w:tcBorders>
            <w:noWrap w:val="0"/>
            <w:vAlign w:val="center"/>
          </w:tcPr>
          <w:p w14:paraId="3E3A9B2C">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资金实际支持对象是否符合管理要求，是否符合支持对象范围</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25A23720">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9786B56">
            <w:pPr>
              <w:widowControl/>
              <w:spacing w:line="240" w:lineRule="exact"/>
              <w:jc w:val="left"/>
              <w:textAlignment w:val="center"/>
              <w:rPr>
                <w:rFonts w:hint="eastAsia" w:ascii="宋体" w:hAnsi="宋体" w:eastAsia="宋体" w:cs="宋体"/>
                <w:color w:val="000000"/>
                <w:kern w:val="0"/>
                <w:sz w:val="24"/>
                <w:szCs w:val="24"/>
                <w:lang w:bidi="ar"/>
              </w:rPr>
            </w:pPr>
          </w:p>
        </w:tc>
      </w:tr>
      <w:tr w14:paraId="1E0E5D0D">
        <w:tblPrEx>
          <w:tblCellMar>
            <w:top w:w="0" w:type="dxa"/>
            <w:left w:w="108" w:type="dxa"/>
            <w:bottom w:w="0" w:type="dxa"/>
            <w:right w:w="108" w:type="dxa"/>
          </w:tblCellMar>
        </w:tblPrEx>
        <w:trPr>
          <w:wBefore w:w="0" w:type="auto"/>
          <w:trHeight w:val="23" w:hRule="atLeast"/>
          <w:jc w:val="center"/>
        </w:trPr>
        <w:tc>
          <w:tcPr>
            <w:tcW w:w="72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43E441">
            <w:pPr>
              <w:widowControl/>
              <w:spacing w:line="240" w:lineRule="exact"/>
              <w:jc w:val="center"/>
              <w:rPr>
                <w:rFonts w:hint="eastAsia" w:ascii="宋体" w:hAnsi="宋体" w:eastAsia="宋体" w:cs="宋体"/>
                <w:b/>
                <w:color w:val="000000"/>
                <w:sz w:val="24"/>
                <w:szCs w:val="24"/>
              </w:rPr>
            </w:pPr>
          </w:p>
        </w:tc>
        <w:tc>
          <w:tcPr>
            <w:tcW w:w="1590" w:type="dxa"/>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2C700FB6">
            <w:pPr>
              <w:widowControl/>
              <w:spacing w:line="240" w:lineRule="exact"/>
              <w:jc w:val="center"/>
              <w:rPr>
                <w:rFonts w:hint="eastAsia" w:ascii="宋体" w:hAnsi="宋体" w:eastAsia="宋体" w:cs="宋体"/>
                <w:b/>
                <w:color w:val="000000"/>
                <w:sz w:val="24"/>
                <w:szCs w:val="24"/>
              </w:rPr>
            </w:pPr>
          </w:p>
        </w:tc>
        <w:tc>
          <w:tcPr>
            <w:tcW w:w="1355" w:type="dxa"/>
            <w:gridSpan w:val="2"/>
            <w:tcBorders>
              <w:top w:val="single" w:color="000000" w:sz="4" w:space="0"/>
              <w:left w:val="single" w:color="000000" w:sz="4" w:space="0"/>
              <w:bottom w:val="single" w:color="000000" w:sz="4" w:space="0"/>
              <w:right w:val="single" w:color="000000" w:sz="4" w:space="0"/>
            </w:tcBorders>
            <w:noWrap w:val="0"/>
            <w:vAlign w:val="center"/>
          </w:tcPr>
          <w:p w14:paraId="4312480B">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5D8F9A3">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gridSpan w:val="6"/>
            <w:tcBorders>
              <w:top w:val="single" w:color="000000" w:sz="4" w:space="0"/>
              <w:left w:val="single" w:color="000000" w:sz="4" w:space="0"/>
              <w:bottom w:val="single" w:color="000000" w:sz="4" w:space="0"/>
              <w:right w:val="single" w:color="000000" w:sz="4" w:space="0"/>
            </w:tcBorders>
            <w:noWrap w:val="0"/>
            <w:vAlign w:val="center"/>
          </w:tcPr>
          <w:p w14:paraId="0545C892">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资金实际补贴标准是否符合资金管理办法规定的补助标准，是否及时按标准兑现</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663E883C">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D63DBD6">
            <w:pPr>
              <w:widowControl/>
              <w:spacing w:line="240" w:lineRule="exact"/>
              <w:jc w:val="left"/>
              <w:textAlignment w:val="center"/>
              <w:rPr>
                <w:rFonts w:hint="eastAsia" w:ascii="宋体" w:hAnsi="宋体" w:eastAsia="宋体" w:cs="宋体"/>
                <w:color w:val="000000"/>
                <w:kern w:val="0"/>
                <w:sz w:val="24"/>
                <w:szCs w:val="24"/>
                <w:lang w:bidi="ar"/>
              </w:rPr>
            </w:pPr>
          </w:p>
        </w:tc>
      </w:tr>
      <w:tr w14:paraId="5C37A1D8">
        <w:tblPrEx>
          <w:tblCellMar>
            <w:top w:w="0" w:type="dxa"/>
            <w:left w:w="108" w:type="dxa"/>
            <w:bottom w:w="0" w:type="dxa"/>
            <w:right w:w="108" w:type="dxa"/>
          </w:tblCellMar>
        </w:tblPrEx>
        <w:trPr>
          <w:wBefore w:w="0" w:type="auto"/>
          <w:trHeight w:val="23" w:hRule="atLeast"/>
          <w:jc w:val="center"/>
        </w:trPr>
        <w:tc>
          <w:tcPr>
            <w:tcW w:w="72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1E4FA6">
            <w:pPr>
              <w:widowControl/>
              <w:spacing w:line="240" w:lineRule="exact"/>
              <w:jc w:val="center"/>
              <w:rPr>
                <w:rFonts w:hint="eastAsia" w:ascii="宋体" w:hAnsi="宋体" w:eastAsia="宋体" w:cs="宋体"/>
                <w:b/>
                <w:color w:val="000000"/>
                <w:sz w:val="24"/>
                <w:szCs w:val="24"/>
              </w:rPr>
            </w:pPr>
          </w:p>
        </w:tc>
        <w:tc>
          <w:tcPr>
            <w:tcW w:w="1590" w:type="dxa"/>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1093438D">
            <w:pPr>
              <w:widowControl/>
              <w:spacing w:line="240" w:lineRule="exact"/>
              <w:jc w:val="center"/>
              <w:rPr>
                <w:rFonts w:hint="eastAsia" w:ascii="宋体" w:hAnsi="宋体" w:eastAsia="宋体" w:cs="宋体"/>
                <w:b/>
                <w:color w:val="000000"/>
                <w:sz w:val="24"/>
                <w:szCs w:val="24"/>
              </w:rPr>
            </w:pPr>
          </w:p>
        </w:tc>
        <w:tc>
          <w:tcPr>
            <w:tcW w:w="1355" w:type="dxa"/>
            <w:gridSpan w:val="2"/>
            <w:tcBorders>
              <w:top w:val="single" w:color="000000" w:sz="4" w:space="0"/>
              <w:left w:val="single" w:color="000000" w:sz="4" w:space="0"/>
              <w:bottom w:val="single" w:color="000000" w:sz="4" w:space="0"/>
              <w:right w:val="single" w:color="000000" w:sz="4" w:space="0"/>
            </w:tcBorders>
            <w:noWrap w:val="0"/>
            <w:vAlign w:val="center"/>
          </w:tcPr>
          <w:p w14:paraId="6907AF81">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BA4EF94">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gridSpan w:val="6"/>
            <w:tcBorders>
              <w:top w:val="single" w:color="000000" w:sz="4" w:space="0"/>
              <w:left w:val="single" w:color="000000" w:sz="4" w:space="0"/>
              <w:bottom w:val="single" w:color="000000" w:sz="4" w:space="0"/>
              <w:right w:val="single" w:color="000000" w:sz="4" w:space="0"/>
            </w:tcBorders>
            <w:noWrap w:val="0"/>
            <w:vAlign w:val="center"/>
          </w:tcPr>
          <w:p w14:paraId="34C5C940">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资金涉及相关受益群体、支持对象的满意度调查访谈情况</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767A63D7">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AF73A34">
            <w:pPr>
              <w:widowControl/>
              <w:spacing w:line="240" w:lineRule="exact"/>
              <w:jc w:val="left"/>
              <w:textAlignment w:val="center"/>
              <w:rPr>
                <w:rFonts w:hint="eastAsia" w:ascii="宋体" w:hAnsi="宋体" w:eastAsia="宋体" w:cs="宋体"/>
                <w:color w:val="000000"/>
                <w:kern w:val="0"/>
                <w:sz w:val="24"/>
                <w:szCs w:val="24"/>
                <w:lang w:bidi="ar"/>
              </w:rPr>
            </w:pPr>
          </w:p>
        </w:tc>
      </w:tr>
      <w:tr w14:paraId="529FCF18">
        <w:tblPrEx>
          <w:tblCellMar>
            <w:top w:w="0" w:type="dxa"/>
            <w:left w:w="108" w:type="dxa"/>
            <w:bottom w:w="0" w:type="dxa"/>
            <w:right w:w="108" w:type="dxa"/>
          </w:tblCellMar>
        </w:tblPrEx>
        <w:trPr>
          <w:wBefore w:w="0" w:type="auto"/>
          <w:trHeight w:val="23" w:hRule="atLeast"/>
          <w:jc w:val="center"/>
        </w:trPr>
        <w:tc>
          <w:tcPr>
            <w:tcW w:w="72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B0C446">
            <w:pPr>
              <w:widowControl/>
              <w:spacing w:line="240" w:lineRule="exact"/>
              <w:jc w:val="center"/>
              <w:rPr>
                <w:rFonts w:hint="eastAsia" w:ascii="宋体" w:hAnsi="宋体" w:eastAsia="宋体" w:cs="宋体"/>
                <w:b/>
                <w:color w:val="000000"/>
                <w:sz w:val="24"/>
                <w:szCs w:val="24"/>
              </w:rPr>
            </w:pPr>
          </w:p>
        </w:tc>
        <w:tc>
          <w:tcPr>
            <w:tcW w:w="76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C9BD6B4">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基础</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设施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82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8A69633">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在建</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gridSpan w:val="2"/>
            <w:tcBorders>
              <w:top w:val="single" w:color="000000" w:sz="4" w:space="0"/>
              <w:left w:val="single" w:color="000000" w:sz="4" w:space="0"/>
              <w:bottom w:val="single" w:color="000000" w:sz="4" w:space="0"/>
              <w:right w:val="single" w:color="000000" w:sz="4" w:space="0"/>
            </w:tcBorders>
            <w:noWrap w:val="0"/>
            <w:vAlign w:val="center"/>
          </w:tcPr>
          <w:p w14:paraId="0E2E744D">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FC9EDE9">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gridSpan w:val="6"/>
            <w:tcBorders>
              <w:top w:val="single" w:color="000000" w:sz="4" w:space="0"/>
              <w:left w:val="single" w:color="000000" w:sz="4" w:space="0"/>
              <w:bottom w:val="single" w:color="000000" w:sz="4" w:space="0"/>
              <w:right w:val="single" w:color="000000" w:sz="4" w:space="0"/>
            </w:tcBorders>
            <w:noWrap w:val="0"/>
            <w:vAlign w:val="center"/>
          </w:tcPr>
          <w:p w14:paraId="704C2C7A">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项目是否达到计划工程进度</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58E33C6D">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692FED5">
            <w:pPr>
              <w:widowControl/>
              <w:spacing w:line="240" w:lineRule="exact"/>
              <w:jc w:val="left"/>
              <w:textAlignment w:val="center"/>
              <w:rPr>
                <w:rFonts w:hint="eastAsia" w:ascii="宋体" w:hAnsi="宋体" w:eastAsia="宋体" w:cs="宋体"/>
                <w:color w:val="000000"/>
                <w:kern w:val="0"/>
                <w:sz w:val="24"/>
                <w:szCs w:val="24"/>
                <w:lang w:bidi="ar"/>
              </w:rPr>
            </w:pPr>
          </w:p>
        </w:tc>
      </w:tr>
      <w:tr w14:paraId="228D8A35">
        <w:tblPrEx>
          <w:tblCellMar>
            <w:top w:w="0" w:type="dxa"/>
            <w:left w:w="108" w:type="dxa"/>
            <w:bottom w:w="0" w:type="dxa"/>
            <w:right w:w="108" w:type="dxa"/>
          </w:tblCellMar>
        </w:tblPrEx>
        <w:trPr>
          <w:wBefore w:w="0" w:type="auto"/>
          <w:trHeight w:val="23" w:hRule="atLeast"/>
          <w:jc w:val="center"/>
        </w:trPr>
        <w:tc>
          <w:tcPr>
            <w:tcW w:w="72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A48AB4">
            <w:pPr>
              <w:widowControl/>
              <w:spacing w:line="240" w:lineRule="exact"/>
              <w:jc w:val="center"/>
              <w:rPr>
                <w:rFonts w:hint="eastAsia" w:ascii="宋体" w:hAnsi="宋体" w:eastAsia="宋体" w:cs="宋体"/>
                <w:b/>
                <w:color w:val="000000"/>
                <w:sz w:val="24"/>
                <w:szCs w:val="24"/>
              </w:rPr>
            </w:pPr>
          </w:p>
        </w:tc>
        <w:tc>
          <w:tcPr>
            <w:tcW w:w="76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513029">
            <w:pPr>
              <w:widowControl/>
              <w:spacing w:line="240" w:lineRule="exact"/>
              <w:jc w:val="center"/>
              <w:rPr>
                <w:rFonts w:hint="eastAsia" w:ascii="宋体" w:hAnsi="宋体" w:eastAsia="宋体" w:cs="宋体"/>
                <w:b/>
                <w:color w:val="000000"/>
                <w:sz w:val="24"/>
                <w:szCs w:val="24"/>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505A59">
            <w:pPr>
              <w:widowControl/>
              <w:spacing w:line="240" w:lineRule="exact"/>
              <w:jc w:val="center"/>
              <w:rPr>
                <w:rFonts w:hint="eastAsia" w:ascii="宋体" w:hAnsi="宋体" w:eastAsia="宋体" w:cs="宋体"/>
                <w:b/>
                <w:color w:val="000000"/>
                <w:sz w:val="24"/>
                <w:szCs w:val="24"/>
              </w:rPr>
            </w:pPr>
          </w:p>
        </w:tc>
        <w:tc>
          <w:tcPr>
            <w:tcW w:w="1355" w:type="dxa"/>
            <w:gridSpan w:val="2"/>
            <w:tcBorders>
              <w:top w:val="single" w:color="000000" w:sz="4" w:space="0"/>
              <w:left w:val="single" w:color="000000" w:sz="4" w:space="0"/>
              <w:bottom w:val="single" w:color="000000" w:sz="4" w:space="0"/>
              <w:right w:val="single" w:color="000000" w:sz="4" w:space="0"/>
            </w:tcBorders>
            <w:noWrap w:val="0"/>
            <w:vAlign w:val="center"/>
          </w:tcPr>
          <w:p w14:paraId="5FA8CA4A">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768D079">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gridSpan w:val="6"/>
            <w:tcBorders>
              <w:top w:val="single" w:color="000000" w:sz="4" w:space="0"/>
              <w:left w:val="single" w:color="000000" w:sz="4" w:space="0"/>
              <w:bottom w:val="single" w:color="000000" w:sz="4" w:space="0"/>
              <w:right w:val="single" w:color="000000" w:sz="4" w:space="0"/>
            </w:tcBorders>
            <w:noWrap w:val="0"/>
            <w:vAlign w:val="center"/>
          </w:tcPr>
          <w:p w14:paraId="358C7017">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项目是否达到预先确定的资金拨付进度</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3BC28656">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B9EA1B6">
            <w:pPr>
              <w:widowControl/>
              <w:spacing w:line="240" w:lineRule="exact"/>
              <w:jc w:val="left"/>
              <w:textAlignment w:val="center"/>
              <w:rPr>
                <w:rFonts w:hint="eastAsia" w:ascii="宋体" w:hAnsi="宋体" w:eastAsia="宋体" w:cs="宋体"/>
                <w:color w:val="000000"/>
                <w:kern w:val="0"/>
                <w:sz w:val="24"/>
                <w:szCs w:val="24"/>
                <w:lang w:bidi="ar"/>
              </w:rPr>
            </w:pPr>
          </w:p>
        </w:tc>
      </w:tr>
      <w:tr w14:paraId="51B0A114">
        <w:tblPrEx>
          <w:tblCellMar>
            <w:top w:w="0" w:type="dxa"/>
            <w:left w:w="108" w:type="dxa"/>
            <w:bottom w:w="0" w:type="dxa"/>
            <w:right w:w="108" w:type="dxa"/>
          </w:tblCellMar>
        </w:tblPrEx>
        <w:trPr>
          <w:wBefore w:w="0" w:type="auto"/>
          <w:trHeight w:val="23" w:hRule="atLeast"/>
          <w:jc w:val="center"/>
        </w:trPr>
        <w:tc>
          <w:tcPr>
            <w:tcW w:w="72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25B7DD">
            <w:pPr>
              <w:widowControl/>
              <w:spacing w:line="240" w:lineRule="exact"/>
              <w:jc w:val="center"/>
              <w:rPr>
                <w:rFonts w:hint="eastAsia" w:ascii="宋体" w:hAnsi="宋体" w:eastAsia="宋体" w:cs="宋体"/>
                <w:b/>
                <w:color w:val="000000"/>
                <w:sz w:val="24"/>
                <w:szCs w:val="24"/>
              </w:rPr>
            </w:pPr>
          </w:p>
        </w:tc>
        <w:tc>
          <w:tcPr>
            <w:tcW w:w="76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4F537D">
            <w:pPr>
              <w:widowControl/>
              <w:spacing w:line="240" w:lineRule="exact"/>
              <w:jc w:val="center"/>
              <w:rPr>
                <w:rFonts w:hint="eastAsia" w:ascii="宋体" w:hAnsi="宋体" w:eastAsia="宋体" w:cs="宋体"/>
                <w:b/>
                <w:color w:val="000000"/>
                <w:sz w:val="24"/>
                <w:szCs w:val="24"/>
              </w:rPr>
            </w:pPr>
          </w:p>
        </w:tc>
        <w:tc>
          <w:tcPr>
            <w:tcW w:w="82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60031BC">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建成</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gridSpan w:val="2"/>
            <w:tcBorders>
              <w:top w:val="single" w:color="000000" w:sz="4" w:space="0"/>
              <w:left w:val="single" w:color="000000" w:sz="4" w:space="0"/>
              <w:bottom w:val="single" w:color="000000" w:sz="4" w:space="0"/>
              <w:right w:val="single" w:color="000000" w:sz="4" w:space="0"/>
            </w:tcBorders>
            <w:noWrap w:val="0"/>
            <w:vAlign w:val="center"/>
          </w:tcPr>
          <w:p w14:paraId="29858CDC">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384F8C5">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gridSpan w:val="6"/>
            <w:tcBorders>
              <w:top w:val="single" w:color="000000" w:sz="4" w:space="0"/>
              <w:left w:val="single" w:color="000000" w:sz="4" w:space="0"/>
              <w:bottom w:val="single" w:color="000000" w:sz="4" w:space="0"/>
              <w:right w:val="single" w:color="000000" w:sz="4" w:space="0"/>
            </w:tcBorders>
            <w:noWrap w:val="0"/>
            <w:vAlign w:val="center"/>
          </w:tcPr>
          <w:p w14:paraId="42057C54">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项目验收是否及时合格</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6D51AE68">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63E94C9">
            <w:pPr>
              <w:widowControl/>
              <w:spacing w:line="240" w:lineRule="exact"/>
              <w:jc w:val="left"/>
              <w:textAlignment w:val="center"/>
              <w:rPr>
                <w:rFonts w:hint="eastAsia" w:ascii="宋体" w:hAnsi="宋体" w:eastAsia="宋体" w:cs="宋体"/>
                <w:color w:val="000000"/>
                <w:kern w:val="0"/>
                <w:sz w:val="24"/>
                <w:szCs w:val="24"/>
                <w:lang w:bidi="ar"/>
              </w:rPr>
            </w:pPr>
          </w:p>
        </w:tc>
      </w:tr>
      <w:tr w14:paraId="5F2A9086">
        <w:tblPrEx>
          <w:tblCellMar>
            <w:top w:w="0" w:type="dxa"/>
            <w:left w:w="108" w:type="dxa"/>
            <w:bottom w:w="0" w:type="dxa"/>
            <w:right w:w="108" w:type="dxa"/>
          </w:tblCellMar>
        </w:tblPrEx>
        <w:trPr>
          <w:wBefore w:w="0" w:type="auto"/>
          <w:trHeight w:val="23" w:hRule="atLeast"/>
          <w:jc w:val="center"/>
        </w:trPr>
        <w:tc>
          <w:tcPr>
            <w:tcW w:w="72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5B7027">
            <w:pPr>
              <w:widowControl/>
              <w:spacing w:line="240" w:lineRule="exact"/>
              <w:jc w:val="center"/>
              <w:rPr>
                <w:rFonts w:hint="eastAsia" w:ascii="宋体" w:hAnsi="宋体" w:eastAsia="宋体" w:cs="宋体"/>
                <w:b/>
                <w:color w:val="000000"/>
                <w:sz w:val="24"/>
                <w:szCs w:val="24"/>
              </w:rPr>
            </w:pPr>
          </w:p>
        </w:tc>
        <w:tc>
          <w:tcPr>
            <w:tcW w:w="76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573E4D">
            <w:pPr>
              <w:widowControl/>
              <w:spacing w:line="240" w:lineRule="exact"/>
              <w:jc w:val="center"/>
              <w:rPr>
                <w:rFonts w:hint="eastAsia" w:ascii="宋体" w:hAnsi="宋体" w:eastAsia="宋体" w:cs="宋体"/>
                <w:b/>
                <w:color w:val="000000"/>
                <w:sz w:val="24"/>
                <w:szCs w:val="24"/>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5CC434">
            <w:pPr>
              <w:widowControl/>
              <w:spacing w:line="240" w:lineRule="exact"/>
              <w:jc w:val="center"/>
              <w:rPr>
                <w:rFonts w:hint="eastAsia" w:ascii="宋体" w:hAnsi="宋体" w:eastAsia="宋体" w:cs="宋体"/>
                <w:b/>
                <w:color w:val="000000"/>
                <w:sz w:val="24"/>
                <w:szCs w:val="24"/>
              </w:rPr>
            </w:pPr>
          </w:p>
        </w:tc>
        <w:tc>
          <w:tcPr>
            <w:tcW w:w="1355" w:type="dxa"/>
            <w:gridSpan w:val="2"/>
            <w:tcBorders>
              <w:top w:val="single" w:color="000000" w:sz="4" w:space="0"/>
              <w:left w:val="single" w:color="000000" w:sz="4" w:space="0"/>
              <w:bottom w:val="single" w:color="000000" w:sz="4" w:space="0"/>
              <w:right w:val="single" w:color="000000" w:sz="4" w:space="0"/>
            </w:tcBorders>
            <w:noWrap w:val="0"/>
            <w:vAlign w:val="center"/>
          </w:tcPr>
          <w:p w14:paraId="036D92A0">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199514B">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gridSpan w:val="6"/>
            <w:tcBorders>
              <w:top w:val="single" w:color="000000" w:sz="4" w:space="0"/>
              <w:left w:val="single" w:color="000000" w:sz="4" w:space="0"/>
              <w:bottom w:val="single" w:color="000000" w:sz="4" w:space="0"/>
              <w:right w:val="single" w:color="000000" w:sz="4" w:space="0"/>
            </w:tcBorders>
            <w:noWrap w:val="0"/>
            <w:vAlign w:val="center"/>
          </w:tcPr>
          <w:p w14:paraId="3868C925">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项目经济社会功能是否实现</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57407434">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753EB23">
            <w:pPr>
              <w:widowControl/>
              <w:spacing w:line="240" w:lineRule="exact"/>
              <w:jc w:val="left"/>
              <w:textAlignment w:val="center"/>
              <w:rPr>
                <w:rFonts w:hint="eastAsia" w:ascii="宋体" w:hAnsi="宋体" w:eastAsia="宋体" w:cs="宋体"/>
                <w:color w:val="000000"/>
                <w:kern w:val="0"/>
                <w:sz w:val="24"/>
                <w:szCs w:val="24"/>
                <w:lang w:bidi="ar"/>
              </w:rPr>
            </w:pPr>
          </w:p>
        </w:tc>
      </w:tr>
      <w:tr w14:paraId="182F7BE9">
        <w:tblPrEx>
          <w:tblCellMar>
            <w:top w:w="0" w:type="dxa"/>
            <w:left w:w="108" w:type="dxa"/>
            <w:bottom w:w="0" w:type="dxa"/>
            <w:right w:w="108" w:type="dxa"/>
          </w:tblCellMar>
        </w:tblPrEx>
        <w:trPr>
          <w:wBefore w:w="0" w:type="auto"/>
          <w:trHeight w:val="23" w:hRule="atLeast"/>
          <w:jc w:val="center"/>
        </w:trPr>
        <w:tc>
          <w:tcPr>
            <w:tcW w:w="72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DA3C0E">
            <w:pPr>
              <w:widowControl/>
              <w:spacing w:line="240" w:lineRule="exact"/>
              <w:jc w:val="center"/>
              <w:rPr>
                <w:rFonts w:hint="eastAsia" w:ascii="宋体" w:hAnsi="宋体" w:eastAsia="宋体" w:cs="宋体"/>
                <w:b/>
                <w:color w:val="000000"/>
                <w:sz w:val="24"/>
                <w:szCs w:val="24"/>
              </w:rPr>
            </w:pPr>
          </w:p>
        </w:tc>
        <w:tc>
          <w:tcPr>
            <w:tcW w:w="76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FAE4F4">
            <w:pPr>
              <w:widowControl/>
              <w:spacing w:line="240" w:lineRule="exact"/>
              <w:jc w:val="center"/>
              <w:rPr>
                <w:rFonts w:hint="eastAsia" w:ascii="宋体" w:hAnsi="宋体" w:eastAsia="宋体" w:cs="宋体"/>
                <w:b/>
                <w:color w:val="000000"/>
                <w:sz w:val="24"/>
                <w:szCs w:val="24"/>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C9A92F">
            <w:pPr>
              <w:widowControl/>
              <w:spacing w:line="240" w:lineRule="exact"/>
              <w:jc w:val="center"/>
              <w:rPr>
                <w:rFonts w:hint="eastAsia" w:ascii="宋体" w:hAnsi="宋体" w:eastAsia="宋体" w:cs="宋体"/>
                <w:b/>
                <w:color w:val="000000"/>
                <w:sz w:val="24"/>
                <w:szCs w:val="24"/>
              </w:rPr>
            </w:pPr>
          </w:p>
        </w:tc>
        <w:tc>
          <w:tcPr>
            <w:tcW w:w="1355" w:type="dxa"/>
            <w:gridSpan w:val="2"/>
            <w:tcBorders>
              <w:top w:val="single" w:color="000000" w:sz="4" w:space="0"/>
              <w:left w:val="single" w:color="000000" w:sz="4" w:space="0"/>
              <w:bottom w:val="single" w:color="000000" w:sz="4" w:space="0"/>
              <w:right w:val="single" w:color="000000" w:sz="4" w:space="0"/>
            </w:tcBorders>
            <w:noWrap w:val="0"/>
            <w:vAlign w:val="center"/>
          </w:tcPr>
          <w:p w14:paraId="7F2A0A39">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9FFCD91">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gridSpan w:val="6"/>
            <w:tcBorders>
              <w:top w:val="single" w:color="000000" w:sz="4" w:space="0"/>
              <w:left w:val="single" w:color="000000" w:sz="4" w:space="0"/>
              <w:bottom w:val="single" w:color="000000" w:sz="4" w:space="0"/>
              <w:right w:val="single" w:color="000000" w:sz="4" w:space="0"/>
            </w:tcBorders>
            <w:noWrap w:val="0"/>
            <w:vAlign w:val="center"/>
          </w:tcPr>
          <w:p w14:paraId="0C6A91A9">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项目后续维护是否实现</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6864615A">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91658BC">
            <w:pPr>
              <w:widowControl/>
              <w:spacing w:line="240" w:lineRule="exact"/>
              <w:jc w:val="left"/>
              <w:textAlignment w:val="center"/>
              <w:rPr>
                <w:rFonts w:hint="eastAsia" w:ascii="宋体" w:hAnsi="宋体" w:eastAsia="宋体" w:cs="宋体"/>
                <w:color w:val="000000"/>
                <w:kern w:val="0"/>
                <w:sz w:val="24"/>
                <w:szCs w:val="24"/>
                <w:lang w:bidi="ar"/>
              </w:rPr>
            </w:pPr>
          </w:p>
        </w:tc>
      </w:tr>
      <w:tr w14:paraId="3E5184C9">
        <w:tblPrEx>
          <w:tblCellMar>
            <w:top w:w="0" w:type="dxa"/>
            <w:left w:w="108" w:type="dxa"/>
            <w:bottom w:w="0" w:type="dxa"/>
            <w:right w:w="108" w:type="dxa"/>
          </w:tblCellMar>
        </w:tblPrEx>
        <w:trPr>
          <w:wBefore w:w="0" w:type="auto"/>
          <w:trHeight w:val="23" w:hRule="atLeast"/>
          <w:jc w:val="center"/>
        </w:trPr>
        <w:tc>
          <w:tcPr>
            <w:tcW w:w="72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F7BF5A9">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4"/>
            <w:vMerge w:val="restart"/>
            <w:tcBorders>
              <w:top w:val="single" w:color="000000" w:sz="4" w:space="0"/>
              <w:left w:val="single" w:color="000000" w:sz="4" w:space="0"/>
              <w:bottom w:val="single" w:color="000000" w:sz="4" w:space="0"/>
              <w:right w:val="single" w:color="000000" w:sz="4" w:space="0"/>
            </w:tcBorders>
            <w:noWrap w:val="0"/>
            <w:vAlign w:val="center"/>
          </w:tcPr>
          <w:p w14:paraId="69B7224B">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行政运转</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gridSpan w:val="2"/>
            <w:tcBorders>
              <w:top w:val="nil"/>
              <w:left w:val="single" w:color="000000" w:sz="4" w:space="0"/>
              <w:bottom w:val="single" w:color="000000" w:sz="4" w:space="0"/>
              <w:right w:val="single" w:color="000000" w:sz="4" w:space="0"/>
            </w:tcBorders>
            <w:noWrap w:val="0"/>
            <w:vAlign w:val="center"/>
          </w:tcPr>
          <w:p w14:paraId="70069E9C">
            <w:pPr>
              <w:widowControl/>
              <w:spacing w:line="240" w:lineRule="exact"/>
              <w:jc w:val="center"/>
              <w:textAlignment w:val="center"/>
              <w:rPr>
                <w:rFonts w:hint="eastAsia" w:ascii="宋体" w:hAnsi="宋体" w:eastAsia="宋体" w:cs="宋体"/>
                <w:color w:val="000000"/>
                <w:sz w:val="22"/>
                <w:szCs w:val="24"/>
              </w:rPr>
            </w:pPr>
            <w:r>
              <w:rPr>
                <w:rFonts w:hint="eastAsia" w:ascii="宋体" w:hAnsi="宋体" w:eastAsia="宋体" w:cs="宋体"/>
                <w:color w:val="000000"/>
                <w:kern w:val="0"/>
                <w:sz w:val="22"/>
                <w:szCs w:val="24"/>
                <w:lang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14:paraId="68051D94">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gridSpan w:val="6"/>
            <w:tcBorders>
              <w:top w:val="nil"/>
              <w:left w:val="single" w:color="000000" w:sz="4" w:space="0"/>
              <w:bottom w:val="single" w:color="000000" w:sz="4" w:space="0"/>
              <w:right w:val="single" w:color="000000" w:sz="4" w:space="0"/>
            </w:tcBorders>
            <w:noWrap w:val="0"/>
            <w:vAlign w:val="center"/>
          </w:tcPr>
          <w:p w14:paraId="52BFD630">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是否按规定用途、适用范围进行本地区专项资金分配</w:t>
            </w:r>
          </w:p>
        </w:tc>
        <w:tc>
          <w:tcPr>
            <w:tcW w:w="732" w:type="dxa"/>
            <w:gridSpan w:val="2"/>
            <w:tcBorders>
              <w:top w:val="nil"/>
              <w:left w:val="single" w:color="000000" w:sz="4" w:space="0"/>
              <w:bottom w:val="single" w:color="000000" w:sz="4" w:space="0"/>
              <w:right w:val="single" w:color="000000" w:sz="4" w:space="0"/>
            </w:tcBorders>
            <w:noWrap w:val="0"/>
            <w:vAlign w:val="center"/>
          </w:tcPr>
          <w:p w14:paraId="7D4731BC">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nil"/>
              <w:left w:val="single" w:color="000000" w:sz="4" w:space="0"/>
              <w:bottom w:val="single" w:color="000000" w:sz="4" w:space="0"/>
              <w:right w:val="single" w:color="000000" w:sz="4" w:space="0"/>
            </w:tcBorders>
            <w:noWrap w:val="0"/>
            <w:vAlign w:val="center"/>
          </w:tcPr>
          <w:p w14:paraId="18A2A5E8">
            <w:pPr>
              <w:widowControl/>
              <w:spacing w:line="240" w:lineRule="exact"/>
              <w:jc w:val="left"/>
              <w:textAlignment w:val="center"/>
              <w:rPr>
                <w:rFonts w:hint="eastAsia" w:ascii="宋体" w:hAnsi="宋体" w:eastAsia="宋体" w:cs="宋体"/>
                <w:color w:val="000000"/>
                <w:kern w:val="0"/>
                <w:sz w:val="24"/>
                <w:szCs w:val="24"/>
                <w:lang w:bidi="ar"/>
              </w:rPr>
            </w:pPr>
          </w:p>
        </w:tc>
      </w:tr>
      <w:tr w14:paraId="6C36CDCD">
        <w:tblPrEx>
          <w:tblCellMar>
            <w:top w:w="0" w:type="dxa"/>
            <w:left w:w="108" w:type="dxa"/>
            <w:bottom w:w="0" w:type="dxa"/>
            <w:right w:w="108" w:type="dxa"/>
          </w:tblCellMar>
        </w:tblPrEx>
        <w:trPr>
          <w:wBefore w:w="0" w:type="auto"/>
          <w:trHeight w:val="23" w:hRule="atLeast"/>
          <w:jc w:val="center"/>
        </w:trPr>
        <w:tc>
          <w:tcPr>
            <w:tcW w:w="72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D1E8A0">
            <w:pPr>
              <w:widowControl/>
              <w:spacing w:line="240" w:lineRule="exact"/>
              <w:jc w:val="center"/>
              <w:rPr>
                <w:rFonts w:hint="eastAsia" w:ascii="宋体" w:hAnsi="宋体" w:eastAsia="宋体" w:cs="宋体"/>
                <w:b/>
                <w:color w:val="000000"/>
                <w:sz w:val="24"/>
                <w:szCs w:val="24"/>
              </w:rPr>
            </w:pPr>
          </w:p>
        </w:tc>
        <w:tc>
          <w:tcPr>
            <w:tcW w:w="1590" w:type="dxa"/>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328E46AC">
            <w:pPr>
              <w:widowControl/>
              <w:spacing w:line="240" w:lineRule="exact"/>
              <w:jc w:val="center"/>
              <w:rPr>
                <w:rFonts w:hint="eastAsia" w:ascii="宋体" w:hAnsi="宋体" w:eastAsia="宋体" w:cs="宋体"/>
                <w:b/>
                <w:color w:val="000000"/>
                <w:sz w:val="24"/>
                <w:szCs w:val="24"/>
              </w:rPr>
            </w:pPr>
          </w:p>
        </w:tc>
        <w:tc>
          <w:tcPr>
            <w:tcW w:w="1355" w:type="dxa"/>
            <w:gridSpan w:val="2"/>
            <w:tcBorders>
              <w:top w:val="nil"/>
              <w:left w:val="single" w:color="000000" w:sz="4" w:space="0"/>
              <w:bottom w:val="single" w:color="000000" w:sz="4" w:space="0"/>
              <w:right w:val="single" w:color="000000" w:sz="4" w:space="0"/>
            </w:tcBorders>
            <w:noWrap w:val="0"/>
            <w:vAlign w:val="center"/>
          </w:tcPr>
          <w:p w14:paraId="250E0C15">
            <w:pPr>
              <w:widowControl/>
              <w:spacing w:line="240" w:lineRule="exact"/>
              <w:jc w:val="center"/>
              <w:textAlignment w:val="center"/>
              <w:rPr>
                <w:rFonts w:hint="eastAsia" w:ascii="宋体" w:hAnsi="宋体" w:eastAsia="宋体" w:cs="宋体"/>
                <w:color w:val="000000"/>
                <w:sz w:val="22"/>
                <w:szCs w:val="24"/>
              </w:rPr>
            </w:pPr>
            <w:r>
              <w:rPr>
                <w:rFonts w:hint="eastAsia" w:ascii="宋体" w:hAnsi="宋体" w:eastAsia="宋体" w:cs="宋体"/>
                <w:color w:val="000000"/>
                <w:kern w:val="0"/>
                <w:sz w:val="22"/>
                <w:szCs w:val="24"/>
                <w:lang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14:paraId="4BAED1A3">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gridSpan w:val="6"/>
            <w:tcBorders>
              <w:top w:val="single" w:color="000000" w:sz="4" w:space="0"/>
              <w:left w:val="single" w:color="000000" w:sz="4" w:space="0"/>
              <w:bottom w:val="single" w:color="000000" w:sz="4" w:space="0"/>
              <w:right w:val="single" w:color="000000" w:sz="4" w:space="0"/>
            </w:tcBorders>
            <w:noWrap w:val="0"/>
            <w:vAlign w:val="center"/>
          </w:tcPr>
          <w:p w14:paraId="4B6CC968">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资金管理程序是否符合专项资金管理要求</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6D2DB33D">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7DD6377">
            <w:pPr>
              <w:widowControl/>
              <w:spacing w:line="240" w:lineRule="exact"/>
              <w:jc w:val="left"/>
              <w:textAlignment w:val="center"/>
              <w:rPr>
                <w:rFonts w:hint="eastAsia" w:ascii="宋体" w:hAnsi="宋体" w:eastAsia="宋体" w:cs="宋体"/>
                <w:color w:val="000000"/>
                <w:kern w:val="0"/>
                <w:sz w:val="24"/>
                <w:szCs w:val="24"/>
                <w:lang w:bidi="ar"/>
              </w:rPr>
            </w:pPr>
          </w:p>
        </w:tc>
      </w:tr>
      <w:tr w14:paraId="143DD38D">
        <w:tblPrEx>
          <w:tblCellMar>
            <w:top w:w="0" w:type="dxa"/>
            <w:left w:w="108" w:type="dxa"/>
            <w:bottom w:w="0" w:type="dxa"/>
            <w:right w:w="108" w:type="dxa"/>
          </w:tblCellMar>
        </w:tblPrEx>
        <w:trPr>
          <w:wBefore w:w="0" w:type="auto"/>
          <w:trHeight w:val="23" w:hRule="atLeast"/>
          <w:jc w:val="center"/>
        </w:trPr>
        <w:tc>
          <w:tcPr>
            <w:tcW w:w="72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276AED">
            <w:pPr>
              <w:widowControl/>
              <w:spacing w:line="240" w:lineRule="exact"/>
              <w:jc w:val="center"/>
              <w:rPr>
                <w:rFonts w:hint="eastAsia" w:ascii="宋体" w:hAnsi="宋体" w:eastAsia="宋体" w:cs="宋体"/>
                <w:b/>
                <w:color w:val="000000"/>
                <w:sz w:val="24"/>
                <w:szCs w:val="24"/>
              </w:rPr>
            </w:pPr>
          </w:p>
        </w:tc>
        <w:tc>
          <w:tcPr>
            <w:tcW w:w="1590" w:type="dxa"/>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00DB85DE">
            <w:pPr>
              <w:widowControl/>
              <w:spacing w:line="240" w:lineRule="exact"/>
              <w:jc w:val="center"/>
              <w:rPr>
                <w:rFonts w:hint="eastAsia" w:ascii="宋体" w:hAnsi="宋体" w:eastAsia="宋体" w:cs="宋体"/>
                <w:b/>
                <w:color w:val="000000"/>
                <w:sz w:val="24"/>
                <w:szCs w:val="24"/>
              </w:rPr>
            </w:pPr>
          </w:p>
        </w:tc>
        <w:tc>
          <w:tcPr>
            <w:tcW w:w="1355" w:type="dxa"/>
            <w:gridSpan w:val="2"/>
            <w:tcBorders>
              <w:top w:val="nil"/>
              <w:left w:val="single" w:color="000000" w:sz="4" w:space="0"/>
              <w:bottom w:val="single" w:color="000000" w:sz="4" w:space="0"/>
              <w:right w:val="single" w:color="000000" w:sz="4" w:space="0"/>
            </w:tcBorders>
            <w:noWrap w:val="0"/>
            <w:vAlign w:val="center"/>
          </w:tcPr>
          <w:p w14:paraId="06EF048F">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2"/>
                <w:szCs w:val="24"/>
                <w:lang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14:paraId="0C540CCB">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gridSpan w:val="6"/>
            <w:tcBorders>
              <w:top w:val="single" w:color="000000" w:sz="4" w:space="0"/>
              <w:left w:val="single" w:color="000000" w:sz="4" w:space="0"/>
              <w:bottom w:val="single" w:color="000000" w:sz="4" w:space="0"/>
              <w:right w:val="single" w:color="000000" w:sz="4" w:space="0"/>
            </w:tcBorders>
            <w:noWrap w:val="0"/>
            <w:vAlign w:val="center"/>
          </w:tcPr>
          <w:p w14:paraId="5224A4CD">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资金分配标准是否符合专项资金管理要求</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4B8D1FA1">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70D8DCA">
            <w:pPr>
              <w:widowControl/>
              <w:spacing w:line="240" w:lineRule="exact"/>
              <w:jc w:val="left"/>
              <w:textAlignment w:val="center"/>
              <w:rPr>
                <w:rFonts w:hint="eastAsia" w:ascii="宋体" w:hAnsi="宋体" w:eastAsia="宋体" w:cs="宋体"/>
                <w:color w:val="000000"/>
                <w:kern w:val="0"/>
                <w:sz w:val="24"/>
                <w:szCs w:val="24"/>
                <w:lang w:bidi="ar"/>
              </w:rPr>
            </w:pPr>
          </w:p>
        </w:tc>
      </w:tr>
      <w:tr w14:paraId="59C6B161">
        <w:tblPrEx>
          <w:tblCellMar>
            <w:top w:w="0" w:type="dxa"/>
            <w:left w:w="108" w:type="dxa"/>
            <w:bottom w:w="0" w:type="dxa"/>
            <w:right w:w="108" w:type="dxa"/>
          </w:tblCellMar>
        </w:tblPrEx>
        <w:trPr>
          <w:wBefore w:w="0" w:type="auto"/>
          <w:trHeight w:val="23" w:hRule="atLeast"/>
          <w:jc w:val="center"/>
        </w:trPr>
        <w:tc>
          <w:tcPr>
            <w:tcW w:w="2310" w:type="dxa"/>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309B68A5">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个性指标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（16分）</w:t>
            </w:r>
          </w:p>
        </w:tc>
        <w:tc>
          <w:tcPr>
            <w:tcW w:w="1355" w:type="dxa"/>
            <w:gridSpan w:val="2"/>
            <w:tcBorders>
              <w:top w:val="single" w:color="000000" w:sz="4" w:space="0"/>
              <w:left w:val="single" w:color="000000" w:sz="4" w:space="0"/>
              <w:bottom w:val="single" w:color="000000" w:sz="4" w:space="0"/>
              <w:right w:val="single" w:color="000000" w:sz="4" w:space="0"/>
            </w:tcBorders>
            <w:noWrap w:val="0"/>
            <w:vAlign w:val="center"/>
          </w:tcPr>
          <w:p w14:paraId="7DD75596">
            <w:pPr>
              <w:widowControl/>
              <w:spacing w:line="240" w:lineRule="exact"/>
              <w:jc w:val="center"/>
              <w:textAlignment w:val="center"/>
              <w:rPr>
                <w:rFonts w:hint="eastAsia" w:ascii="宋体" w:hAnsi="宋体" w:eastAsia="宋体" w:cs="宋体"/>
                <w:color w:val="000000"/>
                <w:sz w:val="24"/>
                <w:szCs w:val="24"/>
              </w:rPr>
            </w:pPr>
            <w:r>
              <w:rPr>
                <w:sz w:val="24"/>
              </w:rPr>
              <w:t>工作完成及时性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FAAE9FA">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8</w:t>
            </w:r>
          </w:p>
        </w:tc>
        <w:tc>
          <w:tcPr>
            <w:tcW w:w="5340" w:type="dxa"/>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63DC7AA4">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根据项目个性自行设定部分指标，反映该项指标执行完成情况。</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255E8C49">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FA32DEE">
            <w:pPr>
              <w:widowControl/>
              <w:spacing w:line="240" w:lineRule="exact"/>
              <w:jc w:val="left"/>
              <w:textAlignment w:val="center"/>
              <w:rPr>
                <w:rFonts w:hint="eastAsia" w:ascii="宋体" w:hAnsi="宋体" w:eastAsia="宋体" w:cs="宋体"/>
                <w:color w:val="000000"/>
                <w:kern w:val="0"/>
                <w:sz w:val="24"/>
                <w:szCs w:val="24"/>
                <w:lang w:bidi="ar"/>
              </w:rPr>
            </w:pPr>
          </w:p>
        </w:tc>
      </w:tr>
      <w:tr w14:paraId="40B1150E">
        <w:tblPrEx>
          <w:tblCellMar>
            <w:top w:w="0" w:type="dxa"/>
            <w:left w:w="108" w:type="dxa"/>
            <w:bottom w:w="0" w:type="dxa"/>
            <w:right w:w="108" w:type="dxa"/>
          </w:tblCellMar>
        </w:tblPrEx>
        <w:trPr>
          <w:wBefore w:w="0" w:type="auto"/>
          <w:trHeight w:val="23" w:hRule="atLeast"/>
          <w:jc w:val="center"/>
        </w:trPr>
        <w:tc>
          <w:tcPr>
            <w:tcW w:w="2310" w:type="dxa"/>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0867547D">
            <w:pPr>
              <w:widowControl/>
              <w:spacing w:line="240" w:lineRule="exact"/>
              <w:jc w:val="center"/>
              <w:rPr>
                <w:rFonts w:hint="eastAsia" w:ascii="宋体" w:hAnsi="宋体" w:eastAsia="宋体" w:cs="宋体"/>
                <w:b/>
                <w:color w:val="000000"/>
                <w:sz w:val="24"/>
                <w:szCs w:val="24"/>
              </w:rPr>
            </w:pPr>
          </w:p>
        </w:tc>
        <w:tc>
          <w:tcPr>
            <w:tcW w:w="1355" w:type="dxa"/>
            <w:gridSpan w:val="2"/>
            <w:tcBorders>
              <w:top w:val="single" w:color="000000" w:sz="4" w:space="0"/>
              <w:left w:val="single" w:color="000000" w:sz="4" w:space="0"/>
              <w:bottom w:val="single" w:color="000000" w:sz="4" w:space="0"/>
              <w:right w:val="single" w:color="000000" w:sz="4" w:space="0"/>
            </w:tcBorders>
            <w:noWrap w:val="0"/>
            <w:vAlign w:val="center"/>
          </w:tcPr>
          <w:p w14:paraId="4D4DF478">
            <w:pPr>
              <w:widowControl/>
              <w:spacing w:line="240" w:lineRule="exact"/>
              <w:jc w:val="center"/>
              <w:textAlignment w:val="center"/>
              <w:rPr>
                <w:rFonts w:hint="eastAsia" w:ascii="宋体" w:hAnsi="宋体" w:eastAsia="宋体" w:cs="宋体"/>
                <w:color w:val="000000"/>
                <w:sz w:val="24"/>
                <w:szCs w:val="24"/>
              </w:rPr>
            </w:pPr>
            <w:r>
              <w:rPr>
                <w:sz w:val="22"/>
              </w:rPr>
              <w:t>按实完成全年各项工作</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E7D366C">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63C6EBBB">
            <w:pPr>
              <w:widowControl/>
              <w:spacing w:line="240" w:lineRule="exact"/>
              <w:jc w:val="left"/>
              <w:rPr>
                <w:rFonts w:hint="eastAsia" w:ascii="宋体" w:hAnsi="宋体" w:eastAsia="宋体" w:cs="宋体"/>
                <w:color w:val="000000"/>
                <w:sz w:val="24"/>
                <w:szCs w:val="24"/>
              </w:rPr>
            </w:pP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05D0F741">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0E15B86">
            <w:pPr>
              <w:widowControl/>
              <w:spacing w:line="240" w:lineRule="exact"/>
              <w:jc w:val="left"/>
              <w:rPr>
                <w:rFonts w:hint="eastAsia" w:ascii="宋体" w:hAnsi="宋体" w:eastAsia="宋体" w:cs="宋体"/>
                <w:color w:val="000000"/>
                <w:sz w:val="24"/>
                <w:szCs w:val="24"/>
              </w:rPr>
            </w:pPr>
          </w:p>
        </w:tc>
      </w:tr>
      <w:tr w14:paraId="6D202CA4">
        <w:tblPrEx>
          <w:tblCellMar>
            <w:top w:w="0" w:type="dxa"/>
            <w:left w:w="108" w:type="dxa"/>
            <w:bottom w:w="0" w:type="dxa"/>
            <w:right w:w="108" w:type="dxa"/>
          </w:tblCellMar>
        </w:tblPrEx>
        <w:trPr>
          <w:wBefore w:w="0" w:type="auto"/>
          <w:trHeight w:val="23" w:hRule="atLeast"/>
          <w:jc w:val="center"/>
        </w:trPr>
        <w:tc>
          <w:tcPr>
            <w:tcW w:w="2310" w:type="dxa"/>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1E98A541">
            <w:pPr>
              <w:widowControl/>
              <w:spacing w:line="240" w:lineRule="exact"/>
              <w:jc w:val="center"/>
              <w:rPr>
                <w:rFonts w:hint="eastAsia" w:ascii="宋体" w:hAnsi="宋体" w:eastAsia="宋体" w:cs="宋体"/>
                <w:b/>
                <w:color w:val="000000"/>
                <w:sz w:val="24"/>
                <w:szCs w:val="24"/>
              </w:rPr>
            </w:pPr>
          </w:p>
        </w:tc>
        <w:tc>
          <w:tcPr>
            <w:tcW w:w="1355" w:type="dxa"/>
            <w:gridSpan w:val="2"/>
            <w:tcBorders>
              <w:top w:val="single" w:color="000000" w:sz="4" w:space="0"/>
              <w:left w:val="single" w:color="000000" w:sz="4" w:space="0"/>
              <w:bottom w:val="single" w:color="000000" w:sz="4" w:space="0"/>
              <w:right w:val="single" w:color="000000" w:sz="4" w:space="0"/>
            </w:tcBorders>
            <w:noWrap w:val="0"/>
            <w:vAlign w:val="center"/>
          </w:tcPr>
          <w:p w14:paraId="1E019D92">
            <w:pPr>
              <w:widowControl/>
              <w:spacing w:line="240" w:lineRule="exact"/>
              <w:jc w:val="center"/>
              <w:textAlignment w:val="center"/>
              <w:rPr>
                <w:rFonts w:hint="eastAsia" w:ascii="宋体" w:hAnsi="宋体" w:eastAsia="宋体" w:cs="宋体"/>
                <w:color w:val="000000"/>
                <w:sz w:val="16"/>
                <w:szCs w:val="24"/>
              </w:rPr>
            </w:pPr>
            <w:r>
              <w:rPr>
                <w:sz w:val="16"/>
              </w:rPr>
              <w:t>维护了退役军人群体和谐稳定</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0995413">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62771C95">
            <w:pPr>
              <w:widowControl/>
              <w:spacing w:line="240" w:lineRule="exact"/>
              <w:jc w:val="left"/>
              <w:rPr>
                <w:rFonts w:hint="eastAsia" w:ascii="宋体" w:hAnsi="宋体" w:eastAsia="宋体" w:cs="宋体"/>
                <w:color w:val="000000"/>
                <w:sz w:val="24"/>
                <w:szCs w:val="24"/>
              </w:rPr>
            </w:pP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36314BF2">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FE9AB64">
            <w:pPr>
              <w:widowControl/>
              <w:spacing w:line="240" w:lineRule="exact"/>
              <w:jc w:val="left"/>
              <w:rPr>
                <w:rFonts w:hint="eastAsia" w:ascii="宋体" w:hAnsi="宋体" w:eastAsia="宋体" w:cs="宋体"/>
                <w:color w:val="000000"/>
                <w:sz w:val="24"/>
                <w:szCs w:val="24"/>
              </w:rPr>
            </w:pPr>
          </w:p>
        </w:tc>
      </w:tr>
      <w:tr w14:paraId="2912E85E">
        <w:tblPrEx>
          <w:tblCellMar>
            <w:top w:w="0" w:type="dxa"/>
            <w:left w:w="108" w:type="dxa"/>
            <w:bottom w:w="0" w:type="dxa"/>
            <w:right w:w="108" w:type="dxa"/>
          </w:tblCellMar>
        </w:tblPrEx>
        <w:trPr>
          <w:wBefore w:w="0" w:type="auto"/>
          <w:trHeight w:val="23" w:hRule="atLeast"/>
          <w:jc w:val="center"/>
        </w:trPr>
        <w:tc>
          <w:tcPr>
            <w:tcW w:w="2310" w:type="dxa"/>
            <w:gridSpan w:val="6"/>
            <w:tcBorders>
              <w:top w:val="single" w:color="000000" w:sz="4" w:space="0"/>
              <w:left w:val="single" w:color="000000" w:sz="4" w:space="0"/>
              <w:bottom w:val="single" w:color="000000" w:sz="4" w:space="0"/>
              <w:right w:val="single" w:color="000000" w:sz="4" w:space="0"/>
            </w:tcBorders>
            <w:noWrap w:val="0"/>
            <w:vAlign w:val="center"/>
          </w:tcPr>
          <w:p w14:paraId="5104EBAB">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扣分项</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（10分）</w:t>
            </w:r>
          </w:p>
        </w:tc>
        <w:tc>
          <w:tcPr>
            <w:tcW w:w="1355" w:type="dxa"/>
            <w:gridSpan w:val="2"/>
            <w:tcBorders>
              <w:top w:val="single" w:color="000000" w:sz="4" w:space="0"/>
              <w:left w:val="single" w:color="000000" w:sz="4" w:space="0"/>
              <w:bottom w:val="single" w:color="000000" w:sz="4" w:space="0"/>
              <w:right w:val="single" w:color="000000" w:sz="4" w:space="0"/>
            </w:tcBorders>
            <w:noWrap w:val="0"/>
            <w:vAlign w:val="center"/>
          </w:tcPr>
          <w:p w14:paraId="6789A5BA">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20F7DCF">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w:t>
            </w:r>
          </w:p>
        </w:tc>
        <w:tc>
          <w:tcPr>
            <w:tcW w:w="5340" w:type="dxa"/>
            <w:gridSpan w:val="6"/>
            <w:tcBorders>
              <w:top w:val="single" w:color="000000" w:sz="4" w:space="0"/>
              <w:left w:val="single" w:color="000000" w:sz="4" w:space="0"/>
              <w:bottom w:val="single" w:color="000000" w:sz="4" w:space="0"/>
              <w:right w:val="single" w:color="000000" w:sz="4" w:space="0"/>
            </w:tcBorders>
            <w:noWrap w:val="0"/>
            <w:vAlign w:val="center"/>
          </w:tcPr>
          <w:p w14:paraId="1B10726F">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被评价对象工作配合情况</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35D4B085">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C06DFEF">
            <w:pPr>
              <w:widowControl/>
              <w:spacing w:line="240" w:lineRule="exact"/>
              <w:jc w:val="left"/>
              <w:textAlignment w:val="center"/>
              <w:rPr>
                <w:rFonts w:hint="eastAsia" w:ascii="宋体" w:hAnsi="宋体" w:eastAsia="宋体" w:cs="宋体"/>
                <w:color w:val="000000"/>
                <w:kern w:val="0"/>
                <w:sz w:val="24"/>
                <w:szCs w:val="24"/>
                <w:lang w:bidi="ar"/>
              </w:rPr>
            </w:pPr>
          </w:p>
        </w:tc>
      </w:tr>
      <w:tr w14:paraId="520199CE">
        <w:tblPrEx>
          <w:tblCellMar>
            <w:top w:w="15" w:type="dxa"/>
            <w:left w:w="15" w:type="dxa"/>
            <w:bottom w:w="15" w:type="dxa"/>
            <w:right w:w="15" w:type="dxa"/>
          </w:tblCellMar>
        </w:tblPrEx>
        <w:trPr>
          <w:gridBefore w:val="1"/>
          <w:gridAfter w:val="2"/>
          <w:wBefore w:w="96" w:type="dxa"/>
          <w:wAfter w:w="572" w:type="dxa"/>
          <w:trHeight w:val="576" w:hRule="atLeast"/>
          <w:jc w:val="center"/>
        </w:trPr>
        <w:tc>
          <w:tcPr>
            <w:tcW w:w="10233" w:type="dxa"/>
            <w:gridSpan w:val="15"/>
            <w:noWrap w:val="0"/>
            <w:vAlign w:val="center"/>
          </w:tcPr>
          <w:p w14:paraId="7C4DA91E">
            <w:pPr>
              <w:widowControl/>
              <w:spacing w:line="600" w:lineRule="exact"/>
              <w:ind w:left="218" w:leftChars="104" w:firstLine="0" w:firstLineChars="0"/>
              <w:jc w:val="center"/>
              <w:textAlignment w:val="center"/>
              <w:rPr>
                <w:rFonts w:eastAsia="黑体"/>
                <w:color w:val="000000"/>
                <w:sz w:val="30"/>
                <w:szCs w:val="30"/>
              </w:rPr>
            </w:pPr>
            <w:bookmarkStart w:id="48" w:name="_Toc15396618"/>
            <w:r>
              <w:rPr>
                <w:rFonts w:eastAsia="方正小标宋简体"/>
                <w:color w:val="000000"/>
                <w:kern w:val="0"/>
                <w:sz w:val="40"/>
                <w:szCs w:val="40"/>
                <w:lang w:bidi="ar"/>
              </w:rPr>
              <w:t>专项预算项目绩效目标完成情况自评表</w:t>
            </w:r>
          </w:p>
        </w:tc>
      </w:tr>
      <w:tr w14:paraId="36184940">
        <w:tblPrEx>
          <w:tblCellMar>
            <w:top w:w="15" w:type="dxa"/>
            <w:left w:w="15" w:type="dxa"/>
            <w:bottom w:w="15" w:type="dxa"/>
            <w:right w:w="15" w:type="dxa"/>
          </w:tblCellMar>
        </w:tblPrEx>
        <w:trPr>
          <w:gridBefore w:val="1"/>
          <w:gridAfter w:val="2"/>
          <w:wBefore w:w="96" w:type="dxa"/>
          <w:wAfter w:w="572" w:type="dxa"/>
          <w:trHeight w:val="23" w:hRule="atLeast"/>
          <w:jc w:val="center"/>
        </w:trPr>
        <w:tc>
          <w:tcPr>
            <w:tcW w:w="4295" w:type="dxa"/>
            <w:gridSpan w:val="9"/>
            <w:tcBorders>
              <w:top w:val="single" w:color="000000" w:sz="4" w:space="0"/>
              <w:left w:val="single" w:color="000000" w:sz="4" w:space="0"/>
              <w:bottom w:val="single" w:color="000000" w:sz="4" w:space="0"/>
              <w:right w:val="single" w:color="000000" w:sz="4" w:space="0"/>
            </w:tcBorders>
            <w:noWrap w:val="0"/>
            <w:vAlign w:val="center"/>
          </w:tcPr>
          <w:p w14:paraId="320BC4B6">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项目名称</w:t>
            </w:r>
          </w:p>
        </w:tc>
        <w:tc>
          <w:tcPr>
            <w:tcW w:w="5938" w:type="dxa"/>
            <w:gridSpan w:val="6"/>
            <w:tcBorders>
              <w:top w:val="single" w:color="000000" w:sz="4" w:space="0"/>
              <w:left w:val="single" w:color="000000" w:sz="4" w:space="0"/>
              <w:bottom w:val="single" w:color="000000" w:sz="4" w:space="0"/>
              <w:right w:val="single" w:color="000000" w:sz="4" w:space="0"/>
            </w:tcBorders>
            <w:noWrap w:val="0"/>
            <w:vAlign w:val="center"/>
          </w:tcPr>
          <w:p w14:paraId="7EDC7F85">
            <w:pPr>
              <w:spacing w:line="300" w:lineRule="exact"/>
              <w:rPr>
                <w:rFonts w:eastAsia="宋体"/>
                <w:color w:val="000000"/>
                <w:sz w:val="24"/>
                <w:szCs w:val="24"/>
              </w:rPr>
            </w:pPr>
            <w:r>
              <w:rPr>
                <w:rFonts w:hint="eastAsia" w:eastAsia="宋体"/>
                <w:color w:val="000000"/>
                <w:sz w:val="24"/>
                <w:szCs w:val="24"/>
              </w:rPr>
              <w:t>重大节日慰问资金</w:t>
            </w:r>
          </w:p>
        </w:tc>
      </w:tr>
      <w:tr w14:paraId="6F163344">
        <w:tblPrEx>
          <w:tblCellMar>
            <w:top w:w="15" w:type="dxa"/>
            <w:left w:w="15" w:type="dxa"/>
            <w:bottom w:w="15" w:type="dxa"/>
            <w:right w:w="15" w:type="dxa"/>
          </w:tblCellMar>
        </w:tblPrEx>
        <w:trPr>
          <w:gridBefore w:val="1"/>
          <w:gridAfter w:val="2"/>
          <w:wBefore w:w="96" w:type="dxa"/>
          <w:wAfter w:w="572" w:type="dxa"/>
          <w:trHeight w:val="458" w:hRule="atLeast"/>
          <w:jc w:val="center"/>
        </w:trPr>
        <w:tc>
          <w:tcPr>
            <w:tcW w:w="4295" w:type="dxa"/>
            <w:gridSpan w:val="9"/>
            <w:tcBorders>
              <w:top w:val="single" w:color="000000" w:sz="4" w:space="0"/>
              <w:left w:val="single" w:color="000000" w:sz="4" w:space="0"/>
              <w:bottom w:val="single" w:color="000000" w:sz="4" w:space="0"/>
              <w:right w:val="single" w:color="000000" w:sz="4" w:space="0"/>
            </w:tcBorders>
            <w:noWrap w:val="0"/>
            <w:vAlign w:val="center"/>
          </w:tcPr>
          <w:p w14:paraId="4F8E2495">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预算单位</w:t>
            </w:r>
          </w:p>
        </w:tc>
        <w:tc>
          <w:tcPr>
            <w:tcW w:w="5938" w:type="dxa"/>
            <w:gridSpan w:val="6"/>
            <w:tcBorders>
              <w:top w:val="single" w:color="000000" w:sz="4" w:space="0"/>
              <w:left w:val="single" w:color="000000" w:sz="4" w:space="0"/>
              <w:bottom w:val="single" w:color="000000" w:sz="4" w:space="0"/>
              <w:right w:val="single" w:color="000000" w:sz="4" w:space="0"/>
            </w:tcBorders>
            <w:noWrap w:val="0"/>
            <w:vAlign w:val="center"/>
          </w:tcPr>
          <w:p w14:paraId="5A593649">
            <w:pPr>
              <w:spacing w:line="300" w:lineRule="exact"/>
              <w:rPr>
                <w:rFonts w:eastAsia="宋体"/>
                <w:color w:val="000000"/>
                <w:sz w:val="24"/>
                <w:szCs w:val="24"/>
              </w:rPr>
            </w:pPr>
            <w:r>
              <w:rPr>
                <w:rFonts w:hint="eastAsia" w:eastAsia="宋体"/>
                <w:color w:val="000000"/>
                <w:sz w:val="24"/>
                <w:szCs w:val="24"/>
              </w:rPr>
              <w:t>沐川县退役军人事务局</w:t>
            </w:r>
          </w:p>
        </w:tc>
      </w:tr>
      <w:tr w14:paraId="796BD25F">
        <w:tblPrEx>
          <w:tblCellMar>
            <w:top w:w="15" w:type="dxa"/>
            <w:left w:w="15" w:type="dxa"/>
            <w:bottom w:w="15" w:type="dxa"/>
            <w:right w:w="15" w:type="dxa"/>
          </w:tblCellMar>
        </w:tblPrEx>
        <w:trPr>
          <w:gridBefore w:val="1"/>
          <w:gridAfter w:val="2"/>
          <w:wBefore w:w="96" w:type="dxa"/>
          <w:wAfter w:w="572" w:type="dxa"/>
          <w:trHeight w:val="23" w:hRule="atLeast"/>
          <w:jc w:val="center"/>
        </w:trPr>
        <w:tc>
          <w:tcPr>
            <w:tcW w:w="4295" w:type="dxa"/>
            <w:gridSpan w:val="9"/>
            <w:tcBorders>
              <w:top w:val="single" w:color="000000" w:sz="4" w:space="0"/>
              <w:left w:val="single" w:color="000000" w:sz="4" w:space="0"/>
              <w:bottom w:val="single" w:color="000000" w:sz="4" w:space="0"/>
              <w:right w:val="single" w:color="000000" w:sz="4" w:space="0"/>
            </w:tcBorders>
            <w:noWrap w:val="0"/>
            <w:vAlign w:val="center"/>
          </w:tcPr>
          <w:p w14:paraId="35321422">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项目类型</w:t>
            </w:r>
          </w:p>
        </w:tc>
        <w:tc>
          <w:tcPr>
            <w:tcW w:w="5938" w:type="dxa"/>
            <w:gridSpan w:val="6"/>
            <w:tcBorders>
              <w:top w:val="single" w:color="000000" w:sz="4" w:space="0"/>
              <w:left w:val="single" w:color="000000" w:sz="4" w:space="0"/>
              <w:bottom w:val="single" w:color="000000" w:sz="4" w:space="0"/>
              <w:right w:val="single" w:color="000000" w:sz="4" w:space="0"/>
            </w:tcBorders>
            <w:noWrap w:val="0"/>
            <w:vAlign w:val="center"/>
          </w:tcPr>
          <w:p w14:paraId="5E76FBDD">
            <w:pPr>
              <w:spacing w:line="300" w:lineRule="exact"/>
              <w:jc w:val="left"/>
              <w:rPr>
                <w:rFonts w:eastAsia="宋体"/>
                <w:color w:val="000000"/>
                <w:sz w:val="24"/>
                <w:szCs w:val="24"/>
              </w:rPr>
            </w:pPr>
            <w:r>
              <w:rPr>
                <w:rFonts w:hint="eastAsia" w:eastAsia="宋体"/>
                <w:color w:val="000000"/>
                <w:sz w:val="24"/>
                <w:szCs w:val="24"/>
              </w:rPr>
              <w:t>民生项目</w:t>
            </w:r>
          </w:p>
        </w:tc>
      </w:tr>
      <w:tr w14:paraId="25670E0F">
        <w:tblPrEx>
          <w:tblCellMar>
            <w:top w:w="15" w:type="dxa"/>
            <w:left w:w="15" w:type="dxa"/>
            <w:bottom w:w="15" w:type="dxa"/>
            <w:right w:w="15" w:type="dxa"/>
          </w:tblCellMar>
        </w:tblPrEx>
        <w:trPr>
          <w:gridBefore w:val="1"/>
          <w:gridAfter w:val="2"/>
          <w:wBefore w:w="96" w:type="dxa"/>
          <w:wAfter w:w="572" w:type="dxa"/>
          <w:trHeight w:val="23" w:hRule="atLeast"/>
          <w:jc w:val="center"/>
        </w:trPr>
        <w:tc>
          <w:tcPr>
            <w:tcW w:w="6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90CE9B0">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项目 概况</w:t>
            </w:r>
          </w:p>
        </w:tc>
        <w:tc>
          <w:tcPr>
            <w:tcW w:w="3643" w:type="dxa"/>
            <w:gridSpan w:val="7"/>
            <w:tcBorders>
              <w:top w:val="single" w:color="000000" w:sz="4" w:space="0"/>
              <w:left w:val="single" w:color="000000" w:sz="4" w:space="0"/>
              <w:bottom w:val="single" w:color="000000" w:sz="4" w:space="0"/>
              <w:right w:val="single" w:color="000000" w:sz="4" w:space="0"/>
            </w:tcBorders>
            <w:noWrap w:val="0"/>
            <w:vAlign w:val="center"/>
          </w:tcPr>
          <w:p w14:paraId="6ED73102">
            <w:pPr>
              <w:widowControl/>
              <w:spacing w:line="300" w:lineRule="exact"/>
              <w:jc w:val="left"/>
              <w:textAlignment w:val="center"/>
              <w:rPr>
                <w:rFonts w:eastAsia="宋体"/>
                <w:color w:val="000000"/>
                <w:kern w:val="0"/>
                <w:sz w:val="24"/>
                <w:szCs w:val="24"/>
                <w:lang w:bidi="ar"/>
              </w:rPr>
            </w:pPr>
            <w:r>
              <w:rPr>
                <w:rFonts w:eastAsia="宋体"/>
                <w:color w:val="000000"/>
                <w:kern w:val="0"/>
                <w:sz w:val="24"/>
                <w:szCs w:val="24"/>
                <w:lang w:bidi="ar"/>
              </w:rPr>
              <w:t>中长期规划（名称、文号，仅指</w:t>
            </w:r>
          </w:p>
          <w:p w14:paraId="2649CAA7">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常年项目）</w:t>
            </w:r>
          </w:p>
        </w:tc>
        <w:tc>
          <w:tcPr>
            <w:tcW w:w="5938" w:type="dxa"/>
            <w:gridSpan w:val="6"/>
            <w:tcBorders>
              <w:top w:val="single" w:color="000000" w:sz="4" w:space="0"/>
              <w:left w:val="single" w:color="000000" w:sz="4" w:space="0"/>
              <w:bottom w:val="single" w:color="000000" w:sz="4" w:space="0"/>
              <w:right w:val="single" w:color="000000" w:sz="4" w:space="0"/>
            </w:tcBorders>
            <w:noWrap w:val="0"/>
            <w:vAlign w:val="center"/>
          </w:tcPr>
          <w:p w14:paraId="30096A10">
            <w:pPr>
              <w:spacing w:line="300" w:lineRule="exact"/>
              <w:jc w:val="left"/>
              <w:rPr>
                <w:rFonts w:eastAsia="宋体"/>
                <w:color w:val="000000"/>
                <w:sz w:val="24"/>
                <w:szCs w:val="24"/>
              </w:rPr>
            </w:pPr>
            <w:r>
              <w:rPr>
                <w:rFonts w:hint="eastAsia" w:eastAsia="宋体"/>
                <w:color w:val="000000"/>
                <w:sz w:val="18"/>
                <w:szCs w:val="24"/>
              </w:rPr>
              <w:t>1、重大节日慰问驻军、优抚对象；2、平时慰问维稳对象、武警中队新退役人员、重大变故对象；3、双拥工作经费4、春节、八一等重大节日慰问退役军人和现役军人家属</w:t>
            </w:r>
            <w:r>
              <w:rPr>
                <w:rFonts w:hint="eastAsia" w:eastAsia="宋体"/>
                <w:color w:val="000000"/>
                <w:sz w:val="24"/>
                <w:szCs w:val="24"/>
              </w:rPr>
              <w:t>。</w:t>
            </w:r>
          </w:p>
        </w:tc>
      </w:tr>
      <w:tr w14:paraId="42E2E230">
        <w:tblPrEx>
          <w:tblCellMar>
            <w:top w:w="15" w:type="dxa"/>
            <w:left w:w="15" w:type="dxa"/>
            <w:bottom w:w="15" w:type="dxa"/>
            <w:right w:w="15" w:type="dxa"/>
          </w:tblCellMar>
        </w:tblPrEx>
        <w:trPr>
          <w:gridBefore w:val="1"/>
          <w:gridAfter w:val="2"/>
          <w:wBefore w:w="96" w:type="dxa"/>
          <w:wAfter w:w="572" w:type="dxa"/>
          <w:trHeight w:val="23" w:hRule="atLeast"/>
          <w:jc w:val="center"/>
        </w:trPr>
        <w:tc>
          <w:tcPr>
            <w:tcW w:w="6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A9C426">
            <w:pPr>
              <w:spacing w:line="300" w:lineRule="exact"/>
              <w:rPr>
                <w:rFonts w:eastAsia="宋体"/>
                <w:color w:val="000000"/>
                <w:sz w:val="24"/>
                <w:szCs w:val="24"/>
              </w:rPr>
            </w:pPr>
          </w:p>
        </w:tc>
        <w:tc>
          <w:tcPr>
            <w:tcW w:w="3643" w:type="dxa"/>
            <w:gridSpan w:val="7"/>
            <w:tcBorders>
              <w:top w:val="single" w:color="000000" w:sz="4" w:space="0"/>
              <w:left w:val="single" w:color="000000" w:sz="4" w:space="0"/>
              <w:bottom w:val="single" w:color="000000" w:sz="4" w:space="0"/>
              <w:right w:val="single" w:color="000000" w:sz="4" w:space="0"/>
            </w:tcBorders>
            <w:noWrap w:val="0"/>
            <w:vAlign w:val="center"/>
          </w:tcPr>
          <w:p w14:paraId="4DD6D5BD">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资金管理办法（名称、文号）</w:t>
            </w:r>
          </w:p>
        </w:tc>
        <w:tc>
          <w:tcPr>
            <w:tcW w:w="5938" w:type="dxa"/>
            <w:gridSpan w:val="6"/>
            <w:tcBorders>
              <w:top w:val="single" w:color="000000" w:sz="4" w:space="0"/>
              <w:left w:val="single" w:color="000000" w:sz="4" w:space="0"/>
              <w:bottom w:val="single" w:color="000000" w:sz="4" w:space="0"/>
              <w:right w:val="single" w:color="000000" w:sz="4" w:space="0"/>
            </w:tcBorders>
            <w:noWrap w:val="0"/>
            <w:vAlign w:val="center"/>
          </w:tcPr>
          <w:p w14:paraId="28045299">
            <w:pPr>
              <w:spacing w:line="300" w:lineRule="exact"/>
              <w:jc w:val="left"/>
              <w:rPr>
                <w:rFonts w:eastAsia="宋体"/>
                <w:color w:val="000000"/>
                <w:sz w:val="24"/>
                <w:szCs w:val="24"/>
              </w:rPr>
            </w:pPr>
            <w:r>
              <w:rPr>
                <w:rFonts w:hint="eastAsia" w:eastAsia="宋体"/>
                <w:color w:val="000000"/>
                <w:sz w:val="24"/>
                <w:szCs w:val="24"/>
              </w:rPr>
              <w:t>沐财预存[2025]总049第0629号</w:t>
            </w:r>
          </w:p>
        </w:tc>
      </w:tr>
      <w:tr w14:paraId="68C63A53">
        <w:tblPrEx>
          <w:tblCellMar>
            <w:top w:w="15" w:type="dxa"/>
            <w:left w:w="15" w:type="dxa"/>
            <w:bottom w:w="15" w:type="dxa"/>
            <w:right w:w="15" w:type="dxa"/>
          </w:tblCellMar>
        </w:tblPrEx>
        <w:trPr>
          <w:gridBefore w:val="1"/>
          <w:gridAfter w:val="2"/>
          <w:wBefore w:w="96" w:type="dxa"/>
          <w:wAfter w:w="572" w:type="dxa"/>
          <w:trHeight w:val="23" w:hRule="atLeast"/>
          <w:jc w:val="center"/>
        </w:trPr>
        <w:tc>
          <w:tcPr>
            <w:tcW w:w="6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1F840A">
            <w:pPr>
              <w:spacing w:line="300" w:lineRule="exact"/>
              <w:rPr>
                <w:rFonts w:eastAsia="宋体"/>
                <w:color w:val="000000"/>
                <w:sz w:val="24"/>
                <w:szCs w:val="24"/>
              </w:rPr>
            </w:pPr>
          </w:p>
        </w:tc>
        <w:tc>
          <w:tcPr>
            <w:tcW w:w="3643" w:type="dxa"/>
            <w:gridSpan w:val="7"/>
            <w:tcBorders>
              <w:top w:val="single" w:color="000000" w:sz="4" w:space="0"/>
              <w:left w:val="single" w:color="000000" w:sz="4" w:space="0"/>
              <w:bottom w:val="single" w:color="000000" w:sz="4" w:space="0"/>
              <w:right w:val="single" w:color="000000" w:sz="4" w:space="0"/>
            </w:tcBorders>
            <w:noWrap w:val="0"/>
            <w:vAlign w:val="center"/>
          </w:tcPr>
          <w:p w14:paraId="54B44EF1">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6F02CBF3">
            <w:pPr>
              <w:widowControl/>
              <w:spacing w:line="300" w:lineRule="exact"/>
              <w:jc w:val="left"/>
              <w:textAlignment w:val="center"/>
              <w:rPr>
                <w:rFonts w:eastAsia="Wingdings 2"/>
                <w:color w:val="000000"/>
                <w:sz w:val="24"/>
                <w:szCs w:val="24"/>
              </w:rPr>
            </w:pPr>
            <w:r>
              <w:rPr>
                <w:rFonts w:eastAsia="Wingdings 2"/>
                <w:color w:val="000000"/>
                <w:kern w:val="0"/>
                <w:sz w:val="24"/>
                <w:szCs w:val="24"/>
                <w:lang w:bidi="ar"/>
              </w:rPr>
              <w:t>£</w:t>
            </w:r>
            <w:r>
              <w:rPr>
                <w:rFonts w:eastAsia="宋体"/>
                <w:color w:val="000000"/>
                <w:kern w:val="0"/>
                <w:sz w:val="24"/>
                <w:szCs w:val="24"/>
                <w:lang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14:paraId="2CDAA1B6">
            <w:pPr>
              <w:widowControl/>
              <w:spacing w:line="300" w:lineRule="exact"/>
              <w:jc w:val="center"/>
              <w:textAlignment w:val="center"/>
              <w:rPr>
                <w:rFonts w:eastAsia="Wingdings 2"/>
                <w:color w:val="000000"/>
                <w:sz w:val="24"/>
                <w:szCs w:val="24"/>
              </w:rPr>
            </w:pPr>
            <w:r>
              <w:rPr>
                <w:rFonts w:eastAsia="Wingdings 2"/>
                <w:color w:val="000000"/>
                <w:kern w:val="0"/>
                <w:sz w:val="24"/>
                <w:szCs w:val="24"/>
                <w:lang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AE4F86D">
            <w:pPr>
              <w:widowControl/>
              <w:spacing w:line="300" w:lineRule="exact"/>
              <w:jc w:val="center"/>
              <w:textAlignment w:val="center"/>
              <w:rPr>
                <w:rFonts w:eastAsia="Wingdings 2"/>
                <w:color w:val="000000"/>
                <w:sz w:val="24"/>
                <w:szCs w:val="24"/>
              </w:rPr>
            </w:pPr>
            <w:r>
              <w:rPr>
                <w:rFonts w:eastAsia="Wingdings 2"/>
                <w:color w:val="000000"/>
                <w:kern w:val="0"/>
                <w:sz w:val="24"/>
                <w:szCs w:val="24"/>
                <w:lang w:bidi="ar"/>
              </w:rPr>
              <w:t>£</w:t>
            </w:r>
            <w:r>
              <w:rPr>
                <w:rFonts w:eastAsia="宋体"/>
                <w:color w:val="000000"/>
                <w:kern w:val="0"/>
                <w:sz w:val="24"/>
                <w:szCs w:val="24"/>
                <w:lang w:bidi="ar"/>
              </w:rPr>
              <w:t>据实据效</w:t>
            </w:r>
          </w:p>
        </w:tc>
        <w:tc>
          <w:tcPr>
            <w:tcW w:w="1841" w:type="dxa"/>
            <w:gridSpan w:val="2"/>
            <w:tcBorders>
              <w:top w:val="single" w:color="000000" w:sz="4" w:space="0"/>
              <w:left w:val="single" w:color="000000" w:sz="4" w:space="0"/>
              <w:bottom w:val="single" w:color="000000" w:sz="4" w:space="0"/>
              <w:right w:val="single" w:color="000000" w:sz="4" w:space="0"/>
            </w:tcBorders>
            <w:noWrap w:val="0"/>
            <w:vAlign w:val="center"/>
          </w:tcPr>
          <w:p w14:paraId="22F61E37">
            <w:pPr>
              <w:widowControl/>
              <w:spacing w:line="300" w:lineRule="exact"/>
              <w:jc w:val="center"/>
              <w:textAlignment w:val="center"/>
              <w:rPr>
                <w:rFonts w:eastAsia="Wingdings 2"/>
                <w:color w:val="000000"/>
                <w:sz w:val="24"/>
                <w:szCs w:val="24"/>
              </w:rPr>
            </w:pPr>
            <w:r>
              <w:rPr>
                <w:rFonts w:eastAsia="Wingdings 2"/>
                <w:color w:val="000000"/>
                <w:kern w:val="0"/>
                <w:sz w:val="24"/>
                <w:szCs w:val="24"/>
                <w:lang w:bidi="ar"/>
              </w:rPr>
              <w:t>£</w:t>
            </w:r>
            <w:r>
              <w:rPr>
                <w:rFonts w:eastAsia="宋体"/>
                <w:color w:val="000000"/>
                <w:kern w:val="0"/>
                <w:sz w:val="24"/>
                <w:szCs w:val="24"/>
                <w:lang w:bidi="ar"/>
              </w:rPr>
              <w:t>因素法与项目法相结合</w:t>
            </w:r>
          </w:p>
        </w:tc>
      </w:tr>
      <w:tr w14:paraId="0BF88339">
        <w:tblPrEx>
          <w:tblCellMar>
            <w:top w:w="15" w:type="dxa"/>
            <w:left w:w="15" w:type="dxa"/>
            <w:bottom w:w="15" w:type="dxa"/>
            <w:right w:w="15" w:type="dxa"/>
          </w:tblCellMar>
        </w:tblPrEx>
        <w:trPr>
          <w:gridBefore w:val="1"/>
          <w:gridAfter w:val="2"/>
          <w:wBefore w:w="96" w:type="dxa"/>
          <w:wAfter w:w="572" w:type="dxa"/>
          <w:trHeight w:val="23" w:hRule="atLeast"/>
          <w:jc w:val="center"/>
        </w:trPr>
        <w:tc>
          <w:tcPr>
            <w:tcW w:w="6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D40E20">
            <w:pPr>
              <w:spacing w:line="300" w:lineRule="exact"/>
              <w:rPr>
                <w:rFonts w:eastAsia="宋体"/>
                <w:color w:val="000000"/>
                <w:sz w:val="24"/>
                <w:szCs w:val="24"/>
              </w:rPr>
            </w:pPr>
          </w:p>
        </w:tc>
        <w:tc>
          <w:tcPr>
            <w:tcW w:w="3643" w:type="dxa"/>
            <w:gridSpan w:val="7"/>
            <w:tcBorders>
              <w:top w:val="single" w:color="000000" w:sz="4" w:space="0"/>
              <w:left w:val="single" w:color="000000" w:sz="4" w:space="0"/>
              <w:bottom w:val="single" w:color="000000" w:sz="4" w:space="0"/>
              <w:right w:val="single" w:color="000000" w:sz="4" w:space="0"/>
            </w:tcBorders>
            <w:noWrap w:val="0"/>
            <w:vAlign w:val="center"/>
          </w:tcPr>
          <w:p w14:paraId="298DA8AD">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立项依据</w:t>
            </w:r>
          </w:p>
        </w:tc>
        <w:tc>
          <w:tcPr>
            <w:tcW w:w="5938" w:type="dxa"/>
            <w:gridSpan w:val="6"/>
            <w:tcBorders>
              <w:top w:val="single" w:color="000000" w:sz="4" w:space="0"/>
              <w:left w:val="single" w:color="000000" w:sz="4" w:space="0"/>
              <w:bottom w:val="single" w:color="000000" w:sz="4" w:space="0"/>
              <w:right w:val="single" w:color="000000" w:sz="4" w:space="0"/>
            </w:tcBorders>
            <w:noWrap w:val="0"/>
            <w:vAlign w:val="center"/>
          </w:tcPr>
          <w:p w14:paraId="40FD7988">
            <w:pPr>
              <w:spacing w:line="300" w:lineRule="exact"/>
              <w:jc w:val="left"/>
              <w:rPr>
                <w:rFonts w:eastAsia="宋体"/>
                <w:color w:val="000000"/>
                <w:sz w:val="24"/>
                <w:szCs w:val="24"/>
              </w:rPr>
            </w:pPr>
            <w:r>
              <w:rPr>
                <w:rFonts w:hint="eastAsia" w:eastAsia="宋体"/>
                <w:color w:val="000000"/>
                <w:sz w:val="24"/>
                <w:szCs w:val="24"/>
              </w:rPr>
              <w:t>沐退役军人〔2025〕9 号</w:t>
            </w:r>
          </w:p>
        </w:tc>
      </w:tr>
      <w:tr w14:paraId="3E49BBA1">
        <w:tblPrEx>
          <w:tblCellMar>
            <w:top w:w="15" w:type="dxa"/>
            <w:left w:w="15" w:type="dxa"/>
            <w:bottom w:w="15" w:type="dxa"/>
            <w:right w:w="15" w:type="dxa"/>
          </w:tblCellMar>
        </w:tblPrEx>
        <w:trPr>
          <w:gridBefore w:val="1"/>
          <w:gridAfter w:val="2"/>
          <w:wBefore w:w="96" w:type="dxa"/>
          <w:wAfter w:w="572" w:type="dxa"/>
          <w:trHeight w:val="23" w:hRule="atLeast"/>
          <w:jc w:val="center"/>
        </w:trPr>
        <w:tc>
          <w:tcPr>
            <w:tcW w:w="6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18341D">
            <w:pPr>
              <w:spacing w:line="300" w:lineRule="exact"/>
              <w:rPr>
                <w:rFonts w:eastAsia="宋体"/>
                <w:color w:val="000000"/>
                <w:sz w:val="24"/>
                <w:szCs w:val="24"/>
              </w:rPr>
            </w:pPr>
          </w:p>
        </w:tc>
        <w:tc>
          <w:tcPr>
            <w:tcW w:w="3643" w:type="dxa"/>
            <w:gridSpan w:val="7"/>
            <w:tcBorders>
              <w:top w:val="single" w:color="000000" w:sz="4" w:space="0"/>
              <w:left w:val="single" w:color="000000" w:sz="4" w:space="0"/>
              <w:bottom w:val="single" w:color="000000" w:sz="4" w:space="0"/>
              <w:right w:val="single" w:color="000000" w:sz="4" w:space="0"/>
            </w:tcBorders>
            <w:noWrap w:val="0"/>
            <w:vAlign w:val="center"/>
          </w:tcPr>
          <w:p w14:paraId="512A9F6C">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使用范围</w:t>
            </w:r>
          </w:p>
        </w:tc>
        <w:tc>
          <w:tcPr>
            <w:tcW w:w="5938" w:type="dxa"/>
            <w:gridSpan w:val="6"/>
            <w:tcBorders>
              <w:top w:val="single" w:color="000000" w:sz="4" w:space="0"/>
              <w:left w:val="single" w:color="000000" w:sz="4" w:space="0"/>
              <w:bottom w:val="single" w:color="000000" w:sz="4" w:space="0"/>
              <w:right w:val="single" w:color="000000" w:sz="4" w:space="0"/>
            </w:tcBorders>
            <w:noWrap w:val="0"/>
            <w:vAlign w:val="center"/>
          </w:tcPr>
          <w:p w14:paraId="47E48891">
            <w:pPr>
              <w:spacing w:line="300" w:lineRule="exact"/>
              <w:jc w:val="left"/>
              <w:rPr>
                <w:rFonts w:eastAsia="宋体"/>
                <w:color w:val="000000"/>
                <w:sz w:val="24"/>
                <w:szCs w:val="24"/>
              </w:rPr>
            </w:pPr>
            <w:r>
              <w:rPr>
                <w:rFonts w:hint="eastAsia" w:eastAsia="宋体"/>
                <w:color w:val="000000"/>
                <w:sz w:val="15"/>
                <w:szCs w:val="24"/>
              </w:rPr>
              <w:t>1、重大节日慰问驻军、优抚对象；2、平时慰问维稳对象、武警中队新退役人员、重大变故对象；3、双拥工作经费4、春节、八一等重大节日慰问退役军人和现役军人家属</w:t>
            </w:r>
            <w:r>
              <w:rPr>
                <w:rFonts w:hint="eastAsia" w:eastAsia="宋体"/>
                <w:color w:val="000000"/>
                <w:sz w:val="21"/>
                <w:szCs w:val="24"/>
              </w:rPr>
              <w:t>。</w:t>
            </w:r>
          </w:p>
        </w:tc>
      </w:tr>
      <w:tr w14:paraId="1742D902">
        <w:tblPrEx>
          <w:tblCellMar>
            <w:top w:w="15" w:type="dxa"/>
            <w:left w:w="15" w:type="dxa"/>
            <w:bottom w:w="15" w:type="dxa"/>
            <w:right w:w="15" w:type="dxa"/>
          </w:tblCellMar>
        </w:tblPrEx>
        <w:trPr>
          <w:gridBefore w:val="1"/>
          <w:gridAfter w:val="2"/>
          <w:wBefore w:w="96" w:type="dxa"/>
          <w:wAfter w:w="572" w:type="dxa"/>
          <w:trHeight w:val="23" w:hRule="atLeast"/>
          <w:jc w:val="center"/>
        </w:trPr>
        <w:tc>
          <w:tcPr>
            <w:tcW w:w="6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B904F0">
            <w:pPr>
              <w:spacing w:line="300" w:lineRule="exact"/>
              <w:rPr>
                <w:rFonts w:eastAsia="宋体"/>
                <w:color w:val="000000"/>
                <w:sz w:val="24"/>
                <w:szCs w:val="24"/>
              </w:rPr>
            </w:pPr>
          </w:p>
        </w:tc>
        <w:tc>
          <w:tcPr>
            <w:tcW w:w="3643" w:type="dxa"/>
            <w:gridSpan w:val="7"/>
            <w:tcBorders>
              <w:top w:val="single" w:color="000000" w:sz="4" w:space="0"/>
              <w:left w:val="single" w:color="000000" w:sz="4" w:space="0"/>
              <w:bottom w:val="single" w:color="000000" w:sz="4" w:space="0"/>
              <w:right w:val="single" w:color="000000" w:sz="4" w:space="0"/>
            </w:tcBorders>
            <w:noWrap w:val="0"/>
            <w:vAlign w:val="center"/>
          </w:tcPr>
          <w:p w14:paraId="12D7AE82">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申报（补助）条件</w:t>
            </w:r>
          </w:p>
        </w:tc>
        <w:tc>
          <w:tcPr>
            <w:tcW w:w="5938" w:type="dxa"/>
            <w:gridSpan w:val="6"/>
            <w:tcBorders>
              <w:top w:val="single" w:color="000000" w:sz="4" w:space="0"/>
              <w:left w:val="single" w:color="000000" w:sz="4" w:space="0"/>
              <w:bottom w:val="single" w:color="000000" w:sz="4" w:space="0"/>
              <w:right w:val="single" w:color="000000" w:sz="4" w:space="0"/>
            </w:tcBorders>
            <w:noWrap w:val="0"/>
            <w:vAlign w:val="center"/>
          </w:tcPr>
          <w:p w14:paraId="7990BF79">
            <w:pPr>
              <w:spacing w:line="300" w:lineRule="exact"/>
              <w:jc w:val="left"/>
              <w:rPr>
                <w:rFonts w:eastAsia="宋体"/>
                <w:color w:val="000000"/>
                <w:sz w:val="24"/>
                <w:szCs w:val="24"/>
              </w:rPr>
            </w:pPr>
          </w:p>
        </w:tc>
      </w:tr>
      <w:tr w14:paraId="491797DB">
        <w:tblPrEx>
          <w:tblCellMar>
            <w:top w:w="15" w:type="dxa"/>
            <w:left w:w="15" w:type="dxa"/>
            <w:bottom w:w="15" w:type="dxa"/>
            <w:right w:w="15" w:type="dxa"/>
          </w:tblCellMar>
        </w:tblPrEx>
        <w:trPr>
          <w:gridBefore w:val="1"/>
          <w:gridAfter w:val="2"/>
          <w:wBefore w:w="96" w:type="dxa"/>
          <w:wAfter w:w="572" w:type="dxa"/>
          <w:trHeight w:val="23" w:hRule="atLeast"/>
          <w:jc w:val="center"/>
        </w:trPr>
        <w:tc>
          <w:tcPr>
            <w:tcW w:w="6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57C4B4">
            <w:pPr>
              <w:spacing w:line="300" w:lineRule="exact"/>
              <w:rPr>
                <w:rFonts w:eastAsia="宋体"/>
                <w:color w:val="000000"/>
                <w:sz w:val="24"/>
                <w:szCs w:val="24"/>
              </w:rPr>
            </w:pPr>
          </w:p>
        </w:tc>
        <w:tc>
          <w:tcPr>
            <w:tcW w:w="3643" w:type="dxa"/>
            <w:gridSpan w:val="7"/>
            <w:tcBorders>
              <w:top w:val="single" w:color="000000" w:sz="4" w:space="0"/>
              <w:left w:val="single" w:color="000000" w:sz="4" w:space="0"/>
              <w:bottom w:val="single" w:color="000000" w:sz="4" w:space="0"/>
              <w:right w:val="single" w:color="000000" w:sz="4" w:space="0"/>
            </w:tcBorders>
            <w:noWrap w:val="0"/>
            <w:vAlign w:val="center"/>
          </w:tcPr>
          <w:p w14:paraId="0F7668CF">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项目起止年限</w:t>
            </w:r>
          </w:p>
        </w:tc>
        <w:tc>
          <w:tcPr>
            <w:tcW w:w="5938" w:type="dxa"/>
            <w:gridSpan w:val="6"/>
            <w:tcBorders>
              <w:top w:val="single" w:color="000000" w:sz="4" w:space="0"/>
              <w:left w:val="single" w:color="000000" w:sz="4" w:space="0"/>
              <w:bottom w:val="single" w:color="000000" w:sz="4" w:space="0"/>
              <w:right w:val="single" w:color="000000" w:sz="4" w:space="0"/>
            </w:tcBorders>
            <w:noWrap w:val="0"/>
            <w:vAlign w:val="center"/>
          </w:tcPr>
          <w:p w14:paraId="4EDF5160">
            <w:pPr>
              <w:spacing w:line="300" w:lineRule="exact"/>
              <w:rPr>
                <w:rFonts w:eastAsia="宋体"/>
                <w:color w:val="000000"/>
                <w:sz w:val="24"/>
                <w:szCs w:val="24"/>
              </w:rPr>
            </w:pPr>
            <w:r>
              <w:rPr>
                <w:rFonts w:hint="eastAsia" w:eastAsia="宋体"/>
                <w:color w:val="000000"/>
                <w:sz w:val="24"/>
                <w:szCs w:val="24"/>
              </w:rPr>
              <w:t>2019年</w:t>
            </w:r>
          </w:p>
        </w:tc>
      </w:tr>
      <w:tr w14:paraId="71538CFC">
        <w:tblPrEx>
          <w:tblCellMar>
            <w:top w:w="15" w:type="dxa"/>
            <w:left w:w="15" w:type="dxa"/>
            <w:bottom w:w="15" w:type="dxa"/>
            <w:right w:w="15" w:type="dxa"/>
          </w:tblCellMar>
        </w:tblPrEx>
        <w:trPr>
          <w:gridBefore w:val="1"/>
          <w:gridAfter w:val="2"/>
          <w:wBefore w:w="96" w:type="dxa"/>
          <w:wAfter w:w="572" w:type="dxa"/>
          <w:trHeight w:val="23" w:hRule="atLeast"/>
          <w:jc w:val="center"/>
        </w:trPr>
        <w:tc>
          <w:tcPr>
            <w:tcW w:w="1733" w:type="dxa"/>
            <w:gridSpan w:val="4"/>
            <w:vMerge w:val="restart"/>
            <w:tcBorders>
              <w:top w:val="single" w:color="000000" w:sz="4" w:space="0"/>
              <w:left w:val="single" w:color="000000" w:sz="4" w:space="0"/>
              <w:bottom w:val="single" w:color="000000" w:sz="4" w:space="0"/>
              <w:right w:val="single" w:color="000000" w:sz="4" w:space="0"/>
            </w:tcBorders>
            <w:noWrap w:val="0"/>
            <w:vAlign w:val="center"/>
          </w:tcPr>
          <w:p w14:paraId="6F2C6339">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bidi="ar"/>
              </w:rPr>
              <w:t>项目资金</w:t>
            </w:r>
          </w:p>
          <w:p w14:paraId="3FA91039">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（万元）</w:t>
            </w:r>
          </w:p>
        </w:tc>
        <w:tc>
          <w:tcPr>
            <w:tcW w:w="2562" w:type="dxa"/>
            <w:gridSpan w:val="5"/>
            <w:tcBorders>
              <w:top w:val="single" w:color="000000" w:sz="4" w:space="0"/>
              <w:left w:val="single" w:color="000000" w:sz="4" w:space="0"/>
              <w:bottom w:val="single" w:color="000000" w:sz="4" w:space="0"/>
              <w:right w:val="single" w:color="000000" w:sz="4" w:space="0"/>
            </w:tcBorders>
            <w:noWrap w:val="0"/>
            <w:vAlign w:val="center"/>
          </w:tcPr>
          <w:p w14:paraId="4186B3DC">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 xml:space="preserve">  年度资金总额：</w:t>
            </w:r>
          </w:p>
        </w:tc>
        <w:tc>
          <w:tcPr>
            <w:tcW w:w="5938" w:type="dxa"/>
            <w:gridSpan w:val="6"/>
            <w:tcBorders>
              <w:top w:val="single" w:color="000000" w:sz="4" w:space="0"/>
              <w:left w:val="single" w:color="000000" w:sz="4" w:space="0"/>
              <w:bottom w:val="single" w:color="000000" w:sz="4" w:space="0"/>
              <w:right w:val="single" w:color="000000" w:sz="4" w:space="0"/>
            </w:tcBorders>
            <w:noWrap w:val="0"/>
            <w:vAlign w:val="center"/>
          </w:tcPr>
          <w:p w14:paraId="18022FA8">
            <w:pPr>
              <w:spacing w:line="300" w:lineRule="exact"/>
              <w:ind w:right="480"/>
              <w:rPr>
                <w:rFonts w:eastAsia="宋体"/>
                <w:color w:val="000000"/>
                <w:sz w:val="24"/>
                <w:szCs w:val="24"/>
              </w:rPr>
            </w:pPr>
            <w:r>
              <w:rPr>
                <w:rFonts w:hint="eastAsia" w:eastAsia="宋体"/>
                <w:color w:val="000000"/>
                <w:sz w:val="24"/>
                <w:szCs w:val="24"/>
              </w:rPr>
              <w:t>1800500</w:t>
            </w:r>
          </w:p>
        </w:tc>
      </w:tr>
      <w:tr w14:paraId="7B2F57E4">
        <w:tblPrEx>
          <w:tblCellMar>
            <w:top w:w="15" w:type="dxa"/>
            <w:left w:w="15" w:type="dxa"/>
            <w:bottom w:w="15" w:type="dxa"/>
            <w:right w:w="15" w:type="dxa"/>
          </w:tblCellMar>
        </w:tblPrEx>
        <w:trPr>
          <w:gridBefore w:val="1"/>
          <w:gridAfter w:val="2"/>
          <w:wBefore w:w="96" w:type="dxa"/>
          <w:wAfter w:w="572" w:type="dxa"/>
          <w:trHeight w:val="23" w:hRule="atLeast"/>
          <w:jc w:val="center"/>
        </w:trPr>
        <w:tc>
          <w:tcPr>
            <w:tcW w:w="1733" w:type="dxa"/>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1D21B797">
            <w:pPr>
              <w:spacing w:line="300" w:lineRule="exact"/>
              <w:rPr>
                <w:rFonts w:eastAsia="宋体"/>
                <w:color w:val="000000"/>
                <w:sz w:val="24"/>
                <w:szCs w:val="24"/>
              </w:rPr>
            </w:pPr>
          </w:p>
        </w:tc>
        <w:tc>
          <w:tcPr>
            <w:tcW w:w="2562" w:type="dxa"/>
            <w:gridSpan w:val="5"/>
            <w:tcBorders>
              <w:top w:val="single" w:color="000000" w:sz="4" w:space="0"/>
              <w:left w:val="single" w:color="000000" w:sz="4" w:space="0"/>
              <w:bottom w:val="single" w:color="000000" w:sz="4" w:space="0"/>
              <w:right w:val="single" w:color="000000" w:sz="4" w:space="0"/>
            </w:tcBorders>
            <w:noWrap w:val="0"/>
            <w:vAlign w:val="center"/>
          </w:tcPr>
          <w:p w14:paraId="2F66CE37">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 xml:space="preserve">      其中：财政拨款</w:t>
            </w:r>
          </w:p>
        </w:tc>
        <w:tc>
          <w:tcPr>
            <w:tcW w:w="5938" w:type="dxa"/>
            <w:gridSpan w:val="6"/>
            <w:tcBorders>
              <w:top w:val="single" w:color="000000" w:sz="4" w:space="0"/>
              <w:left w:val="single" w:color="000000" w:sz="4" w:space="0"/>
              <w:bottom w:val="single" w:color="000000" w:sz="4" w:space="0"/>
              <w:right w:val="single" w:color="000000" w:sz="4" w:space="0"/>
            </w:tcBorders>
            <w:noWrap w:val="0"/>
            <w:vAlign w:val="center"/>
          </w:tcPr>
          <w:p w14:paraId="2F82AFE2">
            <w:pPr>
              <w:spacing w:line="300" w:lineRule="exact"/>
              <w:ind w:right="480"/>
              <w:rPr>
                <w:rFonts w:eastAsia="宋体"/>
                <w:color w:val="000000"/>
                <w:sz w:val="24"/>
                <w:szCs w:val="24"/>
              </w:rPr>
            </w:pPr>
            <w:r>
              <w:rPr>
                <w:rFonts w:hint="eastAsia" w:eastAsia="宋体"/>
                <w:color w:val="000000"/>
                <w:sz w:val="24"/>
                <w:szCs w:val="24"/>
              </w:rPr>
              <w:t>1800500</w:t>
            </w:r>
          </w:p>
        </w:tc>
      </w:tr>
      <w:tr w14:paraId="54AB012D">
        <w:tblPrEx>
          <w:tblCellMar>
            <w:top w:w="15" w:type="dxa"/>
            <w:left w:w="15" w:type="dxa"/>
            <w:bottom w:w="15" w:type="dxa"/>
            <w:right w:w="15" w:type="dxa"/>
          </w:tblCellMar>
        </w:tblPrEx>
        <w:trPr>
          <w:gridBefore w:val="1"/>
          <w:gridAfter w:val="2"/>
          <w:wBefore w:w="96" w:type="dxa"/>
          <w:wAfter w:w="572" w:type="dxa"/>
          <w:trHeight w:val="23" w:hRule="atLeast"/>
          <w:jc w:val="center"/>
        </w:trPr>
        <w:tc>
          <w:tcPr>
            <w:tcW w:w="1733" w:type="dxa"/>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022E387E">
            <w:pPr>
              <w:spacing w:line="300" w:lineRule="exact"/>
              <w:rPr>
                <w:rFonts w:eastAsia="宋体"/>
                <w:color w:val="000000"/>
                <w:sz w:val="24"/>
                <w:szCs w:val="24"/>
              </w:rPr>
            </w:pPr>
          </w:p>
        </w:tc>
        <w:tc>
          <w:tcPr>
            <w:tcW w:w="2562" w:type="dxa"/>
            <w:gridSpan w:val="5"/>
            <w:tcBorders>
              <w:top w:val="single" w:color="000000" w:sz="4" w:space="0"/>
              <w:left w:val="single" w:color="000000" w:sz="4" w:space="0"/>
              <w:bottom w:val="single" w:color="000000" w:sz="4" w:space="0"/>
              <w:right w:val="single" w:color="000000" w:sz="4" w:space="0"/>
            </w:tcBorders>
            <w:noWrap w:val="0"/>
            <w:vAlign w:val="center"/>
          </w:tcPr>
          <w:p w14:paraId="6F9200A5">
            <w:pPr>
              <w:widowControl/>
              <w:spacing w:line="300" w:lineRule="exact"/>
              <w:jc w:val="left"/>
              <w:textAlignment w:val="center"/>
              <w:rPr>
                <w:rFonts w:eastAsia="宋体"/>
                <w:color w:val="000000"/>
                <w:sz w:val="24"/>
                <w:szCs w:val="24"/>
              </w:rPr>
            </w:pPr>
            <w:r>
              <w:rPr>
                <w:rFonts w:eastAsia="宋体"/>
                <w:color w:val="000000"/>
                <w:kern w:val="0"/>
                <w:sz w:val="24"/>
                <w:szCs w:val="24"/>
                <w:lang w:bidi="ar"/>
              </w:rPr>
              <w:t xml:space="preserve">            其他资金</w:t>
            </w:r>
          </w:p>
        </w:tc>
        <w:tc>
          <w:tcPr>
            <w:tcW w:w="5938" w:type="dxa"/>
            <w:gridSpan w:val="6"/>
            <w:tcBorders>
              <w:top w:val="single" w:color="000000" w:sz="4" w:space="0"/>
              <w:left w:val="single" w:color="000000" w:sz="4" w:space="0"/>
              <w:bottom w:val="single" w:color="000000" w:sz="4" w:space="0"/>
              <w:right w:val="single" w:color="000000" w:sz="4" w:space="0"/>
            </w:tcBorders>
            <w:noWrap w:val="0"/>
            <w:vAlign w:val="center"/>
          </w:tcPr>
          <w:p w14:paraId="29F3C54F">
            <w:pPr>
              <w:spacing w:line="300" w:lineRule="exact"/>
              <w:jc w:val="right"/>
              <w:rPr>
                <w:rFonts w:eastAsia="宋体"/>
                <w:color w:val="000000"/>
                <w:sz w:val="24"/>
                <w:szCs w:val="24"/>
              </w:rPr>
            </w:pPr>
          </w:p>
        </w:tc>
      </w:tr>
      <w:tr w14:paraId="3CC0E0D1">
        <w:tblPrEx>
          <w:tblCellMar>
            <w:top w:w="15" w:type="dxa"/>
            <w:left w:w="15" w:type="dxa"/>
            <w:bottom w:w="15" w:type="dxa"/>
            <w:right w:w="15" w:type="dxa"/>
          </w:tblCellMar>
        </w:tblPrEx>
        <w:trPr>
          <w:gridBefore w:val="1"/>
          <w:gridAfter w:val="2"/>
          <w:wBefore w:w="96" w:type="dxa"/>
          <w:wAfter w:w="572" w:type="dxa"/>
          <w:trHeight w:val="23" w:hRule="atLeast"/>
          <w:jc w:val="center"/>
        </w:trPr>
        <w:tc>
          <w:tcPr>
            <w:tcW w:w="6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E537E5B">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总体 目标</w:t>
            </w:r>
          </w:p>
        </w:tc>
        <w:tc>
          <w:tcPr>
            <w:tcW w:w="9581" w:type="dxa"/>
            <w:gridSpan w:val="13"/>
            <w:tcBorders>
              <w:top w:val="single" w:color="000000" w:sz="4" w:space="0"/>
              <w:left w:val="single" w:color="000000" w:sz="4" w:space="0"/>
              <w:bottom w:val="single" w:color="000000" w:sz="4" w:space="0"/>
              <w:right w:val="single" w:color="000000" w:sz="4" w:space="0"/>
            </w:tcBorders>
            <w:noWrap w:val="0"/>
            <w:vAlign w:val="center"/>
          </w:tcPr>
          <w:p w14:paraId="3CD99ABF">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年度目标</w:t>
            </w:r>
          </w:p>
        </w:tc>
      </w:tr>
      <w:tr w14:paraId="7DA917F7">
        <w:tblPrEx>
          <w:tblCellMar>
            <w:top w:w="15" w:type="dxa"/>
            <w:left w:w="15" w:type="dxa"/>
            <w:bottom w:w="15" w:type="dxa"/>
            <w:right w:w="15" w:type="dxa"/>
          </w:tblCellMar>
        </w:tblPrEx>
        <w:trPr>
          <w:gridBefore w:val="1"/>
          <w:gridAfter w:val="2"/>
          <w:wBefore w:w="96" w:type="dxa"/>
          <w:wAfter w:w="572" w:type="dxa"/>
          <w:trHeight w:val="23" w:hRule="atLeast"/>
          <w:jc w:val="center"/>
        </w:trPr>
        <w:tc>
          <w:tcPr>
            <w:tcW w:w="6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B25755">
            <w:pPr>
              <w:spacing w:line="300" w:lineRule="exact"/>
              <w:rPr>
                <w:rFonts w:eastAsia="宋体"/>
                <w:color w:val="000000"/>
                <w:sz w:val="24"/>
                <w:szCs w:val="24"/>
              </w:rPr>
            </w:pPr>
          </w:p>
        </w:tc>
        <w:tc>
          <w:tcPr>
            <w:tcW w:w="9581" w:type="dxa"/>
            <w:gridSpan w:val="13"/>
            <w:tcBorders>
              <w:top w:val="single" w:color="000000" w:sz="4" w:space="0"/>
              <w:left w:val="single" w:color="000000" w:sz="4" w:space="0"/>
              <w:bottom w:val="single" w:color="000000" w:sz="4" w:space="0"/>
              <w:right w:val="single" w:color="000000" w:sz="4" w:space="0"/>
            </w:tcBorders>
            <w:noWrap w:val="0"/>
            <w:vAlign w:val="center"/>
          </w:tcPr>
          <w:p w14:paraId="588CD26A">
            <w:pPr>
              <w:spacing w:line="300" w:lineRule="exact"/>
              <w:rPr>
                <w:rFonts w:eastAsia="宋体"/>
                <w:color w:val="000000"/>
                <w:sz w:val="24"/>
                <w:szCs w:val="24"/>
              </w:rPr>
            </w:pPr>
            <w:r>
              <w:rPr>
                <w:rFonts w:hint="eastAsia" w:eastAsia="宋体"/>
                <w:color w:val="000000"/>
                <w:sz w:val="15"/>
                <w:szCs w:val="24"/>
              </w:rPr>
              <w:t>1、重大节日慰问驻军、优抚对象；2、平时慰问维稳对象、武警中队新退役人员、重大变故对象；3、双拥工作经费4、春节、八一等重大节日慰问退役军人和现役军人家属</w:t>
            </w:r>
            <w:r>
              <w:rPr>
                <w:rFonts w:hint="eastAsia" w:eastAsia="宋体"/>
                <w:color w:val="000000"/>
                <w:sz w:val="21"/>
                <w:szCs w:val="24"/>
              </w:rPr>
              <w:t>。</w:t>
            </w:r>
          </w:p>
        </w:tc>
      </w:tr>
      <w:tr w14:paraId="453E1866">
        <w:tblPrEx>
          <w:tblCellMar>
            <w:top w:w="15" w:type="dxa"/>
            <w:left w:w="15" w:type="dxa"/>
            <w:bottom w:w="15" w:type="dxa"/>
            <w:right w:w="15" w:type="dxa"/>
          </w:tblCellMar>
        </w:tblPrEx>
        <w:trPr>
          <w:gridBefore w:val="1"/>
          <w:gridAfter w:val="2"/>
          <w:wBefore w:w="96" w:type="dxa"/>
          <w:wAfter w:w="572" w:type="dxa"/>
          <w:trHeight w:val="23" w:hRule="atLeast"/>
          <w:jc w:val="center"/>
        </w:trPr>
        <w:tc>
          <w:tcPr>
            <w:tcW w:w="652" w:type="dxa"/>
            <w:gridSpan w:val="2"/>
            <w:vMerge w:val="restart"/>
            <w:tcBorders>
              <w:top w:val="single" w:color="000000" w:sz="4" w:space="0"/>
              <w:left w:val="single" w:color="000000" w:sz="4" w:space="0"/>
              <w:bottom w:val="single" w:color="000000" w:sz="4" w:space="0"/>
            </w:tcBorders>
            <w:noWrap w:val="0"/>
            <w:vAlign w:val="center"/>
          </w:tcPr>
          <w:p w14:paraId="2A1B01F5">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绩效 指标</w:t>
            </w:r>
          </w:p>
        </w:tc>
        <w:tc>
          <w:tcPr>
            <w:tcW w:w="1081" w:type="dxa"/>
            <w:gridSpan w:val="2"/>
            <w:tcBorders>
              <w:top w:val="single" w:color="000000" w:sz="4" w:space="0"/>
              <w:left w:val="single" w:color="000000" w:sz="4" w:space="0"/>
              <w:bottom w:val="single" w:color="000000" w:sz="4" w:space="0"/>
              <w:right w:val="single" w:color="000000" w:sz="4" w:space="0"/>
            </w:tcBorders>
            <w:noWrap w:val="0"/>
            <w:vAlign w:val="center"/>
          </w:tcPr>
          <w:p w14:paraId="691AA460">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一级指标</w:t>
            </w:r>
          </w:p>
        </w:tc>
        <w:tc>
          <w:tcPr>
            <w:tcW w:w="1250" w:type="dxa"/>
            <w:gridSpan w:val="2"/>
            <w:tcBorders>
              <w:top w:val="single" w:color="000000" w:sz="4" w:space="0"/>
              <w:left w:val="single" w:color="000000" w:sz="4" w:space="0"/>
              <w:bottom w:val="single" w:color="000000" w:sz="4" w:space="0"/>
              <w:right w:val="single" w:color="000000" w:sz="4" w:space="0"/>
            </w:tcBorders>
            <w:noWrap w:val="0"/>
            <w:vAlign w:val="center"/>
          </w:tcPr>
          <w:p w14:paraId="4A03A095">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二级指标</w:t>
            </w:r>
          </w:p>
        </w:tc>
        <w:tc>
          <w:tcPr>
            <w:tcW w:w="1312" w:type="dxa"/>
            <w:gridSpan w:val="3"/>
            <w:tcBorders>
              <w:top w:val="single" w:color="000000" w:sz="4" w:space="0"/>
              <w:left w:val="single" w:color="000000" w:sz="4" w:space="0"/>
              <w:bottom w:val="single" w:color="000000" w:sz="4" w:space="0"/>
              <w:right w:val="single" w:color="000000" w:sz="4" w:space="0"/>
            </w:tcBorders>
            <w:noWrap w:val="0"/>
            <w:vAlign w:val="center"/>
          </w:tcPr>
          <w:p w14:paraId="1DC8949B">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060C74DB">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9B2A77C">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3AD8818">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8B95BB6">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权重</w:t>
            </w:r>
          </w:p>
        </w:tc>
        <w:tc>
          <w:tcPr>
            <w:tcW w:w="1841" w:type="dxa"/>
            <w:gridSpan w:val="2"/>
            <w:tcBorders>
              <w:top w:val="single" w:color="000000" w:sz="4" w:space="0"/>
              <w:left w:val="single" w:color="000000" w:sz="4" w:space="0"/>
              <w:bottom w:val="single" w:color="000000" w:sz="4" w:space="0"/>
              <w:right w:val="single" w:color="000000" w:sz="4" w:space="0"/>
            </w:tcBorders>
            <w:noWrap w:val="0"/>
            <w:vAlign w:val="center"/>
          </w:tcPr>
          <w:p w14:paraId="01487720">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实际完成指标值</w:t>
            </w:r>
          </w:p>
        </w:tc>
      </w:tr>
      <w:tr w14:paraId="498900A9">
        <w:tblPrEx>
          <w:tblCellMar>
            <w:top w:w="15" w:type="dxa"/>
            <w:left w:w="15" w:type="dxa"/>
            <w:bottom w:w="15" w:type="dxa"/>
            <w:right w:w="15" w:type="dxa"/>
          </w:tblCellMar>
        </w:tblPrEx>
        <w:trPr>
          <w:gridBefore w:val="1"/>
          <w:gridAfter w:val="2"/>
          <w:wBefore w:w="96" w:type="dxa"/>
          <w:wAfter w:w="572" w:type="dxa"/>
          <w:trHeight w:val="23" w:hRule="atLeast"/>
          <w:jc w:val="center"/>
        </w:trPr>
        <w:tc>
          <w:tcPr>
            <w:tcW w:w="652" w:type="dxa"/>
            <w:gridSpan w:val="2"/>
            <w:vMerge w:val="continue"/>
            <w:tcBorders>
              <w:top w:val="single" w:color="000000" w:sz="4" w:space="0"/>
              <w:left w:val="single" w:color="000000" w:sz="4" w:space="0"/>
              <w:bottom w:val="single" w:color="000000" w:sz="4" w:space="0"/>
            </w:tcBorders>
            <w:noWrap w:val="0"/>
            <w:vAlign w:val="center"/>
          </w:tcPr>
          <w:p w14:paraId="46503273">
            <w:pPr>
              <w:spacing w:line="300" w:lineRule="exact"/>
              <w:jc w:val="center"/>
              <w:rPr>
                <w:rFonts w:eastAsia="宋体"/>
                <w:color w:val="000000"/>
                <w:sz w:val="24"/>
                <w:szCs w:val="24"/>
              </w:rPr>
            </w:pPr>
          </w:p>
        </w:tc>
        <w:tc>
          <w:tcPr>
            <w:tcW w:w="10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501AC30">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产出指标</w:t>
            </w:r>
          </w:p>
        </w:tc>
        <w:tc>
          <w:tcPr>
            <w:tcW w:w="1250" w:type="dxa"/>
            <w:gridSpan w:val="2"/>
            <w:tcBorders>
              <w:top w:val="single" w:color="000000" w:sz="4" w:space="0"/>
              <w:left w:val="single" w:color="000000" w:sz="4" w:space="0"/>
              <w:bottom w:val="single" w:color="000000" w:sz="4" w:space="0"/>
              <w:right w:val="single" w:color="000000" w:sz="4" w:space="0"/>
            </w:tcBorders>
            <w:noWrap w:val="0"/>
            <w:vAlign w:val="center"/>
          </w:tcPr>
          <w:p w14:paraId="3023B19D">
            <w:pPr>
              <w:widowControl/>
              <w:spacing w:line="300" w:lineRule="exact"/>
              <w:jc w:val="center"/>
              <w:textAlignment w:val="center"/>
              <w:rPr>
                <w:rFonts w:eastAsia="宋体"/>
                <w:color w:val="000000"/>
                <w:kern w:val="0"/>
                <w:sz w:val="24"/>
                <w:szCs w:val="24"/>
                <w:lang w:bidi="ar"/>
              </w:rPr>
            </w:pPr>
            <w:r>
              <w:rPr>
                <w:rFonts w:hint="eastAsia" w:eastAsia="宋体"/>
                <w:color w:val="000000"/>
                <w:kern w:val="0"/>
                <w:sz w:val="24"/>
                <w:szCs w:val="24"/>
                <w:lang w:bidi="ar"/>
              </w:rPr>
              <w:t>质量指标</w:t>
            </w:r>
          </w:p>
        </w:tc>
        <w:tc>
          <w:tcPr>
            <w:tcW w:w="1312" w:type="dxa"/>
            <w:gridSpan w:val="3"/>
            <w:tcBorders>
              <w:top w:val="single" w:color="000000" w:sz="4" w:space="0"/>
              <w:left w:val="single" w:color="000000" w:sz="4" w:space="0"/>
              <w:bottom w:val="single" w:color="000000" w:sz="4" w:space="0"/>
              <w:right w:val="single" w:color="000000" w:sz="4" w:space="0"/>
            </w:tcBorders>
            <w:noWrap w:val="0"/>
            <w:vAlign w:val="center"/>
          </w:tcPr>
          <w:p w14:paraId="01755335">
            <w:pPr>
              <w:spacing w:line="300" w:lineRule="exact"/>
              <w:rPr>
                <w:rFonts w:eastAsia="宋体"/>
                <w:color w:val="000000"/>
                <w:sz w:val="28"/>
                <w:szCs w:val="24"/>
              </w:rPr>
            </w:pPr>
            <w:r>
              <w:rPr>
                <w:sz w:val="28"/>
              </w:rPr>
              <w:t>全覆盖发放慰问金</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5479612D">
            <w:pPr>
              <w:spacing w:line="300" w:lineRule="exact"/>
              <w:jc w:val="center"/>
              <w:rPr>
                <w:rFonts w:eastAsia="宋体"/>
                <w:color w:val="000000"/>
                <w:sz w:val="28"/>
                <w:szCs w:val="24"/>
              </w:rPr>
            </w:pPr>
            <w: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tbl>
            <w:tblPr>
              <w:tblStyle w:val="15"/>
              <w:tblW w:w="18400" w:type="dxa"/>
              <w:tblCellSpacing w:w="0" w:type="dxa"/>
              <w:tblInd w:w="0" w:type="dxa"/>
              <w:tblLayout w:type="fixed"/>
              <w:tblCellMar>
                <w:top w:w="0" w:type="dxa"/>
                <w:left w:w="0" w:type="dxa"/>
                <w:bottom w:w="0" w:type="dxa"/>
                <w:right w:w="0" w:type="dxa"/>
              </w:tblCellMar>
            </w:tblPr>
            <w:tblGrid>
              <w:gridCol w:w="302"/>
              <w:gridCol w:w="18098"/>
            </w:tblGrid>
            <w:tr w14:paraId="7EEE66E3">
              <w:tblPrEx>
                <w:tblCellMar>
                  <w:top w:w="0" w:type="dxa"/>
                  <w:left w:w="0" w:type="dxa"/>
                  <w:bottom w:w="0" w:type="dxa"/>
                  <w:right w:w="0" w:type="dxa"/>
                </w:tblCellMar>
              </w:tblPrEx>
              <w:trPr>
                <w:tblCellSpacing w:w="0" w:type="dxa"/>
              </w:trPr>
              <w:tc>
                <w:tcPr>
                  <w:tcW w:w="302" w:type="dxa"/>
                  <w:noWrap w:val="0"/>
                  <w:vAlign w:val="center"/>
                </w:tcPr>
                <w:p w14:paraId="76D01595">
                  <w:pPr>
                    <w:widowControl/>
                    <w:jc w:val="left"/>
                    <w:rPr>
                      <w:rFonts w:ascii="宋体" w:hAnsi="宋体" w:eastAsia="宋体" w:cs="宋体"/>
                      <w:kern w:val="0"/>
                      <w:sz w:val="24"/>
                      <w:szCs w:val="24"/>
                    </w:rPr>
                  </w:pPr>
                </w:p>
              </w:tc>
              <w:tc>
                <w:tcPr>
                  <w:tcW w:w="18098" w:type="dxa"/>
                  <w:noWrap w:val="0"/>
                  <w:vAlign w:val="center"/>
                </w:tcPr>
                <w:p w14:paraId="56169799">
                  <w:pPr>
                    <w:widowControl/>
                    <w:jc w:val="left"/>
                    <w:rPr>
                      <w:rFonts w:ascii="宋体" w:hAnsi="宋体" w:eastAsia="宋体" w:cs="宋体"/>
                      <w:kern w:val="0"/>
                      <w:sz w:val="24"/>
                      <w:szCs w:val="24"/>
                    </w:rPr>
                  </w:pPr>
                  <w:r>
                    <w:rPr>
                      <w:rFonts w:ascii="宋体" w:hAnsi="宋体" w:eastAsia="宋体" w:cs="宋体"/>
                      <w:kern w:val="0"/>
                      <w:sz w:val="24"/>
                      <w:szCs w:val="24"/>
                    </w:rPr>
                    <w:t>100</w:t>
                  </w:r>
                </w:p>
              </w:tc>
            </w:tr>
          </w:tbl>
          <w:p w14:paraId="6D2B392F">
            <w:pPr>
              <w:spacing w:line="300" w:lineRule="exact"/>
              <w:jc w:val="center"/>
              <w:rPr>
                <w:rFonts w:eastAsia="宋体"/>
                <w:color w:val="000000"/>
                <w:sz w:val="24"/>
                <w:szCs w:val="24"/>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504B55A">
            <w:pPr>
              <w:spacing w:line="300" w:lineRule="exact"/>
              <w:jc w:val="center"/>
              <w:rPr>
                <w:rFonts w:eastAsia="宋体"/>
                <w:color w:val="000000"/>
                <w:sz w:val="24"/>
                <w:szCs w:val="24"/>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1AA51BF">
            <w:pPr>
              <w:spacing w:line="300" w:lineRule="exact"/>
              <w:jc w:val="center"/>
              <w:rPr>
                <w:rFonts w:eastAsia="宋体"/>
                <w:color w:val="000000"/>
                <w:sz w:val="24"/>
                <w:szCs w:val="24"/>
              </w:rPr>
            </w:pPr>
            <w:r>
              <w:rPr>
                <w:rFonts w:hint="eastAsia" w:eastAsia="宋体"/>
                <w:color w:val="000000"/>
                <w:sz w:val="24"/>
                <w:szCs w:val="24"/>
              </w:rPr>
              <w:t>20</w:t>
            </w:r>
          </w:p>
        </w:tc>
        <w:tc>
          <w:tcPr>
            <w:tcW w:w="1841" w:type="dxa"/>
            <w:gridSpan w:val="2"/>
            <w:tcBorders>
              <w:top w:val="single" w:color="000000" w:sz="4" w:space="0"/>
              <w:left w:val="single" w:color="000000" w:sz="4" w:space="0"/>
              <w:bottom w:val="single" w:color="000000" w:sz="4" w:space="0"/>
              <w:right w:val="single" w:color="000000" w:sz="4" w:space="0"/>
            </w:tcBorders>
            <w:noWrap w:val="0"/>
            <w:vAlign w:val="center"/>
          </w:tcPr>
          <w:p w14:paraId="3560A13C">
            <w:pPr>
              <w:spacing w:line="300" w:lineRule="exact"/>
              <w:jc w:val="center"/>
              <w:rPr>
                <w:rFonts w:eastAsia="宋体"/>
                <w:color w:val="000000"/>
                <w:sz w:val="24"/>
                <w:szCs w:val="24"/>
              </w:rPr>
            </w:pPr>
            <w:r>
              <w:rPr>
                <w:rFonts w:hint="eastAsia" w:eastAsia="宋体"/>
                <w:color w:val="000000"/>
                <w:sz w:val="24"/>
                <w:szCs w:val="24"/>
              </w:rPr>
              <w:t>20</w:t>
            </w:r>
          </w:p>
        </w:tc>
      </w:tr>
      <w:tr w14:paraId="7DF4BFF1">
        <w:tblPrEx>
          <w:tblCellMar>
            <w:top w:w="15" w:type="dxa"/>
            <w:left w:w="15" w:type="dxa"/>
            <w:bottom w:w="15" w:type="dxa"/>
            <w:right w:w="15" w:type="dxa"/>
          </w:tblCellMar>
        </w:tblPrEx>
        <w:trPr>
          <w:gridBefore w:val="1"/>
          <w:gridAfter w:val="2"/>
          <w:wBefore w:w="96" w:type="dxa"/>
          <w:wAfter w:w="572" w:type="dxa"/>
          <w:trHeight w:val="23" w:hRule="atLeast"/>
          <w:jc w:val="center"/>
        </w:trPr>
        <w:tc>
          <w:tcPr>
            <w:tcW w:w="652" w:type="dxa"/>
            <w:gridSpan w:val="2"/>
            <w:vMerge w:val="continue"/>
            <w:tcBorders>
              <w:top w:val="single" w:color="000000" w:sz="4" w:space="0"/>
              <w:left w:val="single" w:color="000000" w:sz="4" w:space="0"/>
              <w:bottom w:val="single" w:color="000000" w:sz="4" w:space="0"/>
            </w:tcBorders>
            <w:noWrap w:val="0"/>
            <w:vAlign w:val="center"/>
          </w:tcPr>
          <w:p w14:paraId="47A0C77A">
            <w:pPr>
              <w:spacing w:line="300" w:lineRule="exact"/>
              <w:jc w:val="center"/>
              <w:rPr>
                <w:rFonts w:eastAsia="宋体"/>
                <w:color w:val="000000"/>
                <w:sz w:val="24"/>
                <w:szCs w:val="24"/>
              </w:rPr>
            </w:pPr>
          </w:p>
        </w:tc>
        <w:tc>
          <w:tcPr>
            <w:tcW w:w="10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6F8880">
            <w:pPr>
              <w:spacing w:line="300" w:lineRule="exact"/>
              <w:jc w:val="center"/>
              <w:rPr>
                <w:rFonts w:eastAsia="宋体"/>
                <w:color w:val="000000"/>
                <w:sz w:val="24"/>
                <w:szCs w:val="24"/>
              </w:rPr>
            </w:pPr>
          </w:p>
        </w:tc>
        <w:tc>
          <w:tcPr>
            <w:tcW w:w="1250" w:type="dxa"/>
            <w:gridSpan w:val="2"/>
            <w:tcBorders>
              <w:top w:val="single" w:color="000000" w:sz="4" w:space="0"/>
              <w:left w:val="single" w:color="000000" w:sz="4" w:space="0"/>
              <w:bottom w:val="single" w:color="000000" w:sz="4" w:space="0"/>
              <w:right w:val="single" w:color="000000" w:sz="4" w:space="0"/>
            </w:tcBorders>
            <w:noWrap w:val="0"/>
            <w:vAlign w:val="center"/>
          </w:tcPr>
          <w:p w14:paraId="2B6B3D8C">
            <w:pPr>
              <w:widowControl/>
              <w:spacing w:line="300" w:lineRule="exact"/>
              <w:jc w:val="center"/>
              <w:textAlignment w:val="center"/>
              <w:rPr>
                <w:rFonts w:eastAsia="宋体"/>
                <w:color w:val="000000"/>
                <w:kern w:val="0"/>
                <w:sz w:val="24"/>
                <w:szCs w:val="24"/>
                <w:lang w:bidi="ar"/>
              </w:rPr>
            </w:pPr>
            <w:r>
              <w:rPr>
                <w:rFonts w:hint="eastAsia" w:eastAsia="宋体"/>
                <w:color w:val="000000"/>
                <w:kern w:val="0"/>
                <w:sz w:val="24"/>
                <w:szCs w:val="24"/>
                <w:lang w:bidi="ar"/>
              </w:rPr>
              <w:t>时效指标</w:t>
            </w:r>
          </w:p>
        </w:tc>
        <w:tc>
          <w:tcPr>
            <w:tcW w:w="1312" w:type="dxa"/>
            <w:gridSpan w:val="3"/>
            <w:tcBorders>
              <w:top w:val="single" w:color="000000" w:sz="4" w:space="0"/>
              <w:left w:val="single" w:color="000000" w:sz="4" w:space="0"/>
              <w:bottom w:val="single" w:color="000000" w:sz="4" w:space="0"/>
              <w:right w:val="single" w:color="000000" w:sz="4" w:space="0"/>
            </w:tcBorders>
            <w:noWrap w:val="0"/>
            <w:vAlign w:val="center"/>
          </w:tcPr>
          <w:p w14:paraId="61021CC7">
            <w:pPr>
              <w:spacing w:line="300" w:lineRule="exact"/>
              <w:rPr>
                <w:rFonts w:eastAsia="宋体"/>
                <w:color w:val="000000"/>
                <w:sz w:val="24"/>
                <w:szCs w:val="24"/>
              </w:rPr>
            </w:pPr>
            <w:r>
              <w:rPr>
                <w:rFonts w:eastAsia="宋体"/>
                <w:color w:val="000000"/>
                <w:kern w:val="0"/>
                <w:sz w:val="24"/>
                <w:szCs w:val="24"/>
                <w:lang w:bidi="ar"/>
              </w:rPr>
              <w:t>按实发放各项慰问金</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46EE7042">
            <w:pPr>
              <w:spacing w:line="300" w:lineRule="exact"/>
              <w:jc w:val="center"/>
              <w:rPr>
                <w:rFonts w:eastAsia="宋体"/>
                <w:color w:val="000000"/>
                <w:sz w:val="24"/>
                <w:szCs w:val="24"/>
              </w:rPr>
            </w:pPr>
            <w: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69D6EB6E">
            <w:pPr>
              <w:spacing w:line="300" w:lineRule="exact"/>
              <w:jc w:val="center"/>
              <w:rPr>
                <w:rFonts w:eastAsia="宋体"/>
                <w:color w:val="000000"/>
                <w:sz w:val="24"/>
                <w:szCs w:val="24"/>
              </w:rPr>
            </w:pPr>
            <w:r>
              <w:rPr>
                <w:rFonts w:hint="eastAsia" w:eastAsia="宋体"/>
                <w:color w:val="000000"/>
                <w:sz w:val="24"/>
                <w:szCs w:val="24"/>
              </w:rPr>
              <w:t>优良中差</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765EBB9">
            <w:pPr>
              <w:spacing w:line="300" w:lineRule="exact"/>
              <w:jc w:val="center"/>
              <w:rPr>
                <w:rFonts w:eastAsia="宋体"/>
                <w:color w:val="000000"/>
                <w:sz w:val="24"/>
                <w:szCs w:val="24"/>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021D0D9">
            <w:pPr>
              <w:spacing w:line="300" w:lineRule="exact"/>
              <w:jc w:val="center"/>
              <w:rPr>
                <w:rFonts w:eastAsia="宋体"/>
                <w:color w:val="000000"/>
                <w:sz w:val="24"/>
                <w:szCs w:val="24"/>
              </w:rPr>
            </w:pPr>
            <w:r>
              <w:rPr>
                <w:rFonts w:hint="eastAsia" w:eastAsia="宋体"/>
                <w:color w:val="000000"/>
                <w:sz w:val="24"/>
                <w:szCs w:val="24"/>
              </w:rPr>
              <w:t>20</w:t>
            </w:r>
          </w:p>
        </w:tc>
        <w:tc>
          <w:tcPr>
            <w:tcW w:w="1841" w:type="dxa"/>
            <w:gridSpan w:val="2"/>
            <w:tcBorders>
              <w:top w:val="single" w:color="000000" w:sz="4" w:space="0"/>
              <w:left w:val="single" w:color="000000" w:sz="4" w:space="0"/>
              <w:bottom w:val="single" w:color="000000" w:sz="4" w:space="0"/>
              <w:right w:val="single" w:color="000000" w:sz="4" w:space="0"/>
            </w:tcBorders>
            <w:noWrap w:val="0"/>
            <w:vAlign w:val="center"/>
          </w:tcPr>
          <w:p w14:paraId="22A97447">
            <w:pPr>
              <w:spacing w:line="300" w:lineRule="exact"/>
              <w:jc w:val="center"/>
              <w:rPr>
                <w:rFonts w:eastAsia="宋体"/>
                <w:color w:val="000000"/>
                <w:sz w:val="24"/>
                <w:szCs w:val="24"/>
              </w:rPr>
            </w:pPr>
            <w:r>
              <w:rPr>
                <w:rFonts w:hint="eastAsia" w:eastAsia="宋体"/>
                <w:color w:val="000000"/>
                <w:sz w:val="24"/>
                <w:szCs w:val="24"/>
              </w:rPr>
              <w:t>20</w:t>
            </w:r>
          </w:p>
        </w:tc>
      </w:tr>
      <w:tr w14:paraId="3691C244">
        <w:tblPrEx>
          <w:tblCellMar>
            <w:top w:w="15" w:type="dxa"/>
            <w:left w:w="15" w:type="dxa"/>
            <w:bottom w:w="15" w:type="dxa"/>
            <w:right w:w="15" w:type="dxa"/>
          </w:tblCellMar>
        </w:tblPrEx>
        <w:trPr>
          <w:gridBefore w:val="1"/>
          <w:gridAfter w:val="2"/>
          <w:wBefore w:w="96" w:type="dxa"/>
          <w:wAfter w:w="572" w:type="dxa"/>
          <w:trHeight w:val="23" w:hRule="atLeast"/>
          <w:jc w:val="center"/>
        </w:trPr>
        <w:tc>
          <w:tcPr>
            <w:tcW w:w="652" w:type="dxa"/>
            <w:gridSpan w:val="2"/>
            <w:vMerge w:val="continue"/>
            <w:tcBorders>
              <w:top w:val="single" w:color="000000" w:sz="4" w:space="0"/>
              <w:left w:val="single" w:color="000000" w:sz="4" w:space="0"/>
              <w:bottom w:val="single" w:color="000000" w:sz="4" w:space="0"/>
            </w:tcBorders>
            <w:noWrap w:val="0"/>
            <w:vAlign w:val="center"/>
          </w:tcPr>
          <w:p w14:paraId="16F08023">
            <w:pPr>
              <w:spacing w:line="300" w:lineRule="exact"/>
              <w:jc w:val="center"/>
              <w:rPr>
                <w:rFonts w:eastAsia="宋体"/>
                <w:color w:val="000000"/>
                <w:sz w:val="24"/>
                <w:szCs w:val="24"/>
              </w:rPr>
            </w:pPr>
          </w:p>
        </w:tc>
        <w:tc>
          <w:tcPr>
            <w:tcW w:w="10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431AB0">
            <w:pPr>
              <w:spacing w:line="300" w:lineRule="exact"/>
              <w:jc w:val="center"/>
              <w:rPr>
                <w:rFonts w:eastAsia="宋体"/>
                <w:color w:val="000000"/>
                <w:sz w:val="24"/>
                <w:szCs w:val="24"/>
              </w:rPr>
            </w:pPr>
          </w:p>
        </w:tc>
        <w:tc>
          <w:tcPr>
            <w:tcW w:w="1250" w:type="dxa"/>
            <w:gridSpan w:val="2"/>
            <w:tcBorders>
              <w:top w:val="single" w:color="000000" w:sz="4" w:space="0"/>
              <w:left w:val="single" w:color="000000" w:sz="4" w:space="0"/>
              <w:bottom w:val="single" w:color="000000" w:sz="4" w:space="0"/>
              <w:right w:val="single" w:color="000000" w:sz="4" w:space="0"/>
            </w:tcBorders>
            <w:noWrap w:val="0"/>
            <w:vAlign w:val="center"/>
          </w:tcPr>
          <w:p w14:paraId="45DDBB9F">
            <w:pPr>
              <w:widowControl/>
              <w:spacing w:line="300" w:lineRule="exact"/>
              <w:jc w:val="center"/>
              <w:textAlignment w:val="center"/>
              <w:rPr>
                <w:rFonts w:eastAsia="宋体"/>
                <w:color w:val="000000"/>
                <w:kern w:val="0"/>
                <w:sz w:val="24"/>
                <w:szCs w:val="24"/>
                <w:lang w:bidi="ar"/>
              </w:rPr>
            </w:pPr>
            <w:r>
              <w:rPr>
                <w:rFonts w:hint="eastAsia" w:eastAsia="宋体"/>
                <w:color w:val="000000"/>
                <w:kern w:val="0"/>
                <w:sz w:val="24"/>
                <w:szCs w:val="24"/>
                <w:lang w:bidi="ar"/>
              </w:rPr>
              <w:t>数量指标</w:t>
            </w:r>
          </w:p>
        </w:tc>
        <w:tc>
          <w:tcPr>
            <w:tcW w:w="1312" w:type="dxa"/>
            <w:gridSpan w:val="3"/>
            <w:tcBorders>
              <w:top w:val="single" w:color="000000" w:sz="4" w:space="0"/>
              <w:left w:val="single" w:color="000000" w:sz="4" w:space="0"/>
              <w:bottom w:val="single" w:color="000000" w:sz="4" w:space="0"/>
              <w:right w:val="single" w:color="000000" w:sz="4" w:space="0"/>
            </w:tcBorders>
            <w:noWrap w:val="0"/>
            <w:vAlign w:val="center"/>
          </w:tcPr>
          <w:p w14:paraId="5AFFFE11">
            <w:pPr>
              <w:spacing w:line="300" w:lineRule="exact"/>
              <w:rPr>
                <w:rFonts w:eastAsia="宋体"/>
                <w:color w:val="000000"/>
                <w:sz w:val="24"/>
                <w:szCs w:val="24"/>
              </w:rPr>
            </w:pPr>
            <w:r>
              <w:t>慰问群体人数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8FD5B7E">
            <w:pPr>
              <w:spacing w:line="300" w:lineRule="exact"/>
              <w:jc w:val="center"/>
              <w:rPr>
                <w:rFonts w:eastAsia="宋体"/>
                <w:color w:val="000000"/>
                <w:sz w:val="24"/>
                <w:szCs w:val="24"/>
              </w:rPr>
            </w:pPr>
            <w: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tbl>
            <w:tblPr>
              <w:tblStyle w:val="15"/>
              <w:tblW w:w="18400" w:type="dxa"/>
              <w:tblCellSpacing w:w="0" w:type="dxa"/>
              <w:tblInd w:w="0" w:type="dxa"/>
              <w:tblLayout w:type="fixed"/>
              <w:tblCellMar>
                <w:top w:w="0" w:type="dxa"/>
                <w:left w:w="0" w:type="dxa"/>
                <w:bottom w:w="0" w:type="dxa"/>
                <w:right w:w="0" w:type="dxa"/>
              </w:tblCellMar>
            </w:tblPr>
            <w:tblGrid>
              <w:gridCol w:w="227"/>
              <w:gridCol w:w="18173"/>
            </w:tblGrid>
            <w:tr w14:paraId="33BCAD7F">
              <w:tblPrEx>
                <w:tblCellMar>
                  <w:top w:w="0" w:type="dxa"/>
                  <w:left w:w="0" w:type="dxa"/>
                  <w:bottom w:w="0" w:type="dxa"/>
                  <w:right w:w="0" w:type="dxa"/>
                </w:tblCellMar>
              </w:tblPrEx>
              <w:trPr>
                <w:tblCellSpacing w:w="0" w:type="dxa"/>
              </w:trPr>
              <w:tc>
                <w:tcPr>
                  <w:tcW w:w="227" w:type="dxa"/>
                  <w:noWrap w:val="0"/>
                  <w:vAlign w:val="center"/>
                </w:tcPr>
                <w:p w14:paraId="42EF9A02">
                  <w:pPr>
                    <w:widowControl/>
                    <w:jc w:val="left"/>
                    <w:rPr>
                      <w:rFonts w:ascii="宋体" w:hAnsi="宋体" w:eastAsia="宋体" w:cs="宋体"/>
                      <w:kern w:val="0"/>
                      <w:sz w:val="24"/>
                      <w:szCs w:val="24"/>
                    </w:rPr>
                  </w:pPr>
                </w:p>
              </w:tc>
              <w:tc>
                <w:tcPr>
                  <w:tcW w:w="18173" w:type="dxa"/>
                  <w:noWrap w:val="0"/>
                  <w:vAlign w:val="center"/>
                </w:tcPr>
                <w:p w14:paraId="5D63703F">
                  <w:pPr>
                    <w:widowControl/>
                    <w:jc w:val="left"/>
                    <w:rPr>
                      <w:rFonts w:ascii="宋体" w:hAnsi="宋体" w:eastAsia="宋体" w:cs="宋体"/>
                      <w:kern w:val="0"/>
                      <w:sz w:val="24"/>
                      <w:szCs w:val="24"/>
                    </w:rPr>
                  </w:pPr>
                  <w:r>
                    <w:rPr>
                      <w:rFonts w:ascii="宋体" w:hAnsi="宋体" w:eastAsia="宋体" w:cs="宋体"/>
                      <w:kern w:val="0"/>
                      <w:sz w:val="24"/>
                      <w:szCs w:val="24"/>
                    </w:rPr>
                    <w:t>5500</w:t>
                  </w:r>
                </w:p>
              </w:tc>
            </w:tr>
          </w:tbl>
          <w:p w14:paraId="3B7F0E2C">
            <w:pPr>
              <w:spacing w:line="300" w:lineRule="exact"/>
              <w:jc w:val="center"/>
              <w:rPr>
                <w:rFonts w:eastAsia="宋体"/>
                <w:color w:val="000000"/>
                <w:sz w:val="24"/>
                <w:szCs w:val="24"/>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09D536C">
            <w:pPr>
              <w:spacing w:line="300" w:lineRule="exact"/>
              <w:jc w:val="center"/>
              <w:rPr>
                <w:rFonts w:eastAsia="宋体"/>
                <w:color w:val="000000"/>
                <w:sz w:val="24"/>
                <w:szCs w:val="24"/>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1FAEE7C">
            <w:pPr>
              <w:spacing w:line="300" w:lineRule="exact"/>
              <w:jc w:val="center"/>
              <w:rPr>
                <w:rFonts w:eastAsia="宋体"/>
                <w:color w:val="000000"/>
                <w:sz w:val="24"/>
                <w:szCs w:val="24"/>
              </w:rPr>
            </w:pPr>
            <w:r>
              <w:rPr>
                <w:rFonts w:hint="eastAsia" w:eastAsia="宋体"/>
                <w:color w:val="000000"/>
                <w:sz w:val="24"/>
                <w:szCs w:val="24"/>
              </w:rPr>
              <w:t>20</w:t>
            </w:r>
          </w:p>
        </w:tc>
        <w:tc>
          <w:tcPr>
            <w:tcW w:w="1841" w:type="dxa"/>
            <w:gridSpan w:val="2"/>
            <w:tcBorders>
              <w:top w:val="single" w:color="000000" w:sz="4" w:space="0"/>
              <w:left w:val="single" w:color="000000" w:sz="4" w:space="0"/>
              <w:bottom w:val="single" w:color="000000" w:sz="4" w:space="0"/>
              <w:right w:val="single" w:color="000000" w:sz="4" w:space="0"/>
            </w:tcBorders>
            <w:noWrap w:val="0"/>
            <w:vAlign w:val="center"/>
          </w:tcPr>
          <w:p w14:paraId="6D63F2B7">
            <w:pPr>
              <w:spacing w:line="300" w:lineRule="exact"/>
              <w:jc w:val="center"/>
              <w:rPr>
                <w:rFonts w:eastAsia="宋体"/>
                <w:color w:val="000000"/>
                <w:sz w:val="24"/>
                <w:szCs w:val="24"/>
              </w:rPr>
            </w:pPr>
            <w:r>
              <w:rPr>
                <w:rFonts w:hint="eastAsia" w:eastAsia="宋体"/>
                <w:color w:val="000000"/>
                <w:sz w:val="24"/>
                <w:szCs w:val="24"/>
              </w:rPr>
              <w:t>20</w:t>
            </w:r>
          </w:p>
        </w:tc>
      </w:tr>
      <w:tr w14:paraId="763E7704">
        <w:tblPrEx>
          <w:tblCellMar>
            <w:top w:w="15" w:type="dxa"/>
            <w:left w:w="15" w:type="dxa"/>
            <w:bottom w:w="15" w:type="dxa"/>
            <w:right w:w="15" w:type="dxa"/>
          </w:tblCellMar>
        </w:tblPrEx>
        <w:trPr>
          <w:gridBefore w:val="1"/>
          <w:gridAfter w:val="2"/>
          <w:wBefore w:w="96" w:type="dxa"/>
          <w:wAfter w:w="572" w:type="dxa"/>
          <w:trHeight w:val="23" w:hRule="atLeast"/>
          <w:jc w:val="center"/>
        </w:trPr>
        <w:tc>
          <w:tcPr>
            <w:tcW w:w="652" w:type="dxa"/>
            <w:gridSpan w:val="2"/>
            <w:vMerge w:val="continue"/>
            <w:tcBorders>
              <w:top w:val="single" w:color="000000" w:sz="4" w:space="0"/>
              <w:left w:val="single" w:color="000000" w:sz="4" w:space="0"/>
              <w:bottom w:val="single" w:color="000000" w:sz="4" w:space="0"/>
            </w:tcBorders>
            <w:noWrap w:val="0"/>
            <w:vAlign w:val="center"/>
          </w:tcPr>
          <w:p w14:paraId="6498BEEA">
            <w:pPr>
              <w:spacing w:line="300" w:lineRule="exact"/>
              <w:jc w:val="center"/>
              <w:rPr>
                <w:rFonts w:eastAsia="宋体"/>
                <w:color w:val="000000"/>
                <w:sz w:val="24"/>
                <w:szCs w:val="24"/>
              </w:rPr>
            </w:pPr>
          </w:p>
        </w:tc>
        <w:tc>
          <w:tcPr>
            <w:tcW w:w="10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A2BF70C">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效益指标</w:t>
            </w:r>
          </w:p>
        </w:tc>
        <w:tc>
          <w:tcPr>
            <w:tcW w:w="1250" w:type="dxa"/>
            <w:gridSpan w:val="2"/>
            <w:tcBorders>
              <w:top w:val="single" w:color="000000" w:sz="4" w:space="0"/>
              <w:left w:val="single" w:color="000000" w:sz="4" w:space="0"/>
              <w:bottom w:val="single" w:color="000000" w:sz="4" w:space="0"/>
              <w:right w:val="single" w:color="000000" w:sz="4" w:space="0"/>
            </w:tcBorders>
            <w:noWrap w:val="0"/>
            <w:vAlign w:val="center"/>
          </w:tcPr>
          <w:p w14:paraId="362DBE96">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bidi="ar"/>
              </w:rPr>
              <w:t>经济效益</w:t>
            </w:r>
          </w:p>
          <w:p w14:paraId="516BA47A">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指标</w:t>
            </w:r>
          </w:p>
        </w:tc>
        <w:tc>
          <w:tcPr>
            <w:tcW w:w="1312" w:type="dxa"/>
            <w:gridSpan w:val="3"/>
            <w:tcBorders>
              <w:top w:val="single" w:color="000000" w:sz="4" w:space="0"/>
              <w:left w:val="single" w:color="000000" w:sz="4" w:space="0"/>
              <w:bottom w:val="single" w:color="000000" w:sz="4" w:space="0"/>
              <w:right w:val="single" w:color="000000" w:sz="4" w:space="0"/>
            </w:tcBorders>
            <w:noWrap w:val="0"/>
            <w:vAlign w:val="center"/>
          </w:tcPr>
          <w:tbl>
            <w:tblPr>
              <w:tblStyle w:val="15"/>
              <w:tblW w:w="13907" w:type="dxa"/>
              <w:tblCellSpacing w:w="0" w:type="dxa"/>
              <w:tblInd w:w="0" w:type="dxa"/>
              <w:tblLayout w:type="fixed"/>
              <w:tblCellMar>
                <w:top w:w="0" w:type="dxa"/>
                <w:left w:w="0" w:type="dxa"/>
                <w:bottom w:w="0" w:type="dxa"/>
                <w:right w:w="0" w:type="dxa"/>
              </w:tblCellMar>
            </w:tblPr>
            <w:tblGrid>
              <w:gridCol w:w="29"/>
              <w:gridCol w:w="13878"/>
            </w:tblGrid>
            <w:tr w14:paraId="139FC902">
              <w:tblPrEx>
                <w:tblCellMar>
                  <w:top w:w="0" w:type="dxa"/>
                  <w:left w:w="0" w:type="dxa"/>
                  <w:bottom w:w="0" w:type="dxa"/>
                  <w:right w:w="0" w:type="dxa"/>
                </w:tblCellMar>
              </w:tblPrEx>
              <w:trPr>
                <w:tblCellSpacing w:w="0" w:type="dxa"/>
              </w:trPr>
              <w:tc>
                <w:tcPr>
                  <w:tcW w:w="29" w:type="dxa"/>
                  <w:noWrap w:val="0"/>
                  <w:vAlign w:val="center"/>
                </w:tcPr>
                <w:p w14:paraId="130C4A45">
                  <w:pPr>
                    <w:widowControl/>
                    <w:jc w:val="left"/>
                    <w:rPr>
                      <w:rFonts w:ascii="宋体" w:hAnsi="宋体" w:eastAsia="宋体" w:cs="宋体"/>
                      <w:kern w:val="0"/>
                      <w:sz w:val="24"/>
                      <w:szCs w:val="24"/>
                    </w:rPr>
                  </w:pPr>
                </w:p>
              </w:tc>
              <w:tc>
                <w:tcPr>
                  <w:tcW w:w="13878" w:type="dxa"/>
                  <w:noWrap w:val="0"/>
                  <w:vAlign w:val="center"/>
                </w:tcPr>
                <w:p w14:paraId="43C7D26B">
                  <w:pPr>
                    <w:widowControl/>
                    <w:jc w:val="left"/>
                    <w:rPr>
                      <w:rFonts w:ascii="宋体" w:hAnsi="宋体" w:eastAsia="宋体" w:cs="宋体"/>
                      <w:kern w:val="0"/>
                      <w:sz w:val="24"/>
                      <w:szCs w:val="24"/>
                    </w:rPr>
                  </w:pPr>
                  <w:r>
                    <w:rPr>
                      <w:rFonts w:ascii="宋体" w:hAnsi="宋体" w:eastAsia="宋体" w:cs="宋体"/>
                      <w:kern w:val="0"/>
                      <w:sz w:val="24"/>
                      <w:szCs w:val="24"/>
                    </w:rPr>
                    <w:t>按照相关政策按实发放资金</w:t>
                  </w:r>
                </w:p>
              </w:tc>
            </w:tr>
          </w:tbl>
          <w:p w14:paraId="58A9F334">
            <w:pPr>
              <w:spacing w:line="300" w:lineRule="exact"/>
              <w:rPr>
                <w:rFonts w:eastAsia="宋体"/>
                <w:color w:val="000000"/>
                <w:sz w:val="24"/>
                <w:szCs w:val="24"/>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5F36370C">
            <w:pPr>
              <w:spacing w:line="300" w:lineRule="exact"/>
              <w:jc w:val="center"/>
              <w:rPr>
                <w:rFonts w:eastAsia="宋体"/>
                <w:color w:val="000000"/>
                <w:sz w:val="24"/>
                <w:szCs w:val="24"/>
              </w:rPr>
            </w:pPr>
            <w: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13A9F02">
            <w:pPr>
              <w:spacing w:line="300" w:lineRule="exact"/>
              <w:jc w:val="center"/>
              <w:rPr>
                <w:rFonts w:eastAsia="宋体"/>
                <w:color w:val="000000"/>
                <w:sz w:val="24"/>
                <w:szCs w:val="24"/>
              </w:rPr>
            </w:pPr>
            <w:r>
              <w:rPr>
                <w:rFonts w:hint="eastAsia" w:eastAsia="宋体"/>
                <w:color w:val="000000"/>
                <w:sz w:val="24"/>
                <w:szCs w:val="24"/>
              </w:rPr>
              <w:t>优良中差</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FC8D5E2">
            <w:pPr>
              <w:spacing w:line="300" w:lineRule="exact"/>
              <w:jc w:val="center"/>
              <w:rPr>
                <w:rFonts w:eastAsia="宋体"/>
                <w:color w:val="000000"/>
                <w:sz w:val="24"/>
                <w:szCs w:val="24"/>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F7C09A6">
            <w:pPr>
              <w:spacing w:line="300" w:lineRule="exact"/>
              <w:jc w:val="center"/>
              <w:rPr>
                <w:rFonts w:eastAsia="宋体"/>
                <w:color w:val="000000"/>
                <w:sz w:val="24"/>
                <w:szCs w:val="24"/>
              </w:rPr>
            </w:pPr>
            <w:r>
              <w:rPr>
                <w:rFonts w:hint="eastAsia" w:eastAsia="宋体"/>
                <w:color w:val="000000"/>
                <w:sz w:val="24"/>
                <w:szCs w:val="24"/>
              </w:rPr>
              <w:t>10</w:t>
            </w:r>
          </w:p>
        </w:tc>
        <w:tc>
          <w:tcPr>
            <w:tcW w:w="1841" w:type="dxa"/>
            <w:gridSpan w:val="2"/>
            <w:tcBorders>
              <w:top w:val="single" w:color="000000" w:sz="4" w:space="0"/>
              <w:left w:val="single" w:color="000000" w:sz="4" w:space="0"/>
              <w:bottom w:val="single" w:color="000000" w:sz="4" w:space="0"/>
              <w:right w:val="single" w:color="000000" w:sz="4" w:space="0"/>
            </w:tcBorders>
            <w:noWrap w:val="0"/>
            <w:vAlign w:val="center"/>
          </w:tcPr>
          <w:p w14:paraId="2C653ED5">
            <w:pPr>
              <w:spacing w:line="300" w:lineRule="exact"/>
              <w:jc w:val="center"/>
              <w:rPr>
                <w:rFonts w:eastAsia="宋体"/>
                <w:color w:val="000000"/>
                <w:sz w:val="24"/>
                <w:szCs w:val="24"/>
              </w:rPr>
            </w:pPr>
            <w:r>
              <w:rPr>
                <w:rFonts w:hint="eastAsia" w:eastAsia="宋体"/>
                <w:color w:val="000000"/>
                <w:sz w:val="24"/>
                <w:szCs w:val="24"/>
              </w:rPr>
              <w:t>10</w:t>
            </w:r>
          </w:p>
        </w:tc>
      </w:tr>
      <w:tr w14:paraId="089925A7">
        <w:tblPrEx>
          <w:tblCellMar>
            <w:top w:w="15" w:type="dxa"/>
            <w:left w:w="15" w:type="dxa"/>
            <w:bottom w:w="15" w:type="dxa"/>
            <w:right w:w="15" w:type="dxa"/>
          </w:tblCellMar>
        </w:tblPrEx>
        <w:trPr>
          <w:gridBefore w:val="1"/>
          <w:gridAfter w:val="2"/>
          <w:wBefore w:w="96" w:type="dxa"/>
          <w:wAfter w:w="572" w:type="dxa"/>
          <w:trHeight w:val="23" w:hRule="atLeast"/>
          <w:jc w:val="center"/>
        </w:trPr>
        <w:tc>
          <w:tcPr>
            <w:tcW w:w="652" w:type="dxa"/>
            <w:gridSpan w:val="2"/>
            <w:vMerge w:val="continue"/>
            <w:tcBorders>
              <w:top w:val="single" w:color="000000" w:sz="4" w:space="0"/>
              <w:left w:val="single" w:color="000000" w:sz="4" w:space="0"/>
              <w:bottom w:val="single" w:color="000000" w:sz="4" w:space="0"/>
            </w:tcBorders>
            <w:noWrap w:val="0"/>
            <w:vAlign w:val="center"/>
          </w:tcPr>
          <w:p w14:paraId="6F496D71">
            <w:pPr>
              <w:spacing w:line="300" w:lineRule="exact"/>
              <w:jc w:val="center"/>
              <w:rPr>
                <w:rFonts w:eastAsia="宋体"/>
                <w:color w:val="000000"/>
                <w:sz w:val="24"/>
                <w:szCs w:val="24"/>
              </w:rPr>
            </w:pPr>
          </w:p>
        </w:tc>
        <w:tc>
          <w:tcPr>
            <w:tcW w:w="10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1A0AEF">
            <w:pPr>
              <w:spacing w:line="300" w:lineRule="exact"/>
              <w:jc w:val="center"/>
              <w:rPr>
                <w:rFonts w:eastAsia="宋体"/>
                <w:color w:val="000000"/>
                <w:sz w:val="24"/>
                <w:szCs w:val="24"/>
              </w:rPr>
            </w:pPr>
          </w:p>
        </w:tc>
        <w:tc>
          <w:tcPr>
            <w:tcW w:w="1250" w:type="dxa"/>
            <w:gridSpan w:val="2"/>
            <w:tcBorders>
              <w:top w:val="single" w:color="000000" w:sz="4" w:space="0"/>
              <w:left w:val="single" w:color="000000" w:sz="4" w:space="0"/>
              <w:right w:val="single" w:color="000000" w:sz="4" w:space="0"/>
            </w:tcBorders>
            <w:noWrap w:val="0"/>
            <w:vAlign w:val="center"/>
          </w:tcPr>
          <w:p w14:paraId="5B40AC0F">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bidi="ar"/>
              </w:rPr>
              <w:t>社会效益</w:t>
            </w:r>
          </w:p>
          <w:p w14:paraId="489B7B2C">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指标</w:t>
            </w:r>
          </w:p>
        </w:tc>
        <w:tc>
          <w:tcPr>
            <w:tcW w:w="1312" w:type="dxa"/>
            <w:gridSpan w:val="3"/>
            <w:tcBorders>
              <w:top w:val="single" w:color="000000" w:sz="4" w:space="0"/>
              <w:left w:val="single" w:color="000000" w:sz="4" w:space="0"/>
              <w:bottom w:val="single" w:color="000000" w:sz="4" w:space="0"/>
              <w:right w:val="single" w:color="000000" w:sz="4" w:space="0"/>
            </w:tcBorders>
            <w:noWrap w:val="0"/>
            <w:vAlign w:val="center"/>
          </w:tcPr>
          <w:p w14:paraId="1E6E22F8">
            <w:pPr>
              <w:spacing w:line="300" w:lineRule="exact"/>
              <w:rPr>
                <w:rFonts w:eastAsia="宋体"/>
                <w:color w:val="000000"/>
                <w:sz w:val="24"/>
                <w:szCs w:val="24"/>
              </w:rPr>
            </w:pPr>
            <w:r>
              <w:rPr>
                <w:sz w:val="16"/>
              </w:rPr>
              <w:t>体现了党对于退役军人群体的关心</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09B54209">
            <w:pPr>
              <w:spacing w:line="300" w:lineRule="exact"/>
              <w:jc w:val="center"/>
              <w:rPr>
                <w:rFonts w:eastAsia="宋体"/>
                <w:color w:val="000000"/>
                <w:sz w:val="24"/>
                <w:szCs w:val="24"/>
              </w:rPr>
            </w:pPr>
            <w: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24E73DCE">
            <w:pPr>
              <w:spacing w:line="300" w:lineRule="exact"/>
              <w:jc w:val="center"/>
              <w:rPr>
                <w:rFonts w:eastAsia="宋体"/>
                <w:color w:val="000000"/>
                <w:sz w:val="24"/>
                <w:szCs w:val="24"/>
              </w:rPr>
            </w:pPr>
            <w:r>
              <w:rPr>
                <w:rFonts w:hint="eastAsia" w:eastAsia="宋体"/>
                <w:color w:val="000000"/>
                <w:sz w:val="24"/>
                <w:szCs w:val="24"/>
              </w:rPr>
              <w:t>优良中差</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5C79815">
            <w:pPr>
              <w:spacing w:line="300" w:lineRule="exact"/>
              <w:jc w:val="center"/>
              <w:rPr>
                <w:rFonts w:eastAsia="宋体"/>
                <w:color w:val="000000"/>
                <w:sz w:val="24"/>
                <w:szCs w:val="24"/>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C242D7E">
            <w:pPr>
              <w:spacing w:line="300" w:lineRule="exact"/>
              <w:jc w:val="center"/>
              <w:rPr>
                <w:rFonts w:eastAsia="宋体"/>
                <w:color w:val="000000"/>
                <w:sz w:val="24"/>
                <w:szCs w:val="24"/>
              </w:rPr>
            </w:pPr>
            <w:r>
              <w:rPr>
                <w:rFonts w:hint="eastAsia" w:eastAsia="宋体"/>
                <w:color w:val="000000"/>
                <w:sz w:val="24"/>
                <w:szCs w:val="24"/>
              </w:rPr>
              <w:t>20</w:t>
            </w:r>
          </w:p>
        </w:tc>
        <w:tc>
          <w:tcPr>
            <w:tcW w:w="1841" w:type="dxa"/>
            <w:gridSpan w:val="2"/>
            <w:tcBorders>
              <w:top w:val="single" w:color="000000" w:sz="4" w:space="0"/>
              <w:left w:val="single" w:color="000000" w:sz="4" w:space="0"/>
              <w:bottom w:val="single" w:color="000000" w:sz="4" w:space="0"/>
              <w:right w:val="single" w:color="000000" w:sz="4" w:space="0"/>
            </w:tcBorders>
            <w:noWrap w:val="0"/>
            <w:vAlign w:val="center"/>
          </w:tcPr>
          <w:p w14:paraId="6D47FC4A">
            <w:pPr>
              <w:spacing w:line="300" w:lineRule="exact"/>
              <w:jc w:val="center"/>
              <w:rPr>
                <w:rFonts w:eastAsia="宋体"/>
                <w:color w:val="000000"/>
                <w:sz w:val="24"/>
                <w:szCs w:val="24"/>
              </w:rPr>
            </w:pPr>
            <w:r>
              <w:rPr>
                <w:rFonts w:hint="eastAsia" w:eastAsia="宋体"/>
                <w:color w:val="000000"/>
                <w:sz w:val="24"/>
                <w:szCs w:val="24"/>
              </w:rPr>
              <w:t>20</w:t>
            </w:r>
          </w:p>
        </w:tc>
      </w:tr>
      <w:tr w14:paraId="14127E6B">
        <w:tblPrEx>
          <w:tblCellMar>
            <w:top w:w="15" w:type="dxa"/>
            <w:left w:w="15" w:type="dxa"/>
            <w:bottom w:w="15" w:type="dxa"/>
            <w:right w:w="15" w:type="dxa"/>
          </w:tblCellMar>
        </w:tblPrEx>
        <w:trPr>
          <w:gridBefore w:val="1"/>
          <w:gridAfter w:val="2"/>
          <w:wBefore w:w="96" w:type="dxa"/>
          <w:wAfter w:w="572" w:type="dxa"/>
          <w:trHeight w:val="23" w:hRule="atLeast"/>
          <w:jc w:val="center"/>
        </w:trPr>
        <w:tc>
          <w:tcPr>
            <w:tcW w:w="652" w:type="dxa"/>
            <w:gridSpan w:val="2"/>
            <w:vMerge w:val="continue"/>
            <w:tcBorders>
              <w:top w:val="single" w:color="000000" w:sz="4" w:space="0"/>
              <w:left w:val="single" w:color="000000" w:sz="4" w:space="0"/>
              <w:bottom w:val="single" w:color="000000" w:sz="4" w:space="0"/>
            </w:tcBorders>
            <w:noWrap w:val="0"/>
            <w:vAlign w:val="center"/>
          </w:tcPr>
          <w:p w14:paraId="40026865">
            <w:pPr>
              <w:spacing w:line="300" w:lineRule="exact"/>
              <w:jc w:val="center"/>
              <w:rPr>
                <w:rFonts w:eastAsia="宋体"/>
                <w:color w:val="000000"/>
                <w:sz w:val="24"/>
                <w:szCs w:val="24"/>
              </w:rPr>
            </w:pPr>
          </w:p>
        </w:tc>
        <w:tc>
          <w:tcPr>
            <w:tcW w:w="1081" w:type="dxa"/>
            <w:gridSpan w:val="2"/>
            <w:tcBorders>
              <w:top w:val="single" w:color="000000" w:sz="4" w:space="0"/>
              <w:left w:val="single" w:color="000000" w:sz="4" w:space="0"/>
              <w:bottom w:val="single" w:color="000000" w:sz="4" w:space="0"/>
              <w:right w:val="single" w:color="000000" w:sz="4" w:space="0"/>
            </w:tcBorders>
            <w:noWrap w:val="0"/>
            <w:vAlign w:val="center"/>
          </w:tcPr>
          <w:p w14:paraId="0CADA259">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bidi="ar"/>
              </w:rPr>
              <w:t>满意度</w:t>
            </w:r>
          </w:p>
          <w:p w14:paraId="2D9EAF18">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指标</w:t>
            </w:r>
          </w:p>
        </w:tc>
        <w:tc>
          <w:tcPr>
            <w:tcW w:w="1250" w:type="dxa"/>
            <w:gridSpan w:val="2"/>
            <w:tcBorders>
              <w:top w:val="single" w:color="000000" w:sz="4" w:space="0"/>
              <w:left w:val="single" w:color="000000" w:sz="4" w:space="0"/>
              <w:bottom w:val="single" w:color="000000" w:sz="4" w:space="0"/>
              <w:right w:val="single" w:color="000000" w:sz="4" w:space="0"/>
            </w:tcBorders>
            <w:noWrap w:val="0"/>
            <w:vAlign w:val="center"/>
          </w:tcPr>
          <w:p w14:paraId="5EBA9AD4">
            <w:pPr>
              <w:widowControl/>
              <w:spacing w:line="300" w:lineRule="exact"/>
              <w:jc w:val="center"/>
              <w:textAlignment w:val="center"/>
              <w:rPr>
                <w:rFonts w:eastAsia="宋体"/>
                <w:color w:val="000000"/>
                <w:kern w:val="0"/>
                <w:sz w:val="24"/>
                <w:szCs w:val="24"/>
                <w:lang w:bidi="ar"/>
              </w:rPr>
            </w:pPr>
            <w:r>
              <w:rPr>
                <w:rFonts w:eastAsia="宋体"/>
                <w:color w:val="000000"/>
                <w:kern w:val="0"/>
                <w:sz w:val="24"/>
                <w:szCs w:val="24"/>
                <w:lang w:bidi="ar"/>
              </w:rPr>
              <w:t>服务对象</w:t>
            </w:r>
          </w:p>
          <w:p w14:paraId="2D0BA7F8">
            <w:pPr>
              <w:widowControl/>
              <w:spacing w:line="300" w:lineRule="exact"/>
              <w:jc w:val="center"/>
              <w:textAlignment w:val="center"/>
              <w:rPr>
                <w:rFonts w:eastAsia="宋体"/>
                <w:color w:val="000000"/>
                <w:sz w:val="24"/>
                <w:szCs w:val="24"/>
              </w:rPr>
            </w:pPr>
            <w:r>
              <w:rPr>
                <w:rFonts w:eastAsia="宋体"/>
                <w:color w:val="000000"/>
                <w:kern w:val="0"/>
                <w:sz w:val="24"/>
                <w:szCs w:val="24"/>
                <w:lang w:bidi="ar"/>
              </w:rPr>
              <w:t>满意度指标</w:t>
            </w:r>
          </w:p>
        </w:tc>
        <w:tc>
          <w:tcPr>
            <w:tcW w:w="1312" w:type="dxa"/>
            <w:gridSpan w:val="3"/>
            <w:tcBorders>
              <w:top w:val="single" w:color="000000" w:sz="4" w:space="0"/>
              <w:bottom w:val="single" w:color="000000" w:sz="4" w:space="0"/>
              <w:right w:val="single" w:color="000000" w:sz="4" w:space="0"/>
            </w:tcBorders>
            <w:noWrap w:val="0"/>
            <w:vAlign w:val="center"/>
          </w:tcPr>
          <w:p w14:paraId="4C7AF218">
            <w:pPr>
              <w:spacing w:line="300" w:lineRule="exact"/>
              <w:rPr>
                <w:rFonts w:eastAsia="宋体"/>
                <w:color w:val="000000"/>
                <w:sz w:val="24"/>
                <w:szCs w:val="24"/>
              </w:rPr>
            </w:pPr>
            <w:r>
              <w:rPr>
                <w:sz w:val="24"/>
              </w:rPr>
              <w:t>退役军人群体满意度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74117C91">
            <w:pPr>
              <w:spacing w:line="300" w:lineRule="exact"/>
              <w:jc w:val="center"/>
              <w:rPr>
                <w:rFonts w:eastAsia="宋体"/>
                <w:color w:val="000000"/>
                <w:sz w:val="24"/>
                <w:szCs w:val="24"/>
              </w:rPr>
            </w:pPr>
            <w: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tbl>
            <w:tblPr>
              <w:tblStyle w:val="15"/>
              <w:tblW w:w="18400" w:type="dxa"/>
              <w:tblCellSpacing w:w="0" w:type="dxa"/>
              <w:tblInd w:w="0" w:type="dxa"/>
              <w:tblLayout w:type="fixed"/>
              <w:tblCellMar>
                <w:top w:w="0" w:type="dxa"/>
                <w:left w:w="0" w:type="dxa"/>
                <w:bottom w:w="0" w:type="dxa"/>
                <w:right w:w="0" w:type="dxa"/>
              </w:tblCellMar>
            </w:tblPr>
            <w:tblGrid>
              <w:gridCol w:w="302"/>
              <w:gridCol w:w="18098"/>
            </w:tblGrid>
            <w:tr w14:paraId="7AB7DD60">
              <w:tblPrEx>
                <w:tblCellMar>
                  <w:top w:w="0" w:type="dxa"/>
                  <w:left w:w="0" w:type="dxa"/>
                  <w:bottom w:w="0" w:type="dxa"/>
                  <w:right w:w="0" w:type="dxa"/>
                </w:tblCellMar>
              </w:tblPrEx>
              <w:trPr>
                <w:tblCellSpacing w:w="0" w:type="dxa"/>
              </w:trPr>
              <w:tc>
                <w:tcPr>
                  <w:tcW w:w="302" w:type="dxa"/>
                  <w:noWrap w:val="0"/>
                  <w:vAlign w:val="center"/>
                </w:tcPr>
                <w:p w14:paraId="16F1E834">
                  <w:pPr>
                    <w:widowControl/>
                    <w:jc w:val="left"/>
                    <w:rPr>
                      <w:rFonts w:ascii="宋体" w:hAnsi="宋体" w:eastAsia="宋体" w:cs="宋体"/>
                      <w:kern w:val="0"/>
                      <w:sz w:val="24"/>
                      <w:szCs w:val="24"/>
                    </w:rPr>
                  </w:pPr>
                </w:p>
              </w:tc>
              <w:tc>
                <w:tcPr>
                  <w:tcW w:w="18098" w:type="dxa"/>
                  <w:noWrap w:val="0"/>
                  <w:vAlign w:val="center"/>
                </w:tcPr>
                <w:p w14:paraId="0DE05755">
                  <w:pPr>
                    <w:widowControl/>
                    <w:jc w:val="left"/>
                    <w:rPr>
                      <w:rFonts w:ascii="宋体" w:hAnsi="宋体" w:eastAsia="宋体" w:cs="宋体"/>
                      <w:kern w:val="0"/>
                      <w:sz w:val="24"/>
                      <w:szCs w:val="24"/>
                    </w:rPr>
                  </w:pPr>
                  <w:r>
                    <w:rPr>
                      <w:rFonts w:ascii="宋体" w:hAnsi="宋体" w:eastAsia="宋体" w:cs="宋体"/>
                      <w:kern w:val="0"/>
                      <w:sz w:val="24"/>
                      <w:szCs w:val="24"/>
                    </w:rPr>
                    <w:t>100</w:t>
                  </w:r>
                </w:p>
              </w:tc>
            </w:tr>
          </w:tbl>
          <w:p w14:paraId="1F6A5DF3">
            <w:pPr>
              <w:spacing w:line="300" w:lineRule="exact"/>
              <w:jc w:val="center"/>
              <w:rPr>
                <w:rFonts w:eastAsia="宋体"/>
                <w:color w:val="000000"/>
                <w:sz w:val="24"/>
                <w:szCs w:val="24"/>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A4B2D75">
            <w:pPr>
              <w:spacing w:line="300" w:lineRule="exact"/>
              <w:jc w:val="center"/>
              <w:rPr>
                <w:rFonts w:eastAsia="宋体"/>
                <w:color w:val="000000"/>
                <w:sz w:val="24"/>
                <w:szCs w:val="24"/>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23C2B0D">
            <w:pPr>
              <w:spacing w:line="300" w:lineRule="exact"/>
              <w:jc w:val="center"/>
              <w:rPr>
                <w:rFonts w:eastAsia="宋体"/>
                <w:color w:val="000000"/>
                <w:sz w:val="24"/>
                <w:szCs w:val="24"/>
              </w:rPr>
            </w:pPr>
            <w:r>
              <w:rPr>
                <w:rFonts w:hint="eastAsia" w:eastAsia="宋体"/>
                <w:color w:val="000000"/>
                <w:sz w:val="24"/>
                <w:szCs w:val="24"/>
              </w:rPr>
              <w:t>10</w:t>
            </w:r>
          </w:p>
        </w:tc>
        <w:tc>
          <w:tcPr>
            <w:tcW w:w="1841" w:type="dxa"/>
            <w:gridSpan w:val="2"/>
            <w:tcBorders>
              <w:top w:val="single" w:color="000000" w:sz="4" w:space="0"/>
              <w:left w:val="single" w:color="000000" w:sz="4" w:space="0"/>
              <w:bottom w:val="single" w:color="000000" w:sz="4" w:space="0"/>
              <w:right w:val="single" w:color="000000" w:sz="4" w:space="0"/>
            </w:tcBorders>
            <w:noWrap w:val="0"/>
            <w:vAlign w:val="center"/>
          </w:tcPr>
          <w:p w14:paraId="09356F6A">
            <w:pPr>
              <w:spacing w:line="300" w:lineRule="exact"/>
              <w:jc w:val="center"/>
              <w:rPr>
                <w:rFonts w:eastAsia="宋体"/>
                <w:color w:val="000000"/>
                <w:sz w:val="24"/>
                <w:szCs w:val="24"/>
              </w:rPr>
            </w:pPr>
            <w:r>
              <w:rPr>
                <w:rFonts w:hint="eastAsia" w:eastAsia="宋体"/>
                <w:color w:val="000000"/>
                <w:sz w:val="24"/>
                <w:szCs w:val="24"/>
              </w:rPr>
              <w:t>10</w:t>
            </w:r>
          </w:p>
        </w:tc>
      </w:tr>
    </w:tbl>
    <w:p w14:paraId="39549BC9">
      <w:pPr>
        <w:pStyle w:val="5"/>
        <w:bidi w:val="0"/>
        <w:rPr>
          <w:rFonts w:hint="eastAsia"/>
        </w:rPr>
      </w:pPr>
    </w:p>
    <w:p w14:paraId="3ED273CD">
      <w:pPr>
        <w:pStyle w:val="2"/>
        <w:bidi w:val="0"/>
        <w:rPr>
          <w:rFonts w:hint="eastAsia" w:ascii="Times New Roman" w:hAnsi="Times New Roman" w:eastAsia="仿宋"/>
          <w:b w:val="0"/>
          <w:color w:val="auto"/>
          <w:highlight w:val="none"/>
        </w:rPr>
      </w:pPr>
      <w:r>
        <w:rPr>
          <w:rFonts w:hint="eastAsia"/>
        </w:rPr>
        <w:t>第五部分 附表</w:t>
      </w:r>
      <w:bookmarkEnd w:id="46"/>
      <w:bookmarkEnd w:id="48"/>
      <w:bookmarkStart w:id="49" w:name="_Toc15396619"/>
    </w:p>
    <w:p w14:paraId="49914E2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64536B1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9"/>
    </w:p>
    <w:p w14:paraId="703E1BF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0"/>
      <w:r>
        <w:rPr>
          <w:rFonts w:hint="eastAsia" w:ascii="Times New Roman" w:hAnsi="Times New Roman" w:eastAsia="仿宋_GB2312" w:cs="仿宋_GB2312"/>
          <w:color w:val="auto"/>
          <w:sz w:val="32"/>
          <w:szCs w:val="32"/>
          <w:highlight w:val="none"/>
        </w:rPr>
        <w:t>二、收入决算表</w:t>
      </w:r>
      <w:bookmarkEnd w:id="50"/>
    </w:p>
    <w:p w14:paraId="41AB96C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1"/>
      <w:r>
        <w:rPr>
          <w:rFonts w:hint="eastAsia" w:ascii="Times New Roman" w:hAnsi="Times New Roman" w:eastAsia="仿宋_GB2312" w:cs="仿宋_GB2312"/>
          <w:color w:val="auto"/>
          <w:sz w:val="32"/>
          <w:szCs w:val="32"/>
          <w:highlight w:val="none"/>
        </w:rPr>
        <w:t>三、支出决算表</w:t>
      </w:r>
      <w:bookmarkEnd w:id="51"/>
    </w:p>
    <w:p w14:paraId="2875912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2"/>
      <w:r>
        <w:rPr>
          <w:rFonts w:hint="eastAsia" w:ascii="Times New Roman" w:hAnsi="Times New Roman" w:eastAsia="仿宋_GB2312" w:cs="仿宋_GB2312"/>
          <w:color w:val="auto"/>
          <w:sz w:val="32"/>
          <w:szCs w:val="32"/>
          <w:highlight w:val="none"/>
        </w:rPr>
        <w:t>四、财政拨款收入支出决算总表</w:t>
      </w:r>
      <w:bookmarkEnd w:id="52"/>
    </w:p>
    <w:p w14:paraId="6A89B83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3"/>
      <w:r>
        <w:rPr>
          <w:rFonts w:hint="eastAsia" w:ascii="Times New Roman" w:hAnsi="Times New Roman" w:eastAsia="仿宋_GB2312" w:cs="仿宋_GB2312"/>
          <w:color w:val="auto"/>
          <w:sz w:val="32"/>
          <w:szCs w:val="32"/>
          <w:highlight w:val="none"/>
        </w:rPr>
        <w:t>五、财政拨款支出决算明细表</w:t>
      </w:r>
      <w:bookmarkEnd w:id="53"/>
      <w:bookmarkStart w:id="54" w:name="_Toc15396624"/>
    </w:p>
    <w:p w14:paraId="40198E8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4"/>
    </w:p>
    <w:p w14:paraId="37752CB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5"/>
      <w:r>
        <w:rPr>
          <w:rFonts w:hint="eastAsia" w:ascii="Times New Roman" w:hAnsi="Times New Roman" w:eastAsia="仿宋_GB2312" w:cs="仿宋_GB2312"/>
          <w:color w:val="auto"/>
          <w:sz w:val="32"/>
          <w:szCs w:val="32"/>
          <w:highlight w:val="none"/>
        </w:rPr>
        <w:t>七、一般公共预算财政拨款支出决算明细表</w:t>
      </w:r>
      <w:bookmarkEnd w:id="55"/>
    </w:p>
    <w:p w14:paraId="0E01B3D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6"/>
      <w:r>
        <w:rPr>
          <w:rFonts w:hint="eastAsia" w:ascii="Times New Roman" w:hAnsi="Times New Roman" w:eastAsia="仿宋_GB2312" w:cs="仿宋_GB2312"/>
          <w:color w:val="auto"/>
          <w:sz w:val="32"/>
          <w:szCs w:val="32"/>
          <w:highlight w:val="none"/>
        </w:rPr>
        <w:t>八、一般公共预算财政拨款基本支出决算表</w:t>
      </w:r>
      <w:bookmarkEnd w:id="56"/>
    </w:p>
    <w:p w14:paraId="4FB4628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7"/>
      <w:r>
        <w:rPr>
          <w:rFonts w:hint="eastAsia" w:ascii="Times New Roman" w:hAnsi="Times New Roman" w:eastAsia="仿宋_GB2312" w:cs="仿宋_GB2312"/>
          <w:color w:val="auto"/>
          <w:sz w:val="32"/>
          <w:szCs w:val="32"/>
          <w:highlight w:val="none"/>
        </w:rPr>
        <w:t>九、一般公共预算财政拨款项目支出决算表</w:t>
      </w:r>
      <w:bookmarkEnd w:id="57"/>
    </w:p>
    <w:p w14:paraId="6FD6415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8"/>
      <w:r>
        <w:rPr>
          <w:rFonts w:hint="eastAsia" w:ascii="Times New Roman" w:hAnsi="Times New Roman" w:eastAsia="仿宋_GB2312" w:cs="仿宋_GB2312"/>
          <w:color w:val="auto"/>
          <w:sz w:val="32"/>
          <w:szCs w:val="32"/>
          <w:highlight w:val="none"/>
        </w:rPr>
        <w:t>十、</w:t>
      </w:r>
      <w:bookmarkEnd w:id="58"/>
      <w:r>
        <w:rPr>
          <w:rFonts w:hint="eastAsia" w:ascii="Times New Roman" w:hAnsi="Times New Roman" w:eastAsia="仿宋_GB2312" w:cs="仿宋_GB2312"/>
          <w:color w:val="auto"/>
          <w:sz w:val="32"/>
          <w:szCs w:val="32"/>
          <w:highlight w:val="none"/>
        </w:rPr>
        <w:t>政府性基金预算财政拨款收入支出决算表</w:t>
      </w:r>
    </w:p>
    <w:p w14:paraId="516915B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9"/>
      <w:r>
        <w:rPr>
          <w:rFonts w:hint="eastAsia" w:ascii="Times New Roman" w:hAnsi="Times New Roman" w:eastAsia="仿宋_GB2312" w:cs="仿宋_GB2312"/>
          <w:color w:val="auto"/>
          <w:sz w:val="32"/>
          <w:szCs w:val="32"/>
          <w:highlight w:val="none"/>
        </w:rPr>
        <w:t>十一、</w:t>
      </w:r>
      <w:bookmarkEnd w:id="59"/>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42AF379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30"/>
      <w:r>
        <w:rPr>
          <w:rFonts w:hint="eastAsia" w:ascii="Times New Roman" w:hAnsi="Times New Roman" w:eastAsia="仿宋_GB2312" w:cs="仿宋_GB2312"/>
          <w:color w:val="auto"/>
          <w:sz w:val="32"/>
          <w:szCs w:val="32"/>
          <w:highlight w:val="none"/>
        </w:rPr>
        <w:t>十二、</w:t>
      </w:r>
      <w:bookmarkEnd w:id="60"/>
      <w:r>
        <w:rPr>
          <w:rFonts w:hint="eastAsia" w:ascii="Times New Roman" w:hAnsi="Times New Roman" w:eastAsia="仿宋_GB2312" w:cs="仿宋_GB2312"/>
          <w:color w:val="auto"/>
          <w:sz w:val="32"/>
          <w:szCs w:val="32"/>
          <w:highlight w:val="none"/>
          <w:lang w:eastAsia="zh-CN"/>
        </w:rPr>
        <w:t>国有资本经营预算财政拨款支出决算表</w:t>
      </w:r>
    </w:p>
    <w:p w14:paraId="43A791F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1" w:name="_Toc15396631"/>
      <w:r>
        <w:rPr>
          <w:rFonts w:hint="eastAsia" w:ascii="Times New Roman" w:hAnsi="Times New Roman" w:eastAsia="仿宋_GB2312" w:cs="仿宋_GB2312"/>
          <w:color w:val="auto"/>
          <w:sz w:val="32"/>
          <w:szCs w:val="32"/>
          <w:highlight w:val="none"/>
        </w:rPr>
        <w:t>十三、</w:t>
      </w:r>
      <w:bookmarkEnd w:id="61"/>
      <w:r>
        <w:rPr>
          <w:rFonts w:hint="eastAsia" w:ascii="Times New Roman" w:hAnsi="Times New Roman" w:eastAsia="仿宋_GB2312" w:cs="仿宋_GB2312"/>
          <w:color w:val="auto"/>
          <w:sz w:val="32"/>
          <w:szCs w:val="32"/>
          <w:highlight w:val="none"/>
          <w:lang w:eastAsia="zh-CN"/>
        </w:rPr>
        <w:t>财政拨款“三公”经费支出决算表</w:t>
      </w:r>
    </w:p>
    <w:p w14:paraId="5F2622C3">
      <w:pPr>
        <w:rPr>
          <w:rFonts w:hint="eastAsia" w:ascii="Times New Roman" w:hAnsi="Times New Roman"/>
          <w:lang w:eastAsia="zh-CN"/>
        </w:rPr>
      </w:pPr>
    </w:p>
    <w:sectPr>
      <w:footerReference r:id="rId9" w:type="first"/>
      <w:footerReference r:id="rId8"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altName w:val="黑体"/>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0000000000000000000"/>
    <w:charset w:val="00"/>
    <w:family w:val="auto"/>
    <w:pitch w:val="default"/>
    <w:sig w:usb0="00000000" w:usb1="00000000" w:usb2="00000000" w:usb3="00000000" w:csb0="00000000" w:csb1="00000000"/>
  </w:font>
  <w:font w:name="方正小标宋_GBK">
    <w:altName w:val="微软雅黑"/>
    <w:panose1 w:val="02000000000000000000"/>
    <w:charset w:val="86"/>
    <w:family w:val="auto"/>
    <w:pitch w:val="default"/>
    <w:sig w:usb0="00000000" w:usb1="0000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汉仪大宋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66097">
    <w:pPr>
      <w:spacing w:before="1" w:line="235" w:lineRule="auto"/>
      <w:jc w:val="right"/>
      <w:rPr>
        <w:rFonts w:ascii="Calibri" w:hAnsi="Calibri" w:eastAsia="Calibri" w:cs="Calibri"/>
        <w:sz w:val="18"/>
        <w:szCs w:val="18"/>
      </w:rPr>
    </w:pPr>
    <w:r>
      <w:rPr>
        <w:rFonts w:ascii="Calibri" w:hAnsi="Calibri" w:eastAsia="Calibri" w:cs="Calibri"/>
        <w:spacing w:val="-14"/>
        <w:sz w:val="18"/>
        <w:szCs w:val="18"/>
      </w:rPr>
      <w:t>—</w:t>
    </w:r>
    <w:r>
      <w:rPr>
        <w:rFonts w:ascii="Calibri" w:hAnsi="Calibri" w:eastAsia="Calibri" w:cs="Calibri"/>
        <w:spacing w:val="30"/>
        <w:sz w:val="18"/>
        <w:szCs w:val="18"/>
      </w:rPr>
      <w:t xml:space="preserve"> </w:t>
    </w:r>
    <w:r>
      <w:rPr>
        <w:rFonts w:ascii="宋体" w:hAnsi="宋体" w:eastAsia="宋体" w:cs="宋体"/>
        <w:spacing w:val="-32"/>
        <w:sz w:val="28"/>
        <w:szCs w:val="28"/>
      </w:rPr>
      <w:t>1</w:t>
    </w:r>
    <w:r>
      <w:rPr>
        <w:rFonts w:ascii="宋体" w:hAnsi="宋体" w:eastAsia="宋体" w:cs="宋体"/>
        <w:spacing w:val="13"/>
        <w:sz w:val="28"/>
        <w:szCs w:val="28"/>
      </w:rPr>
      <w:t xml:space="preserve"> </w:t>
    </w:r>
    <w:r>
      <w:rPr>
        <w:rFonts w:ascii="Calibri" w:hAnsi="Calibri" w:eastAsia="Calibri" w:cs="Calibri"/>
        <w:sz w:val="18"/>
        <w:szCs w:val="1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21274">
    <w:pPr>
      <w:spacing w:line="266" w:lineRule="exact"/>
      <w:ind w:left="27"/>
      <w:rPr>
        <w:rFonts w:ascii="Calibri" w:hAnsi="Calibri" w:eastAsia="Calibri" w:cs="Calibri"/>
        <w:sz w:val="18"/>
        <w:szCs w:val="18"/>
      </w:rPr>
    </w:pPr>
    <w:r>
      <w:rPr>
        <w:rFonts w:ascii="Calibri" w:hAnsi="Calibri" w:eastAsia="Calibri" w:cs="Calibri"/>
        <w:spacing w:val="-6"/>
        <w:position w:val="2"/>
        <w:sz w:val="18"/>
        <w:szCs w:val="18"/>
      </w:rPr>
      <w:t>—</w:t>
    </w:r>
    <w:r>
      <w:rPr>
        <w:rFonts w:ascii="Calibri" w:hAnsi="Calibri" w:eastAsia="Calibri" w:cs="Calibri"/>
        <w:spacing w:val="4"/>
        <w:position w:val="2"/>
        <w:sz w:val="18"/>
        <w:szCs w:val="18"/>
      </w:rPr>
      <w:t xml:space="preserve"> </w:t>
    </w:r>
    <w:r>
      <w:rPr>
        <w:rFonts w:ascii="Calibri" w:hAnsi="Calibri" w:eastAsia="Calibri" w:cs="Calibri"/>
        <w:spacing w:val="-6"/>
        <w:position w:val="2"/>
        <w:sz w:val="18"/>
        <w:szCs w:val="18"/>
      </w:rPr>
      <w:t>4</w:t>
    </w:r>
    <w:r>
      <w:rPr>
        <w:rFonts w:ascii="Calibri" w:hAnsi="Calibri" w:eastAsia="Calibri" w:cs="Calibri"/>
        <w:spacing w:val="13"/>
        <w:w w:val="101"/>
        <w:position w:val="2"/>
        <w:sz w:val="18"/>
        <w:szCs w:val="18"/>
      </w:rPr>
      <w:t xml:space="preserve"> </w:t>
    </w:r>
    <w:r>
      <w:rPr>
        <w:rFonts w:ascii="Calibri" w:hAnsi="Calibri" w:eastAsia="Calibri" w:cs="Calibri"/>
        <w:spacing w:val="-6"/>
        <w:position w:val="2"/>
        <w:sz w:val="18"/>
        <w:szCs w:val="1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1F2A12">
    <w:pPr>
      <w:spacing w:line="265" w:lineRule="exact"/>
      <w:ind w:left="7834"/>
      <w:rPr>
        <w:rFonts w:ascii="Calibri" w:hAnsi="Calibri" w:eastAsia="Calibri" w:cs="Calibri"/>
        <w:sz w:val="18"/>
        <w:szCs w:val="18"/>
      </w:rPr>
    </w:pPr>
    <w:r>
      <w:rPr>
        <w:rFonts w:ascii="Calibri" w:hAnsi="Calibri" w:eastAsia="Calibri" w:cs="Calibri"/>
        <w:spacing w:val="-8"/>
        <w:position w:val="2"/>
        <w:sz w:val="18"/>
        <w:szCs w:val="18"/>
      </w:rPr>
      <w:t>—</w:t>
    </w:r>
    <w:r>
      <w:rPr>
        <w:rFonts w:ascii="Calibri" w:hAnsi="Calibri" w:eastAsia="Calibri" w:cs="Calibri"/>
        <w:spacing w:val="10"/>
        <w:position w:val="2"/>
        <w:sz w:val="18"/>
        <w:szCs w:val="18"/>
      </w:rPr>
      <w:t xml:space="preserve"> </w:t>
    </w:r>
    <w:r>
      <w:rPr>
        <w:rFonts w:ascii="Calibri" w:hAnsi="Calibri" w:eastAsia="Calibri" w:cs="Calibri"/>
        <w:spacing w:val="-8"/>
        <w:position w:val="2"/>
        <w:sz w:val="18"/>
        <w:szCs w:val="18"/>
      </w:rPr>
      <w:t>5</w:t>
    </w:r>
    <w:r>
      <w:rPr>
        <w:rFonts w:ascii="Calibri" w:hAnsi="Calibri" w:eastAsia="Calibri" w:cs="Calibri"/>
        <w:spacing w:val="13"/>
        <w:w w:val="101"/>
        <w:position w:val="2"/>
        <w:sz w:val="18"/>
        <w:szCs w:val="18"/>
      </w:rPr>
      <w:t xml:space="preserve"> </w:t>
    </w:r>
    <w:r>
      <w:rPr>
        <w:rFonts w:ascii="Calibri" w:hAnsi="Calibri" w:eastAsia="Calibri" w:cs="Calibri"/>
        <w:spacing w:val="-8"/>
        <w:position w:val="2"/>
        <w:sz w:val="18"/>
        <w:szCs w:val="18"/>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FC153">
    <w:pPr>
      <w:spacing w:line="265" w:lineRule="exact"/>
      <w:jc w:val="right"/>
      <w:rPr>
        <w:rFonts w:ascii="Calibri" w:hAnsi="Calibri" w:eastAsia="Calibri" w:cs="Calibri"/>
        <w:sz w:val="18"/>
        <w:szCs w:val="18"/>
      </w:rPr>
    </w:pPr>
    <w:r>
      <w:rPr>
        <w:rFonts w:ascii="Calibri" w:hAnsi="Calibri" w:eastAsia="Calibri" w:cs="Calibri"/>
        <w:spacing w:val="-7"/>
        <w:position w:val="2"/>
        <w:sz w:val="18"/>
        <w:szCs w:val="18"/>
      </w:rPr>
      <w:t>—</w:t>
    </w:r>
    <w:r>
      <w:rPr>
        <w:rFonts w:ascii="Calibri" w:hAnsi="Calibri" w:eastAsia="Calibri" w:cs="Calibri"/>
        <w:spacing w:val="7"/>
        <w:position w:val="2"/>
        <w:sz w:val="18"/>
        <w:szCs w:val="18"/>
      </w:rPr>
      <w:t xml:space="preserve"> </w:t>
    </w:r>
    <w:r>
      <w:rPr>
        <w:rFonts w:ascii="Calibri" w:hAnsi="Calibri" w:eastAsia="Calibri" w:cs="Calibri"/>
        <w:spacing w:val="-7"/>
        <w:position w:val="2"/>
        <w:sz w:val="18"/>
        <w:szCs w:val="18"/>
      </w:rPr>
      <w:t>9</w:t>
    </w:r>
    <w:r>
      <w:rPr>
        <w:rFonts w:ascii="Calibri" w:hAnsi="Calibri" w:eastAsia="Calibri" w:cs="Calibri"/>
        <w:spacing w:val="13"/>
        <w:w w:val="101"/>
        <w:position w:val="2"/>
        <w:sz w:val="18"/>
        <w:szCs w:val="18"/>
      </w:rPr>
      <w:t xml:space="preserve"> </w:t>
    </w:r>
    <w:r>
      <w:rPr>
        <w:rFonts w:ascii="Calibri" w:hAnsi="Calibri" w:eastAsia="Calibri" w:cs="Calibri"/>
        <w:spacing w:val="-7"/>
        <w:position w:val="2"/>
        <w:sz w:val="18"/>
        <w:szCs w:val="18"/>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E1659">
    <w:pPr>
      <w:pStyle w:val="9"/>
      <w:jc w:val="center"/>
    </w:pPr>
  </w:p>
  <w:p w14:paraId="171BDD82">
    <w:pPr>
      <w:pStyle w:val="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12B71">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4344D8">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04344D8">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7FFDD">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F98771"/>
    <w:multiLevelType w:val="singleLevel"/>
    <w:tmpl w:val="32F98771"/>
    <w:lvl w:ilvl="0" w:tentative="0">
      <w:start w:val="3"/>
      <w:numFmt w:val="decimal"/>
      <w:lvlText w:val="%1."/>
      <w:lvlJc w:val="left"/>
      <w:pPr>
        <w:tabs>
          <w:tab w:val="left" w:pos="312"/>
        </w:tabs>
      </w:pPr>
    </w:lvl>
  </w:abstractNum>
  <w:abstractNum w:abstractNumId="1">
    <w:nsid w:val="7B478A09"/>
    <w:multiLevelType w:val="singleLevel"/>
    <w:tmpl w:val="7B478A09"/>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333B6"/>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qFormat/>
    <w:uiPriority w:val="0"/>
    <w:pPr>
      <w:spacing w:after="120"/>
      <w:ind w:leftChars="200"/>
    </w:pPr>
    <w:rPr>
      <w:rFonts w:ascii="仿宋_GB2312"/>
      <w:szCs w:val="32"/>
    </w:rPr>
  </w:style>
  <w:style w:type="paragraph" w:styleId="7">
    <w:name w:val="toc 3"/>
    <w:basedOn w:val="1"/>
    <w:next w:val="1"/>
    <w:unhideWhenUsed/>
    <w:qFormat/>
    <w:uiPriority w:val="39"/>
    <w:pPr>
      <w:tabs>
        <w:tab w:val="right" w:leader="dot" w:pos="8296"/>
      </w:tabs>
      <w:ind w:left="840" w:leftChars="400"/>
    </w:pPr>
  </w:style>
  <w:style w:type="paragraph" w:styleId="8">
    <w:name w:val="Balloon Text"/>
    <w:basedOn w:val="1"/>
    <w:link w:val="31"/>
    <w:semiHidden/>
    <w:unhideWhenUsed/>
    <w:qFormat/>
    <w:uiPriority w:val="99"/>
    <w:rPr>
      <w:sz w:val="18"/>
      <w:szCs w:val="18"/>
    </w:rPr>
  </w:style>
  <w:style w:type="paragraph" w:styleId="9">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footnote text"/>
    <w:basedOn w:val="1"/>
    <w:next w:val="13"/>
    <w:semiHidden/>
    <w:qFormat/>
    <w:uiPriority w:val="0"/>
    <w:pPr>
      <w:snapToGrid w:val="0"/>
      <w:jc w:val="left"/>
    </w:pPr>
    <w:rPr>
      <w:sz w:val="18"/>
      <w:szCs w:val="18"/>
    </w:rPr>
  </w:style>
  <w:style w:type="paragraph" w:styleId="13">
    <w:name w:val="Body Text First Indent 2"/>
    <w:basedOn w:val="6"/>
    <w:unhideWhenUsed/>
    <w:qFormat/>
    <w:uiPriority w:val="99"/>
    <w:pPr>
      <w:ind w:firstLine="420" w:firstLineChars="200"/>
    </w:p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0"/>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9"/>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8"/>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7.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F:\&#33395;\&#22919;&#32852;\2025&#24180;&#20915;&#31639;&#20844;&#24320;\&#27792;&#36130;&#21457;&#12308;2026&#12309;146&#21495;&#27792;&#24029;&#21439;&#36130;&#25919;&#23616;&#20851;&#20110;&#24320;&#23637;2025&#24180;&#24230;&#37096;&#38376;&#20915;&#31639;&#20844;&#24320;&#24037;&#20316;&#30340;&#36890;&#30693;\&#38468;&#20214;2.2025&#24180;&#37096;&#38376;(&#21333;&#20301;)&#20915;&#31639;&#20844;&#24320;&#32534;&#21046;&#36164;&#26009;\&#38468;&#20214;2.5-&#20316;&#21442;&#32771;&#65306;&#39292;&#29366;&#65288;&#30452;&#26041;&#65289;&#22270;&#32472;&#21046;&#26041;&#27861;.xls"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F:\&#33395;\&#22919;&#32852;\2025&#24180;&#20915;&#31639;&#20844;&#24320;\&#27792;&#36130;&#21457;&#12308;2026&#12309;146&#21495;&#27792;&#24029;&#21439;&#36130;&#25919;&#23616;&#20851;&#20110;&#24320;&#23637;2025&#24180;&#24230;&#37096;&#38376;&#20915;&#31639;&#20844;&#24320;&#24037;&#20316;&#30340;&#36890;&#30693;\&#38468;&#20214;2.2025&#24180;&#37096;&#38376;(&#21333;&#20301;)&#20915;&#31639;&#20844;&#24320;&#32534;&#21046;&#36164;&#26009;\&#38468;&#20214;2.5-&#20316;&#21442;&#32771;&#65306;&#39292;&#29366;&#65288;&#30452;&#26041;&#65289;&#22270;&#32472;&#21046;&#26041;&#27861;.xls"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24037;&#20316;&#31807;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F:\&#33395;\&#22919;&#32852;\2025&#24180;&#20915;&#31639;&#20844;&#24320;\&#27792;&#36130;&#21457;&#12308;2026&#12309;146&#21495;&#27792;&#24029;&#21439;&#36130;&#25919;&#23616;&#20851;&#20110;&#24320;&#23637;2025&#24180;&#24230;&#37096;&#38376;&#20915;&#31639;&#20844;&#24320;&#24037;&#20316;&#30340;&#36890;&#30693;\&#38468;&#20214;2.2025&#24180;&#37096;&#38376;(&#21333;&#20301;)&#20915;&#31639;&#20844;&#24320;&#32534;&#21046;&#36164;&#26009;\&#38468;&#20214;2.5-&#20316;&#21442;&#32771;&#65306;&#39292;&#29366;&#65288;&#30452;&#26041;&#65289;&#22270;&#32472;&#21046;&#26041;&#27861;.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F:\&#33395;\&#22919;&#32852;\2025&#24180;&#20915;&#31639;&#20844;&#24320;\&#27792;&#36130;&#21457;&#12308;2026&#12309;146&#21495;&#27792;&#24029;&#21439;&#36130;&#25919;&#23616;&#20851;&#20110;&#24320;&#23637;2025&#24180;&#24230;&#37096;&#38376;&#20915;&#31639;&#20844;&#24320;&#24037;&#20316;&#30340;&#36890;&#30693;\&#38468;&#20214;2.2025&#24180;&#37096;&#38376;(&#21333;&#20301;)&#20915;&#31639;&#20844;&#24320;&#32534;&#21046;&#36164;&#26009;\&#38468;&#20214;2.5-&#20316;&#21442;&#32771;&#65306;&#39292;&#29366;&#65288;&#30452;&#26041;&#65289;&#22270;&#32472;&#21046;&#26041;&#27861;.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F:\&#33395;\&#22919;&#32852;\2025&#24180;&#20915;&#31639;&#20844;&#24320;\&#27792;&#36130;&#21457;&#12308;2026&#12309;146&#21495;&#27792;&#24029;&#21439;&#36130;&#25919;&#23616;&#20851;&#20110;&#24320;&#23637;2025&#24180;&#24230;&#37096;&#38376;&#20915;&#31639;&#20844;&#24320;&#24037;&#20316;&#30340;&#36890;&#30693;\&#38468;&#20214;2.2025&#24180;&#37096;&#38376;(&#21333;&#20301;)&#20915;&#31639;&#20844;&#24320;&#32534;&#21046;&#36164;&#26009;\&#38468;&#20214;2.5-&#20316;&#21442;&#32771;&#65306;&#39292;&#29366;&#65288;&#30452;&#26041;&#65289;&#22270;&#32472;&#21046;&#26041;&#27861;.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F:\&#33395;\&#22919;&#32852;\2025&#24180;&#20915;&#31639;&#20844;&#24320;\&#27792;&#36130;&#21457;&#12308;2026&#12309;146&#21495;&#27792;&#24029;&#21439;&#36130;&#25919;&#23616;&#20851;&#20110;&#24320;&#23637;2025&#24180;&#24230;&#37096;&#38376;&#20915;&#31639;&#20844;&#24320;&#24037;&#20316;&#30340;&#36890;&#30693;\&#38468;&#20214;2.2025&#24180;&#37096;&#38376;(&#21333;&#20301;)&#20915;&#31639;&#20844;&#24320;&#32534;&#21046;&#36164;&#26009;\&#38468;&#20214;2.5-&#20316;&#21442;&#32771;&#65306;&#39292;&#29366;&#65288;&#30452;&#26041;&#65289;&#22270;&#32472;&#21046;&#26041;&#27861;.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w="3175">
          <a:noFill/>
        </a:ln>
      </c:spPr>
      <c:txPr>
        <a:bodyPr rot="0" spcFirstLastPara="0" vertOverflow="ellipsis" vert="horz" wrap="square" anchor="ctr" anchorCtr="1"/>
        <a:lstStyle/>
        <a:p>
          <a:pPr>
            <a:defRPr lang="zh-CN" sz="1100"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title>
    <c:autoTitleDeleted val="0"/>
    <c:plotArea>
      <c:layout/>
      <c:barChart>
        <c:barDir val="col"/>
        <c:grouping val="clustered"/>
        <c:varyColors val="0"/>
        <c:ser>
          <c:idx val="0"/>
          <c:order val="0"/>
          <c:tx>
            <c:strRef>
              <c:f>'[附件2.5-作参考：饼状（直方）图绘制方法.xls]收支决算总计变动情况-图1'!$A$4</c:f>
              <c:strCache>
                <c:ptCount val="1"/>
                <c:pt idx="0">
                  <c:v>沐川县退役军人事务局收、支决算总计变动情况</c:v>
                </c:pt>
              </c:strCache>
            </c:strRef>
          </c:tx>
          <c:spPr>
            <a:solidFill>
              <a:srgbClr val="9999FF">
                <a:alpha val="100000"/>
              </a:srgbClr>
            </a:solidFill>
            <a:ln w="12700">
              <a:solidFill>
                <a:srgbClr val="000000">
                  <a:alpha val="100000"/>
                </a:srgbClr>
              </a:solidFill>
              <a:prstDash val="solid"/>
            </a:ln>
          </c:spPr>
          <c:invertIfNegative val="0"/>
          <c:dLbls>
            <c:dLbl>
              <c:idx val="0"/>
              <c:layout>
                <c:manualLayout>
                  <c:x val="0.00176132013201321"/>
                  <c:y val="0.223000242424242"/>
                </c:manualLayout>
              </c:layout>
              <c:numFmt formatCode="General" sourceLinked="1"/>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968726072607265"/>
                  <c:y val="0.342968727272727"/>
                </c:manualLayout>
              </c:layout>
              <c:numFmt formatCode="General" sourceLinked="1"/>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'[附件2.5-作参考：饼状（直方）图绘制方法.xls]收支决算总计变动情况-图1'!$A$1:$B$1</c:f>
              <c:strCache>
                <c:ptCount val="2"/>
                <c:pt idx="0">
                  <c:v>2024年收支</c:v>
                </c:pt>
                <c:pt idx="1">
                  <c:v>2025年收支</c:v>
                </c:pt>
              </c:strCache>
            </c:strRef>
          </c:cat>
          <c:val>
            <c:numRef>
              <c:f>'[附件2.5-作参考：饼状（直方）图绘制方法.xls]收支决算总计变动情况-图1'!$A$2:$B$2</c:f>
              <c:numCache>
                <c:formatCode>General</c:formatCode>
                <c:ptCount val="2"/>
                <c:pt idx="0">
                  <c:v>2495.74</c:v>
                </c:pt>
                <c:pt idx="1">
                  <c:v>2513.57</c:v>
                </c:pt>
              </c:numCache>
            </c:numRef>
          </c:val>
        </c:ser>
        <c:dLbls>
          <c:showLegendKey val="0"/>
          <c:showVal val="0"/>
          <c:showCatName val="0"/>
          <c:showSerName val="0"/>
          <c:showPercent val="0"/>
          <c:showBubbleSize val="0"/>
        </c:dLbls>
        <c:gapWidth val="150"/>
        <c:overlap val="0"/>
        <c:axId val="421619180"/>
        <c:axId val="210355285"/>
      </c:barChart>
      <c:catAx>
        <c:axId val="421619180"/>
        <c:scaling>
          <c:orientation val="minMax"/>
        </c:scaling>
        <c:delete val="0"/>
        <c:axPos val="b"/>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210355285"/>
        <c:crosses val="autoZero"/>
        <c:auto val="1"/>
        <c:lblAlgn val="ctr"/>
        <c:lblOffset val="100"/>
        <c:noMultiLvlLbl val="0"/>
      </c:catAx>
      <c:valAx>
        <c:axId val="210355285"/>
        <c:scaling>
          <c:orientation val="minMax"/>
        </c:scaling>
        <c:delete val="0"/>
        <c:axPos val="l"/>
        <c:majorGridlines>
          <c:spPr>
            <a:ln w="3175" cap="flat" cmpd="sng" algn="ctr">
              <a:solidFill>
                <a:srgbClr val="000000">
                  <a:alpha val="100000"/>
                </a:srgbClr>
              </a:solidFill>
              <a:prstDash val="solid"/>
              <a:round/>
            </a:ln>
          </c:spPr>
        </c:majorGridlines>
        <c:numFmt formatCode="General" sourceLinked="1"/>
        <c:majorTickMark val="in"/>
        <c:minorTickMark val="none"/>
        <c:tickLblPos val="nextTo"/>
        <c:spPr>
          <a:ln w="3175" cap="flat" cmpd="sng" algn="ctr">
            <a:solidFill>
              <a:srgbClr val="000000"/>
            </a:solidFill>
            <a:prstDash val="solid"/>
            <a:round/>
          </a:ln>
        </c:spPr>
        <c:txPr>
          <a:bodyPr rot="-60000000" spcFirstLastPara="0" vertOverflow="ellipsis" vert="horz" wrap="square"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421619180"/>
        <c:crosses val="autoZero"/>
        <c:crossBetween val="between"/>
      </c:valAx>
      <c:spPr>
        <a:solidFill>
          <a:srgbClr val="C0C0C0">
            <a:alpha val="100000"/>
          </a:srgbClr>
        </a:solidFill>
        <a:ln w="12700">
          <a:solidFill>
            <a:srgbClr val="808080">
              <a:alpha val="100000"/>
            </a:srgbClr>
          </a:solidFill>
          <a:prstDash val="solid"/>
        </a:ln>
      </c:spPr>
    </c:plotArea>
    <c:plotVisOnly val="1"/>
    <c:dispBlanksAs val="gap"/>
    <c:showDLblsOverMax val="0"/>
    <c:extLst>
      <c:ext uri="{0b15fc19-7d7d-44ad-8c2d-2c3a37ce22c3}">
        <chartProps xmlns="https://web.wps.cn/et/2018/main" chartId="{812f4f39-2818-41ef-8897-89237e95dd6b}"/>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8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沐川县退役军人事务局2025年收入决算结构图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Lbl>
              <c:idx val="1"/>
              <c:layout>
                <c:manualLayout>
                  <c:x val="-0.133127359645143"/>
                  <c:y val="-0.0317344269595305"/>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101724686015607"/>
                  <c:y val="-0.0154592015245029"/>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'[附件2.5-作参考：饼状（直方）图绘制方法.xls]收入决算结构-图2-1'!$A$1:$C$1</c:f>
              <c:strCache>
                <c:ptCount val="3"/>
                <c:pt idx="0">
                  <c:v>一般公共预算财政拨款收入</c:v>
                </c:pt>
                <c:pt idx="1">
                  <c:v>政府性基金预算财政拨款收入</c:v>
                </c:pt>
                <c:pt idx="2">
                  <c:v>其他收入</c:v>
                </c:pt>
              </c:strCache>
            </c:strRef>
          </c:cat>
          <c:val>
            <c:numRef>
              <c:f>'[附件2.5-作参考：饼状（直方）图绘制方法.xls]收入决算结构-图2-1'!$A$2:$C$2</c:f>
              <c:numCache>
                <c:formatCode>0.00%</c:formatCode>
                <c:ptCount val="3"/>
                <c:pt idx="0">
                  <c:v>0.995744611999223</c:v>
                </c:pt>
                <c:pt idx="1">
                  <c:v>0.00404504562811468</c:v>
                </c:pt>
                <c:pt idx="2">
                  <c:v>0.0001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3a5c278-594a-4652-b622-b87bc957fa6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沐川县退役军人事务局</a:t>
            </a:r>
            <a:r>
              <a:rPr lang="en-US" altLang="zh-CN"/>
              <a:t>2025</a:t>
            </a:r>
            <a:r>
              <a:rPr altLang="en-US"/>
              <a:t>年</a:t>
            </a:r>
            <a:r>
              <a:t>支出决算结构图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manualLayout>
                  <c:x val="0.0453947368421052"/>
                  <c:y val="0"/>
                </c:manualLayout>
              </c:layout>
              <c:dLblPos val="bestFit"/>
              <c:showLegendKey val="0"/>
              <c:showVal val="1"/>
              <c:showCatName val="0"/>
              <c:showSerName val="0"/>
              <c:showPercent val="0"/>
              <c:showBubbleSize val="0"/>
              <c:extLst>
                <c:ext xmlns:c15="http://schemas.microsoft.com/office/drawing/2012/chart" uri="{CE6537A1-D6FC-4f65-9D91-7224C49458BB}">
                  <c15:layout>
                    <c:manualLayout>
                      <c:w val="0.160938131823696"/>
                      <c:h val="0.0571982549684925"/>
                    </c:manualLayout>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[工作簿1]Sheet1!$A$1:$A$2</c:f>
              <c:strCache>
                <c:ptCount val="2"/>
                <c:pt idx="0">
                  <c:v>基本支出</c:v>
                </c:pt>
                <c:pt idx="1">
                  <c:v>项目支出</c:v>
                </c:pt>
              </c:strCache>
            </c:strRef>
          </c:cat>
          <c:val>
            <c:numRef>
              <c:f>[工作簿1]Sheet1!$B$1:$B$2</c:f>
              <c:numCache>
                <c:formatCode>0.00%</c:formatCode>
                <c:ptCount val="2"/>
                <c:pt idx="0">
                  <c:v>0.1031</c:v>
                </c:pt>
                <c:pt idx="1">
                  <c:v>0.8969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b98749c-333a-432e-8b8f-a39515854d2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w="3175">
          <a:noFill/>
        </a:ln>
      </c:spPr>
      <c:txPr>
        <a:bodyPr rot="0" spcFirstLastPara="0" vertOverflow="ellipsis" vert="horz" wrap="square" anchor="ctr" anchorCtr="1"/>
        <a:lstStyle/>
        <a:p>
          <a:pPr>
            <a:defRPr lang="zh-CN" sz="1200"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title>
    <c:autoTitleDeleted val="0"/>
    <c:plotArea>
      <c:layout/>
      <c:barChart>
        <c:barDir val="col"/>
        <c:grouping val="clustered"/>
        <c:varyColors val="0"/>
        <c:ser>
          <c:idx val="0"/>
          <c:order val="0"/>
          <c:tx>
            <c:strRef>
              <c:f>'[附件2.5-作参考：饼状（直方）图绘制方法.xls]财政拨款收支决算总计变动情况-图4'!$A$4</c:f>
              <c:strCache>
                <c:ptCount val="1"/>
                <c:pt idx="0">
                  <c:v>沐川县退役军人事务局财政拨款收、支决算总计变动情况</c:v>
                </c:pt>
              </c:strCache>
            </c:strRef>
          </c:tx>
          <c:spPr>
            <a:solidFill>
              <a:srgbClr val="9999FF">
                <a:alpha val="100000"/>
              </a:srgbClr>
            </a:solidFill>
            <a:ln w="12700">
              <a:solidFill>
                <a:srgbClr val="000000">
                  <a:alpha val="100000"/>
                </a:srgbClr>
              </a:solidFill>
              <a:prstDash val="solid"/>
            </a:ln>
          </c:spPr>
          <c:invertIfNegative val="0"/>
          <c:dLbls>
            <c:dLbl>
              <c:idx val="0"/>
              <c:layout>
                <c:manualLayout>
                  <c:x val="0.0017832134292566"/>
                  <c:y val="0.217210101010101"/>
                </c:manualLayout>
              </c:layout>
              <c:numFmt formatCode="General" sourceLinked="1"/>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98076738609113"/>
                  <c:y val="0.334063636363636"/>
                </c:manualLayout>
              </c:layout>
              <c:numFmt formatCode="General" sourceLinked="1"/>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'[附件2.5-作参考：饼状（直方）图绘制方法.xls]财政拨款收支决算总计变动情况-图4'!$A$1:$B$1</c:f>
              <c:strCache>
                <c:ptCount val="2"/>
                <c:pt idx="0">
                  <c:v>2024年财政拨款收支</c:v>
                </c:pt>
                <c:pt idx="1">
                  <c:v>2025年财政拨款收支</c:v>
                </c:pt>
              </c:strCache>
            </c:strRef>
          </c:cat>
          <c:val>
            <c:numRef>
              <c:f>'[附件2.5-作参考：饼状（直方）图绘制方法.xls]财政拨款收支决算总计变动情况-图4'!$A$2:$B$2</c:f>
              <c:numCache>
                <c:formatCode>General</c:formatCode>
                <c:ptCount val="2"/>
                <c:pt idx="0">
                  <c:v>2489.11</c:v>
                </c:pt>
                <c:pt idx="1">
                  <c:v>2513.04</c:v>
                </c:pt>
              </c:numCache>
            </c:numRef>
          </c:val>
        </c:ser>
        <c:dLbls>
          <c:showLegendKey val="0"/>
          <c:showVal val="0"/>
          <c:showCatName val="0"/>
          <c:showSerName val="0"/>
          <c:showPercent val="0"/>
          <c:showBubbleSize val="0"/>
        </c:dLbls>
        <c:gapWidth val="150"/>
        <c:overlap val="0"/>
        <c:axId val="708719952"/>
        <c:axId val="85209591"/>
      </c:barChart>
      <c:catAx>
        <c:axId val="708719952"/>
        <c:scaling>
          <c:orientation val="minMax"/>
        </c:scaling>
        <c:delete val="0"/>
        <c:axPos val="b"/>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85209591"/>
        <c:crosses val="autoZero"/>
        <c:auto val="1"/>
        <c:lblAlgn val="ctr"/>
        <c:lblOffset val="100"/>
        <c:noMultiLvlLbl val="0"/>
      </c:catAx>
      <c:valAx>
        <c:axId val="85209591"/>
        <c:scaling>
          <c:orientation val="minMax"/>
        </c:scaling>
        <c:delete val="0"/>
        <c:axPos val="l"/>
        <c:majorGridlines>
          <c:spPr>
            <a:ln w="3175" cap="flat" cmpd="sng" algn="ctr">
              <a:solidFill>
                <a:srgbClr val="000000">
                  <a:alpha val="100000"/>
                </a:srgbClr>
              </a:solidFill>
              <a:prstDash val="solid"/>
              <a:round/>
            </a:ln>
          </c:spPr>
        </c:majorGridlines>
        <c:numFmt formatCode="General" sourceLinked="1"/>
        <c:majorTickMark val="in"/>
        <c:minorTickMark val="none"/>
        <c:tickLblPos val="nextTo"/>
        <c:spPr>
          <a:ln w="3175" cap="flat" cmpd="sng" algn="ctr">
            <a:solidFill>
              <a:srgbClr val="000000"/>
            </a:solidFill>
            <a:prstDash val="solid"/>
            <a:round/>
          </a:ln>
        </c:spPr>
        <c:txPr>
          <a:bodyPr rot="-60000000" spcFirstLastPara="0" vertOverflow="ellipsis" vert="horz" wrap="square"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708719952"/>
        <c:crosses val="autoZero"/>
        <c:crossBetween val="between"/>
      </c:valAx>
      <c:spPr>
        <a:solidFill>
          <a:srgbClr val="C0C0C0">
            <a:alpha val="100000"/>
          </a:srgbClr>
        </a:solidFill>
        <a:ln w="12700">
          <a:solidFill>
            <a:srgbClr val="808080">
              <a:alpha val="100000"/>
            </a:srgbClr>
          </a:solidFill>
          <a:prstDash val="solid"/>
        </a:ln>
      </c:spPr>
    </c:plotArea>
    <c:plotVisOnly val="1"/>
    <c:dispBlanksAs val="gap"/>
    <c:showDLblsOverMax val="0"/>
    <c:extLst>
      <c:ext uri="{0b15fc19-7d7d-44ad-8c2d-2c3a37ce22c3}">
        <chartProps xmlns="https://web.wps.cn/et/2018/main" chartId="{a6a05d66-9b53-49ca-ba0b-2e668fe7a93a}"/>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8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100"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沐川县退役军人事务局一般公共预算财政拨款支出决算变动情况</a:t>
            </a:r>
            <a:endParaRPr sz="1100" b="1"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overlay val="0"/>
      <c:spPr>
        <a:noFill/>
        <a:ln w="3175">
          <a:noFill/>
        </a:ln>
      </c:spPr>
    </c:title>
    <c:autoTitleDeleted val="0"/>
    <c:plotArea>
      <c:layout>
        <c:manualLayout>
          <c:layoutTarget val="inner"/>
          <c:xMode val="edge"/>
          <c:yMode val="edge"/>
          <c:x val="0.084"/>
          <c:y val="0.2285"/>
          <c:w val="0.832"/>
          <c:h val="0.68175"/>
        </c:manualLayout>
      </c:layout>
      <c:barChart>
        <c:barDir val="col"/>
        <c:grouping val="clustered"/>
        <c:varyColors val="0"/>
        <c:ser>
          <c:idx val="0"/>
          <c:order val="0"/>
          <c:spPr>
            <a:solidFill>
              <a:srgbClr val="9999FF">
                <a:alpha val="100000"/>
              </a:srgbClr>
            </a:solidFill>
            <a:ln w="12700">
              <a:solidFill>
                <a:srgbClr val="000000">
                  <a:alpha val="100000"/>
                </a:srgbClr>
              </a:solidFill>
              <a:prstDash val="solid"/>
            </a:ln>
          </c:spPr>
          <c:invertIfNegative val="0"/>
          <c:dLbls>
            <c:dLbl>
              <c:idx val="0"/>
              <c:layout>
                <c:manualLayout>
                  <c:x val="0"/>
                  <c:y val="0.2440665"/>
                </c:manualLayout>
              </c:layout>
              <c:numFmt formatCode="General" sourceLinked="1"/>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748799999999998"/>
                  <c:y val="0.3476925"/>
                </c:manualLayout>
              </c:layout>
              <c:numFmt formatCode="General" sourceLinked="1"/>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'[附件2.5-作参考：饼状（直方）图绘制方法.xls]一般公共预算财政拨款支出决算变动情况-图5'!$A$1:$B$1</c:f>
              <c:strCache>
                <c:ptCount val="2"/>
                <c:pt idx="0">
                  <c:v>2024年一般公共预算财政拨款支出</c:v>
                </c:pt>
                <c:pt idx="1">
                  <c:v>2025年一般公共预算财政拨款支出</c:v>
                </c:pt>
              </c:strCache>
            </c:strRef>
          </c:cat>
          <c:val>
            <c:numRef>
              <c:f>'[附件2.5-作参考：饼状（直方）图绘制方法.xls]一般公共预算财政拨款支出决算变动情况-图5'!$A$2:$B$2</c:f>
              <c:numCache>
                <c:formatCode>General</c:formatCode>
                <c:ptCount val="2"/>
                <c:pt idx="0">
                  <c:v>2446.81</c:v>
                </c:pt>
                <c:pt idx="1">
                  <c:v>2503.04</c:v>
                </c:pt>
              </c:numCache>
            </c:numRef>
          </c:val>
        </c:ser>
        <c:dLbls>
          <c:showLegendKey val="0"/>
          <c:showVal val="0"/>
          <c:showCatName val="0"/>
          <c:showSerName val="0"/>
          <c:showPercent val="0"/>
          <c:showBubbleSize val="0"/>
        </c:dLbls>
        <c:gapWidth val="150"/>
        <c:overlap val="0"/>
        <c:axId val="760491031"/>
        <c:axId val="218818398"/>
      </c:barChart>
      <c:catAx>
        <c:axId val="760491031"/>
        <c:scaling>
          <c:orientation val="minMax"/>
        </c:scaling>
        <c:delete val="0"/>
        <c:axPos val="b"/>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218818398"/>
        <c:crosses val="autoZero"/>
        <c:auto val="1"/>
        <c:lblAlgn val="ctr"/>
        <c:lblOffset val="100"/>
        <c:noMultiLvlLbl val="0"/>
      </c:catAx>
      <c:valAx>
        <c:axId val="218818398"/>
        <c:scaling>
          <c:orientation val="minMax"/>
        </c:scaling>
        <c:delete val="0"/>
        <c:axPos val="l"/>
        <c:numFmt formatCode="General" sourceLinked="1"/>
        <c:majorTickMark val="in"/>
        <c:minorTickMark val="none"/>
        <c:tickLblPos val="nextTo"/>
        <c:spPr>
          <a:ln w="3175" cap="flat" cmpd="sng" algn="ctr">
            <a:solidFill>
              <a:srgbClr val="000000"/>
            </a:solidFill>
            <a:prstDash val="solid"/>
            <a:round/>
          </a:ln>
        </c:spPr>
        <c:txPr>
          <a:bodyPr rot="-60000000" spcFirstLastPara="0" vertOverflow="ellipsis" vert="horz" wrap="square"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760491031"/>
        <c:crosses val="autoZero"/>
        <c:crossBetween val="between"/>
      </c:valAx>
      <c:spPr>
        <a:noFill/>
        <a:ln w="3175">
          <a:noFill/>
        </a:ln>
      </c:spPr>
    </c:plotArea>
    <c:plotVisOnly val="1"/>
    <c:dispBlanksAs val="gap"/>
    <c:showDLblsOverMax val="0"/>
    <c:extLst>
      <c:ext uri="{0b15fc19-7d7d-44ad-8c2d-2c3a37ce22c3}">
        <chartProps xmlns="https://web.wps.cn/et/2018/main" chartId="{fb6fb457-b7c4-4558-b696-73ba443da49c}"/>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8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000"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rPr sz="1000"/>
              <a:t>沐川县退役军人事务局一般公共预算财政拨款支出决算结构图</a:t>
            </a:r>
            <a:endParaRPr sz="1000" b="1"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124380608561114"/>
          <c:y val="0.0173573619631902"/>
        </c:manualLayout>
      </c:layout>
      <c:overlay val="0"/>
      <c:spPr>
        <a:noFill/>
        <a:ln w="3175">
          <a:noFill/>
        </a:ln>
      </c:spPr>
    </c:title>
    <c:autoTitleDeleted val="0"/>
    <c:plotArea>
      <c:layout>
        <c:manualLayout>
          <c:layoutTarget val="inner"/>
          <c:xMode val="edge"/>
          <c:yMode val="edge"/>
          <c:x val="0.1005"/>
          <c:y val="0.24925"/>
          <c:w val="0.445"/>
          <c:h val="0.67875"/>
        </c:manualLayout>
      </c:layout>
      <c:pieChart>
        <c:varyColors val="1"/>
        <c:ser>
          <c:idx val="0"/>
          <c:order val="0"/>
          <c:spPr>
            <a:solidFill>
              <a:srgbClr val="9999FF">
                <a:alpha val="100000"/>
              </a:srgbClr>
            </a:solidFill>
            <a:ln w="12700">
              <a:solidFill>
                <a:srgbClr val="000000">
                  <a:alpha val="100000"/>
                </a:srgbClr>
              </a:solidFill>
              <a:prstDash val="solid"/>
            </a:ln>
          </c:spPr>
          <c:explosion val="0"/>
          <c:dPt>
            <c:idx val="0"/>
            <c:bubble3D val="0"/>
            <c:explosion val="0"/>
            <c:spPr>
              <a:solidFill>
                <a:srgbClr val="9999FF">
                  <a:alpha val="100000"/>
                </a:srgbClr>
              </a:solidFill>
              <a:ln w="3175">
                <a:solidFill>
                  <a:srgbClr val="000000">
                    <a:alpha val="100000"/>
                  </a:srgbClr>
                </a:solidFill>
                <a:prstDash val="solid"/>
              </a:ln>
            </c:spPr>
          </c:dPt>
          <c:dPt>
            <c:idx val="1"/>
            <c:bubble3D val="0"/>
            <c:explosion val="0"/>
            <c:spPr>
              <a:solidFill>
                <a:srgbClr val="993366">
                  <a:alpha val="100000"/>
                </a:srgbClr>
              </a:solidFill>
              <a:ln w="12700">
                <a:solidFill>
                  <a:srgbClr val="000000">
                    <a:alpha val="100000"/>
                  </a:srgbClr>
                </a:solidFill>
                <a:prstDash val="solid"/>
              </a:ln>
            </c:spPr>
          </c:dPt>
          <c:dPt>
            <c:idx val="2"/>
            <c:bubble3D val="0"/>
            <c:explosion val="0"/>
            <c:spPr>
              <a:solidFill>
                <a:srgbClr val="FFFFCC">
                  <a:alpha val="100000"/>
                </a:srgbClr>
              </a:solidFill>
              <a:ln w="12700">
                <a:solidFill>
                  <a:srgbClr val="000000">
                    <a:alpha val="100000"/>
                  </a:srgbClr>
                </a:solidFill>
                <a:prstDash val="solid"/>
              </a:ln>
            </c:spPr>
          </c:dPt>
          <c:dLbls>
            <c:dLbl>
              <c:idx val="0"/>
              <c:layout>
                <c:manualLayout>
                  <c:x val="-0.122825912977659"/>
                  <c:y val="-0.361740626182898"/>
                </c:manualLayout>
              </c:layout>
              <c:numFmt formatCode="0.00%" sourceLinked="0"/>
              <c:spPr>
                <a:noFill/>
                <a:ln w="3175">
                  <a:noFill/>
                </a:ln>
                <a:effectLst/>
              </c:spPr>
              <c:txPr>
                <a:bodyPr rot="0" spcFirstLastPara="0" vertOverflow="ellipsis" vert="horz" wrap="square" lIns="38100" tIns="19050" rIns="38100" bIns="19050" anchor="ctr" anchorCtr="1"/>
                <a:lstStyle/>
                <a:p>
                  <a:pPr>
                    <a:defRPr lang="zh-CN" sz="925"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0.146542110010876"/>
                  <c:y val="0.00491055431643881"/>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0.173088786278588"/>
                  <c:y val="-0.0447414063515279"/>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w="3175">
                <a:noFill/>
              </a:ln>
              <a:effectLst/>
            </c:spPr>
            <c:txPr>
              <a:bodyPr rot="0" spcFirstLastPara="0" vertOverflow="ellipsis" vert="horz" wrap="square" lIns="38100" tIns="19050" rIns="38100" bIns="19050" anchor="ctr" anchorCtr="1"/>
              <a:lstStyle/>
              <a:p>
                <a:pPr>
                  <a:defRPr lang="zh-CN" sz="925"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'[附件2.5-作参考：饼状（直方）图绘制方法.xls]一般公共预算财政拨款支出决算结构-图6'!$A$1:$C$1</c:f>
              <c:strCache>
                <c:ptCount val="3"/>
                <c:pt idx="0">
                  <c:v>2025年社会保障和就业支出</c:v>
                </c:pt>
                <c:pt idx="1">
                  <c:v>2025年医疗卫生支出</c:v>
                </c:pt>
                <c:pt idx="2">
                  <c:v>2025年住房保障支出</c:v>
                </c:pt>
              </c:strCache>
            </c:strRef>
          </c:cat>
          <c:val>
            <c:numRef>
              <c:f>'[附件2.5-作参考：饼状（直方）图绘制方法.xls]一般公共预算财政拨款支出决算结构-图6'!$A$2:$C$2</c:f>
              <c:numCache>
                <c:formatCode>General</c:formatCode>
                <c:ptCount val="3"/>
                <c:pt idx="0">
                  <c:v>2448.39</c:v>
                </c:pt>
                <c:pt idx="1">
                  <c:v>36.01</c:v>
                </c:pt>
                <c:pt idx="2">
                  <c:v>18.65</c:v>
                </c:pt>
              </c:numCache>
            </c:numRef>
          </c:val>
        </c:ser>
        <c:ser>
          <c:idx val="1"/>
          <c:order val="1"/>
          <c:explosion val="0"/>
          <c:dPt>
            <c:idx val="0"/>
            <c:bubble3D val="0"/>
          </c:dPt>
          <c:dPt>
            <c:idx val="1"/>
            <c:bubble3D val="0"/>
          </c:dPt>
          <c:dPt>
            <c:idx val="2"/>
            <c:bubble3D val="0"/>
          </c:dPt>
          <c:dLbls>
            <c:delete val="1"/>
          </c:dLbls>
          <c:cat>
            <c:strRef>
              <c:f>'[附件2.5-作参考：饼状（直方）图绘制方法.xls]一般公共预算财政拨款支出决算结构-图6'!$A$1:$C$1</c:f>
              <c:strCache>
                <c:ptCount val="3"/>
                <c:pt idx="0">
                  <c:v>2025年社会保障和就业支出</c:v>
                </c:pt>
                <c:pt idx="1">
                  <c:v>2025年医疗卫生支出</c:v>
                </c:pt>
                <c:pt idx="2">
                  <c:v>2025年住房保障支出</c:v>
                </c:pt>
              </c:strCache>
            </c:strRef>
          </c:cat>
          <c:val>
            <c:numRef>
              <c:f>'[附件2.5-作参考：饼状（直方）图绘制方法.xls]一般公共预算财政拨款支出决算结构-图6'!$A$3:$C$3</c:f>
              <c:numCache>
                <c:formatCode>0.00%</c:formatCode>
                <c:ptCount val="3"/>
                <c:pt idx="0">
                  <c:v>0.978162641577276</c:v>
                </c:pt>
                <c:pt idx="1">
                  <c:v>0.01438644853279</c:v>
                </c:pt>
                <c:pt idx="2">
                  <c:v>0.00745090988993428</c:v>
                </c:pt>
              </c:numCache>
            </c:numRef>
          </c:val>
        </c:ser>
        <c:dLbls>
          <c:showLegendKey val="0"/>
          <c:showVal val="0"/>
          <c:showCatName val="0"/>
          <c:showSerName val="0"/>
          <c:showPercent val="0"/>
          <c:showBubbleSize val="0"/>
          <c:showLeaderLines val="1"/>
        </c:dLbls>
        <c:firstSliceAng val="0"/>
      </c:pieChart>
      <c:spPr>
        <a:noFill/>
        <a:ln w="3175">
          <a:noFill/>
        </a:ln>
      </c:spPr>
    </c:plotArea>
    <c:legend>
      <c:legendPos val="r"/>
      <c:layout>
        <c:manualLayout>
          <c:xMode val="edge"/>
          <c:yMode val="edge"/>
          <c:x val="0.621453888424322"/>
          <c:y val="0.285237951807229"/>
          <c:w val="0.34425"/>
          <c:h val="0.5555"/>
        </c:manualLayout>
      </c:layout>
      <c:overlay val="0"/>
      <c:spPr>
        <a:solidFill>
          <a:srgbClr val="FFFFFF">
            <a:alpha val="100000"/>
          </a:srgbClr>
        </a:solidFill>
        <a:ln w="3175">
          <a:noFill/>
        </a:ln>
      </c:spPr>
      <c:txPr>
        <a:bodyPr rot="0" spcFirstLastPara="0" vertOverflow="ellipsis" vert="horz" wrap="square" anchor="ctr" anchorCtr="1"/>
        <a:lstStyle/>
        <a:p>
          <a:pPr>
            <a:defRPr lang="zh-CN" sz="1125"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91e5e5a3-5fb1-4c33-bbc9-eecb8bef0254}"/>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8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w="3175">
          <a:noFill/>
        </a:ln>
      </c:spPr>
      <c:txPr>
        <a:bodyPr rot="0" spcFirstLastPara="0" vertOverflow="ellipsis" vert="horz" wrap="square" anchor="ctr" anchorCtr="1"/>
        <a:lstStyle/>
        <a:p>
          <a:pPr>
            <a:defRPr lang="zh-CN" sz="1200"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title>
    <c:autoTitleDeleted val="0"/>
    <c:plotArea>
      <c:layout>
        <c:manualLayout>
          <c:layoutTarget val="inner"/>
          <c:xMode val="edge"/>
          <c:yMode val="edge"/>
          <c:x val="0.19625"/>
          <c:y val="0.3"/>
          <c:w val="0.2635"/>
          <c:h val="0.527"/>
        </c:manualLayout>
      </c:layout>
      <c:pieChart>
        <c:varyColors val="1"/>
        <c:ser>
          <c:idx val="0"/>
          <c:order val="0"/>
          <c:tx>
            <c:strRef>
              <c:f>'[附件2.5-作参考：饼状（直方）图绘制方法.xls]三公经费财政拨款支出结构-图7'!$B$8</c:f>
              <c:strCache>
                <c:ptCount val="1"/>
                <c:pt idx="0">
                  <c:v>沐川县退役军人事务局局2025年“三公”经费财政拨款支出结构图</c:v>
                </c:pt>
              </c:strCache>
            </c:strRef>
          </c:tx>
          <c:spPr>
            <a:solidFill>
              <a:srgbClr val="9999FF">
                <a:alpha val="100000"/>
              </a:srgbClr>
            </a:solidFill>
            <a:ln w="12700">
              <a:solidFill>
                <a:srgbClr val="000000">
                  <a:alpha val="100000"/>
                </a:srgbClr>
              </a:solidFill>
              <a:prstDash val="solid"/>
            </a:ln>
          </c:spPr>
          <c:explosion val="25"/>
          <c:dPt>
            <c:idx val="0"/>
            <c:bubble3D val="0"/>
            <c:explosion val="25"/>
            <c:spPr>
              <a:solidFill>
                <a:srgbClr val="9999FF">
                  <a:alpha val="100000"/>
                </a:srgbClr>
              </a:solidFill>
              <a:ln w="12700">
                <a:solidFill>
                  <a:srgbClr val="000000">
                    <a:alpha val="100000"/>
                  </a:srgbClr>
                </a:solidFill>
                <a:prstDash val="solid"/>
              </a:ln>
            </c:spPr>
          </c:dPt>
          <c:dPt>
            <c:idx val="1"/>
            <c:bubble3D val="0"/>
            <c:explosion val="25"/>
            <c:spPr>
              <a:solidFill>
                <a:srgbClr val="993366">
                  <a:alpha val="100000"/>
                </a:srgbClr>
              </a:solidFill>
              <a:ln w="12700">
                <a:solidFill>
                  <a:srgbClr val="000000">
                    <a:alpha val="100000"/>
                  </a:srgbClr>
                </a:solidFill>
                <a:prstDash val="solid"/>
              </a:ln>
            </c:spPr>
          </c:dPt>
          <c:dPt>
            <c:idx val="2"/>
            <c:bubble3D val="0"/>
            <c:explosion val="25"/>
            <c:spPr>
              <a:solidFill>
                <a:srgbClr val="FFFFCC">
                  <a:alpha val="100000"/>
                </a:srgbClr>
              </a:solidFill>
              <a:ln w="12700">
                <a:solidFill>
                  <a:srgbClr val="000000">
                    <a:alpha val="100000"/>
                  </a:srgbClr>
                </a:solidFill>
                <a:prstDash val="solid"/>
              </a:ln>
            </c:spPr>
          </c:dPt>
          <c:dLbls>
            <c:dLbl>
              <c:idx val="0"/>
              <c:layout/>
              <c:numFmt formatCode="0.00%" sourceLinked="0"/>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0"/>
              <c:showCatName val="0"/>
              <c:showSerName val="0"/>
              <c:showPercent val="1"/>
              <c:showBubbleSize val="0"/>
              <c:extLst>
                <c:ext xmlns:c15="http://schemas.microsoft.com/office/drawing/2012/chart" uri="{CE6537A1-D6FC-4f65-9D91-7224C49458BB}"/>
              </c:extLst>
            </c:dLbl>
            <c:numFmt formatCode="0.00%" sourceLinked="0"/>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'[附件2.5-作参考：饼状（直方）图绘制方法.xls]三公经费财政拨款支出结构-图7'!$A$1:$C$1</c:f>
              <c:strCache>
                <c:ptCount val="3"/>
                <c:pt idx="0">
                  <c:v>因公出国（境）费支出</c:v>
                </c:pt>
                <c:pt idx="1">
                  <c:v>公务用车购置及运行维护费支出</c:v>
                </c:pt>
                <c:pt idx="2">
                  <c:v>公务接待费支出</c:v>
                </c:pt>
              </c:strCache>
            </c:strRef>
          </c:cat>
          <c:val>
            <c:numRef>
              <c:f>'[附件2.5-作参考：饼状（直方）图绘制方法.xls]三公经费财政拨款支出结构-图7'!$A$2:$C$2</c:f>
              <c:numCache>
                <c:formatCode>General</c:formatCode>
                <c:ptCount val="3"/>
                <c:pt idx="0">
                  <c:v>0</c:v>
                </c:pt>
                <c:pt idx="1">
                  <c:v>0</c:v>
                </c:pt>
                <c:pt idx="2">
                  <c:v>0.38</c:v>
                </c:pt>
              </c:numCache>
            </c:numRef>
          </c:val>
        </c:ser>
        <c:dLbls>
          <c:showLegendKey val="0"/>
          <c:showVal val="0"/>
          <c:showCatName val="0"/>
          <c:showSerName val="0"/>
          <c:showPercent val="0"/>
          <c:showBubbleSize val="0"/>
          <c:showLeaderLines val="1"/>
        </c:dLbls>
        <c:firstSliceAng val="0"/>
      </c:pieChart>
      <c:spPr>
        <a:noFill/>
        <a:ln w="3175">
          <a:noFill/>
        </a:ln>
      </c:spPr>
    </c:plotArea>
    <c:legend>
      <c:legendPos val="r"/>
      <c:layout>
        <c:manualLayout>
          <c:xMode val="edge"/>
          <c:yMode val="edge"/>
          <c:x val="0.573"/>
          <c:y val="0.3845"/>
          <c:w val="0.3385"/>
          <c:h val="0.38075"/>
        </c:manualLayout>
      </c:layout>
      <c:overlay val="0"/>
      <c:spPr>
        <a:solidFill>
          <a:srgbClr val="FFFFFF">
            <a:alpha val="100000"/>
          </a:srgbClr>
        </a:solidFill>
        <a:ln w="3175">
          <a:noFill/>
        </a:ln>
      </c:spPr>
      <c:txPr>
        <a:bodyPr rot="0" spcFirstLastPara="0" vertOverflow="ellipsis" vert="horz" wrap="square"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41e68bfd-e2a6-4320-b169-b68a65e0d711}"/>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825"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36</Pages>
  <Words>27</Words>
  <Characters>30</Characters>
  <Lines>61</Lines>
  <Paragraphs>17</Paragraphs>
  <TotalTime>1</TotalTime>
  <ScaleCrop>false</ScaleCrop>
  <LinksUpToDate>false</LinksUpToDate>
  <CharactersWithSpaces>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叶子</cp:lastModifiedBy>
  <cp:lastPrinted>2026-08-03T09:27:00Z</cp:lastPrinted>
  <dcterms:modified xsi:type="dcterms:W3CDTF">2026-09-12T08:52:27Z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400D301575C74348A5277D00A7902E06</vt:lpwstr>
  </property>
  <property fmtid="{D5CDD505-2E9C-101B-9397-08002B2CF9AE}" pid="4" name="KSOTemplateDocerSaveRecord">
    <vt:lpwstr>eyJoZGlkIjoiNWFmMDk1ODhmMjk3N2U0OGJkMWM4MmNhZGZlNzlkNDciLCJ1c2VySWQiOiI5OTE1MDUzMzYifQ==</vt:lpwstr>
  </property>
</Properties>
</file>