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AA60CB" w14:textId="77777777" w:rsidR="004177BC" w:rsidRDefault="004177BC">
      <w:pPr>
        <w:pStyle w:val="a6"/>
        <w:kinsoku w:val="0"/>
        <w:overflowPunct w:val="0"/>
        <w:spacing w:before="138" w:line="360" w:lineRule="auto"/>
        <w:ind w:left="352" w:right="610"/>
        <w:jc w:val="center"/>
        <w:rPr>
          <w:rFonts w:ascii="黑体" w:eastAsia="黑体" w:hAnsi="黑体" w:cs="仿宋"/>
          <w:b/>
          <w:sz w:val="52"/>
          <w:szCs w:val="52"/>
        </w:rPr>
      </w:pPr>
    </w:p>
    <w:p w14:paraId="365013E7" w14:textId="77777777" w:rsidR="004177BC" w:rsidRDefault="004177BC">
      <w:pPr>
        <w:pStyle w:val="a6"/>
        <w:kinsoku w:val="0"/>
        <w:overflowPunct w:val="0"/>
        <w:spacing w:before="138" w:line="360" w:lineRule="auto"/>
        <w:ind w:left="352" w:right="610"/>
        <w:jc w:val="center"/>
        <w:rPr>
          <w:rFonts w:ascii="黑体" w:eastAsia="黑体" w:hAnsi="黑体" w:cs="仿宋"/>
          <w:b/>
          <w:sz w:val="52"/>
          <w:szCs w:val="52"/>
        </w:rPr>
      </w:pPr>
    </w:p>
    <w:p w14:paraId="39185BB0" w14:textId="77777777" w:rsidR="004177BC" w:rsidRDefault="004177BC">
      <w:pPr>
        <w:spacing w:line="736" w:lineRule="exact"/>
        <w:ind w:right="121"/>
        <w:jc w:val="center"/>
        <w:rPr>
          <w:rFonts w:ascii="方正小标宋_GBK" w:eastAsia="方正小标宋_GBK" w:hint="default"/>
          <w:sz w:val="44"/>
        </w:rPr>
        <w:sectPr w:rsidR="004177BC">
          <w:headerReference w:type="even" r:id="rId8"/>
          <w:headerReference w:type="default" r:id="rId9"/>
          <w:footerReference w:type="even" r:id="rId10"/>
          <w:footerReference w:type="default" r:id="rId11"/>
          <w:footerReference w:type="first" r:id="rId12"/>
          <w:pgSz w:w="23808" w:h="16840" w:orient="landscape"/>
          <w:pgMar w:top="1418" w:right="1701" w:bottom="1418" w:left="1701" w:header="567" w:footer="720" w:gutter="0"/>
          <w:pgNumType w:start="1"/>
          <w:cols w:num="2" w:space="550"/>
          <w:titlePg/>
          <w:docGrid w:linePitch="299"/>
        </w:sectPr>
      </w:pPr>
    </w:p>
    <w:p w14:paraId="76822F73" w14:textId="77777777" w:rsidR="004177BC" w:rsidRDefault="00000000">
      <w:pPr>
        <w:spacing w:line="736" w:lineRule="exact"/>
        <w:ind w:right="121"/>
        <w:jc w:val="center"/>
        <w:rPr>
          <w:rFonts w:ascii="方正小标宋_GBK" w:eastAsia="方正小标宋_GBK" w:hint="default"/>
          <w:sz w:val="44"/>
        </w:rPr>
      </w:pPr>
      <w:r>
        <w:rPr>
          <w:rFonts w:ascii="方正小标宋_GBK" w:eastAsia="方正小标宋_GBK"/>
          <w:sz w:val="44"/>
        </w:rPr>
        <w:t>沐川县中心城区老城详规单元511129-001-005街区详细规划</w:t>
      </w:r>
    </w:p>
    <w:p w14:paraId="7B6337AC" w14:textId="77777777" w:rsidR="004177BC" w:rsidRDefault="004177BC">
      <w:pPr>
        <w:pStyle w:val="a6"/>
        <w:spacing w:before="9"/>
        <w:ind w:left="0"/>
        <w:rPr>
          <w:rFonts w:ascii="方正小标宋_GBK" w:hint="default"/>
          <w:sz w:val="61"/>
        </w:rPr>
      </w:pPr>
    </w:p>
    <w:p w14:paraId="285BCD14" w14:textId="77777777" w:rsidR="004177BC" w:rsidRDefault="00000000">
      <w:pPr>
        <w:tabs>
          <w:tab w:val="left" w:pos="880"/>
        </w:tabs>
        <w:spacing w:before="1"/>
        <w:ind w:right="121"/>
        <w:jc w:val="center"/>
        <w:rPr>
          <w:rFonts w:ascii="方正小标宋_GBK" w:eastAsia="方正小标宋_GBK" w:hint="default"/>
          <w:sz w:val="44"/>
        </w:rPr>
      </w:pPr>
      <w:r>
        <w:rPr>
          <w:rFonts w:ascii="方正小标宋_GBK" w:eastAsia="方正小标宋_GBK"/>
          <w:sz w:val="44"/>
        </w:rPr>
        <w:t>文</w:t>
      </w:r>
      <w:r>
        <w:rPr>
          <w:rFonts w:ascii="方正小标宋_GBK" w:eastAsia="方正小标宋_GBK"/>
          <w:sz w:val="44"/>
        </w:rPr>
        <w:tab/>
        <w:t>本</w:t>
      </w:r>
    </w:p>
    <w:p w14:paraId="64D73B06" w14:textId="77777777" w:rsidR="004177BC" w:rsidRDefault="004177BC">
      <w:pPr>
        <w:pStyle w:val="a6"/>
        <w:ind w:left="0"/>
        <w:rPr>
          <w:rFonts w:ascii="方正小标宋_GBK" w:hint="default"/>
          <w:sz w:val="50"/>
        </w:rPr>
      </w:pPr>
    </w:p>
    <w:p w14:paraId="30004F50" w14:textId="77777777" w:rsidR="004177BC" w:rsidRDefault="004177BC">
      <w:pPr>
        <w:pStyle w:val="a6"/>
        <w:ind w:left="0"/>
        <w:rPr>
          <w:rFonts w:ascii="方正小标宋_GBK" w:hint="default"/>
          <w:sz w:val="50"/>
        </w:rPr>
      </w:pPr>
    </w:p>
    <w:p w14:paraId="16EF8CC0" w14:textId="77777777" w:rsidR="004177BC" w:rsidRDefault="004177BC">
      <w:pPr>
        <w:pStyle w:val="a6"/>
        <w:ind w:left="0"/>
        <w:rPr>
          <w:rFonts w:ascii="方正小标宋_GBK" w:hint="default"/>
          <w:sz w:val="50"/>
        </w:rPr>
      </w:pPr>
    </w:p>
    <w:p w14:paraId="7EF76FAC" w14:textId="77777777" w:rsidR="004177BC" w:rsidRDefault="004177BC">
      <w:pPr>
        <w:pStyle w:val="a6"/>
        <w:ind w:left="0"/>
        <w:rPr>
          <w:rFonts w:ascii="方正小标宋_GBK" w:hint="default"/>
          <w:sz w:val="50"/>
        </w:rPr>
      </w:pPr>
    </w:p>
    <w:p w14:paraId="75841616" w14:textId="77777777" w:rsidR="004177BC" w:rsidRDefault="004177BC">
      <w:pPr>
        <w:pStyle w:val="a6"/>
        <w:ind w:left="0"/>
        <w:rPr>
          <w:rFonts w:ascii="方正小标宋_GBK" w:hint="default"/>
          <w:sz w:val="50"/>
        </w:rPr>
      </w:pPr>
    </w:p>
    <w:p w14:paraId="67504CE4" w14:textId="77777777" w:rsidR="004177BC" w:rsidRDefault="004177BC">
      <w:pPr>
        <w:pStyle w:val="a6"/>
        <w:ind w:left="0"/>
        <w:rPr>
          <w:rFonts w:ascii="方正小标宋_GBK" w:hint="default"/>
          <w:sz w:val="50"/>
        </w:rPr>
      </w:pPr>
    </w:p>
    <w:p w14:paraId="0EA2AD42" w14:textId="77777777" w:rsidR="004177BC" w:rsidRDefault="004177BC">
      <w:pPr>
        <w:pStyle w:val="a6"/>
        <w:ind w:left="0"/>
        <w:rPr>
          <w:rFonts w:ascii="方正小标宋_GBK" w:hint="default"/>
          <w:sz w:val="50"/>
        </w:rPr>
      </w:pPr>
    </w:p>
    <w:p w14:paraId="11DD7C12" w14:textId="77777777" w:rsidR="004177BC" w:rsidRDefault="004177BC">
      <w:pPr>
        <w:pStyle w:val="a6"/>
        <w:ind w:left="0"/>
        <w:rPr>
          <w:rFonts w:ascii="方正小标宋_GBK" w:hint="default"/>
          <w:sz w:val="50"/>
        </w:rPr>
      </w:pPr>
    </w:p>
    <w:p w14:paraId="78ED6FC4" w14:textId="77777777" w:rsidR="004177BC" w:rsidRDefault="004177BC">
      <w:pPr>
        <w:pStyle w:val="a6"/>
        <w:ind w:left="0" w:right="118"/>
        <w:jc w:val="center"/>
        <w:rPr>
          <w:rFonts w:ascii="楷体" w:eastAsia="楷体" w:hint="default"/>
        </w:rPr>
      </w:pPr>
    </w:p>
    <w:p w14:paraId="47E59901" w14:textId="77777777" w:rsidR="004177BC" w:rsidRDefault="00000000">
      <w:pPr>
        <w:pStyle w:val="a6"/>
        <w:spacing w:line="360" w:lineRule="auto"/>
        <w:ind w:left="0" w:right="118"/>
        <w:jc w:val="center"/>
        <w:rPr>
          <w:rFonts w:ascii="楷体" w:eastAsia="楷体" w:hint="default"/>
        </w:rPr>
      </w:pPr>
      <w:r>
        <w:rPr>
          <w:rFonts w:ascii="楷体" w:eastAsia="楷体"/>
        </w:rPr>
        <w:t>沐川县人民政府</w:t>
      </w:r>
    </w:p>
    <w:p w14:paraId="4E2B9D4B" w14:textId="77777777" w:rsidR="004177BC" w:rsidRDefault="00000000">
      <w:pPr>
        <w:pStyle w:val="a6"/>
        <w:spacing w:line="360" w:lineRule="auto"/>
        <w:ind w:left="0" w:right="118"/>
        <w:jc w:val="center"/>
        <w:rPr>
          <w:rFonts w:ascii="楷体" w:eastAsia="楷体" w:hint="default"/>
        </w:rPr>
      </w:pPr>
      <w:r>
        <w:rPr>
          <w:rFonts w:ascii="楷体" w:eastAsia="楷体"/>
        </w:rPr>
        <w:t>四川锦都规划设计有限公司</w:t>
      </w:r>
    </w:p>
    <w:p w14:paraId="7A3E2F98" w14:textId="77777777" w:rsidR="004177BC" w:rsidRDefault="00000000">
      <w:pPr>
        <w:pStyle w:val="a6"/>
        <w:spacing w:line="360" w:lineRule="auto"/>
        <w:ind w:left="0" w:right="118"/>
        <w:jc w:val="center"/>
        <w:rPr>
          <w:rFonts w:ascii="楷体" w:eastAsia="楷体" w:hint="default"/>
        </w:rPr>
      </w:pPr>
      <w:r>
        <w:rPr>
          <w:rFonts w:ascii="楷体" w:eastAsia="楷体"/>
        </w:rPr>
        <w:t>2026 年 9 月</w:t>
      </w:r>
    </w:p>
    <w:p w14:paraId="3EB4C2E5" w14:textId="77777777" w:rsidR="004177BC" w:rsidRDefault="004177BC">
      <w:pPr>
        <w:pStyle w:val="a6"/>
        <w:kinsoku w:val="0"/>
        <w:overflowPunct w:val="0"/>
        <w:spacing w:before="138" w:line="360" w:lineRule="auto"/>
        <w:ind w:left="352" w:right="610"/>
        <w:jc w:val="center"/>
        <w:rPr>
          <w:rFonts w:ascii="黑体" w:eastAsia="黑体" w:hAnsi="黑体" w:cs="仿宋"/>
          <w:b/>
          <w:sz w:val="52"/>
          <w:szCs w:val="52"/>
        </w:rPr>
        <w:sectPr w:rsidR="004177BC">
          <w:type w:val="continuous"/>
          <w:pgSz w:w="23808" w:h="16840" w:orient="landscape"/>
          <w:pgMar w:top="1418" w:right="1701" w:bottom="1418" w:left="1701" w:header="567" w:footer="720" w:gutter="0"/>
          <w:pgNumType w:start="1"/>
          <w:cols w:space="425"/>
          <w:titlePg/>
          <w:docGrid w:linePitch="299"/>
        </w:sectPr>
      </w:pPr>
    </w:p>
    <w:p w14:paraId="37A59B97" w14:textId="77777777" w:rsidR="004177BC" w:rsidRDefault="00000000">
      <w:pPr>
        <w:pStyle w:val="a6"/>
        <w:kinsoku w:val="0"/>
        <w:overflowPunct w:val="0"/>
        <w:spacing w:before="138" w:line="360" w:lineRule="auto"/>
        <w:ind w:left="352" w:right="610"/>
        <w:jc w:val="center"/>
        <w:rPr>
          <w:rFonts w:ascii="黑体" w:eastAsia="黑体" w:hAnsi="黑体" w:cs="仿宋"/>
          <w:b/>
          <w:sz w:val="36"/>
          <w:szCs w:val="36"/>
        </w:rPr>
      </w:pPr>
      <w:r>
        <w:rPr>
          <w:rFonts w:ascii="黑体" w:eastAsia="黑体" w:hAnsi="黑体" w:cs="仿宋"/>
          <w:b/>
          <w:sz w:val="36"/>
          <w:szCs w:val="36"/>
        </w:rPr>
        <w:lastRenderedPageBreak/>
        <w:t>目 录</w:t>
      </w:r>
    </w:p>
    <w:p w14:paraId="674EC5DF" w14:textId="77777777" w:rsidR="004177BC" w:rsidRDefault="00000000">
      <w:pPr>
        <w:pStyle w:val="TOC1"/>
      </w:pPr>
      <w:r>
        <w:rPr>
          <w:rFonts w:ascii="黑体" w:hAnsi="黑体" w:cs="仿宋" w:hint="default"/>
          <w:sz w:val="36"/>
          <w:szCs w:val="36"/>
        </w:rPr>
        <w:fldChar w:fldCharType="begin"/>
      </w:r>
      <w:r>
        <w:rPr>
          <w:rFonts w:ascii="黑体" w:hAnsi="黑体" w:cs="仿宋"/>
          <w:sz w:val="36"/>
          <w:szCs w:val="36"/>
        </w:rPr>
        <w:instrText xml:space="preserve"> TOC </w:instrText>
      </w:r>
      <w:r>
        <w:rPr>
          <w:rFonts w:ascii="黑体" w:hAnsi="黑体" w:cs="仿宋" w:hint="default"/>
          <w:sz w:val="36"/>
          <w:szCs w:val="36"/>
        </w:rPr>
        <w:instrText>\</w:instrText>
      </w:r>
      <w:r>
        <w:rPr>
          <w:rFonts w:ascii="黑体" w:hAnsi="黑体" w:cs="仿宋"/>
          <w:sz w:val="36"/>
          <w:szCs w:val="36"/>
        </w:rPr>
        <w:instrText xml:space="preserve">o "1-1" </w:instrText>
      </w:r>
      <w:r>
        <w:rPr>
          <w:rFonts w:ascii="黑体" w:hAnsi="黑体" w:cs="仿宋" w:hint="default"/>
          <w:sz w:val="36"/>
          <w:szCs w:val="36"/>
        </w:rPr>
        <w:instrText>\</w:instrText>
      </w:r>
      <w:r>
        <w:rPr>
          <w:rFonts w:ascii="黑体" w:hAnsi="黑体" w:cs="仿宋"/>
          <w:sz w:val="36"/>
          <w:szCs w:val="36"/>
        </w:rPr>
        <w:instrText xml:space="preserve">h </w:instrText>
      </w:r>
      <w:r>
        <w:rPr>
          <w:rFonts w:ascii="黑体" w:hAnsi="黑体" w:cs="仿宋" w:hint="default"/>
          <w:sz w:val="36"/>
          <w:szCs w:val="36"/>
        </w:rPr>
        <w:instrText>\</w:instrText>
      </w:r>
      <w:r>
        <w:rPr>
          <w:rFonts w:ascii="黑体" w:hAnsi="黑体" w:cs="仿宋"/>
          <w:sz w:val="36"/>
          <w:szCs w:val="36"/>
        </w:rPr>
        <w:instrText xml:space="preserve">z </w:instrText>
      </w:r>
      <w:r>
        <w:rPr>
          <w:rFonts w:ascii="黑体" w:hAnsi="黑体" w:cs="仿宋" w:hint="default"/>
          <w:sz w:val="36"/>
          <w:szCs w:val="36"/>
        </w:rPr>
        <w:instrText>\</w:instrText>
      </w:r>
      <w:r>
        <w:rPr>
          <w:rFonts w:ascii="黑体" w:hAnsi="黑体" w:cs="仿宋"/>
          <w:sz w:val="36"/>
          <w:szCs w:val="36"/>
        </w:rPr>
        <w:instrText xml:space="preserve">u </w:instrText>
      </w:r>
      <w:r>
        <w:rPr>
          <w:rFonts w:ascii="黑体" w:hAnsi="黑体" w:cs="仿宋" w:hint="default"/>
          <w:sz w:val="36"/>
          <w:szCs w:val="36"/>
        </w:rPr>
        <w:fldChar w:fldCharType="separate"/>
      </w:r>
      <w:hyperlink w:anchor="_Toc11395" w:history="1">
        <w:r>
          <w:t>第一章</w:t>
        </w:r>
        <w:r>
          <w:t xml:space="preserve"> </w:t>
        </w:r>
        <w:r>
          <w:t>规划总则</w:t>
        </w:r>
        <w:r>
          <w:tab/>
        </w:r>
        <w:r>
          <w:fldChar w:fldCharType="begin"/>
        </w:r>
        <w:r>
          <w:instrText xml:space="preserve"> PAGEREF _Toc11395 \h </w:instrText>
        </w:r>
        <w:r>
          <w:fldChar w:fldCharType="separate"/>
        </w:r>
        <w:r>
          <w:t>2</w:t>
        </w:r>
        <w:r>
          <w:fldChar w:fldCharType="end"/>
        </w:r>
      </w:hyperlink>
    </w:p>
    <w:p w14:paraId="5409E9EE" w14:textId="77777777" w:rsidR="004177BC" w:rsidRDefault="00000000">
      <w:pPr>
        <w:pStyle w:val="TOC1"/>
      </w:pPr>
      <w:hyperlink w:anchor="_Toc3724" w:history="1">
        <w:r>
          <w:t>第二章</w:t>
        </w:r>
        <w:r>
          <w:t xml:space="preserve"> </w:t>
        </w:r>
        <w:r>
          <w:t>定位与规模</w:t>
        </w:r>
        <w:r>
          <w:tab/>
        </w:r>
        <w:r>
          <w:fldChar w:fldCharType="begin"/>
        </w:r>
        <w:r>
          <w:instrText xml:space="preserve"> PAGEREF _Toc3724 \h </w:instrText>
        </w:r>
        <w:r>
          <w:fldChar w:fldCharType="separate"/>
        </w:r>
        <w:r>
          <w:t>3</w:t>
        </w:r>
        <w:r>
          <w:fldChar w:fldCharType="end"/>
        </w:r>
      </w:hyperlink>
    </w:p>
    <w:p w14:paraId="1B603B36" w14:textId="77777777" w:rsidR="004177BC" w:rsidRDefault="00000000">
      <w:pPr>
        <w:pStyle w:val="TOC1"/>
      </w:pPr>
      <w:hyperlink w:anchor="_Toc15770" w:history="1">
        <w:r>
          <w:t>第三章</w:t>
        </w:r>
        <w:r>
          <w:t xml:space="preserve"> </w:t>
        </w:r>
        <w:r>
          <w:t>空间结构</w:t>
        </w:r>
        <w:r>
          <w:tab/>
        </w:r>
        <w:r>
          <w:fldChar w:fldCharType="begin"/>
        </w:r>
        <w:r>
          <w:instrText xml:space="preserve"> PAGEREF _Toc15770 \h </w:instrText>
        </w:r>
        <w:r>
          <w:fldChar w:fldCharType="separate"/>
        </w:r>
        <w:r>
          <w:t>3</w:t>
        </w:r>
        <w:r>
          <w:fldChar w:fldCharType="end"/>
        </w:r>
      </w:hyperlink>
    </w:p>
    <w:p w14:paraId="55CC41BC" w14:textId="77777777" w:rsidR="004177BC" w:rsidRDefault="00000000">
      <w:pPr>
        <w:pStyle w:val="TOC1"/>
      </w:pPr>
      <w:hyperlink w:anchor="_Toc16740" w:history="1">
        <w:r>
          <w:t>第四章</w:t>
        </w:r>
        <w:r>
          <w:t xml:space="preserve"> </w:t>
        </w:r>
        <w:r>
          <w:t>用地布局规划</w:t>
        </w:r>
        <w:r>
          <w:tab/>
        </w:r>
        <w:r>
          <w:fldChar w:fldCharType="begin"/>
        </w:r>
        <w:r>
          <w:instrText xml:space="preserve"> PAGEREF _Toc16740 \h </w:instrText>
        </w:r>
        <w:r>
          <w:fldChar w:fldCharType="separate"/>
        </w:r>
        <w:r>
          <w:t>3</w:t>
        </w:r>
        <w:r>
          <w:fldChar w:fldCharType="end"/>
        </w:r>
      </w:hyperlink>
    </w:p>
    <w:p w14:paraId="1802AF34" w14:textId="77777777" w:rsidR="004177BC" w:rsidRDefault="00000000">
      <w:pPr>
        <w:pStyle w:val="TOC1"/>
      </w:pPr>
      <w:hyperlink w:anchor="_Toc4570" w:history="1">
        <w:r>
          <w:t>第五章</w:t>
        </w:r>
        <w:r>
          <w:t xml:space="preserve"> </w:t>
        </w:r>
        <w:r>
          <w:t>绿地和开敞空间规划</w:t>
        </w:r>
        <w:r>
          <w:tab/>
        </w:r>
        <w:r>
          <w:fldChar w:fldCharType="begin"/>
        </w:r>
        <w:r>
          <w:instrText xml:space="preserve"> PAGEREF _Toc4570 \h </w:instrText>
        </w:r>
        <w:r>
          <w:fldChar w:fldCharType="separate"/>
        </w:r>
        <w:r>
          <w:t>4</w:t>
        </w:r>
        <w:r>
          <w:fldChar w:fldCharType="end"/>
        </w:r>
      </w:hyperlink>
    </w:p>
    <w:p w14:paraId="3A081291" w14:textId="77777777" w:rsidR="004177BC" w:rsidRDefault="00000000">
      <w:pPr>
        <w:pStyle w:val="TOC1"/>
      </w:pPr>
      <w:hyperlink w:anchor="_Toc8427" w:history="1">
        <w:r>
          <w:t>第六章</w:t>
        </w:r>
        <w:r>
          <w:t xml:space="preserve"> </w:t>
        </w:r>
        <w:r>
          <w:t>公共管理与公共服务设施规划</w:t>
        </w:r>
        <w:r>
          <w:tab/>
        </w:r>
        <w:r>
          <w:fldChar w:fldCharType="begin"/>
        </w:r>
        <w:r>
          <w:instrText xml:space="preserve"> PAGEREF _Toc8427 \h </w:instrText>
        </w:r>
        <w:r>
          <w:fldChar w:fldCharType="separate"/>
        </w:r>
        <w:r>
          <w:t>4</w:t>
        </w:r>
        <w:r>
          <w:fldChar w:fldCharType="end"/>
        </w:r>
      </w:hyperlink>
    </w:p>
    <w:p w14:paraId="62BD12C0" w14:textId="77777777" w:rsidR="004177BC" w:rsidRDefault="00000000">
      <w:pPr>
        <w:pStyle w:val="TOC1"/>
      </w:pPr>
      <w:hyperlink w:anchor="_Toc30350" w:history="1">
        <w:r>
          <w:t>第七章</w:t>
        </w:r>
        <w:r>
          <w:t xml:space="preserve"> </w:t>
        </w:r>
        <w:r>
          <w:t>道路交通工程规划</w:t>
        </w:r>
        <w:r>
          <w:tab/>
        </w:r>
        <w:r>
          <w:fldChar w:fldCharType="begin"/>
        </w:r>
        <w:r>
          <w:instrText xml:space="preserve"> PAGEREF _Toc30350 \h </w:instrText>
        </w:r>
        <w:r>
          <w:fldChar w:fldCharType="separate"/>
        </w:r>
        <w:r>
          <w:t>4</w:t>
        </w:r>
        <w:r>
          <w:fldChar w:fldCharType="end"/>
        </w:r>
      </w:hyperlink>
    </w:p>
    <w:p w14:paraId="0A8533EF" w14:textId="77777777" w:rsidR="004177BC" w:rsidRDefault="00000000">
      <w:pPr>
        <w:pStyle w:val="TOC1"/>
      </w:pPr>
      <w:hyperlink w:anchor="_Toc8339" w:history="1">
        <w:r>
          <w:t>第八章</w:t>
        </w:r>
        <w:r>
          <w:t xml:space="preserve"> </w:t>
        </w:r>
        <w:r>
          <w:t>市政工程规划</w:t>
        </w:r>
        <w:r>
          <w:tab/>
        </w:r>
        <w:r>
          <w:fldChar w:fldCharType="begin"/>
        </w:r>
        <w:r>
          <w:instrText xml:space="preserve"> PAGEREF _Toc8339 \h </w:instrText>
        </w:r>
        <w:r>
          <w:fldChar w:fldCharType="separate"/>
        </w:r>
        <w:r>
          <w:t>5</w:t>
        </w:r>
        <w:r>
          <w:fldChar w:fldCharType="end"/>
        </w:r>
      </w:hyperlink>
    </w:p>
    <w:p w14:paraId="332605AE" w14:textId="77777777" w:rsidR="004177BC" w:rsidRDefault="00000000">
      <w:pPr>
        <w:pStyle w:val="TOC1"/>
      </w:pPr>
      <w:hyperlink w:anchor="_Toc18281" w:history="1">
        <w:r>
          <w:t>第九章</w:t>
        </w:r>
        <w:r>
          <w:t xml:space="preserve"> </w:t>
        </w:r>
        <w:r>
          <w:t>历史文化保护规划</w:t>
        </w:r>
        <w:r>
          <w:tab/>
        </w:r>
        <w:r>
          <w:fldChar w:fldCharType="begin"/>
        </w:r>
        <w:r>
          <w:instrText xml:space="preserve"> PAGEREF _Toc18281 \h </w:instrText>
        </w:r>
        <w:r>
          <w:fldChar w:fldCharType="separate"/>
        </w:r>
        <w:r>
          <w:t>6</w:t>
        </w:r>
        <w:r>
          <w:fldChar w:fldCharType="end"/>
        </w:r>
      </w:hyperlink>
    </w:p>
    <w:p w14:paraId="54B4C458" w14:textId="77777777" w:rsidR="004177BC" w:rsidRDefault="00000000">
      <w:pPr>
        <w:pStyle w:val="TOC1"/>
      </w:pPr>
      <w:hyperlink w:anchor="_Toc13091" w:history="1">
        <w:r>
          <w:t>第十章</w:t>
        </w:r>
        <w:r>
          <w:t xml:space="preserve"> </w:t>
        </w:r>
        <w:r>
          <w:t>综合防灾规划</w:t>
        </w:r>
        <w:r>
          <w:tab/>
        </w:r>
        <w:r>
          <w:fldChar w:fldCharType="begin"/>
        </w:r>
        <w:r>
          <w:instrText xml:space="preserve"> PAGEREF _Toc13091 \h </w:instrText>
        </w:r>
        <w:r>
          <w:fldChar w:fldCharType="separate"/>
        </w:r>
        <w:r>
          <w:t>6</w:t>
        </w:r>
        <w:r>
          <w:fldChar w:fldCharType="end"/>
        </w:r>
      </w:hyperlink>
    </w:p>
    <w:p w14:paraId="35DD3F88" w14:textId="77777777" w:rsidR="004177BC" w:rsidRDefault="00000000">
      <w:pPr>
        <w:pStyle w:val="TOC1"/>
      </w:pPr>
      <w:hyperlink w:anchor="_Toc8821" w:history="1">
        <w:r>
          <w:t>第十一章</w:t>
        </w:r>
        <w:r>
          <w:t xml:space="preserve"> </w:t>
        </w:r>
        <w:r>
          <w:t>城市设计引导</w:t>
        </w:r>
        <w:r>
          <w:tab/>
        </w:r>
        <w:r>
          <w:fldChar w:fldCharType="begin"/>
        </w:r>
        <w:r>
          <w:instrText xml:space="preserve"> PAGEREF _Toc8821 \h </w:instrText>
        </w:r>
        <w:r>
          <w:fldChar w:fldCharType="separate"/>
        </w:r>
        <w:r>
          <w:t>7</w:t>
        </w:r>
        <w:r>
          <w:fldChar w:fldCharType="end"/>
        </w:r>
      </w:hyperlink>
    </w:p>
    <w:p w14:paraId="03DB1CE7" w14:textId="77777777" w:rsidR="004177BC" w:rsidRDefault="00000000">
      <w:pPr>
        <w:pStyle w:val="TOC1"/>
      </w:pPr>
      <w:hyperlink w:anchor="_Toc881" w:history="1">
        <w:r>
          <w:t>第十二章</w:t>
        </w:r>
        <w:r>
          <w:t xml:space="preserve"> </w:t>
        </w:r>
        <w:r>
          <w:t>地下空间规划</w:t>
        </w:r>
        <w:r>
          <w:tab/>
        </w:r>
        <w:r>
          <w:fldChar w:fldCharType="begin"/>
        </w:r>
        <w:r>
          <w:instrText xml:space="preserve"> PAGEREF _Toc881 \h </w:instrText>
        </w:r>
        <w:r>
          <w:fldChar w:fldCharType="separate"/>
        </w:r>
        <w:r>
          <w:t>7</w:t>
        </w:r>
        <w:r>
          <w:fldChar w:fldCharType="end"/>
        </w:r>
      </w:hyperlink>
    </w:p>
    <w:p w14:paraId="07F06AE4" w14:textId="77777777" w:rsidR="004177BC" w:rsidRDefault="00000000">
      <w:pPr>
        <w:pStyle w:val="TOC1"/>
      </w:pPr>
      <w:hyperlink w:anchor="_Toc16467" w:history="1">
        <w:r>
          <w:t>第十三章</w:t>
        </w:r>
        <w:r>
          <w:t xml:space="preserve"> </w:t>
        </w:r>
        <w:r>
          <w:t>控制线划定</w:t>
        </w:r>
        <w:r>
          <w:tab/>
        </w:r>
        <w:r>
          <w:fldChar w:fldCharType="begin"/>
        </w:r>
        <w:r>
          <w:instrText xml:space="preserve"> PAGEREF _Toc16467 \h </w:instrText>
        </w:r>
        <w:r>
          <w:fldChar w:fldCharType="separate"/>
        </w:r>
        <w:r>
          <w:t>8</w:t>
        </w:r>
        <w:r>
          <w:fldChar w:fldCharType="end"/>
        </w:r>
      </w:hyperlink>
    </w:p>
    <w:p w14:paraId="2D415D4F" w14:textId="77777777" w:rsidR="004177BC" w:rsidRDefault="00000000">
      <w:pPr>
        <w:pStyle w:val="TOC1"/>
      </w:pPr>
      <w:hyperlink w:anchor="_Toc25629" w:history="1">
        <w:r>
          <w:t>第十六章</w:t>
        </w:r>
        <w:r>
          <w:t xml:space="preserve"> </w:t>
        </w:r>
        <w:r>
          <w:t>土地利用控制规划</w:t>
        </w:r>
        <w:r>
          <w:tab/>
        </w:r>
        <w:r>
          <w:fldChar w:fldCharType="begin"/>
        </w:r>
        <w:r>
          <w:instrText xml:space="preserve"> PAGEREF _Toc25629 \h </w:instrText>
        </w:r>
        <w:r>
          <w:fldChar w:fldCharType="separate"/>
        </w:r>
        <w:r>
          <w:t>8</w:t>
        </w:r>
        <w:r>
          <w:fldChar w:fldCharType="end"/>
        </w:r>
      </w:hyperlink>
    </w:p>
    <w:p w14:paraId="3FA5672E" w14:textId="77777777" w:rsidR="004177BC" w:rsidRDefault="00000000">
      <w:pPr>
        <w:pStyle w:val="TOC1"/>
      </w:pPr>
      <w:hyperlink w:anchor="_Toc15265" w:history="1">
        <w:r>
          <w:t>第十七章</w:t>
        </w:r>
        <w:r>
          <w:t xml:space="preserve"> </w:t>
        </w:r>
        <w:r>
          <w:t>附则</w:t>
        </w:r>
        <w:r>
          <w:tab/>
        </w:r>
        <w:r>
          <w:fldChar w:fldCharType="begin"/>
        </w:r>
        <w:r>
          <w:instrText xml:space="preserve"> PAGEREF _Toc15265 \h </w:instrText>
        </w:r>
        <w:r>
          <w:fldChar w:fldCharType="separate"/>
        </w:r>
        <w:r>
          <w:t>9</w:t>
        </w:r>
        <w:r>
          <w:fldChar w:fldCharType="end"/>
        </w:r>
      </w:hyperlink>
    </w:p>
    <w:p w14:paraId="4774347D" w14:textId="77777777" w:rsidR="004177BC" w:rsidRDefault="00000000">
      <w:pPr>
        <w:pStyle w:val="a6"/>
        <w:kinsoku w:val="0"/>
        <w:overflowPunct w:val="0"/>
        <w:spacing w:line="360" w:lineRule="auto"/>
        <w:ind w:left="352" w:right="610"/>
        <w:rPr>
          <w:rFonts w:hint="default"/>
          <w:sz w:val="28"/>
          <w:szCs w:val="28"/>
        </w:rPr>
        <w:sectPr w:rsidR="004177BC">
          <w:footerReference w:type="default" r:id="rId13"/>
          <w:footerReference w:type="first" r:id="rId14"/>
          <w:pgSz w:w="23808" w:h="16840" w:orient="landscape"/>
          <w:pgMar w:top="1418" w:right="1701" w:bottom="1418" w:left="1701" w:header="567" w:footer="720" w:gutter="0"/>
          <w:pgNumType w:start="1"/>
          <w:cols w:space="425"/>
          <w:titlePg/>
          <w:docGrid w:linePitch="299"/>
        </w:sectPr>
      </w:pPr>
      <w:r>
        <w:rPr>
          <w:rFonts w:ascii="黑体" w:eastAsia="黑体" w:hAnsi="黑体" w:cs="Times New Roman" w:hint="default"/>
          <w:kern w:val="2"/>
          <w:szCs w:val="36"/>
        </w:rPr>
        <w:fldChar w:fldCharType="end"/>
      </w:r>
    </w:p>
    <w:p w14:paraId="500E8503" w14:textId="77777777" w:rsidR="004177BC" w:rsidRDefault="00000000">
      <w:pPr>
        <w:pStyle w:val="1"/>
        <w:spacing w:after="120"/>
        <w:rPr>
          <w:color w:val="auto"/>
        </w:rPr>
      </w:pPr>
      <w:bookmarkStart w:id="0" w:name="_bookmark0"/>
      <w:bookmarkStart w:id="1" w:name="_Toc11395"/>
      <w:bookmarkEnd w:id="0"/>
      <w:r>
        <w:rPr>
          <w:color w:val="auto"/>
        </w:rPr>
        <w:lastRenderedPageBreak/>
        <w:t>第一章 规划总则</w:t>
      </w:r>
      <w:bookmarkEnd w:id="1"/>
    </w:p>
    <w:p w14:paraId="5811A99E" w14:textId="77777777" w:rsidR="004177BC" w:rsidRDefault="00000000">
      <w:pPr>
        <w:pStyle w:val="2"/>
        <w:spacing w:line="560" w:lineRule="exact"/>
        <w:ind w:left="0" w:firstLineChars="200" w:firstLine="562"/>
        <w:jc w:val="both"/>
        <w:rPr>
          <w:rFonts w:hint="default"/>
          <w:sz w:val="28"/>
          <w:szCs w:val="28"/>
        </w:rPr>
      </w:pPr>
      <w:r>
        <w:rPr>
          <w:sz w:val="28"/>
          <w:szCs w:val="28"/>
        </w:rPr>
        <w:t>第1条 规划目的</w:t>
      </w:r>
    </w:p>
    <w:p w14:paraId="38A4F0F5" w14:textId="77777777" w:rsidR="004177BC" w:rsidRDefault="00000000">
      <w:pPr>
        <w:pStyle w:val="a6"/>
        <w:spacing w:line="560" w:lineRule="exact"/>
        <w:ind w:left="0" w:firstLineChars="200" w:firstLine="552"/>
        <w:jc w:val="both"/>
        <w:rPr>
          <w:rFonts w:hint="default"/>
          <w:spacing w:val="-4"/>
          <w:sz w:val="28"/>
          <w:szCs w:val="28"/>
        </w:rPr>
      </w:pPr>
      <w:r>
        <w:rPr>
          <w:spacing w:val="-4"/>
          <w:sz w:val="28"/>
          <w:szCs w:val="28"/>
        </w:rPr>
        <w:t>沐川县老城片区由于当前城市化进程的加快以及旧城历史现状等诸多因素，使该片区面临建筑老旧、公共绿地偏低、公共配套不足、道路交通拥堵等问题。为贯彻落实沐川县国土空间总体规划，提升中心片区宜居性和品质，合理引导老城详规单元511129-001-005街区建设，适应规划管理的需要，特编制《沐川县中心城区老城详规单元511129-001-005街区详细规划》（以下简称“本规划”）， 并制定本规划文本。</w:t>
      </w:r>
    </w:p>
    <w:p w14:paraId="2ABCC9B0" w14:textId="77777777" w:rsidR="004177BC" w:rsidRDefault="00000000">
      <w:pPr>
        <w:pStyle w:val="2"/>
        <w:spacing w:line="560" w:lineRule="exact"/>
        <w:ind w:left="0" w:firstLineChars="200" w:firstLine="562"/>
        <w:jc w:val="both"/>
        <w:rPr>
          <w:rFonts w:hint="default"/>
          <w:sz w:val="28"/>
          <w:szCs w:val="28"/>
        </w:rPr>
      </w:pPr>
      <w:r>
        <w:rPr>
          <w:sz w:val="28"/>
          <w:szCs w:val="28"/>
        </w:rPr>
        <w:t>第2条 法律地位</w:t>
      </w:r>
    </w:p>
    <w:p w14:paraId="279220E2" w14:textId="77777777" w:rsidR="004177BC" w:rsidRDefault="00000000">
      <w:pPr>
        <w:pStyle w:val="a6"/>
        <w:spacing w:line="560" w:lineRule="exact"/>
        <w:ind w:left="0" w:firstLineChars="200" w:firstLine="560"/>
        <w:jc w:val="both"/>
        <w:rPr>
          <w:rFonts w:hint="default"/>
          <w:sz w:val="28"/>
          <w:szCs w:val="28"/>
        </w:rPr>
      </w:pPr>
      <w:r>
        <w:rPr>
          <w:rFonts w:hint="default"/>
          <w:sz w:val="28"/>
          <w:szCs w:val="28"/>
        </w:rPr>
        <w:t>本规划经</w:t>
      </w:r>
      <w:r>
        <w:rPr>
          <w:sz w:val="28"/>
          <w:szCs w:val="28"/>
        </w:rPr>
        <w:t>沐川</w:t>
      </w:r>
      <w:r>
        <w:rPr>
          <w:rFonts w:hint="default"/>
          <w:sz w:val="28"/>
          <w:szCs w:val="28"/>
        </w:rPr>
        <w:t>县人民政府批准并组织实施，</w:t>
      </w:r>
      <w:r>
        <w:rPr>
          <w:sz w:val="28"/>
          <w:szCs w:val="28"/>
        </w:rPr>
        <w:t>沐川</w:t>
      </w:r>
      <w:r>
        <w:rPr>
          <w:rFonts w:hint="default"/>
          <w:sz w:val="28"/>
          <w:szCs w:val="28"/>
        </w:rPr>
        <w:t>县规划行政管理部门依法对本规划进行管理，任何单位和个人不得擅自修改。本规划区内从事后续规划设计、土地出让和工程建设等一切规划管理和建设活动，均应执行本规划，同时还应符合国家、省和</w:t>
      </w:r>
      <w:r>
        <w:rPr>
          <w:sz w:val="28"/>
          <w:szCs w:val="28"/>
        </w:rPr>
        <w:t>乐山</w:t>
      </w:r>
      <w:r>
        <w:rPr>
          <w:rFonts w:hint="default"/>
          <w:sz w:val="28"/>
          <w:szCs w:val="28"/>
        </w:rPr>
        <w:t>市其他有关技术标准和规定。</w:t>
      </w:r>
    </w:p>
    <w:p w14:paraId="2C043D91" w14:textId="77777777" w:rsidR="004177BC" w:rsidRDefault="00000000">
      <w:pPr>
        <w:pStyle w:val="2"/>
        <w:spacing w:line="560" w:lineRule="exact"/>
        <w:ind w:left="0" w:firstLineChars="200" w:firstLine="562"/>
        <w:jc w:val="both"/>
        <w:rPr>
          <w:rFonts w:hint="default"/>
          <w:sz w:val="28"/>
          <w:szCs w:val="28"/>
        </w:rPr>
      </w:pPr>
      <w:r>
        <w:rPr>
          <w:sz w:val="28"/>
          <w:szCs w:val="28"/>
        </w:rPr>
        <w:t xml:space="preserve">第3条 适用范围 </w:t>
      </w:r>
    </w:p>
    <w:p w14:paraId="39BAB7BF" w14:textId="77777777" w:rsidR="004177BC" w:rsidRDefault="00000000">
      <w:pPr>
        <w:pStyle w:val="a6"/>
        <w:spacing w:line="560" w:lineRule="exact"/>
        <w:ind w:left="0" w:firstLineChars="200" w:firstLine="560"/>
        <w:jc w:val="both"/>
        <w:rPr>
          <w:rFonts w:hint="default"/>
          <w:sz w:val="28"/>
          <w:szCs w:val="28"/>
        </w:rPr>
      </w:pPr>
      <w:r>
        <w:rPr>
          <w:rFonts w:hint="default"/>
          <w:sz w:val="28"/>
          <w:szCs w:val="28"/>
        </w:rPr>
        <w:t>本规划适用于</w:t>
      </w:r>
      <w:r>
        <w:rPr>
          <w:sz w:val="28"/>
          <w:szCs w:val="28"/>
        </w:rPr>
        <w:t>511129-001-005街区</w:t>
      </w:r>
      <w:r>
        <w:rPr>
          <w:rFonts w:hint="default"/>
          <w:sz w:val="28"/>
          <w:szCs w:val="28"/>
        </w:rPr>
        <w:t>约</w:t>
      </w:r>
      <w:r>
        <w:rPr>
          <w:sz w:val="28"/>
          <w:szCs w:val="28"/>
        </w:rPr>
        <w:t>52.7公顷</w:t>
      </w:r>
      <w:r>
        <w:rPr>
          <w:rFonts w:hint="default"/>
          <w:sz w:val="28"/>
          <w:szCs w:val="28"/>
        </w:rPr>
        <w:t>规划范围内各地块的规划与建设管理控制，不作施工依据。</w:t>
      </w:r>
    </w:p>
    <w:p w14:paraId="4B27EC95" w14:textId="77777777" w:rsidR="004177BC" w:rsidRDefault="00000000">
      <w:pPr>
        <w:pStyle w:val="2"/>
        <w:spacing w:line="560" w:lineRule="exact"/>
        <w:ind w:left="0" w:firstLineChars="200" w:firstLine="562"/>
        <w:jc w:val="both"/>
        <w:rPr>
          <w:rFonts w:hint="default"/>
          <w:sz w:val="28"/>
          <w:szCs w:val="28"/>
        </w:rPr>
      </w:pPr>
      <w:r>
        <w:rPr>
          <w:sz w:val="28"/>
          <w:szCs w:val="28"/>
        </w:rPr>
        <w:t>第4条</w:t>
      </w:r>
      <w:r>
        <w:rPr>
          <w:sz w:val="28"/>
          <w:szCs w:val="28"/>
        </w:rPr>
        <w:tab/>
      </w:r>
      <w:bookmarkStart w:id="2" w:name="第4条规划层面"/>
      <w:bookmarkEnd w:id="2"/>
      <w:r>
        <w:rPr>
          <w:sz w:val="28"/>
          <w:szCs w:val="28"/>
        </w:rPr>
        <w:t>规划层面</w:t>
      </w:r>
    </w:p>
    <w:p w14:paraId="55ABF3EF" w14:textId="77777777" w:rsidR="004177BC" w:rsidRDefault="00000000">
      <w:pPr>
        <w:pStyle w:val="a6"/>
        <w:spacing w:line="560" w:lineRule="exact"/>
        <w:ind w:left="0" w:firstLineChars="200" w:firstLine="560"/>
        <w:jc w:val="both"/>
        <w:rPr>
          <w:rFonts w:hint="default"/>
          <w:sz w:val="28"/>
          <w:szCs w:val="28"/>
        </w:rPr>
      </w:pPr>
      <w:r>
        <w:rPr>
          <w:sz w:val="28"/>
          <w:szCs w:val="28"/>
        </w:rPr>
        <w:t>本规划为实施层面详细规划。</w:t>
      </w:r>
    </w:p>
    <w:p w14:paraId="40B9EF91" w14:textId="77777777" w:rsidR="004177BC" w:rsidRDefault="00000000">
      <w:pPr>
        <w:pStyle w:val="2"/>
        <w:spacing w:line="560" w:lineRule="exact"/>
        <w:ind w:left="0" w:firstLineChars="200" w:firstLine="562"/>
        <w:jc w:val="both"/>
        <w:rPr>
          <w:rFonts w:hint="default"/>
          <w:sz w:val="28"/>
          <w:szCs w:val="28"/>
        </w:rPr>
      </w:pPr>
      <w:r>
        <w:rPr>
          <w:sz w:val="28"/>
          <w:szCs w:val="28"/>
        </w:rPr>
        <w:t>第5条 规划依据</w:t>
      </w:r>
    </w:p>
    <w:p w14:paraId="38285C0D" w14:textId="77777777" w:rsidR="004177BC" w:rsidRDefault="00000000">
      <w:pPr>
        <w:pStyle w:val="a6"/>
        <w:spacing w:line="560" w:lineRule="exact"/>
        <w:ind w:left="0" w:firstLineChars="200" w:firstLine="562"/>
        <w:rPr>
          <w:rFonts w:hint="default"/>
          <w:b/>
          <w:sz w:val="28"/>
          <w:szCs w:val="28"/>
        </w:rPr>
      </w:pPr>
      <w:r>
        <w:rPr>
          <w:b/>
          <w:sz w:val="28"/>
          <w:szCs w:val="28"/>
        </w:rPr>
        <w:t>（一）法律法规依据</w:t>
      </w:r>
    </w:p>
    <w:p w14:paraId="7F603869" w14:textId="77777777" w:rsidR="004177BC" w:rsidRDefault="00000000">
      <w:pPr>
        <w:pStyle w:val="a"/>
        <w:numPr>
          <w:ilvl w:val="0"/>
          <w:numId w:val="2"/>
        </w:numPr>
        <w:rPr>
          <w:color w:val="auto"/>
        </w:rPr>
      </w:pPr>
      <w:r>
        <w:rPr>
          <w:color w:val="auto"/>
        </w:rPr>
        <w:t>《中华人民共和国土地管理法》（2019 年修正）</w:t>
      </w:r>
    </w:p>
    <w:p w14:paraId="2960FE3F" w14:textId="77777777" w:rsidR="004177BC" w:rsidRDefault="00000000">
      <w:pPr>
        <w:pStyle w:val="a"/>
        <w:numPr>
          <w:ilvl w:val="0"/>
          <w:numId w:val="2"/>
        </w:numPr>
        <w:rPr>
          <w:color w:val="auto"/>
        </w:rPr>
      </w:pPr>
      <w:r>
        <w:rPr>
          <w:color w:val="auto"/>
        </w:rPr>
        <w:t>《中华人民共和国城乡规划法》(2019年修正)</w:t>
      </w:r>
    </w:p>
    <w:p w14:paraId="09067229" w14:textId="77777777" w:rsidR="004177BC" w:rsidRDefault="00000000">
      <w:pPr>
        <w:pStyle w:val="a"/>
        <w:numPr>
          <w:ilvl w:val="0"/>
          <w:numId w:val="2"/>
        </w:numPr>
        <w:rPr>
          <w:color w:val="auto"/>
        </w:rPr>
      </w:pPr>
      <w:r>
        <w:rPr>
          <w:color w:val="auto"/>
        </w:rPr>
        <w:t>《中华人民共和国环境保护法》(2015年)</w:t>
      </w:r>
    </w:p>
    <w:p w14:paraId="57563602" w14:textId="77777777" w:rsidR="004177BC" w:rsidRDefault="00000000">
      <w:pPr>
        <w:pStyle w:val="a"/>
        <w:numPr>
          <w:ilvl w:val="0"/>
          <w:numId w:val="2"/>
        </w:numPr>
        <w:rPr>
          <w:color w:val="auto"/>
        </w:rPr>
      </w:pPr>
      <w:r>
        <w:rPr>
          <w:color w:val="auto"/>
        </w:rPr>
        <w:t>《中华人民共和国土地管理法》(2021年)</w:t>
      </w:r>
    </w:p>
    <w:p w14:paraId="2162BD86" w14:textId="77777777" w:rsidR="004177BC" w:rsidRDefault="00000000">
      <w:pPr>
        <w:pStyle w:val="a"/>
        <w:numPr>
          <w:ilvl w:val="0"/>
          <w:numId w:val="2"/>
        </w:numPr>
        <w:rPr>
          <w:color w:val="auto"/>
        </w:rPr>
      </w:pPr>
      <w:r>
        <w:rPr>
          <w:color w:val="auto"/>
        </w:rPr>
        <w:t>《中华人民共和国水污染防治法》(2008年修订)</w:t>
      </w:r>
    </w:p>
    <w:p w14:paraId="640D8C81" w14:textId="77777777" w:rsidR="004177BC" w:rsidRDefault="00000000">
      <w:pPr>
        <w:pStyle w:val="a"/>
        <w:numPr>
          <w:ilvl w:val="0"/>
          <w:numId w:val="2"/>
        </w:numPr>
        <w:rPr>
          <w:color w:val="auto"/>
        </w:rPr>
      </w:pPr>
      <w:r>
        <w:rPr>
          <w:color w:val="auto"/>
        </w:rPr>
        <w:t>《城市、镇控制性详细规划编制审批办法》(2011年)</w:t>
      </w:r>
    </w:p>
    <w:p w14:paraId="76D40DFF" w14:textId="77777777" w:rsidR="004177BC" w:rsidRDefault="00000000">
      <w:pPr>
        <w:pStyle w:val="a"/>
        <w:numPr>
          <w:ilvl w:val="0"/>
          <w:numId w:val="2"/>
        </w:numPr>
        <w:rPr>
          <w:color w:val="auto"/>
        </w:rPr>
      </w:pPr>
      <w:r>
        <w:rPr>
          <w:color w:val="auto"/>
        </w:rPr>
        <w:t>《城市规划编制办法实施细则》(2006年)</w:t>
      </w:r>
    </w:p>
    <w:p w14:paraId="4029E75F" w14:textId="77777777" w:rsidR="004177BC" w:rsidRDefault="00000000">
      <w:pPr>
        <w:pStyle w:val="a"/>
        <w:numPr>
          <w:ilvl w:val="0"/>
          <w:numId w:val="2"/>
        </w:numPr>
        <w:rPr>
          <w:color w:val="auto"/>
        </w:rPr>
      </w:pPr>
      <w:r>
        <w:rPr>
          <w:color w:val="auto"/>
        </w:rPr>
        <w:t>《城市蓝线管理办法》(2005年)</w:t>
      </w:r>
    </w:p>
    <w:p w14:paraId="229E0B8B" w14:textId="77777777" w:rsidR="004177BC" w:rsidRDefault="00000000">
      <w:pPr>
        <w:pStyle w:val="a"/>
        <w:numPr>
          <w:ilvl w:val="0"/>
          <w:numId w:val="2"/>
        </w:numPr>
        <w:rPr>
          <w:color w:val="auto"/>
        </w:rPr>
      </w:pPr>
      <w:r>
        <w:rPr>
          <w:color w:val="auto"/>
        </w:rPr>
        <w:t>《城市绿线管理办法》(2002年)</w:t>
      </w:r>
    </w:p>
    <w:p w14:paraId="242D99C8" w14:textId="77777777" w:rsidR="004177BC" w:rsidRDefault="00000000">
      <w:pPr>
        <w:pStyle w:val="a"/>
        <w:numPr>
          <w:ilvl w:val="0"/>
          <w:numId w:val="2"/>
        </w:numPr>
        <w:rPr>
          <w:color w:val="auto"/>
        </w:rPr>
      </w:pPr>
      <w:r>
        <w:rPr>
          <w:color w:val="auto"/>
        </w:rPr>
        <w:t>《城市紫线管理办法》(2003年)</w:t>
      </w:r>
    </w:p>
    <w:p w14:paraId="04714FAC" w14:textId="77777777" w:rsidR="004177BC" w:rsidRDefault="00000000">
      <w:pPr>
        <w:pStyle w:val="a"/>
        <w:numPr>
          <w:ilvl w:val="0"/>
          <w:numId w:val="2"/>
        </w:numPr>
        <w:rPr>
          <w:color w:val="auto"/>
        </w:rPr>
      </w:pPr>
      <w:r>
        <w:rPr>
          <w:color w:val="auto"/>
        </w:rPr>
        <w:t>《城市黄线管理办法》(2005年)</w:t>
      </w:r>
    </w:p>
    <w:p w14:paraId="0A0A2DF0" w14:textId="77777777" w:rsidR="004177BC" w:rsidRDefault="00000000">
      <w:pPr>
        <w:pStyle w:val="a"/>
        <w:numPr>
          <w:ilvl w:val="0"/>
          <w:numId w:val="2"/>
        </w:numPr>
        <w:rPr>
          <w:color w:val="auto"/>
        </w:rPr>
      </w:pPr>
      <w:r>
        <w:rPr>
          <w:color w:val="auto"/>
        </w:rPr>
        <w:t>《乐山市城市规划管理技术规定（2022）》</w:t>
      </w:r>
    </w:p>
    <w:p w14:paraId="4391095C" w14:textId="77777777" w:rsidR="004177BC" w:rsidRDefault="00000000">
      <w:pPr>
        <w:pStyle w:val="a6"/>
        <w:spacing w:line="560" w:lineRule="exact"/>
        <w:ind w:left="0" w:firstLineChars="200" w:firstLine="562"/>
        <w:rPr>
          <w:rFonts w:hint="default"/>
          <w:b/>
          <w:sz w:val="28"/>
          <w:szCs w:val="28"/>
        </w:rPr>
      </w:pPr>
      <w:r>
        <w:rPr>
          <w:b/>
          <w:sz w:val="28"/>
          <w:szCs w:val="28"/>
        </w:rPr>
        <w:t>（二）主要规范和标准</w:t>
      </w:r>
    </w:p>
    <w:p w14:paraId="2E20D89A" w14:textId="77777777" w:rsidR="004177BC" w:rsidRDefault="00000000">
      <w:pPr>
        <w:pStyle w:val="a"/>
        <w:rPr>
          <w:color w:val="auto"/>
        </w:rPr>
      </w:pPr>
      <w:r>
        <w:rPr>
          <w:color w:val="auto"/>
        </w:rPr>
        <w:t>《城市公共服务设施规划标准》(GB50442-2018)</w:t>
      </w:r>
    </w:p>
    <w:p w14:paraId="3D225F0B" w14:textId="77777777" w:rsidR="004177BC" w:rsidRDefault="00000000">
      <w:pPr>
        <w:pStyle w:val="a"/>
        <w:rPr>
          <w:color w:val="auto"/>
        </w:rPr>
      </w:pPr>
      <w:r>
        <w:rPr>
          <w:color w:val="auto"/>
        </w:rPr>
        <w:t>《城市居住区规划设计标准》(GB50180-2018)</w:t>
      </w:r>
    </w:p>
    <w:p w14:paraId="6AA4ED54" w14:textId="77777777" w:rsidR="004177BC" w:rsidRDefault="00000000">
      <w:pPr>
        <w:pStyle w:val="a"/>
        <w:rPr>
          <w:color w:val="auto"/>
        </w:rPr>
      </w:pPr>
      <w:r>
        <w:rPr>
          <w:color w:val="auto"/>
        </w:rPr>
        <w:t>《国土空间调查、规划、用途管制用地用海分类指南》(2023年)</w:t>
      </w:r>
    </w:p>
    <w:p w14:paraId="5431A288" w14:textId="77777777" w:rsidR="004177BC" w:rsidRDefault="00000000">
      <w:pPr>
        <w:pStyle w:val="a"/>
        <w:rPr>
          <w:color w:val="auto"/>
        </w:rPr>
      </w:pPr>
      <w:r>
        <w:rPr>
          <w:color w:val="auto"/>
        </w:rPr>
        <w:t>《城市规划强制性内容暂行规定》(建设部2002)</w:t>
      </w:r>
    </w:p>
    <w:p w14:paraId="0F350E48" w14:textId="77777777" w:rsidR="004177BC" w:rsidRDefault="00000000">
      <w:pPr>
        <w:pStyle w:val="a"/>
        <w:rPr>
          <w:color w:val="auto"/>
        </w:rPr>
      </w:pPr>
      <w:r>
        <w:rPr>
          <w:color w:val="auto"/>
        </w:rPr>
        <w:t>《城市道路工程设计规范》(CJJ37-2012)(2016版)</w:t>
      </w:r>
    </w:p>
    <w:p w14:paraId="01718F97" w14:textId="77777777" w:rsidR="004177BC" w:rsidRDefault="00000000">
      <w:pPr>
        <w:pStyle w:val="a"/>
        <w:rPr>
          <w:color w:val="auto"/>
        </w:rPr>
      </w:pPr>
      <w:r>
        <w:rPr>
          <w:color w:val="auto"/>
        </w:rPr>
        <w:t>《城市给水工程规划规范》(GB50282-2016)</w:t>
      </w:r>
    </w:p>
    <w:p w14:paraId="7C9E4681" w14:textId="77777777" w:rsidR="004177BC" w:rsidRDefault="00000000">
      <w:pPr>
        <w:pStyle w:val="a"/>
        <w:rPr>
          <w:color w:val="auto"/>
        </w:rPr>
      </w:pPr>
      <w:r>
        <w:rPr>
          <w:color w:val="auto"/>
        </w:rPr>
        <w:t>《城市给水工程项目规范》（GB55026-2022）</w:t>
      </w:r>
    </w:p>
    <w:p w14:paraId="5F03BAF9" w14:textId="77777777" w:rsidR="004177BC" w:rsidRDefault="00000000">
      <w:pPr>
        <w:pStyle w:val="a"/>
        <w:rPr>
          <w:color w:val="auto"/>
        </w:rPr>
      </w:pPr>
      <w:r>
        <w:rPr>
          <w:color w:val="auto"/>
        </w:rPr>
        <w:t>《城市排水工程规划规范》（GB50318-2017）</w:t>
      </w:r>
    </w:p>
    <w:p w14:paraId="2D28CE6E" w14:textId="77777777" w:rsidR="004177BC" w:rsidRDefault="00000000">
      <w:pPr>
        <w:pStyle w:val="a"/>
        <w:rPr>
          <w:color w:val="auto"/>
        </w:rPr>
      </w:pPr>
      <w:r>
        <w:rPr>
          <w:color w:val="auto"/>
        </w:rPr>
        <w:t>《城乡排水工程项目规范》(GB55027-2022)</w:t>
      </w:r>
    </w:p>
    <w:p w14:paraId="118421FD" w14:textId="77777777" w:rsidR="004177BC" w:rsidRDefault="00000000">
      <w:pPr>
        <w:pStyle w:val="a"/>
        <w:rPr>
          <w:color w:val="auto"/>
        </w:rPr>
      </w:pPr>
      <w:r>
        <w:rPr>
          <w:color w:val="auto"/>
        </w:rPr>
        <w:t>《城市电力规划规范》(GB/T50293-2014)</w:t>
      </w:r>
    </w:p>
    <w:p w14:paraId="15189A17" w14:textId="77777777" w:rsidR="004177BC" w:rsidRDefault="00000000">
      <w:pPr>
        <w:pStyle w:val="a"/>
        <w:rPr>
          <w:color w:val="auto"/>
        </w:rPr>
      </w:pPr>
      <w:r>
        <w:rPr>
          <w:color w:val="auto"/>
        </w:rPr>
        <w:t>《城市环境卫生设施规划规范》(GB50337-2003)</w:t>
      </w:r>
    </w:p>
    <w:p w14:paraId="6BDC1A27" w14:textId="77777777" w:rsidR="004177BC" w:rsidRDefault="00000000">
      <w:pPr>
        <w:pStyle w:val="a"/>
        <w:rPr>
          <w:color w:val="auto"/>
        </w:rPr>
      </w:pPr>
      <w:r>
        <w:rPr>
          <w:color w:val="auto"/>
        </w:rPr>
        <w:t>《城市抗震防灾规划标准》(GB50413-2007)</w:t>
      </w:r>
    </w:p>
    <w:p w14:paraId="75E4340A" w14:textId="77777777" w:rsidR="004177BC" w:rsidRDefault="00000000">
      <w:pPr>
        <w:pStyle w:val="a"/>
        <w:rPr>
          <w:color w:val="auto"/>
        </w:rPr>
      </w:pPr>
      <w:r>
        <w:rPr>
          <w:color w:val="auto"/>
        </w:rPr>
        <w:t>《社区生活圈规划技术指南》(TD/T 1062-2021)</w:t>
      </w:r>
    </w:p>
    <w:p w14:paraId="4EAD56CC" w14:textId="77777777" w:rsidR="004177BC" w:rsidRDefault="00000000">
      <w:pPr>
        <w:pStyle w:val="a"/>
        <w:rPr>
          <w:color w:val="auto"/>
        </w:rPr>
      </w:pPr>
      <w:r>
        <w:rPr>
          <w:color w:val="auto"/>
        </w:rPr>
        <w:t>《城市规划基本术语标准》（GB/T 50280-1998）</w:t>
      </w:r>
    </w:p>
    <w:p w14:paraId="6AE7B0FD" w14:textId="77777777" w:rsidR="004177BC" w:rsidRDefault="00000000">
      <w:pPr>
        <w:pStyle w:val="a"/>
        <w:rPr>
          <w:color w:val="auto"/>
        </w:rPr>
      </w:pPr>
      <w:r>
        <w:rPr>
          <w:color w:val="auto"/>
        </w:rPr>
        <w:t>《四川省城镇详细规划编制指南》（2026年版）；</w:t>
      </w:r>
    </w:p>
    <w:p w14:paraId="557DD4CB" w14:textId="77777777" w:rsidR="004177BC" w:rsidRDefault="00000000">
      <w:pPr>
        <w:pStyle w:val="a"/>
        <w:rPr>
          <w:color w:val="auto"/>
          <w:spacing w:val="10"/>
        </w:rPr>
      </w:pPr>
      <w:r>
        <w:rPr>
          <w:color w:val="auto"/>
        </w:rPr>
        <w:t>《四川省城镇详细规划成果数据汇交要求》（2026年版）</w:t>
      </w:r>
    </w:p>
    <w:p w14:paraId="57594563" w14:textId="77777777" w:rsidR="004177BC" w:rsidRDefault="00000000">
      <w:pPr>
        <w:pStyle w:val="a"/>
        <w:numPr>
          <w:ilvl w:val="0"/>
          <w:numId w:val="0"/>
        </w:numPr>
        <w:ind w:leftChars="200" w:left="440"/>
        <w:rPr>
          <w:color w:val="auto"/>
          <w:spacing w:val="10"/>
        </w:rPr>
      </w:pPr>
      <w:r>
        <w:rPr>
          <w:color w:val="auto"/>
          <w:spacing w:val="10"/>
        </w:rPr>
        <w:lastRenderedPageBreak/>
        <w:t>其他有关的国家及行业标准、规范</w:t>
      </w:r>
    </w:p>
    <w:p w14:paraId="16C7D869" w14:textId="77777777" w:rsidR="004177BC" w:rsidRDefault="00000000">
      <w:pPr>
        <w:pStyle w:val="a6"/>
        <w:spacing w:line="560" w:lineRule="exact"/>
        <w:ind w:left="0" w:firstLineChars="200" w:firstLine="562"/>
        <w:rPr>
          <w:rFonts w:hint="default"/>
          <w:b/>
          <w:sz w:val="28"/>
          <w:szCs w:val="28"/>
        </w:rPr>
      </w:pPr>
      <w:r>
        <w:rPr>
          <w:b/>
          <w:sz w:val="28"/>
          <w:szCs w:val="28"/>
        </w:rPr>
        <w:t>（三）相关规划及调研资料</w:t>
      </w:r>
    </w:p>
    <w:p w14:paraId="0BC5E7C6" w14:textId="77777777" w:rsidR="004177BC" w:rsidRDefault="00000000">
      <w:pPr>
        <w:pStyle w:val="a"/>
        <w:numPr>
          <w:ilvl w:val="0"/>
          <w:numId w:val="0"/>
        </w:numPr>
        <w:ind w:leftChars="200" w:left="440"/>
        <w:rPr>
          <w:color w:val="auto"/>
          <w:spacing w:val="10"/>
        </w:rPr>
      </w:pPr>
      <w:bookmarkStart w:id="3" w:name="_Hlk173328700"/>
      <w:r>
        <w:rPr>
          <w:color w:val="auto"/>
          <w:spacing w:val="10"/>
        </w:rPr>
        <w:t>《沐川县国土空间总体规划（2021-2035年）》</w:t>
      </w:r>
    </w:p>
    <w:bookmarkEnd w:id="3"/>
    <w:p w14:paraId="4259502D" w14:textId="77777777" w:rsidR="004177BC" w:rsidRDefault="00000000">
      <w:pPr>
        <w:pStyle w:val="a"/>
        <w:numPr>
          <w:ilvl w:val="0"/>
          <w:numId w:val="0"/>
        </w:numPr>
        <w:ind w:leftChars="200" w:left="440"/>
        <w:rPr>
          <w:color w:val="auto"/>
          <w:spacing w:val="10"/>
        </w:rPr>
      </w:pPr>
      <w:r>
        <w:rPr>
          <w:color w:val="auto"/>
          <w:spacing w:val="10"/>
        </w:rPr>
        <w:t>有关本规划的其他规划及社会、经济、自然基础资料。</w:t>
      </w:r>
    </w:p>
    <w:p w14:paraId="77659F7E" w14:textId="77777777" w:rsidR="004177BC" w:rsidRDefault="00000000">
      <w:pPr>
        <w:pStyle w:val="2"/>
        <w:spacing w:beforeLines="50" w:before="120" w:line="360" w:lineRule="auto"/>
        <w:ind w:left="0" w:firstLineChars="200" w:firstLine="562"/>
        <w:jc w:val="both"/>
        <w:rPr>
          <w:rFonts w:hint="default"/>
          <w:sz w:val="28"/>
          <w:szCs w:val="28"/>
        </w:rPr>
      </w:pPr>
      <w:r>
        <w:rPr>
          <w:sz w:val="28"/>
          <w:szCs w:val="28"/>
        </w:rPr>
        <w:t>第6条 强制性内容</w:t>
      </w:r>
    </w:p>
    <w:p w14:paraId="10A49A1D" w14:textId="77777777" w:rsidR="004177BC" w:rsidRDefault="00000000">
      <w:pPr>
        <w:pStyle w:val="a6"/>
        <w:spacing w:line="360" w:lineRule="auto"/>
        <w:ind w:left="0" w:firstLineChars="200" w:firstLine="552"/>
        <w:jc w:val="both"/>
        <w:rPr>
          <w:rFonts w:hint="default"/>
          <w:sz w:val="28"/>
          <w:szCs w:val="28"/>
        </w:rPr>
      </w:pPr>
      <w:r>
        <w:rPr>
          <w:spacing w:val="-4"/>
          <w:sz w:val="28"/>
          <w:szCs w:val="28"/>
        </w:rPr>
        <w:t>本规划文本条文中加“下划线”内容为强制性内容，所</w:t>
      </w:r>
      <w:r>
        <w:rPr>
          <w:spacing w:val="-2"/>
          <w:sz w:val="28"/>
          <w:szCs w:val="28"/>
        </w:rPr>
        <w:t>有强制性条文必须严格执行，强制性内容的修改应当按照法</w:t>
      </w:r>
      <w:r>
        <w:rPr>
          <w:sz w:val="28"/>
          <w:szCs w:val="28"/>
        </w:rPr>
        <w:t>定程序进行。</w:t>
      </w:r>
    </w:p>
    <w:p w14:paraId="15B90F66" w14:textId="77777777" w:rsidR="004177BC" w:rsidRDefault="004177BC">
      <w:pPr>
        <w:pStyle w:val="1"/>
        <w:spacing w:after="120"/>
        <w:rPr>
          <w:color w:val="auto"/>
        </w:rPr>
      </w:pPr>
    </w:p>
    <w:p w14:paraId="77906CC1" w14:textId="77777777" w:rsidR="004177BC" w:rsidRDefault="00000000">
      <w:pPr>
        <w:pStyle w:val="1"/>
        <w:spacing w:after="120"/>
        <w:rPr>
          <w:color w:val="auto"/>
        </w:rPr>
      </w:pPr>
      <w:bookmarkStart w:id="4" w:name="_Toc3724"/>
      <w:r>
        <w:rPr>
          <w:color w:val="auto"/>
        </w:rPr>
        <w:t>第二章 定位与规模</w:t>
      </w:r>
      <w:bookmarkEnd w:id="4"/>
    </w:p>
    <w:p w14:paraId="7AA92ADC" w14:textId="77777777" w:rsidR="004177BC" w:rsidRDefault="00000000">
      <w:pPr>
        <w:pStyle w:val="2"/>
        <w:spacing w:line="360" w:lineRule="auto"/>
        <w:ind w:left="0" w:firstLineChars="200" w:firstLine="562"/>
        <w:jc w:val="both"/>
        <w:rPr>
          <w:rFonts w:hint="default"/>
          <w:sz w:val="28"/>
          <w:szCs w:val="28"/>
        </w:rPr>
      </w:pPr>
      <w:bookmarkStart w:id="5" w:name="_bookmark8"/>
      <w:bookmarkEnd w:id="5"/>
      <w:r>
        <w:rPr>
          <w:sz w:val="28"/>
          <w:szCs w:val="28"/>
        </w:rPr>
        <w:t>第7条 规划定位</w:t>
      </w:r>
    </w:p>
    <w:p w14:paraId="46DE38C6" w14:textId="77777777" w:rsidR="004177BC" w:rsidRDefault="00000000">
      <w:pPr>
        <w:pStyle w:val="a6"/>
        <w:spacing w:line="360" w:lineRule="auto"/>
        <w:ind w:left="0" w:firstLineChars="200" w:firstLine="530"/>
        <w:rPr>
          <w:rFonts w:hint="default"/>
          <w:spacing w:val="-15"/>
          <w:sz w:val="28"/>
          <w:szCs w:val="28"/>
        </w:rPr>
      </w:pPr>
      <w:r>
        <w:rPr>
          <w:spacing w:val="-15"/>
          <w:sz w:val="28"/>
          <w:szCs w:val="28"/>
        </w:rPr>
        <w:t>通过城市更新，以建设街—永济街为骨架，把街区有机融合政务办公、非遗展示、市井生活与滨水休闲的川南韵味老城样板街区。</w:t>
      </w:r>
    </w:p>
    <w:p w14:paraId="5634F1B3" w14:textId="77777777" w:rsidR="004177BC" w:rsidRDefault="00000000">
      <w:pPr>
        <w:pStyle w:val="2"/>
        <w:spacing w:line="360" w:lineRule="auto"/>
        <w:ind w:left="0" w:firstLineChars="200" w:firstLine="562"/>
        <w:jc w:val="both"/>
        <w:rPr>
          <w:rFonts w:hint="default"/>
          <w:sz w:val="28"/>
          <w:szCs w:val="28"/>
        </w:rPr>
      </w:pPr>
      <w:bookmarkStart w:id="6" w:name="_bookmark9"/>
      <w:bookmarkEnd w:id="6"/>
      <w:r>
        <w:rPr>
          <w:sz w:val="28"/>
          <w:szCs w:val="28"/>
        </w:rPr>
        <w:t>第8条 规划规模</w:t>
      </w:r>
    </w:p>
    <w:p w14:paraId="48293DD6" w14:textId="77777777" w:rsidR="004177BC" w:rsidRDefault="00000000">
      <w:pPr>
        <w:pStyle w:val="a6"/>
        <w:spacing w:line="360" w:lineRule="auto"/>
        <w:ind w:left="0" w:firstLineChars="200" w:firstLine="530"/>
        <w:rPr>
          <w:rFonts w:hint="default"/>
          <w:spacing w:val="-15"/>
          <w:sz w:val="28"/>
          <w:szCs w:val="28"/>
        </w:rPr>
      </w:pPr>
      <w:r>
        <w:rPr>
          <w:spacing w:val="-15"/>
          <w:sz w:val="28"/>
          <w:szCs w:val="28"/>
        </w:rPr>
        <w:t>街区总建设用地规模52.7公顷，结合开发强度测算，总建筑规模约85万平方米。</w:t>
      </w:r>
    </w:p>
    <w:p w14:paraId="71362477" w14:textId="77777777" w:rsidR="004177BC" w:rsidRDefault="00000000">
      <w:pPr>
        <w:pStyle w:val="a6"/>
        <w:spacing w:line="360" w:lineRule="auto"/>
        <w:ind w:left="0" w:firstLineChars="200" w:firstLine="530"/>
        <w:rPr>
          <w:rFonts w:hint="default"/>
          <w:spacing w:val="-15"/>
          <w:sz w:val="28"/>
          <w:szCs w:val="28"/>
        </w:rPr>
      </w:pPr>
      <w:r>
        <w:rPr>
          <w:spacing w:val="-15"/>
          <w:sz w:val="28"/>
          <w:szCs w:val="28"/>
        </w:rPr>
        <w:t>落实国土空间规划对城市人均建设用地、人均居住用地以及片区开发强度的安排综合测算，本街区规划居住人口约1万人。</w:t>
      </w:r>
    </w:p>
    <w:p w14:paraId="4521CE62" w14:textId="77777777" w:rsidR="004177BC" w:rsidRDefault="00000000">
      <w:pPr>
        <w:pStyle w:val="1"/>
        <w:spacing w:after="120"/>
        <w:rPr>
          <w:color w:val="auto"/>
        </w:rPr>
      </w:pPr>
      <w:bookmarkStart w:id="7" w:name="_bookmark11"/>
      <w:bookmarkStart w:id="8" w:name="_Toc15770"/>
      <w:bookmarkEnd w:id="7"/>
      <w:r>
        <w:rPr>
          <w:color w:val="auto"/>
        </w:rPr>
        <w:t>第三章 空间结构</w:t>
      </w:r>
      <w:bookmarkEnd w:id="8"/>
    </w:p>
    <w:p w14:paraId="3CF767D5" w14:textId="77777777" w:rsidR="004177BC" w:rsidRDefault="00000000">
      <w:pPr>
        <w:pStyle w:val="2"/>
        <w:spacing w:line="360" w:lineRule="auto"/>
        <w:ind w:left="0" w:firstLineChars="200" w:firstLine="562"/>
        <w:jc w:val="both"/>
        <w:rPr>
          <w:rFonts w:hint="default"/>
          <w:sz w:val="28"/>
          <w:szCs w:val="28"/>
        </w:rPr>
      </w:pPr>
      <w:bookmarkStart w:id="9" w:name="_bookmark12"/>
      <w:bookmarkEnd w:id="9"/>
      <w:r>
        <w:rPr>
          <w:sz w:val="28"/>
          <w:szCs w:val="28"/>
        </w:rPr>
        <w:t>第9条 空间结构</w:t>
      </w:r>
    </w:p>
    <w:p w14:paraId="7A57353C" w14:textId="77777777" w:rsidR="004177BC" w:rsidRDefault="00000000">
      <w:pPr>
        <w:pStyle w:val="a6"/>
        <w:spacing w:line="360" w:lineRule="auto"/>
        <w:ind w:left="0" w:firstLineChars="200" w:firstLine="560"/>
        <w:rPr>
          <w:rFonts w:hint="default"/>
          <w:sz w:val="28"/>
          <w:szCs w:val="28"/>
        </w:rPr>
      </w:pPr>
      <w:r>
        <w:rPr>
          <w:sz w:val="28"/>
          <w:szCs w:val="28"/>
        </w:rPr>
        <w:t>规划形成“一核两组团”的街区空间格局。</w:t>
      </w:r>
    </w:p>
    <w:p w14:paraId="7EA23D59" w14:textId="77777777" w:rsidR="004177BC" w:rsidRDefault="00000000">
      <w:pPr>
        <w:pStyle w:val="a6"/>
        <w:spacing w:line="360" w:lineRule="auto"/>
        <w:ind w:left="0" w:firstLineChars="200" w:firstLine="560"/>
        <w:rPr>
          <w:rFonts w:hint="default"/>
          <w:sz w:val="28"/>
          <w:szCs w:val="28"/>
        </w:rPr>
      </w:pPr>
      <w:r>
        <w:rPr>
          <w:sz w:val="28"/>
          <w:szCs w:val="28"/>
        </w:rPr>
        <w:t>一核：以县政府为片区中心，联动其他公服设施，打造老城区的服务核心；</w:t>
      </w:r>
    </w:p>
    <w:p w14:paraId="31187798" w14:textId="77777777" w:rsidR="004177BC" w:rsidRDefault="00000000">
      <w:pPr>
        <w:pStyle w:val="a6"/>
        <w:spacing w:line="360" w:lineRule="auto"/>
        <w:ind w:left="0" w:firstLineChars="200" w:firstLine="560"/>
        <w:rPr>
          <w:rFonts w:hint="default"/>
          <w:sz w:val="28"/>
          <w:szCs w:val="28"/>
        </w:rPr>
      </w:pPr>
      <w:r>
        <w:rPr>
          <w:sz w:val="28"/>
          <w:szCs w:val="28"/>
        </w:rPr>
        <w:t>两组团：以中桥街为界，划定两个组团。中桥街以西依托沐溪河、文化广场和老城底蕴打造环滨水休闲组团，展示市井生活、非遗文化等。中桥街以东以城市更新为抓手，提升片区宜居生活品质，打造旧城更新样板。</w:t>
      </w:r>
    </w:p>
    <w:p w14:paraId="12B0CA3A" w14:textId="77777777" w:rsidR="004177BC" w:rsidRDefault="00000000">
      <w:pPr>
        <w:pStyle w:val="1"/>
        <w:spacing w:after="120"/>
        <w:rPr>
          <w:color w:val="auto"/>
          <w:sz w:val="28"/>
          <w:szCs w:val="28"/>
        </w:rPr>
      </w:pPr>
      <w:bookmarkStart w:id="10" w:name="_Toc16740"/>
      <w:r>
        <w:rPr>
          <w:color w:val="auto"/>
        </w:rPr>
        <w:t>第四章 用地布局规划</w:t>
      </w:r>
      <w:bookmarkEnd w:id="10"/>
    </w:p>
    <w:p w14:paraId="234ADBE7" w14:textId="77777777" w:rsidR="004177BC" w:rsidRDefault="00000000">
      <w:pPr>
        <w:pStyle w:val="2"/>
        <w:spacing w:line="360" w:lineRule="auto"/>
        <w:ind w:left="0" w:firstLineChars="200" w:firstLine="562"/>
        <w:jc w:val="both"/>
        <w:rPr>
          <w:rFonts w:hint="default"/>
          <w:sz w:val="28"/>
          <w:szCs w:val="28"/>
        </w:rPr>
      </w:pPr>
      <w:r>
        <w:rPr>
          <w:sz w:val="28"/>
          <w:szCs w:val="28"/>
        </w:rPr>
        <w:t>第11条 居住用地</w:t>
      </w:r>
    </w:p>
    <w:p w14:paraId="09E2F5AD" w14:textId="77777777" w:rsidR="004177BC" w:rsidRDefault="00000000">
      <w:pPr>
        <w:pStyle w:val="a6"/>
        <w:spacing w:line="360" w:lineRule="auto"/>
        <w:ind w:left="0" w:firstLineChars="200" w:firstLine="560"/>
        <w:jc w:val="both"/>
        <w:rPr>
          <w:rFonts w:hint="default"/>
          <w:sz w:val="28"/>
          <w:szCs w:val="28"/>
        </w:rPr>
      </w:pPr>
      <w:r>
        <w:rPr>
          <w:sz w:val="28"/>
          <w:szCs w:val="28"/>
        </w:rPr>
        <w:t>规划居住用地27.06公顷，占城市建设用地的51.35％，人均居住用地27.06平方米。</w:t>
      </w:r>
    </w:p>
    <w:p w14:paraId="62F7AFA2" w14:textId="77777777" w:rsidR="004177BC" w:rsidRDefault="00000000">
      <w:pPr>
        <w:pStyle w:val="2"/>
        <w:spacing w:line="360" w:lineRule="auto"/>
        <w:ind w:left="0" w:firstLineChars="200" w:firstLine="562"/>
        <w:jc w:val="both"/>
        <w:rPr>
          <w:rFonts w:hint="default"/>
          <w:sz w:val="28"/>
          <w:szCs w:val="28"/>
        </w:rPr>
      </w:pPr>
      <w:r>
        <w:rPr>
          <w:sz w:val="28"/>
          <w:szCs w:val="28"/>
        </w:rPr>
        <w:t>第12条 公共管理与公共服务用地</w:t>
      </w:r>
    </w:p>
    <w:p w14:paraId="5319C61F" w14:textId="77777777" w:rsidR="004177BC" w:rsidRDefault="00000000">
      <w:pPr>
        <w:pStyle w:val="a6"/>
        <w:spacing w:line="360" w:lineRule="auto"/>
        <w:ind w:left="0" w:firstLineChars="200" w:firstLine="560"/>
        <w:jc w:val="both"/>
        <w:rPr>
          <w:rFonts w:hint="default"/>
          <w:sz w:val="28"/>
          <w:szCs w:val="28"/>
          <w:u w:val="single"/>
        </w:rPr>
      </w:pPr>
      <w:r>
        <w:rPr>
          <w:sz w:val="28"/>
          <w:szCs w:val="28"/>
        </w:rPr>
        <w:t>规划形成15分钟、10分钟、5分钟完整社区生活圈，规划公共管理与公共服务用地总规模5.59公顷，占城市建设用地的12.5%，其中</w:t>
      </w:r>
      <w:r>
        <w:rPr>
          <w:sz w:val="28"/>
          <w:szCs w:val="28"/>
          <w:u w:val="single"/>
        </w:rPr>
        <w:t>机关团体用地3.89公顷、教育用地2.64公顷、医疗卫生用地0.5公顷。</w:t>
      </w:r>
    </w:p>
    <w:p w14:paraId="1ED27F29" w14:textId="77777777" w:rsidR="004177BC" w:rsidRDefault="00000000">
      <w:pPr>
        <w:pStyle w:val="2"/>
        <w:spacing w:line="360" w:lineRule="auto"/>
        <w:ind w:left="0" w:firstLineChars="200" w:firstLine="562"/>
        <w:jc w:val="both"/>
        <w:rPr>
          <w:rFonts w:hint="default"/>
          <w:sz w:val="28"/>
          <w:szCs w:val="28"/>
        </w:rPr>
      </w:pPr>
      <w:r>
        <w:rPr>
          <w:sz w:val="28"/>
          <w:szCs w:val="28"/>
        </w:rPr>
        <w:t>第13条 商业服务业用地</w:t>
      </w:r>
    </w:p>
    <w:p w14:paraId="0C6510F4" w14:textId="77777777" w:rsidR="004177BC" w:rsidRDefault="00000000">
      <w:pPr>
        <w:pStyle w:val="a6"/>
        <w:spacing w:line="360" w:lineRule="auto"/>
        <w:ind w:left="0" w:firstLineChars="200" w:firstLine="560"/>
        <w:rPr>
          <w:rFonts w:hint="default"/>
          <w:sz w:val="28"/>
          <w:szCs w:val="28"/>
        </w:rPr>
      </w:pPr>
      <w:r>
        <w:rPr>
          <w:sz w:val="28"/>
          <w:szCs w:val="28"/>
        </w:rPr>
        <w:t>依托城市更新，将东门巷、文化巷区域的现状低效城镇住宅用地改造为商业服务业用地，用以商业服务、非遗展示、文化体验等业态，并依托沐溪河，在滨江北路区域规整商业服务业用地，打造滨河商业界面。规划商业服务业用地总规模5.63公顷，占城市建设用地总面积的10.69%。</w:t>
      </w:r>
    </w:p>
    <w:p w14:paraId="1C4817F1" w14:textId="77777777" w:rsidR="004177BC" w:rsidRDefault="00000000">
      <w:pPr>
        <w:pStyle w:val="2"/>
        <w:spacing w:line="360" w:lineRule="auto"/>
        <w:ind w:left="0" w:firstLineChars="200" w:firstLine="562"/>
        <w:jc w:val="both"/>
        <w:rPr>
          <w:rFonts w:hint="default"/>
          <w:sz w:val="28"/>
          <w:szCs w:val="28"/>
        </w:rPr>
      </w:pPr>
      <w:r>
        <w:rPr>
          <w:sz w:val="28"/>
          <w:szCs w:val="28"/>
        </w:rPr>
        <w:t>第13条 交通运输用地</w:t>
      </w:r>
    </w:p>
    <w:p w14:paraId="14CB2DFA" w14:textId="77777777" w:rsidR="004177BC" w:rsidRDefault="00000000">
      <w:pPr>
        <w:pStyle w:val="a6"/>
        <w:spacing w:line="360" w:lineRule="auto"/>
        <w:ind w:left="0" w:firstLineChars="200" w:firstLine="562"/>
        <w:rPr>
          <w:rFonts w:hint="default"/>
          <w:sz w:val="28"/>
          <w:szCs w:val="28"/>
        </w:rPr>
      </w:pPr>
      <w:r>
        <w:rPr>
          <w:b/>
          <w:sz w:val="28"/>
          <w:szCs w:val="28"/>
          <w:u w:val="single"/>
        </w:rPr>
        <w:t>交通运输用地总规模9.09公顷</w:t>
      </w:r>
      <w:r>
        <w:rPr>
          <w:rFonts w:hint="default"/>
          <w:b/>
          <w:sz w:val="28"/>
          <w:szCs w:val="28"/>
          <w:u w:val="single"/>
        </w:rPr>
        <w:t>,</w:t>
      </w:r>
      <w:r>
        <w:rPr>
          <w:b/>
          <w:sz w:val="28"/>
          <w:szCs w:val="28"/>
          <w:u w:val="single"/>
        </w:rPr>
        <w:t>占城市建设用地总面积的17.24%。</w:t>
      </w:r>
      <w:r>
        <w:rPr>
          <w:sz w:val="28"/>
          <w:szCs w:val="28"/>
        </w:rPr>
        <w:t>主要包括片区市政道路、4处社会停车场等用地。</w:t>
      </w:r>
    </w:p>
    <w:p w14:paraId="51AF96DA" w14:textId="77777777" w:rsidR="004177BC" w:rsidRDefault="00000000">
      <w:pPr>
        <w:pStyle w:val="2"/>
        <w:spacing w:line="360" w:lineRule="auto"/>
        <w:ind w:left="0" w:firstLineChars="200" w:firstLine="562"/>
        <w:jc w:val="both"/>
        <w:rPr>
          <w:rFonts w:hint="default"/>
          <w:sz w:val="28"/>
          <w:szCs w:val="28"/>
        </w:rPr>
      </w:pPr>
      <w:r>
        <w:rPr>
          <w:sz w:val="28"/>
          <w:szCs w:val="28"/>
        </w:rPr>
        <w:t>第14条 公用设施用地</w:t>
      </w:r>
    </w:p>
    <w:p w14:paraId="583B0A87" w14:textId="77777777" w:rsidR="004177BC" w:rsidRDefault="00000000">
      <w:pPr>
        <w:pStyle w:val="a6"/>
        <w:spacing w:line="360" w:lineRule="auto"/>
        <w:ind w:left="0" w:firstLineChars="200" w:firstLine="560"/>
        <w:rPr>
          <w:rFonts w:hint="default"/>
          <w:sz w:val="28"/>
          <w:szCs w:val="28"/>
        </w:rPr>
      </w:pPr>
      <w:r>
        <w:rPr>
          <w:sz w:val="28"/>
          <w:szCs w:val="28"/>
        </w:rPr>
        <w:t>保留现状水工设施一处0.29公顷，占城市建设用地的0.54%。</w:t>
      </w:r>
    </w:p>
    <w:p w14:paraId="6C0FB502" w14:textId="77777777" w:rsidR="004177BC" w:rsidRDefault="00000000">
      <w:pPr>
        <w:pStyle w:val="a6"/>
        <w:spacing w:line="360" w:lineRule="auto"/>
        <w:ind w:left="0" w:firstLineChars="200" w:firstLine="562"/>
        <w:rPr>
          <w:rFonts w:hint="default"/>
          <w:b/>
          <w:sz w:val="28"/>
          <w:szCs w:val="28"/>
        </w:rPr>
      </w:pPr>
      <w:bookmarkStart w:id="11" w:name="_Hlk173683094"/>
      <w:r>
        <w:rPr>
          <w:b/>
          <w:sz w:val="28"/>
          <w:szCs w:val="28"/>
        </w:rPr>
        <w:t>第15条 绿地与开敞空间用地</w:t>
      </w:r>
      <w:bookmarkEnd w:id="11"/>
    </w:p>
    <w:p w14:paraId="319FF102" w14:textId="77777777" w:rsidR="004177BC" w:rsidRDefault="00000000">
      <w:pPr>
        <w:pStyle w:val="a6"/>
        <w:spacing w:line="360" w:lineRule="auto"/>
        <w:ind w:left="0" w:firstLineChars="200" w:firstLine="562"/>
        <w:rPr>
          <w:rFonts w:hint="default"/>
          <w:b/>
          <w:sz w:val="28"/>
          <w:szCs w:val="28"/>
          <w:u w:val="single"/>
        </w:rPr>
      </w:pPr>
      <w:r>
        <w:rPr>
          <w:b/>
          <w:sz w:val="28"/>
          <w:szCs w:val="28"/>
          <w:u w:val="single"/>
        </w:rPr>
        <w:t>规划绿地与开敞空间用地共计3.44公顷，占城市建设用地总面积的6.53%。</w:t>
      </w:r>
    </w:p>
    <w:p w14:paraId="5FEDA720" w14:textId="77777777" w:rsidR="004177BC" w:rsidRDefault="00000000">
      <w:pPr>
        <w:pStyle w:val="a6"/>
        <w:spacing w:line="360" w:lineRule="auto"/>
        <w:ind w:left="0" w:firstLineChars="200" w:firstLine="560"/>
        <w:rPr>
          <w:rFonts w:hint="default"/>
          <w:sz w:val="28"/>
          <w:szCs w:val="28"/>
        </w:rPr>
      </w:pPr>
      <w:r>
        <w:rPr>
          <w:sz w:val="28"/>
          <w:szCs w:val="28"/>
        </w:rPr>
        <w:t>公园绿地主要沿河布置。保留现状文化广场。</w:t>
      </w:r>
    </w:p>
    <w:p w14:paraId="3B3168D1" w14:textId="77777777" w:rsidR="004177BC" w:rsidRDefault="00000000">
      <w:pPr>
        <w:pStyle w:val="a6"/>
        <w:spacing w:line="360" w:lineRule="auto"/>
        <w:ind w:left="0" w:firstLineChars="200" w:firstLine="562"/>
        <w:rPr>
          <w:rFonts w:hint="default"/>
          <w:b/>
          <w:sz w:val="28"/>
          <w:szCs w:val="28"/>
        </w:rPr>
      </w:pPr>
      <w:r>
        <w:rPr>
          <w:b/>
          <w:sz w:val="28"/>
          <w:szCs w:val="28"/>
        </w:rPr>
        <w:t>第16条 特殊用地</w:t>
      </w:r>
    </w:p>
    <w:p w14:paraId="718EECDE" w14:textId="77777777" w:rsidR="004177BC" w:rsidRDefault="00000000">
      <w:pPr>
        <w:pStyle w:val="a6"/>
        <w:spacing w:line="360" w:lineRule="auto"/>
        <w:ind w:left="0" w:firstLineChars="200" w:firstLine="560"/>
        <w:rPr>
          <w:rFonts w:hint="default"/>
          <w:sz w:val="28"/>
          <w:szCs w:val="28"/>
        </w:rPr>
      </w:pPr>
      <w:r>
        <w:rPr>
          <w:sz w:val="28"/>
          <w:szCs w:val="28"/>
        </w:rPr>
        <w:t>保留沐溪镇天主堂等特殊用地，占地面积共计0.61公顷，占城市建设用地的1.15%。</w:t>
      </w:r>
    </w:p>
    <w:p w14:paraId="132203C7" w14:textId="77777777" w:rsidR="004177BC" w:rsidRDefault="004177BC">
      <w:pPr>
        <w:pStyle w:val="a6"/>
        <w:spacing w:line="360" w:lineRule="auto"/>
        <w:ind w:left="0" w:firstLineChars="200" w:firstLine="560"/>
        <w:rPr>
          <w:rFonts w:hint="default"/>
          <w:sz w:val="28"/>
          <w:szCs w:val="28"/>
        </w:rPr>
      </w:pPr>
    </w:p>
    <w:p w14:paraId="1AF797FA" w14:textId="77777777" w:rsidR="004177BC" w:rsidRDefault="00000000">
      <w:pPr>
        <w:pStyle w:val="1"/>
        <w:numPr>
          <w:ilvl w:val="0"/>
          <w:numId w:val="3"/>
        </w:numPr>
        <w:spacing w:after="120"/>
        <w:rPr>
          <w:color w:val="auto"/>
        </w:rPr>
      </w:pPr>
      <w:bookmarkStart w:id="12" w:name="_Toc4570"/>
      <w:r>
        <w:rPr>
          <w:color w:val="auto"/>
        </w:rPr>
        <w:lastRenderedPageBreak/>
        <w:t>绿地和开敞空间规划</w:t>
      </w:r>
      <w:bookmarkEnd w:id="12"/>
    </w:p>
    <w:p w14:paraId="278E0B84" w14:textId="77777777" w:rsidR="004177BC" w:rsidRDefault="00000000">
      <w:pPr>
        <w:pStyle w:val="a6"/>
        <w:spacing w:line="360" w:lineRule="auto"/>
        <w:ind w:left="0" w:firstLineChars="200" w:firstLine="562"/>
        <w:rPr>
          <w:rFonts w:hint="default"/>
          <w:b/>
          <w:sz w:val="28"/>
          <w:szCs w:val="28"/>
        </w:rPr>
      </w:pPr>
      <w:r>
        <w:rPr>
          <w:b/>
          <w:sz w:val="28"/>
          <w:szCs w:val="28"/>
        </w:rPr>
        <w:t>第17条 绿地和开敞空间</w:t>
      </w:r>
    </w:p>
    <w:p w14:paraId="0F5C9B8D" w14:textId="77777777" w:rsidR="004177BC" w:rsidRDefault="00000000">
      <w:pPr>
        <w:pStyle w:val="a6"/>
        <w:spacing w:line="360" w:lineRule="auto"/>
        <w:ind w:left="0" w:firstLineChars="200" w:firstLine="560"/>
        <w:jc w:val="both"/>
        <w:rPr>
          <w:rFonts w:hint="default"/>
        </w:rPr>
      </w:pPr>
      <w:r>
        <w:rPr>
          <w:sz w:val="28"/>
          <w:szCs w:val="28"/>
        </w:rPr>
        <w:t>规划公园绿地主要沿沐溪河全流域布局，并建设慢行绿道系统，局部区域布置节点公园绿地，串联各类公园绿地，打造滨水绿化休闲带，形成街区环形水环绿绕的绿化空间。街区规划集中公园绿地6处，主要沿沐溪河滨水绿带设置，可打造为社区公园、口袋公园，实现居民出行300m见绿、500m见园。规划确定的公园绿地等在城市开发建设时不得随意侵占。在满足绿地率要求和地方相关政策的前提下，公园绿地允许进入设施包括垃圾收集、公厕等环卫设施；配电房、路灯、泵站等市政设施；休息座椅、亭廊、小品等景观设施；停车场、信号灯等交通设施；露天运动场、体育馆、文化馆、健身器材等文化体育设施。</w:t>
      </w:r>
    </w:p>
    <w:p w14:paraId="6EC82678" w14:textId="77777777" w:rsidR="004177BC" w:rsidRDefault="004177BC">
      <w:pPr>
        <w:rPr>
          <w:rFonts w:hint="default"/>
        </w:rPr>
      </w:pPr>
    </w:p>
    <w:p w14:paraId="0F78B6EB" w14:textId="77777777" w:rsidR="004177BC" w:rsidRDefault="004177BC">
      <w:pPr>
        <w:rPr>
          <w:rFonts w:hint="default"/>
        </w:rPr>
      </w:pPr>
    </w:p>
    <w:p w14:paraId="250E0973" w14:textId="77777777" w:rsidR="004177BC" w:rsidRDefault="00000000">
      <w:pPr>
        <w:pStyle w:val="1"/>
        <w:numPr>
          <w:ilvl w:val="0"/>
          <w:numId w:val="3"/>
        </w:numPr>
        <w:spacing w:after="120"/>
        <w:rPr>
          <w:color w:val="auto"/>
        </w:rPr>
      </w:pPr>
      <w:bookmarkStart w:id="13" w:name="_bookmark14"/>
      <w:bookmarkStart w:id="14" w:name="_bookmark16"/>
      <w:bookmarkStart w:id="15" w:name="_bookmark15"/>
      <w:bookmarkStart w:id="16" w:name="_Toc8427"/>
      <w:bookmarkEnd w:id="13"/>
      <w:bookmarkEnd w:id="14"/>
      <w:bookmarkEnd w:id="15"/>
      <w:r>
        <w:rPr>
          <w:color w:val="auto"/>
        </w:rPr>
        <w:t>公共管理与公共服务设施规划</w:t>
      </w:r>
      <w:bookmarkEnd w:id="16"/>
    </w:p>
    <w:p w14:paraId="268D3D79" w14:textId="77777777" w:rsidR="004177BC" w:rsidRDefault="00000000">
      <w:pPr>
        <w:pStyle w:val="2"/>
        <w:spacing w:line="360" w:lineRule="auto"/>
        <w:ind w:left="0" w:firstLineChars="200" w:firstLine="562"/>
        <w:jc w:val="both"/>
        <w:rPr>
          <w:rFonts w:hint="default"/>
          <w:sz w:val="28"/>
          <w:szCs w:val="28"/>
        </w:rPr>
      </w:pPr>
      <w:r>
        <w:rPr>
          <w:sz w:val="28"/>
          <w:szCs w:val="28"/>
        </w:rPr>
        <w:t>第18条 机关团体用地</w:t>
      </w:r>
    </w:p>
    <w:p w14:paraId="137C0362" w14:textId="77777777" w:rsidR="004177BC" w:rsidRDefault="00000000">
      <w:pPr>
        <w:pStyle w:val="a6"/>
        <w:spacing w:line="360" w:lineRule="auto"/>
        <w:ind w:left="0" w:firstLineChars="200" w:firstLine="560"/>
        <w:jc w:val="both"/>
        <w:rPr>
          <w:rFonts w:hint="default"/>
          <w:sz w:val="28"/>
          <w:szCs w:val="28"/>
        </w:rPr>
      </w:pPr>
      <w:r>
        <w:rPr>
          <w:sz w:val="28"/>
          <w:szCs w:val="28"/>
        </w:rPr>
        <w:t>规划保留县委县人民政府、机关用地、水务局、公安局、农业农村局、卫健局等机关单位用地。</w:t>
      </w:r>
    </w:p>
    <w:p w14:paraId="179A7177" w14:textId="77777777" w:rsidR="004177BC" w:rsidRDefault="004177BC">
      <w:pPr>
        <w:rPr>
          <w:rFonts w:hint="default"/>
        </w:rPr>
      </w:pPr>
    </w:p>
    <w:p w14:paraId="1AFF91D0" w14:textId="77777777" w:rsidR="004177BC" w:rsidRDefault="00000000">
      <w:pPr>
        <w:pStyle w:val="2"/>
        <w:spacing w:line="360" w:lineRule="auto"/>
        <w:ind w:left="0" w:firstLineChars="200" w:firstLine="562"/>
        <w:jc w:val="both"/>
        <w:rPr>
          <w:rFonts w:hint="default"/>
          <w:sz w:val="28"/>
          <w:szCs w:val="28"/>
        </w:rPr>
      </w:pPr>
      <w:r>
        <w:rPr>
          <w:sz w:val="28"/>
          <w:szCs w:val="28"/>
        </w:rPr>
        <w:t>第19条 教育设施</w:t>
      </w:r>
    </w:p>
    <w:p w14:paraId="59899926" w14:textId="77777777" w:rsidR="004177BC" w:rsidRDefault="00000000">
      <w:pPr>
        <w:pStyle w:val="a6"/>
        <w:spacing w:line="360" w:lineRule="auto"/>
        <w:ind w:left="0" w:firstLineChars="200" w:firstLine="560"/>
        <w:jc w:val="both"/>
        <w:rPr>
          <w:rFonts w:hint="default"/>
          <w:sz w:val="28"/>
          <w:szCs w:val="28"/>
          <w:u w:val="single"/>
        </w:rPr>
      </w:pPr>
      <w:r>
        <w:rPr>
          <w:sz w:val="28"/>
          <w:szCs w:val="28"/>
          <w:u w:val="single"/>
        </w:rPr>
        <w:t>规划保留中小学用地1处，保留幼儿园3处。</w:t>
      </w:r>
    </w:p>
    <w:p w14:paraId="0EC536AD" w14:textId="77777777" w:rsidR="004177BC" w:rsidRDefault="00000000">
      <w:pPr>
        <w:pStyle w:val="2"/>
        <w:spacing w:line="360" w:lineRule="auto"/>
        <w:ind w:left="0" w:firstLineChars="200" w:firstLine="562"/>
        <w:jc w:val="both"/>
        <w:rPr>
          <w:rFonts w:hint="default"/>
          <w:sz w:val="28"/>
          <w:szCs w:val="28"/>
        </w:rPr>
      </w:pPr>
      <w:r>
        <w:rPr>
          <w:sz w:val="28"/>
          <w:szCs w:val="28"/>
        </w:rPr>
        <w:t>第20条 医疗卫生设施</w:t>
      </w:r>
    </w:p>
    <w:p w14:paraId="3ECF4598" w14:textId="77777777" w:rsidR="004177BC" w:rsidRDefault="00000000">
      <w:pPr>
        <w:pStyle w:val="a6"/>
        <w:spacing w:before="6" w:line="326" w:lineRule="auto"/>
        <w:ind w:right="162" w:firstLine="640"/>
        <w:rPr>
          <w:rFonts w:hint="default"/>
          <w:b/>
          <w:sz w:val="28"/>
          <w:szCs w:val="28"/>
        </w:rPr>
      </w:pPr>
      <w:r>
        <w:rPr>
          <w:spacing w:val="-18"/>
          <w:u w:val="single"/>
        </w:rPr>
        <w:t>规划保留</w:t>
      </w:r>
      <w:r>
        <w:rPr>
          <w:spacing w:val="-10"/>
          <w:u w:val="single"/>
        </w:rPr>
        <w:t>基层医疗卫生设施1处（沐溪镇卫生院）。</w:t>
      </w:r>
      <w:r>
        <w:t>结合社区服务设施配套日间照料中心。</w:t>
      </w:r>
    </w:p>
    <w:p w14:paraId="30AD9B48" w14:textId="77777777" w:rsidR="004177BC" w:rsidRDefault="00000000">
      <w:pPr>
        <w:pStyle w:val="2"/>
        <w:spacing w:line="360" w:lineRule="auto"/>
        <w:ind w:left="0" w:firstLineChars="200" w:firstLine="562"/>
        <w:jc w:val="both"/>
        <w:rPr>
          <w:rFonts w:hint="default"/>
          <w:sz w:val="28"/>
          <w:szCs w:val="28"/>
        </w:rPr>
      </w:pPr>
      <w:r>
        <w:rPr>
          <w:sz w:val="28"/>
          <w:szCs w:val="28"/>
        </w:rPr>
        <w:t xml:space="preserve"> 第21条 建设标准</w:t>
      </w:r>
    </w:p>
    <w:p w14:paraId="0F2AE270" w14:textId="77777777" w:rsidR="004177BC" w:rsidRDefault="00000000">
      <w:pPr>
        <w:pStyle w:val="a6"/>
        <w:spacing w:before="6" w:line="326" w:lineRule="auto"/>
        <w:ind w:right="162" w:firstLine="640"/>
        <w:rPr>
          <w:rFonts w:hint="default"/>
        </w:rPr>
      </w:pPr>
      <w:r>
        <w:t>规划公共管理与公共服务设施建设标准与相关要求详见图则。</w:t>
      </w:r>
      <w:bookmarkStart w:id="17" w:name="_bookmark21"/>
      <w:bookmarkEnd w:id="17"/>
    </w:p>
    <w:p w14:paraId="7B3DAEE3" w14:textId="77777777" w:rsidR="004177BC" w:rsidRDefault="004177BC">
      <w:pPr>
        <w:pStyle w:val="a6"/>
        <w:spacing w:before="6" w:line="326" w:lineRule="auto"/>
        <w:ind w:right="162" w:firstLine="640"/>
        <w:rPr>
          <w:rFonts w:hint="default"/>
        </w:rPr>
      </w:pPr>
    </w:p>
    <w:p w14:paraId="086B3041" w14:textId="77777777" w:rsidR="004177BC" w:rsidRDefault="00000000">
      <w:pPr>
        <w:pStyle w:val="1"/>
        <w:numPr>
          <w:ilvl w:val="0"/>
          <w:numId w:val="3"/>
        </w:numPr>
        <w:spacing w:after="120"/>
        <w:rPr>
          <w:color w:val="auto"/>
        </w:rPr>
      </w:pPr>
      <w:bookmarkStart w:id="18" w:name="_Toc30350"/>
      <w:r>
        <w:rPr>
          <w:color w:val="auto"/>
        </w:rPr>
        <w:t>道路交通工程规划</w:t>
      </w:r>
      <w:bookmarkEnd w:id="18"/>
    </w:p>
    <w:p w14:paraId="1326F5C6" w14:textId="77777777" w:rsidR="004177BC" w:rsidRDefault="00000000">
      <w:pPr>
        <w:pStyle w:val="2"/>
        <w:spacing w:line="360" w:lineRule="auto"/>
        <w:ind w:left="0" w:firstLineChars="200" w:firstLine="562"/>
        <w:jc w:val="both"/>
        <w:rPr>
          <w:rFonts w:hint="default"/>
          <w:sz w:val="28"/>
          <w:szCs w:val="28"/>
        </w:rPr>
      </w:pPr>
      <w:r>
        <w:rPr>
          <w:sz w:val="28"/>
          <w:szCs w:val="28"/>
        </w:rPr>
        <w:t>第22条 对外交通</w:t>
      </w:r>
    </w:p>
    <w:p w14:paraId="58AF5D55" w14:textId="77777777" w:rsidR="004177BC" w:rsidRDefault="00000000">
      <w:pPr>
        <w:pStyle w:val="a6"/>
        <w:spacing w:line="360" w:lineRule="auto"/>
        <w:ind w:left="0" w:firstLineChars="200" w:firstLine="560"/>
        <w:rPr>
          <w:rFonts w:hint="default"/>
          <w:sz w:val="28"/>
          <w:szCs w:val="28"/>
        </w:rPr>
      </w:pPr>
      <w:r>
        <w:rPr>
          <w:sz w:val="28"/>
          <w:szCs w:val="28"/>
        </w:rPr>
        <w:t>规划区外围区域性交通有仁沐新高速、国道G213等，通过沐源路与街区内主次干道连接，实现对外交通畅达。规划街区与县城其他街区主要通过中桥街、建设街、交通街、滨河北路等次干道联系，整体实现内外交通畅达。</w:t>
      </w:r>
    </w:p>
    <w:p w14:paraId="5A9C6CC1" w14:textId="77777777" w:rsidR="004177BC" w:rsidRDefault="00000000">
      <w:pPr>
        <w:pStyle w:val="2"/>
        <w:spacing w:line="360" w:lineRule="auto"/>
        <w:ind w:left="0" w:firstLineChars="200" w:firstLine="562"/>
        <w:jc w:val="both"/>
        <w:rPr>
          <w:rFonts w:hint="default"/>
          <w:sz w:val="28"/>
          <w:szCs w:val="28"/>
        </w:rPr>
      </w:pPr>
      <w:r>
        <w:rPr>
          <w:sz w:val="28"/>
          <w:szCs w:val="28"/>
        </w:rPr>
        <w:t>第22条 路网系统规划</w:t>
      </w:r>
    </w:p>
    <w:p w14:paraId="3E051103" w14:textId="77777777" w:rsidR="004177BC" w:rsidRDefault="00000000">
      <w:pPr>
        <w:pStyle w:val="a6"/>
        <w:spacing w:line="360" w:lineRule="auto"/>
        <w:ind w:left="0" w:firstLineChars="200" w:firstLine="560"/>
        <w:rPr>
          <w:rFonts w:hint="default"/>
          <w:sz w:val="28"/>
          <w:szCs w:val="28"/>
        </w:rPr>
      </w:pPr>
      <w:r>
        <w:rPr>
          <w:sz w:val="28"/>
          <w:szCs w:val="28"/>
        </w:rPr>
        <w:t>1、道路分级</w:t>
      </w:r>
    </w:p>
    <w:p w14:paraId="636A8551" w14:textId="77777777" w:rsidR="004177BC" w:rsidRDefault="00000000">
      <w:pPr>
        <w:pStyle w:val="a6"/>
        <w:spacing w:line="360" w:lineRule="auto"/>
        <w:ind w:left="0" w:firstLineChars="200" w:firstLine="560"/>
        <w:rPr>
          <w:rFonts w:hint="default"/>
          <w:sz w:val="28"/>
          <w:szCs w:val="28"/>
        </w:rPr>
      </w:pPr>
      <w:r>
        <w:rPr>
          <w:sz w:val="28"/>
          <w:szCs w:val="28"/>
        </w:rPr>
        <w:t>规划形成主干路、次干路、支路三级城市内部车行道等级体系。</w:t>
      </w:r>
    </w:p>
    <w:p w14:paraId="08895D7B" w14:textId="77777777" w:rsidR="004177BC" w:rsidRDefault="00000000">
      <w:pPr>
        <w:pStyle w:val="a6"/>
        <w:spacing w:line="360" w:lineRule="auto"/>
        <w:ind w:left="0" w:firstLineChars="200" w:firstLine="560"/>
        <w:rPr>
          <w:rFonts w:hint="default"/>
          <w:sz w:val="28"/>
          <w:szCs w:val="28"/>
        </w:rPr>
      </w:pPr>
      <w:r>
        <w:rPr>
          <w:sz w:val="28"/>
          <w:szCs w:val="28"/>
        </w:rPr>
        <w:t>2、主次干路</w:t>
      </w:r>
    </w:p>
    <w:p w14:paraId="18D3DE20" w14:textId="77777777" w:rsidR="004177BC" w:rsidRDefault="00000000">
      <w:pPr>
        <w:pStyle w:val="a6"/>
        <w:spacing w:line="360" w:lineRule="auto"/>
        <w:ind w:left="0" w:firstLineChars="200" w:firstLine="560"/>
        <w:rPr>
          <w:rFonts w:hint="default"/>
          <w:sz w:val="28"/>
          <w:szCs w:val="28"/>
        </w:rPr>
      </w:pPr>
      <w:r>
        <w:rPr>
          <w:sz w:val="28"/>
          <w:szCs w:val="28"/>
        </w:rPr>
        <w:t>结合中心城区整体路网框架，规划形成“三纵一横”的街区主次干路的交通体系。</w:t>
      </w:r>
    </w:p>
    <w:p w14:paraId="12FD2C12" w14:textId="77777777" w:rsidR="004177BC" w:rsidRDefault="00000000">
      <w:pPr>
        <w:pStyle w:val="a6"/>
        <w:spacing w:line="360" w:lineRule="auto"/>
        <w:ind w:left="0" w:firstLineChars="200" w:firstLine="560"/>
        <w:jc w:val="both"/>
        <w:rPr>
          <w:rFonts w:hint="default"/>
          <w:sz w:val="28"/>
          <w:szCs w:val="28"/>
        </w:rPr>
      </w:pPr>
      <w:r>
        <w:rPr>
          <w:sz w:val="28"/>
          <w:szCs w:val="28"/>
        </w:rPr>
        <w:t>“三纵”：沐源路（街区段10m）、中桥街（街区段10m）、交通街（18m）。</w:t>
      </w:r>
    </w:p>
    <w:p w14:paraId="15907C18" w14:textId="77777777" w:rsidR="004177BC" w:rsidRDefault="00000000">
      <w:pPr>
        <w:pStyle w:val="a6"/>
        <w:spacing w:line="360" w:lineRule="auto"/>
        <w:ind w:left="0" w:firstLineChars="200" w:firstLine="560"/>
        <w:rPr>
          <w:rFonts w:hint="default"/>
          <w:sz w:val="28"/>
          <w:szCs w:val="28"/>
        </w:rPr>
      </w:pPr>
      <w:r>
        <w:rPr>
          <w:sz w:val="28"/>
          <w:szCs w:val="28"/>
        </w:rPr>
        <w:t>“一横”: 将建设街（12m）提质改造，作为串联“三纵”主要联系道路。</w:t>
      </w:r>
    </w:p>
    <w:p w14:paraId="62F5581E" w14:textId="77777777" w:rsidR="004177BC" w:rsidRDefault="00000000">
      <w:pPr>
        <w:pStyle w:val="a6"/>
        <w:spacing w:line="360" w:lineRule="auto"/>
        <w:ind w:left="0" w:firstLineChars="200" w:firstLine="560"/>
        <w:jc w:val="both"/>
        <w:rPr>
          <w:rFonts w:hint="default"/>
          <w:sz w:val="28"/>
          <w:szCs w:val="28"/>
        </w:rPr>
      </w:pPr>
      <w:r>
        <w:rPr>
          <w:sz w:val="28"/>
          <w:szCs w:val="28"/>
        </w:rPr>
        <w:t>3、支路</w:t>
      </w:r>
    </w:p>
    <w:p w14:paraId="794267F6" w14:textId="77777777" w:rsidR="004177BC" w:rsidRDefault="00000000">
      <w:pPr>
        <w:pStyle w:val="a6"/>
        <w:spacing w:line="360" w:lineRule="auto"/>
        <w:ind w:left="0" w:firstLineChars="200" w:firstLine="560"/>
        <w:rPr>
          <w:rFonts w:hint="default"/>
          <w:sz w:val="28"/>
          <w:szCs w:val="28"/>
        </w:rPr>
      </w:pPr>
      <w:r>
        <w:rPr>
          <w:sz w:val="28"/>
          <w:szCs w:val="28"/>
        </w:rPr>
        <w:t>规划支路13条，红线宽7-15m，主要承担街区内的交通联系，满足各组团交通集散。</w:t>
      </w:r>
    </w:p>
    <w:p w14:paraId="039B4C3F" w14:textId="77777777" w:rsidR="004177BC" w:rsidRDefault="00000000">
      <w:pPr>
        <w:pStyle w:val="a6"/>
        <w:spacing w:line="360" w:lineRule="auto"/>
        <w:ind w:left="0" w:firstLineChars="200" w:firstLine="560"/>
        <w:rPr>
          <w:rFonts w:hint="default"/>
          <w:sz w:val="28"/>
          <w:szCs w:val="28"/>
        </w:rPr>
      </w:pPr>
      <w:r>
        <w:rPr>
          <w:sz w:val="28"/>
          <w:szCs w:val="28"/>
        </w:rPr>
        <w:t>4、道路纵坡</w:t>
      </w:r>
    </w:p>
    <w:p w14:paraId="77C8B45F" w14:textId="77777777" w:rsidR="004177BC" w:rsidRDefault="00000000">
      <w:pPr>
        <w:pStyle w:val="a6"/>
        <w:spacing w:line="360" w:lineRule="auto"/>
        <w:ind w:left="0" w:firstLineChars="200" w:firstLine="560"/>
        <w:rPr>
          <w:rFonts w:hint="default"/>
          <w:sz w:val="28"/>
          <w:szCs w:val="28"/>
        </w:rPr>
      </w:pPr>
      <w:r>
        <w:rPr>
          <w:sz w:val="28"/>
          <w:szCs w:val="28"/>
        </w:rPr>
        <w:t>规划道路最小纵坡度应大于或等于0.3%，当遇特殊困难纵坡小于0.3%时，应设置锯齿形边沟或采取其他排水设施。最大纵坡小于等于8.0%。</w:t>
      </w:r>
    </w:p>
    <w:p w14:paraId="69BC9626" w14:textId="77777777" w:rsidR="004177BC" w:rsidRDefault="00000000">
      <w:pPr>
        <w:pStyle w:val="2"/>
        <w:spacing w:line="360" w:lineRule="auto"/>
        <w:ind w:left="0" w:firstLineChars="200" w:firstLine="562"/>
        <w:jc w:val="both"/>
        <w:rPr>
          <w:rFonts w:hint="default"/>
          <w:sz w:val="28"/>
          <w:szCs w:val="28"/>
        </w:rPr>
      </w:pPr>
      <w:r>
        <w:rPr>
          <w:sz w:val="28"/>
          <w:szCs w:val="28"/>
        </w:rPr>
        <w:t>第23条 公共交通</w:t>
      </w:r>
    </w:p>
    <w:p w14:paraId="02D9108B" w14:textId="77777777" w:rsidR="004177BC" w:rsidRDefault="00000000">
      <w:pPr>
        <w:pStyle w:val="a6"/>
        <w:spacing w:line="360" w:lineRule="auto"/>
        <w:ind w:left="0" w:firstLineChars="200" w:firstLine="560"/>
        <w:jc w:val="both"/>
        <w:rPr>
          <w:rFonts w:hint="default"/>
          <w:b/>
          <w:sz w:val="28"/>
          <w:szCs w:val="28"/>
        </w:rPr>
      </w:pPr>
      <w:r>
        <w:rPr>
          <w:rFonts w:hint="default"/>
          <w:sz w:val="28"/>
          <w:szCs w:val="28"/>
        </w:rPr>
        <w:t>大力发展城市公交，结合老城区路幅条件与客流需求，在建设街、永济街、滨河北路等主次干道沿线合理布设公交停靠站点，站点服务半径不宜大于500米，实现与县城主要居住组团、商业节点及公共服务设施的公交有效衔接。</w:t>
      </w:r>
    </w:p>
    <w:p w14:paraId="5C5C44B7" w14:textId="77777777" w:rsidR="004177BC" w:rsidRDefault="00000000">
      <w:pPr>
        <w:pStyle w:val="2"/>
        <w:spacing w:line="360" w:lineRule="auto"/>
        <w:ind w:left="0" w:firstLineChars="200" w:firstLine="562"/>
        <w:jc w:val="both"/>
        <w:rPr>
          <w:rFonts w:hint="default"/>
          <w:sz w:val="28"/>
          <w:szCs w:val="28"/>
        </w:rPr>
      </w:pPr>
      <w:r>
        <w:rPr>
          <w:sz w:val="28"/>
          <w:szCs w:val="28"/>
        </w:rPr>
        <w:t xml:space="preserve"> 第24条 慢行交通</w:t>
      </w:r>
    </w:p>
    <w:p w14:paraId="5AC4FE5E" w14:textId="77777777" w:rsidR="004177BC" w:rsidRDefault="00000000">
      <w:pPr>
        <w:pStyle w:val="a6"/>
        <w:spacing w:line="360" w:lineRule="auto"/>
        <w:ind w:left="0" w:firstLineChars="200" w:firstLine="560"/>
        <w:rPr>
          <w:rFonts w:hint="default"/>
          <w:sz w:val="28"/>
          <w:szCs w:val="28"/>
        </w:rPr>
      </w:pPr>
      <w:r>
        <w:rPr>
          <w:sz w:val="28"/>
          <w:szCs w:val="28"/>
        </w:rPr>
        <w:t>规划沿沐溪河、结合公园绿地开敞空间，构建街区环形慢行交通体系，步行</w:t>
      </w:r>
      <w:r>
        <w:rPr>
          <w:sz w:val="28"/>
          <w:szCs w:val="28"/>
        </w:rPr>
        <w:lastRenderedPageBreak/>
        <w:t>道宽度不宜低于2米。增加步行道路密度，提高水系、绿地公园、商业区、生活街道之间的步行联系和可达性。</w:t>
      </w:r>
    </w:p>
    <w:p w14:paraId="525F3D7B" w14:textId="77777777" w:rsidR="004177BC" w:rsidRDefault="00000000">
      <w:pPr>
        <w:pStyle w:val="2"/>
        <w:spacing w:line="360" w:lineRule="auto"/>
        <w:ind w:left="0" w:firstLineChars="200" w:firstLine="562"/>
        <w:jc w:val="both"/>
        <w:rPr>
          <w:rFonts w:hint="default"/>
          <w:sz w:val="28"/>
          <w:szCs w:val="28"/>
        </w:rPr>
      </w:pPr>
      <w:r>
        <w:rPr>
          <w:sz w:val="28"/>
          <w:szCs w:val="28"/>
        </w:rPr>
        <w:t>第25条 道路交通设施规划</w:t>
      </w:r>
    </w:p>
    <w:p w14:paraId="2AC66FA7" w14:textId="77777777" w:rsidR="004177BC" w:rsidRDefault="00000000">
      <w:pPr>
        <w:pStyle w:val="a6"/>
        <w:spacing w:line="360" w:lineRule="auto"/>
        <w:ind w:left="0" w:firstLineChars="200" w:firstLine="560"/>
        <w:rPr>
          <w:rFonts w:hint="default"/>
          <w:sz w:val="28"/>
          <w:szCs w:val="28"/>
        </w:rPr>
      </w:pPr>
      <w:r>
        <w:rPr>
          <w:sz w:val="28"/>
          <w:szCs w:val="28"/>
        </w:rPr>
        <w:t>1、停车规划</w:t>
      </w:r>
    </w:p>
    <w:p w14:paraId="19B61696" w14:textId="77777777" w:rsidR="004177BC" w:rsidRDefault="00000000">
      <w:pPr>
        <w:pStyle w:val="a6"/>
        <w:spacing w:line="360" w:lineRule="auto"/>
        <w:ind w:left="0" w:firstLineChars="200" w:firstLine="560"/>
        <w:rPr>
          <w:rFonts w:hint="default"/>
          <w:sz w:val="28"/>
          <w:szCs w:val="28"/>
        </w:rPr>
      </w:pPr>
      <w:r>
        <w:rPr>
          <w:sz w:val="28"/>
          <w:szCs w:val="28"/>
        </w:rPr>
        <w:t>新增建筑需满足乐山市停车泊位配建标准。</w:t>
      </w:r>
    </w:p>
    <w:p w14:paraId="798D45D1" w14:textId="77777777" w:rsidR="004177BC" w:rsidRDefault="00000000">
      <w:pPr>
        <w:pStyle w:val="a6"/>
        <w:spacing w:line="360" w:lineRule="auto"/>
        <w:ind w:left="0" w:firstLineChars="200" w:firstLine="560"/>
        <w:rPr>
          <w:rFonts w:hint="default"/>
          <w:sz w:val="28"/>
          <w:szCs w:val="28"/>
        </w:rPr>
      </w:pPr>
      <w:r>
        <w:rPr>
          <w:sz w:val="28"/>
          <w:szCs w:val="28"/>
        </w:rPr>
        <w:t>在规划区除配建车位之外，规划地面公共停车场4处，建议按停车楼建设。</w:t>
      </w:r>
    </w:p>
    <w:p w14:paraId="3BBC4E26" w14:textId="77777777" w:rsidR="004177BC" w:rsidRDefault="00000000">
      <w:pPr>
        <w:pStyle w:val="a6"/>
        <w:spacing w:line="360" w:lineRule="auto"/>
        <w:ind w:left="0" w:firstLineChars="200" w:firstLine="560"/>
        <w:rPr>
          <w:rFonts w:hint="default"/>
          <w:sz w:val="28"/>
          <w:szCs w:val="28"/>
        </w:rPr>
      </w:pPr>
      <w:r>
        <w:rPr>
          <w:sz w:val="28"/>
          <w:szCs w:val="28"/>
        </w:rPr>
        <w:t>结合广场绿地，可配建停车场，公园绿地内配建停车场，其用地面积不得大于公园绿地总面积的10%。</w:t>
      </w:r>
    </w:p>
    <w:p w14:paraId="420EDEF2" w14:textId="77777777" w:rsidR="004177BC" w:rsidRDefault="00000000">
      <w:pPr>
        <w:pStyle w:val="a6"/>
        <w:spacing w:line="360" w:lineRule="auto"/>
        <w:ind w:left="0" w:firstLineChars="200" w:firstLine="560"/>
        <w:rPr>
          <w:rFonts w:hint="default"/>
          <w:sz w:val="28"/>
          <w:szCs w:val="28"/>
        </w:rPr>
      </w:pPr>
      <w:r>
        <w:rPr>
          <w:rFonts w:hint="default"/>
          <w:sz w:val="28"/>
          <w:szCs w:val="28"/>
        </w:rPr>
        <w:t>停车场配建新能源充电停车位</w:t>
      </w:r>
      <w:r>
        <w:rPr>
          <w:sz w:val="28"/>
          <w:szCs w:val="28"/>
        </w:rPr>
        <w:t>比例</w:t>
      </w:r>
      <w:r>
        <w:rPr>
          <w:rFonts w:hint="default"/>
          <w:sz w:val="28"/>
          <w:szCs w:val="28"/>
        </w:rPr>
        <w:t>按相关要求执行。</w:t>
      </w:r>
    </w:p>
    <w:p w14:paraId="4F8BCD45" w14:textId="77777777" w:rsidR="004177BC" w:rsidRDefault="004177BC">
      <w:pPr>
        <w:pStyle w:val="a6"/>
        <w:spacing w:line="360" w:lineRule="auto"/>
        <w:ind w:left="0" w:firstLineChars="200" w:firstLine="560"/>
        <w:rPr>
          <w:rFonts w:hint="default"/>
          <w:sz w:val="28"/>
          <w:szCs w:val="28"/>
        </w:rPr>
      </w:pPr>
    </w:p>
    <w:p w14:paraId="414EA45C" w14:textId="77777777" w:rsidR="004177BC" w:rsidRDefault="00000000">
      <w:pPr>
        <w:pStyle w:val="1"/>
        <w:numPr>
          <w:ilvl w:val="0"/>
          <w:numId w:val="3"/>
        </w:numPr>
        <w:spacing w:after="120"/>
        <w:rPr>
          <w:color w:val="auto"/>
        </w:rPr>
      </w:pPr>
      <w:bookmarkStart w:id="19" w:name="_Toc8339"/>
      <w:r>
        <w:rPr>
          <w:color w:val="auto"/>
        </w:rPr>
        <w:t>市政工程规划</w:t>
      </w:r>
      <w:bookmarkEnd w:id="19"/>
    </w:p>
    <w:p w14:paraId="01044487" w14:textId="77777777" w:rsidR="004177BC" w:rsidRDefault="00000000">
      <w:pPr>
        <w:pStyle w:val="2"/>
        <w:spacing w:line="360" w:lineRule="auto"/>
        <w:ind w:left="0" w:firstLineChars="200" w:firstLine="562"/>
        <w:jc w:val="both"/>
        <w:rPr>
          <w:rFonts w:hint="default"/>
          <w:sz w:val="28"/>
          <w:szCs w:val="28"/>
        </w:rPr>
      </w:pPr>
      <w:r>
        <w:rPr>
          <w:sz w:val="28"/>
          <w:szCs w:val="28"/>
        </w:rPr>
        <w:t>第26条 给水工程规划</w:t>
      </w:r>
    </w:p>
    <w:p w14:paraId="1BC5A020" w14:textId="77777777" w:rsidR="004177BC" w:rsidRDefault="00000000">
      <w:pPr>
        <w:pStyle w:val="a6"/>
        <w:spacing w:line="360" w:lineRule="auto"/>
        <w:ind w:left="0" w:firstLineChars="200" w:firstLine="560"/>
        <w:rPr>
          <w:rFonts w:hint="default"/>
          <w:sz w:val="28"/>
          <w:szCs w:val="28"/>
        </w:rPr>
      </w:pPr>
      <w:r>
        <w:rPr>
          <w:sz w:val="28"/>
          <w:szCs w:val="28"/>
        </w:rPr>
        <w:t>规划采取《城市给水工程规划规范》（GB 50282-2016）中不同类别用地用水量指标中指标取值进行计算，测算规划区最高日用水量为0.25万立方米/日。</w:t>
      </w:r>
    </w:p>
    <w:p w14:paraId="079C9E22" w14:textId="77777777" w:rsidR="004177BC" w:rsidRDefault="00000000">
      <w:pPr>
        <w:pStyle w:val="a6"/>
        <w:spacing w:line="360" w:lineRule="auto"/>
        <w:ind w:left="0" w:firstLineChars="200" w:firstLine="560"/>
        <w:rPr>
          <w:rFonts w:hint="default"/>
          <w:sz w:val="28"/>
          <w:szCs w:val="28"/>
        </w:rPr>
      </w:pPr>
      <w:r>
        <w:rPr>
          <w:sz w:val="28"/>
          <w:szCs w:val="28"/>
        </w:rPr>
        <w:t>规划以沐川县第一自来水厂为水源，供水规模为1.0万立方米/日，给水主干管沐源路、中桥街、交通街、建设街布置，给水管管径采用DN300～DN500。支管沿其余道路布置，管径不小于DN150。主、次管网共同保证街区的供水安全。</w:t>
      </w:r>
    </w:p>
    <w:p w14:paraId="1E6B274D" w14:textId="77777777" w:rsidR="004177BC" w:rsidRDefault="00000000">
      <w:pPr>
        <w:pStyle w:val="a6"/>
        <w:spacing w:line="360" w:lineRule="auto"/>
        <w:ind w:left="0" w:firstLineChars="200" w:firstLine="560"/>
        <w:rPr>
          <w:rFonts w:hint="default"/>
          <w:sz w:val="28"/>
          <w:szCs w:val="28"/>
        </w:rPr>
      </w:pPr>
      <w:r>
        <w:rPr>
          <w:sz w:val="28"/>
          <w:szCs w:val="28"/>
        </w:rPr>
        <w:t>消防给水：城市消防采用低压制，同城市给水共用一套管网系统，消防用水量按同一时间内火灾次数为1次，一次灭火用水量为25L/s，两小时消防延时的最不利情况来校核城市给水系统，城市消防用水量储存于城市高位水池中。</w:t>
      </w:r>
    </w:p>
    <w:p w14:paraId="0FCF85DC" w14:textId="77777777" w:rsidR="004177BC" w:rsidRDefault="00000000">
      <w:pPr>
        <w:pStyle w:val="a6"/>
        <w:spacing w:line="360" w:lineRule="auto"/>
        <w:ind w:left="0" w:firstLineChars="200" w:firstLine="562"/>
        <w:rPr>
          <w:rFonts w:hint="default"/>
          <w:sz w:val="28"/>
          <w:szCs w:val="28"/>
        </w:rPr>
      </w:pPr>
      <w:r>
        <w:rPr>
          <w:b/>
          <w:sz w:val="28"/>
          <w:szCs w:val="28"/>
          <w:u w:val="single"/>
        </w:rPr>
        <w:t>室外消火栓沿规划区主次干道布置，间距不大于120m，并在道路交叉口保证有一处消火栓</w:t>
      </w:r>
      <w:r>
        <w:rPr>
          <w:sz w:val="28"/>
          <w:szCs w:val="28"/>
        </w:rPr>
        <w:t>。</w:t>
      </w:r>
    </w:p>
    <w:p w14:paraId="274F12B1" w14:textId="77777777" w:rsidR="004177BC" w:rsidRDefault="00000000">
      <w:pPr>
        <w:pStyle w:val="2"/>
        <w:spacing w:line="360" w:lineRule="auto"/>
        <w:ind w:left="0" w:firstLineChars="200" w:firstLine="562"/>
        <w:jc w:val="both"/>
        <w:rPr>
          <w:rFonts w:hint="default"/>
          <w:sz w:val="28"/>
          <w:szCs w:val="28"/>
        </w:rPr>
      </w:pPr>
      <w:r>
        <w:rPr>
          <w:sz w:val="28"/>
          <w:szCs w:val="28"/>
        </w:rPr>
        <w:t>第27条 排水工程规划</w:t>
      </w:r>
    </w:p>
    <w:p w14:paraId="1F8CD041" w14:textId="77777777" w:rsidR="004177BC" w:rsidRDefault="00000000">
      <w:pPr>
        <w:pStyle w:val="a6"/>
        <w:spacing w:line="360" w:lineRule="auto"/>
        <w:ind w:left="0" w:firstLineChars="200" w:firstLine="562"/>
        <w:rPr>
          <w:rFonts w:hint="default"/>
          <w:sz w:val="28"/>
          <w:szCs w:val="28"/>
        </w:rPr>
      </w:pPr>
      <w:r>
        <w:rPr>
          <w:b/>
          <w:sz w:val="28"/>
          <w:szCs w:val="28"/>
          <w:u w:val="single"/>
        </w:rPr>
        <w:t>规划区排水体制采用雨、污分流制</w:t>
      </w:r>
      <w:r>
        <w:rPr>
          <w:sz w:val="28"/>
          <w:szCs w:val="28"/>
        </w:rPr>
        <w:t>，即：污水收集集中处理，雨水就近排入自然水体。</w:t>
      </w:r>
    </w:p>
    <w:p w14:paraId="781E156E" w14:textId="77777777" w:rsidR="004177BC" w:rsidRDefault="00000000">
      <w:pPr>
        <w:pStyle w:val="a6"/>
        <w:spacing w:line="360" w:lineRule="auto"/>
        <w:ind w:left="0" w:firstLineChars="200" w:firstLine="560"/>
        <w:rPr>
          <w:rFonts w:hint="default"/>
          <w:sz w:val="28"/>
          <w:szCs w:val="28"/>
        </w:rPr>
      </w:pPr>
      <w:r>
        <w:rPr>
          <w:sz w:val="28"/>
          <w:szCs w:val="28"/>
        </w:rPr>
        <w:t>1、雨水规划</w:t>
      </w:r>
    </w:p>
    <w:p w14:paraId="35290DEB" w14:textId="77777777" w:rsidR="004177BC" w:rsidRDefault="00000000">
      <w:pPr>
        <w:pStyle w:val="a6"/>
        <w:spacing w:line="360" w:lineRule="auto"/>
        <w:ind w:left="0" w:firstLineChars="200" w:firstLine="560"/>
        <w:rPr>
          <w:rFonts w:hint="default"/>
          <w:sz w:val="28"/>
          <w:szCs w:val="28"/>
        </w:rPr>
      </w:pPr>
      <w:r>
        <w:rPr>
          <w:sz w:val="28"/>
          <w:szCs w:val="28"/>
        </w:rPr>
        <w:t>综合协调道路、场地、排水管道、排洪河道之间的高程关系，规划区雨水排放主要向南、向北进行组织，雨水管一般沿规划道路布置，尽量顺坡敷设，以减少管道埋深；雨水管在街道上的最小管径宜不小于D400，在机动车道下，最小覆土厚度宜大于0.7m。雨水管网工程采用重力流为主的自然排水方式，受纳水体为沐溪河。</w:t>
      </w:r>
    </w:p>
    <w:p w14:paraId="0307B04A" w14:textId="77777777" w:rsidR="004177BC" w:rsidRDefault="00000000">
      <w:pPr>
        <w:pStyle w:val="a6"/>
        <w:spacing w:line="360" w:lineRule="auto"/>
        <w:ind w:left="0" w:firstLineChars="200" w:firstLine="560"/>
        <w:rPr>
          <w:rFonts w:hint="default"/>
          <w:sz w:val="28"/>
          <w:szCs w:val="28"/>
        </w:rPr>
      </w:pPr>
      <w:r>
        <w:rPr>
          <w:sz w:val="28"/>
          <w:szCs w:val="28"/>
        </w:rPr>
        <w:t>2、污水工程</w:t>
      </w:r>
    </w:p>
    <w:p w14:paraId="5902B809" w14:textId="77777777" w:rsidR="004177BC" w:rsidRDefault="00000000">
      <w:pPr>
        <w:pStyle w:val="a6"/>
        <w:spacing w:line="360" w:lineRule="auto"/>
        <w:ind w:left="0" w:firstLineChars="200" w:firstLine="560"/>
        <w:rPr>
          <w:rFonts w:hint="default"/>
          <w:sz w:val="28"/>
          <w:szCs w:val="28"/>
        </w:rPr>
      </w:pPr>
      <w:r>
        <w:rPr>
          <w:sz w:val="28"/>
          <w:szCs w:val="28"/>
        </w:rPr>
        <w:t>测算规划区生活污水总量约0.2万立方米/日，沿沐源路、交通街、卷河路敷设污水干管，统一收集沿线污水至第一城市生活污水处理厂进行统一处理，污水管径DN500～DN1000。</w:t>
      </w:r>
    </w:p>
    <w:p w14:paraId="585B111B" w14:textId="77777777" w:rsidR="004177BC" w:rsidRDefault="00000000">
      <w:pPr>
        <w:pStyle w:val="a6"/>
        <w:spacing w:line="360" w:lineRule="auto"/>
        <w:ind w:left="0" w:firstLineChars="200" w:firstLine="560"/>
        <w:rPr>
          <w:rFonts w:hint="default"/>
          <w:sz w:val="28"/>
          <w:szCs w:val="28"/>
        </w:rPr>
      </w:pPr>
      <w:r>
        <w:rPr>
          <w:sz w:val="28"/>
          <w:szCs w:val="28"/>
        </w:rPr>
        <w:t>污水管的布置以方便污水收集及便于污水临时排放为原则，根据地势沿规划道路布置，通常设置在污水量较大或地下管线较少一侧的人行、绿化带或慢车道下，污水经收集汇入城区污水主干管，排入污水处理厂进行处理。</w:t>
      </w:r>
    </w:p>
    <w:p w14:paraId="38AC0F80" w14:textId="77777777" w:rsidR="004177BC" w:rsidRDefault="00000000">
      <w:pPr>
        <w:pStyle w:val="2"/>
        <w:spacing w:line="360" w:lineRule="auto"/>
        <w:ind w:left="0" w:firstLineChars="200" w:firstLine="562"/>
        <w:jc w:val="both"/>
        <w:rPr>
          <w:rFonts w:hint="default"/>
          <w:sz w:val="28"/>
          <w:szCs w:val="28"/>
        </w:rPr>
      </w:pPr>
      <w:r>
        <w:rPr>
          <w:sz w:val="28"/>
          <w:szCs w:val="28"/>
        </w:rPr>
        <w:t>第28条 燃气工程规划</w:t>
      </w:r>
    </w:p>
    <w:p w14:paraId="3BDB8169" w14:textId="77777777" w:rsidR="004177BC" w:rsidRDefault="00000000">
      <w:pPr>
        <w:pStyle w:val="a6"/>
        <w:spacing w:line="360" w:lineRule="auto"/>
        <w:ind w:left="0" w:firstLineChars="200" w:firstLine="560"/>
        <w:rPr>
          <w:rFonts w:hint="default"/>
          <w:sz w:val="28"/>
          <w:szCs w:val="28"/>
        </w:rPr>
      </w:pPr>
      <w:r>
        <w:rPr>
          <w:sz w:val="28"/>
          <w:szCs w:val="28"/>
        </w:rPr>
        <w:t>1、用气量</w:t>
      </w:r>
    </w:p>
    <w:p w14:paraId="6F005FCD" w14:textId="77777777" w:rsidR="004177BC" w:rsidRDefault="00000000">
      <w:pPr>
        <w:pStyle w:val="a6"/>
        <w:spacing w:line="360" w:lineRule="auto"/>
        <w:ind w:left="0" w:firstLineChars="200" w:firstLine="560"/>
        <w:rPr>
          <w:rFonts w:hint="default"/>
          <w:sz w:val="28"/>
          <w:szCs w:val="28"/>
        </w:rPr>
      </w:pPr>
      <w:r>
        <w:rPr>
          <w:sz w:val="28"/>
          <w:szCs w:val="28"/>
        </w:rPr>
        <w:t>规划区最高日用气量约为1万立方米/日。</w:t>
      </w:r>
    </w:p>
    <w:p w14:paraId="7C682053" w14:textId="77777777" w:rsidR="004177BC" w:rsidRDefault="00000000">
      <w:pPr>
        <w:pStyle w:val="a6"/>
        <w:spacing w:line="360" w:lineRule="auto"/>
        <w:ind w:left="0" w:firstLineChars="200" w:firstLine="560"/>
        <w:rPr>
          <w:rFonts w:hint="default"/>
          <w:sz w:val="28"/>
          <w:szCs w:val="28"/>
        </w:rPr>
      </w:pPr>
      <w:r>
        <w:rPr>
          <w:sz w:val="28"/>
          <w:szCs w:val="28"/>
        </w:rPr>
        <w:t>2、气源</w:t>
      </w:r>
    </w:p>
    <w:p w14:paraId="41ACFCE0" w14:textId="77777777" w:rsidR="004177BC" w:rsidRDefault="00000000">
      <w:pPr>
        <w:pStyle w:val="a6"/>
        <w:spacing w:line="360" w:lineRule="auto"/>
        <w:ind w:left="0" w:firstLineChars="200" w:firstLine="560"/>
        <w:rPr>
          <w:rFonts w:hint="default"/>
          <w:sz w:val="28"/>
          <w:szCs w:val="28"/>
        </w:rPr>
      </w:pPr>
      <w:r>
        <w:rPr>
          <w:sz w:val="28"/>
          <w:szCs w:val="28"/>
        </w:rPr>
        <w:t>气源来自犍为清溪镇蜀南气矿麻柳场气田。经麻柳场输气站至沐川配气站Ф108管线引入沐川城区，沿沐源路、中桥街、交通街敷设至街区。街区配气管网沿规划道路敷设，形成环枝结合的网络。</w:t>
      </w:r>
    </w:p>
    <w:p w14:paraId="246DE66F" w14:textId="77777777" w:rsidR="004177BC" w:rsidRDefault="00000000">
      <w:pPr>
        <w:pStyle w:val="2"/>
        <w:spacing w:line="360" w:lineRule="auto"/>
        <w:ind w:left="0" w:firstLineChars="200" w:firstLine="562"/>
        <w:jc w:val="both"/>
        <w:rPr>
          <w:rFonts w:hint="default"/>
          <w:sz w:val="28"/>
          <w:szCs w:val="28"/>
        </w:rPr>
      </w:pPr>
      <w:r>
        <w:rPr>
          <w:sz w:val="28"/>
          <w:szCs w:val="28"/>
        </w:rPr>
        <w:t>第29条 供电工程规划</w:t>
      </w:r>
    </w:p>
    <w:p w14:paraId="272DE7A0" w14:textId="77777777" w:rsidR="004177BC" w:rsidRDefault="00000000">
      <w:pPr>
        <w:pStyle w:val="a6"/>
        <w:spacing w:line="360" w:lineRule="auto"/>
        <w:ind w:left="0" w:firstLineChars="200" w:firstLine="560"/>
        <w:rPr>
          <w:rFonts w:hint="default"/>
          <w:sz w:val="28"/>
          <w:szCs w:val="28"/>
        </w:rPr>
      </w:pPr>
      <w:r>
        <w:rPr>
          <w:sz w:val="28"/>
          <w:szCs w:val="28"/>
        </w:rPr>
        <w:t>1、用电负荷预测</w:t>
      </w:r>
    </w:p>
    <w:p w14:paraId="271B9A8D" w14:textId="77777777" w:rsidR="004177BC" w:rsidRDefault="00000000">
      <w:pPr>
        <w:pStyle w:val="a6"/>
        <w:spacing w:line="360" w:lineRule="auto"/>
        <w:ind w:left="0" w:firstLineChars="200" w:firstLine="560"/>
        <w:rPr>
          <w:rFonts w:hint="default"/>
          <w:sz w:val="28"/>
          <w:szCs w:val="28"/>
        </w:rPr>
      </w:pPr>
      <w:r>
        <w:rPr>
          <w:sz w:val="28"/>
          <w:szCs w:val="28"/>
        </w:rPr>
        <w:t>本规划区用电负荷按照国家相关分类综合用电负荷指标进行测算，总用电负荷约为2万千瓦。</w:t>
      </w:r>
    </w:p>
    <w:p w14:paraId="6904DA41" w14:textId="77777777" w:rsidR="004177BC" w:rsidRDefault="00000000">
      <w:pPr>
        <w:pStyle w:val="a6"/>
        <w:spacing w:line="360" w:lineRule="auto"/>
        <w:ind w:left="0" w:firstLineChars="200" w:firstLine="560"/>
        <w:rPr>
          <w:rFonts w:hint="default"/>
          <w:sz w:val="28"/>
          <w:szCs w:val="28"/>
        </w:rPr>
      </w:pPr>
      <w:r>
        <w:rPr>
          <w:sz w:val="28"/>
          <w:szCs w:val="28"/>
        </w:rPr>
        <w:t>2、供电设施规划</w:t>
      </w:r>
    </w:p>
    <w:p w14:paraId="7A35D0F1" w14:textId="77777777" w:rsidR="004177BC" w:rsidRDefault="00000000">
      <w:pPr>
        <w:pStyle w:val="a6"/>
        <w:spacing w:line="360" w:lineRule="auto"/>
        <w:ind w:left="0" w:firstLineChars="200" w:firstLine="560"/>
        <w:rPr>
          <w:rFonts w:hint="default"/>
          <w:sz w:val="28"/>
          <w:szCs w:val="28"/>
        </w:rPr>
      </w:pPr>
      <w:r>
        <w:rPr>
          <w:sz w:val="28"/>
          <w:szCs w:val="28"/>
        </w:rPr>
        <w:t>规划区用电由中心城区现状110千伏变电站进行保障。</w:t>
      </w:r>
    </w:p>
    <w:p w14:paraId="7D9DABE0" w14:textId="77777777" w:rsidR="004177BC" w:rsidRDefault="00000000">
      <w:pPr>
        <w:pStyle w:val="a6"/>
        <w:spacing w:line="360" w:lineRule="auto"/>
        <w:ind w:left="0" w:firstLineChars="200" w:firstLine="560"/>
        <w:rPr>
          <w:rFonts w:hint="default"/>
          <w:sz w:val="28"/>
          <w:szCs w:val="28"/>
        </w:rPr>
      </w:pPr>
      <w:r>
        <w:rPr>
          <w:sz w:val="28"/>
          <w:szCs w:val="28"/>
        </w:rPr>
        <w:lastRenderedPageBreak/>
        <w:t>3、线路规划</w:t>
      </w:r>
    </w:p>
    <w:p w14:paraId="24D7BA2C" w14:textId="77777777" w:rsidR="004177BC" w:rsidRDefault="00000000">
      <w:pPr>
        <w:pStyle w:val="a6"/>
        <w:spacing w:line="360" w:lineRule="auto"/>
        <w:ind w:left="0" w:firstLineChars="200" w:firstLine="560"/>
        <w:rPr>
          <w:rFonts w:hint="default"/>
          <w:sz w:val="28"/>
          <w:szCs w:val="28"/>
        </w:rPr>
      </w:pPr>
      <w:r>
        <w:rPr>
          <w:sz w:val="28"/>
          <w:szCs w:val="28"/>
        </w:rPr>
        <w:t>规划区配电网络采用10kV电压等级，网架结构采用放射式与树干式相结合的结构方式沿主要道路布置，主干线路采用地埋电缆沟的敷设方式。</w:t>
      </w:r>
    </w:p>
    <w:p w14:paraId="030DDEF6" w14:textId="77777777" w:rsidR="004177BC" w:rsidRDefault="00000000">
      <w:pPr>
        <w:pStyle w:val="2"/>
        <w:spacing w:line="360" w:lineRule="auto"/>
        <w:ind w:left="0" w:firstLineChars="200" w:firstLine="562"/>
        <w:jc w:val="both"/>
        <w:rPr>
          <w:rFonts w:hint="default"/>
          <w:sz w:val="28"/>
          <w:szCs w:val="28"/>
        </w:rPr>
      </w:pPr>
      <w:r>
        <w:rPr>
          <w:sz w:val="28"/>
          <w:szCs w:val="28"/>
        </w:rPr>
        <w:t>第30条 通信工程规划</w:t>
      </w:r>
    </w:p>
    <w:p w14:paraId="462F46F4" w14:textId="77777777" w:rsidR="004177BC" w:rsidRDefault="00000000">
      <w:pPr>
        <w:pStyle w:val="a6"/>
        <w:spacing w:line="360" w:lineRule="auto"/>
        <w:ind w:left="0" w:firstLineChars="200" w:firstLine="560"/>
        <w:rPr>
          <w:rFonts w:hint="default"/>
          <w:sz w:val="28"/>
          <w:szCs w:val="28"/>
        </w:rPr>
      </w:pPr>
      <w:r>
        <w:rPr>
          <w:sz w:val="28"/>
          <w:szCs w:val="28"/>
        </w:rPr>
        <w:t>1、有线电视网络规划</w:t>
      </w:r>
    </w:p>
    <w:p w14:paraId="1EC1D257" w14:textId="77777777" w:rsidR="004177BC" w:rsidRDefault="00000000">
      <w:pPr>
        <w:pStyle w:val="a6"/>
        <w:spacing w:line="360" w:lineRule="auto"/>
        <w:ind w:left="0" w:firstLineChars="200" w:firstLine="560"/>
        <w:rPr>
          <w:rFonts w:hint="default"/>
          <w:sz w:val="28"/>
          <w:szCs w:val="28"/>
        </w:rPr>
      </w:pPr>
      <w:r>
        <w:rPr>
          <w:sz w:val="28"/>
          <w:szCs w:val="28"/>
        </w:rPr>
        <w:t>规划构建完整的双向化的有线电视光纤传输网络，每300～400用户设置一个光接收点，将光缆架设到小区、大楼，有条件的架设入户。每个光接收点的建筑面积约10～20平方米，服务半径控制在500～1000米内。</w:t>
      </w:r>
    </w:p>
    <w:p w14:paraId="0CAF19F7" w14:textId="77777777" w:rsidR="004177BC" w:rsidRDefault="00000000">
      <w:pPr>
        <w:pStyle w:val="a6"/>
        <w:spacing w:line="360" w:lineRule="auto"/>
        <w:ind w:left="0" w:firstLineChars="200" w:firstLine="560"/>
        <w:rPr>
          <w:rFonts w:hint="default"/>
          <w:sz w:val="28"/>
          <w:szCs w:val="28"/>
        </w:rPr>
      </w:pPr>
      <w:r>
        <w:rPr>
          <w:sz w:val="28"/>
          <w:szCs w:val="28"/>
        </w:rPr>
        <w:t>2、电信管道规划</w:t>
      </w:r>
    </w:p>
    <w:p w14:paraId="3483E1B6" w14:textId="77777777" w:rsidR="004177BC" w:rsidRDefault="00000000">
      <w:pPr>
        <w:pStyle w:val="a6"/>
        <w:spacing w:line="360" w:lineRule="auto"/>
        <w:ind w:left="0" w:firstLineChars="200" w:firstLine="560"/>
        <w:jc w:val="both"/>
        <w:rPr>
          <w:rFonts w:hint="default"/>
          <w:sz w:val="28"/>
          <w:szCs w:val="28"/>
        </w:rPr>
      </w:pPr>
      <w:r>
        <w:rPr>
          <w:sz w:val="28"/>
          <w:szCs w:val="28"/>
        </w:rPr>
        <w:t>电信管道宜与道路施工同步建设，沿城市主要道路建设电信管道，主干光缆网络建设适当控制行数，提高光纤技术含量。通过主干光缆加强交换模块局的沟通，建设城域业务汇聚用光缆网络。</w:t>
      </w:r>
    </w:p>
    <w:p w14:paraId="4276D9CF" w14:textId="77777777" w:rsidR="004177BC" w:rsidRDefault="00000000">
      <w:pPr>
        <w:pStyle w:val="2"/>
        <w:spacing w:line="360" w:lineRule="auto"/>
        <w:ind w:left="0" w:firstLineChars="200" w:firstLine="562"/>
        <w:jc w:val="both"/>
        <w:rPr>
          <w:rFonts w:hint="default"/>
          <w:sz w:val="28"/>
          <w:szCs w:val="28"/>
        </w:rPr>
      </w:pPr>
      <w:r>
        <w:rPr>
          <w:sz w:val="28"/>
          <w:szCs w:val="28"/>
        </w:rPr>
        <w:t>第31条 管线综合规划</w:t>
      </w:r>
    </w:p>
    <w:p w14:paraId="648EBA1B" w14:textId="77777777" w:rsidR="004177BC" w:rsidRDefault="00000000">
      <w:pPr>
        <w:pStyle w:val="a6"/>
        <w:spacing w:line="360" w:lineRule="auto"/>
        <w:ind w:left="0" w:firstLineChars="200" w:firstLine="560"/>
        <w:rPr>
          <w:rFonts w:hint="default"/>
          <w:sz w:val="28"/>
          <w:szCs w:val="28"/>
        </w:rPr>
      </w:pPr>
      <w:r>
        <w:rPr>
          <w:sz w:val="28"/>
          <w:szCs w:val="28"/>
        </w:rPr>
        <w:t>1、平面综合</w:t>
      </w:r>
    </w:p>
    <w:p w14:paraId="52868AD4" w14:textId="77777777" w:rsidR="004177BC" w:rsidRDefault="00000000">
      <w:pPr>
        <w:pStyle w:val="a6"/>
        <w:spacing w:line="360" w:lineRule="auto"/>
        <w:ind w:left="0" w:firstLineChars="200" w:firstLine="560"/>
        <w:rPr>
          <w:rFonts w:hint="default"/>
          <w:sz w:val="28"/>
          <w:szCs w:val="28"/>
        </w:rPr>
      </w:pPr>
      <w:r>
        <w:rPr>
          <w:sz w:val="28"/>
          <w:szCs w:val="28"/>
        </w:rPr>
        <w:t>为避免给水与污水相互污染，强弱电相互干扰，原则上各种管线从道路红线向道路中心线方向平行布置，一般应遵循下列次序：</w:t>
      </w:r>
    </w:p>
    <w:p w14:paraId="0E88CBDF" w14:textId="77777777" w:rsidR="004177BC" w:rsidRDefault="00000000">
      <w:pPr>
        <w:pStyle w:val="a6"/>
        <w:spacing w:line="360" w:lineRule="auto"/>
        <w:ind w:left="0" w:firstLineChars="200" w:firstLine="560"/>
        <w:rPr>
          <w:rFonts w:hint="default"/>
          <w:sz w:val="28"/>
          <w:szCs w:val="28"/>
        </w:rPr>
      </w:pPr>
      <w:r>
        <w:rPr>
          <w:sz w:val="28"/>
          <w:szCs w:val="28"/>
        </w:rPr>
        <w:t>道路西、北侧为:电力、给水、雨水；</w:t>
      </w:r>
    </w:p>
    <w:p w14:paraId="3101F039" w14:textId="77777777" w:rsidR="004177BC" w:rsidRDefault="00000000">
      <w:pPr>
        <w:pStyle w:val="a6"/>
        <w:spacing w:line="360" w:lineRule="auto"/>
        <w:ind w:left="0" w:firstLineChars="200" w:firstLine="560"/>
        <w:rPr>
          <w:rFonts w:hint="default"/>
          <w:sz w:val="28"/>
          <w:szCs w:val="28"/>
        </w:rPr>
      </w:pPr>
      <w:r>
        <w:rPr>
          <w:sz w:val="28"/>
          <w:szCs w:val="28"/>
        </w:rPr>
        <w:t>道路东、南侧为:电信(广电)、燃气、污水、再生水。</w:t>
      </w:r>
    </w:p>
    <w:p w14:paraId="326975C0" w14:textId="77777777" w:rsidR="004177BC" w:rsidRDefault="00000000">
      <w:pPr>
        <w:pStyle w:val="a6"/>
        <w:spacing w:line="360" w:lineRule="auto"/>
        <w:ind w:left="0" w:firstLineChars="200" w:firstLine="562"/>
        <w:rPr>
          <w:rFonts w:hint="default"/>
          <w:b/>
          <w:sz w:val="28"/>
          <w:szCs w:val="28"/>
          <w:u w:val="single"/>
        </w:rPr>
      </w:pPr>
      <w:r>
        <w:rPr>
          <w:b/>
          <w:sz w:val="28"/>
          <w:szCs w:val="28"/>
          <w:u w:val="single"/>
        </w:rPr>
        <w:t>管道与建筑红线以及管道与管道间的水平净距应满足国家相关标准规范的要求。</w:t>
      </w:r>
    </w:p>
    <w:p w14:paraId="12D725B0" w14:textId="77777777" w:rsidR="004177BC" w:rsidRDefault="00000000">
      <w:pPr>
        <w:pStyle w:val="a6"/>
        <w:spacing w:line="360" w:lineRule="auto"/>
        <w:ind w:left="0" w:firstLineChars="200" w:firstLine="560"/>
        <w:rPr>
          <w:rFonts w:hint="default"/>
          <w:sz w:val="28"/>
          <w:szCs w:val="28"/>
        </w:rPr>
      </w:pPr>
      <w:r>
        <w:rPr>
          <w:sz w:val="28"/>
          <w:szCs w:val="28"/>
        </w:rPr>
        <w:t>2、竖向综合</w:t>
      </w:r>
    </w:p>
    <w:p w14:paraId="62CD89BB" w14:textId="77777777" w:rsidR="004177BC" w:rsidRDefault="00000000">
      <w:pPr>
        <w:pStyle w:val="a6"/>
        <w:spacing w:line="360" w:lineRule="auto"/>
        <w:ind w:left="0" w:firstLineChars="200" w:firstLine="560"/>
        <w:rPr>
          <w:rFonts w:hint="default"/>
          <w:sz w:val="28"/>
          <w:szCs w:val="28"/>
        </w:rPr>
      </w:pPr>
      <w:r>
        <w:rPr>
          <w:sz w:val="28"/>
          <w:szCs w:val="28"/>
        </w:rPr>
        <w:t>给水、排水、再生水、直埋电力工程管线覆土深度应在土壤冰冻深度以下。在车行道下管线的最小覆土厚度为0.7m。各种工程管线交叉时，自地表面向下的排列顺序宜为：通信、电力、燃气、给水、再生水、雨水、污水。</w:t>
      </w:r>
    </w:p>
    <w:p w14:paraId="0229BF00" w14:textId="77777777" w:rsidR="004177BC" w:rsidRDefault="00000000">
      <w:pPr>
        <w:pStyle w:val="a6"/>
        <w:spacing w:line="360" w:lineRule="auto"/>
        <w:ind w:left="0" w:firstLineChars="200" w:firstLine="560"/>
        <w:rPr>
          <w:rFonts w:hint="default"/>
          <w:sz w:val="28"/>
          <w:szCs w:val="28"/>
        </w:rPr>
      </w:pPr>
      <w:r>
        <w:rPr>
          <w:sz w:val="28"/>
          <w:szCs w:val="28"/>
        </w:rPr>
        <w:t>若出现交叉矛盾时应遵循小管让大管，压力流管让重力流管，可弯曲管让不可弯曲管等原则进行调整。</w:t>
      </w:r>
    </w:p>
    <w:p w14:paraId="16912457" w14:textId="77777777" w:rsidR="004177BC" w:rsidRDefault="00000000">
      <w:pPr>
        <w:pStyle w:val="1"/>
        <w:spacing w:after="120"/>
        <w:rPr>
          <w:color w:val="auto"/>
        </w:rPr>
      </w:pPr>
      <w:bookmarkStart w:id="20" w:name="_Toc18281"/>
      <w:r>
        <w:rPr>
          <w:color w:val="auto"/>
        </w:rPr>
        <w:t>第九章 历史文化保护规划</w:t>
      </w:r>
      <w:bookmarkEnd w:id="20"/>
    </w:p>
    <w:p w14:paraId="592BE011" w14:textId="77777777" w:rsidR="004177BC" w:rsidRDefault="00000000">
      <w:pPr>
        <w:pStyle w:val="2"/>
        <w:spacing w:line="360" w:lineRule="auto"/>
        <w:ind w:left="0" w:firstLineChars="200" w:firstLine="562"/>
        <w:jc w:val="both"/>
        <w:rPr>
          <w:rFonts w:hint="default"/>
          <w:sz w:val="28"/>
          <w:szCs w:val="28"/>
        </w:rPr>
      </w:pPr>
      <w:r>
        <w:rPr>
          <w:sz w:val="28"/>
          <w:szCs w:val="28"/>
        </w:rPr>
        <w:t>第32条 历史文化保护</w:t>
      </w:r>
    </w:p>
    <w:p w14:paraId="033FE171" w14:textId="77777777" w:rsidR="004177BC" w:rsidRDefault="00000000">
      <w:pPr>
        <w:pStyle w:val="a6"/>
        <w:spacing w:line="360" w:lineRule="auto"/>
        <w:ind w:left="0" w:firstLineChars="200" w:firstLine="562"/>
        <w:jc w:val="both"/>
        <w:rPr>
          <w:rFonts w:hint="default"/>
          <w:b/>
          <w:sz w:val="28"/>
          <w:szCs w:val="28"/>
          <w:u w:val="single"/>
        </w:rPr>
      </w:pPr>
      <w:r>
        <w:rPr>
          <w:b/>
          <w:sz w:val="28"/>
          <w:szCs w:val="28"/>
          <w:u w:val="single"/>
        </w:rPr>
        <w:t>本规划区内的沐溪镇天主堂是不可移动文物(未定级)，为近现代重要史迹及代表性建筑(清)，保护及管控范围为西为人行道，北、南、东为群众住房相连区域，严格按照《中华人民共和国文物保护法》的规定要求执行，保持文物古迹的原真性。不可移动文物保护遵循不改变文物原状的原则，不得损毁、改建、添建或者拆除。</w:t>
      </w:r>
    </w:p>
    <w:p w14:paraId="44B869CB" w14:textId="77777777" w:rsidR="004177BC" w:rsidRDefault="00000000">
      <w:pPr>
        <w:pStyle w:val="1"/>
        <w:spacing w:after="120"/>
        <w:rPr>
          <w:color w:val="auto"/>
        </w:rPr>
      </w:pPr>
      <w:bookmarkStart w:id="21" w:name="_Toc13091"/>
      <w:r>
        <w:rPr>
          <w:color w:val="auto"/>
        </w:rPr>
        <w:t>第十章 综合防灾规划</w:t>
      </w:r>
      <w:bookmarkEnd w:id="21"/>
    </w:p>
    <w:p w14:paraId="71BF5DFF" w14:textId="77777777" w:rsidR="004177BC" w:rsidRDefault="00000000">
      <w:pPr>
        <w:pStyle w:val="2"/>
        <w:spacing w:line="360" w:lineRule="auto"/>
        <w:ind w:left="0" w:firstLineChars="200" w:firstLine="562"/>
        <w:jc w:val="both"/>
        <w:rPr>
          <w:rFonts w:hint="default"/>
          <w:sz w:val="28"/>
          <w:szCs w:val="28"/>
        </w:rPr>
      </w:pPr>
      <w:r>
        <w:rPr>
          <w:sz w:val="28"/>
          <w:szCs w:val="28"/>
        </w:rPr>
        <w:t>第33条 防洪排涝规划</w:t>
      </w:r>
    </w:p>
    <w:p w14:paraId="5585FAE5" w14:textId="77777777" w:rsidR="004177BC" w:rsidRDefault="00000000">
      <w:pPr>
        <w:pStyle w:val="a6"/>
        <w:spacing w:line="360" w:lineRule="auto"/>
        <w:ind w:left="0" w:firstLineChars="200" w:firstLine="562"/>
        <w:jc w:val="both"/>
        <w:rPr>
          <w:rFonts w:hint="default"/>
          <w:b/>
          <w:sz w:val="28"/>
          <w:szCs w:val="28"/>
          <w:u w:val="single"/>
        </w:rPr>
      </w:pPr>
      <w:bookmarkStart w:id="22" w:name="_Toc207615911"/>
      <w:r>
        <w:rPr>
          <w:b/>
          <w:sz w:val="28"/>
          <w:szCs w:val="28"/>
          <w:u w:val="single"/>
        </w:rPr>
        <w:t>根据《防洪标准》（GB50201</w:t>
      </w:r>
      <w:r>
        <w:rPr>
          <w:rFonts w:hint="default"/>
          <w:b/>
          <w:sz w:val="28"/>
          <w:szCs w:val="28"/>
          <w:u w:val="single"/>
        </w:rPr>
        <w:t>—</w:t>
      </w:r>
      <w:r>
        <w:rPr>
          <w:b/>
          <w:sz w:val="28"/>
          <w:szCs w:val="28"/>
          <w:u w:val="single"/>
        </w:rPr>
        <w:t>2014）及《城市防洪工程设计规范》（CJJ50</w:t>
      </w:r>
      <w:r>
        <w:rPr>
          <w:rFonts w:hint="default"/>
          <w:b/>
          <w:sz w:val="28"/>
          <w:szCs w:val="28"/>
          <w:u w:val="single"/>
        </w:rPr>
        <w:t>—</w:t>
      </w:r>
      <w:r>
        <w:rPr>
          <w:b/>
          <w:sz w:val="28"/>
          <w:szCs w:val="28"/>
          <w:u w:val="single"/>
        </w:rPr>
        <w:t xml:space="preserve">92），结合沐川县城的实际情况，确定沐溪河县城段及其支流按20年一遇洪水设防。沐川县中心城区内涝防治按20年一遇标准设防。 </w:t>
      </w:r>
    </w:p>
    <w:p w14:paraId="0FF6F564" w14:textId="77777777" w:rsidR="004177BC" w:rsidRDefault="00000000">
      <w:pPr>
        <w:pStyle w:val="2"/>
        <w:spacing w:line="360" w:lineRule="auto"/>
        <w:ind w:left="0" w:firstLineChars="200" w:firstLine="562"/>
        <w:jc w:val="both"/>
        <w:rPr>
          <w:rFonts w:hint="default"/>
          <w:sz w:val="28"/>
          <w:szCs w:val="28"/>
        </w:rPr>
      </w:pPr>
      <w:r>
        <w:rPr>
          <w:sz w:val="28"/>
          <w:szCs w:val="28"/>
        </w:rPr>
        <w:t>第34条 抗震规划</w:t>
      </w:r>
      <w:bookmarkEnd w:id="22"/>
    </w:p>
    <w:p w14:paraId="1030BAC6" w14:textId="77777777" w:rsidR="004177BC" w:rsidRDefault="00000000">
      <w:pPr>
        <w:pStyle w:val="a6"/>
        <w:spacing w:line="360" w:lineRule="auto"/>
        <w:ind w:left="0" w:firstLineChars="200" w:firstLine="560"/>
        <w:rPr>
          <w:rFonts w:hint="default"/>
          <w:sz w:val="28"/>
          <w:szCs w:val="28"/>
        </w:rPr>
      </w:pPr>
      <w:r>
        <w:rPr>
          <w:sz w:val="28"/>
          <w:szCs w:val="28"/>
        </w:rPr>
        <w:t>根据《中国地震动参数区划图》，街区对应地震基本烈度Ⅶ度。</w:t>
      </w:r>
      <w:r>
        <w:rPr>
          <w:b/>
          <w:sz w:val="28"/>
          <w:szCs w:val="28"/>
          <w:u w:val="single"/>
        </w:rPr>
        <w:t>规划按照七度抗震设防烈度标准设防。学校、医院等人员密集场所按高于当地房屋建设抗震设防要求1档或不低于重点设防类的要求进行设计和施工，重大工程依据审定的地震安全性评价结果进行抗震设防。</w:t>
      </w:r>
      <w:r>
        <w:rPr>
          <w:rFonts w:hAnsi="仿宋_GB2312"/>
          <w:szCs w:val="24"/>
        </w:rPr>
        <w:t xml:space="preserve"> </w:t>
      </w:r>
    </w:p>
    <w:p w14:paraId="3879EF4F" w14:textId="77777777" w:rsidR="004177BC" w:rsidRDefault="00000000">
      <w:pPr>
        <w:pStyle w:val="a6"/>
        <w:spacing w:line="360" w:lineRule="auto"/>
        <w:ind w:left="0" w:firstLineChars="200" w:firstLine="562"/>
        <w:rPr>
          <w:rFonts w:hint="default"/>
          <w:sz w:val="28"/>
          <w:szCs w:val="28"/>
        </w:rPr>
      </w:pPr>
      <w:r>
        <w:rPr>
          <w:b/>
          <w:sz w:val="28"/>
          <w:szCs w:val="28"/>
          <w:u w:val="single"/>
        </w:rPr>
        <w:t>规划区各项工程建设时，应进行抗震适宜性评价</w:t>
      </w:r>
      <w:r>
        <w:rPr>
          <w:sz w:val="28"/>
          <w:szCs w:val="28"/>
        </w:rPr>
        <w:t>。</w:t>
      </w:r>
    </w:p>
    <w:p w14:paraId="38DE7813" w14:textId="77777777" w:rsidR="004177BC" w:rsidRDefault="00000000">
      <w:pPr>
        <w:pStyle w:val="2"/>
        <w:spacing w:line="360" w:lineRule="auto"/>
        <w:ind w:left="0" w:firstLineChars="200" w:firstLine="562"/>
        <w:jc w:val="both"/>
        <w:rPr>
          <w:rFonts w:hint="default"/>
          <w:sz w:val="28"/>
          <w:szCs w:val="28"/>
        </w:rPr>
      </w:pPr>
      <w:bookmarkStart w:id="23" w:name="_Toc207615912"/>
      <w:r>
        <w:rPr>
          <w:sz w:val="28"/>
          <w:szCs w:val="28"/>
        </w:rPr>
        <w:t>第35条 消防规划</w:t>
      </w:r>
      <w:bookmarkEnd w:id="23"/>
    </w:p>
    <w:p w14:paraId="49B14A97" w14:textId="77777777" w:rsidR="004177BC" w:rsidRDefault="00000000">
      <w:pPr>
        <w:pStyle w:val="a6"/>
        <w:spacing w:line="360" w:lineRule="auto"/>
        <w:ind w:left="0" w:firstLineChars="200" w:firstLine="560"/>
        <w:rPr>
          <w:rFonts w:hint="default"/>
          <w:sz w:val="28"/>
          <w:szCs w:val="28"/>
        </w:rPr>
      </w:pPr>
      <w:r>
        <w:rPr>
          <w:sz w:val="28"/>
          <w:szCs w:val="28"/>
        </w:rPr>
        <w:t>规划区属于沐川县消防救援大队管理范围。消防水源由市政给水管网统一供给。市政消火栓采用低压供水，市政供水无法保证消防用水的高层工业、民用建筑及大型公共建筑增建消防水池。规划沐溪河水系水为备用消防水源，规划设置一处取水点。</w:t>
      </w:r>
    </w:p>
    <w:p w14:paraId="31876CF5" w14:textId="77777777" w:rsidR="004177BC" w:rsidRDefault="00000000">
      <w:pPr>
        <w:pStyle w:val="a6"/>
        <w:spacing w:line="360" w:lineRule="auto"/>
        <w:ind w:left="0" w:firstLineChars="200" w:firstLine="560"/>
        <w:rPr>
          <w:rFonts w:hint="default"/>
          <w:sz w:val="28"/>
          <w:szCs w:val="28"/>
        </w:rPr>
      </w:pPr>
      <w:r>
        <w:rPr>
          <w:sz w:val="28"/>
          <w:szCs w:val="28"/>
        </w:rPr>
        <w:t>以城市道路作为主要消防通道。消防通道的间距不宜超过160米，宽度不小</w:t>
      </w:r>
      <w:r>
        <w:rPr>
          <w:sz w:val="28"/>
          <w:szCs w:val="28"/>
        </w:rPr>
        <w:lastRenderedPageBreak/>
        <w:t>于4米，净空不小于4米，并尽可能利用城市道路和住宅区道路。当街坊长宽部分超过160米时，均应设置穿过街坊的消防车道，建筑物与建筑物之间也应按相关规范设置消防车通道。高层民用建筑周围应设环形消防车通道。</w:t>
      </w:r>
    </w:p>
    <w:p w14:paraId="336BAE46" w14:textId="77777777" w:rsidR="004177BC" w:rsidRDefault="00000000">
      <w:pPr>
        <w:pStyle w:val="2"/>
        <w:spacing w:line="360" w:lineRule="auto"/>
        <w:ind w:left="0" w:firstLineChars="200" w:firstLine="562"/>
        <w:jc w:val="both"/>
        <w:rPr>
          <w:rFonts w:hint="default"/>
          <w:sz w:val="28"/>
          <w:szCs w:val="28"/>
        </w:rPr>
      </w:pPr>
      <w:r>
        <w:rPr>
          <w:sz w:val="28"/>
          <w:szCs w:val="28"/>
        </w:rPr>
        <w:t>第36条 人防工程规划</w:t>
      </w:r>
    </w:p>
    <w:p w14:paraId="450980E8" w14:textId="77777777" w:rsidR="004177BC" w:rsidRDefault="00000000">
      <w:pPr>
        <w:pStyle w:val="a6"/>
        <w:spacing w:line="360" w:lineRule="auto"/>
        <w:ind w:left="0" w:firstLineChars="200" w:firstLine="560"/>
        <w:rPr>
          <w:rFonts w:hint="default"/>
          <w:sz w:val="28"/>
          <w:szCs w:val="28"/>
        </w:rPr>
      </w:pPr>
      <w:r>
        <w:rPr>
          <w:sz w:val="28"/>
          <w:szCs w:val="28"/>
        </w:rPr>
        <w:t>规划贯彻“长期准备、重点建设、平战结合”的方针，以规划区工程建设为主体，结合地下空间资源的综合开发，建设结构合理、技术先进、稳定可靠的防空设施体系。</w:t>
      </w:r>
      <w:r>
        <w:rPr>
          <w:b/>
          <w:sz w:val="28"/>
          <w:szCs w:val="28"/>
          <w:u w:val="single"/>
        </w:rPr>
        <w:t>地下人防掩蔽工程应按照《人民防空工程建设管理规定》中相关要求进行建设。</w:t>
      </w:r>
      <w:r>
        <w:rPr>
          <w:sz w:val="28"/>
          <w:szCs w:val="28"/>
        </w:rPr>
        <w:t>居住小区、高层建筑、重点目标及大型建筑，应修建防空地下室。</w:t>
      </w:r>
    </w:p>
    <w:p w14:paraId="18A31714" w14:textId="77777777" w:rsidR="004177BC" w:rsidRDefault="00000000">
      <w:pPr>
        <w:pStyle w:val="2"/>
        <w:spacing w:line="360" w:lineRule="auto"/>
        <w:ind w:left="0" w:firstLineChars="200" w:firstLine="562"/>
        <w:jc w:val="both"/>
        <w:rPr>
          <w:rFonts w:hint="default"/>
          <w:sz w:val="28"/>
          <w:szCs w:val="28"/>
        </w:rPr>
      </w:pPr>
      <w:bookmarkStart w:id="24" w:name="_Toc207615914"/>
      <w:r>
        <w:rPr>
          <w:sz w:val="28"/>
          <w:szCs w:val="28"/>
        </w:rPr>
        <w:t xml:space="preserve">第37条 </w:t>
      </w:r>
      <w:bookmarkEnd w:id="24"/>
      <w:r>
        <w:rPr>
          <w:sz w:val="28"/>
          <w:szCs w:val="28"/>
        </w:rPr>
        <w:t>应急避难场所规划</w:t>
      </w:r>
    </w:p>
    <w:p w14:paraId="43B92917" w14:textId="77777777" w:rsidR="004177BC" w:rsidRDefault="00000000">
      <w:pPr>
        <w:pStyle w:val="a6"/>
        <w:spacing w:line="360" w:lineRule="auto"/>
        <w:ind w:left="0" w:firstLineChars="200" w:firstLine="560"/>
        <w:jc w:val="both"/>
        <w:rPr>
          <w:rFonts w:hint="default"/>
          <w:sz w:val="28"/>
          <w:szCs w:val="28"/>
        </w:rPr>
      </w:pPr>
      <w:r>
        <w:rPr>
          <w:sz w:val="28"/>
          <w:szCs w:val="28"/>
        </w:rPr>
        <w:t>规划结合社区生活圈设置紧急避难场所，规划结合城市公园、绿地、广场、室内公共场馆、学校操场等空地设置临时避难疏散场地，服务半径不超过500米，提升城市韧性防灾能力，规划固定避难场所2处，紧急避难场所3处。</w:t>
      </w:r>
    </w:p>
    <w:p w14:paraId="316A347E" w14:textId="77777777" w:rsidR="004177BC" w:rsidRDefault="004177BC">
      <w:pPr>
        <w:pStyle w:val="a6"/>
        <w:spacing w:line="360" w:lineRule="auto"/>
        <w:ind w:left="0" w:firstLineChars="200" w:firstLine="560"/>
        <w:jc w:val="both"/>
        <w:rPr>
          <w:rFonts w:hint="default"/>
          <w:sz w:val="28"/>
          <w:szCs w:val="28"/>
        </w:rPr>
      </w:pPr>
    </w:p>
    <w:p w14:paraId="526C9725" w14:textId="77777777" w:rsidR="004177BC" w:rsidRDefault="00000000">
      <w:pPr>
        <w:pStyle w:val="1"/>
        <w:spacing w:after="120"/>
        <w:rPr>
          <w:color w:val="auto"/>
        </w:rPr>
      </w:pPr>
      <w:bookmarkStart w:id="25" w:name="_Toc8821"/>
      <w:r>
        <w:rPr>
          <w:color w:val="auto"/>
        </w:rPr>
        <w:t>第十一章 城市设计引导</w:t>
      </w:r>
      <w:bookmarkEnd w:id="25"/>
    </w:p>
    <w:p w14:paraId="2AEF4A53" w14:textId="77777777" w:rsidR="004177BC" w:rsidRDefault="00000000">
      <w:pPr>
        <w:pStyle w:val="2"/>
        <w:spacing w:line="360" w:lineRule="auto"/>
        <w:ind w:left="0" w:firstLineChars="200" w:firstLine="562"/>
        <w:jc w:val="both"/>
        <w:rPr>
          <w:rFonts w:hint="default"/>
          <w:sz w:val="28"/>
          <w:szCs w:val="28"/>
        </w:rPr>
      </w:pPr>
      <w:r>
        <w:rPr>
          <w:sz w:val="28"/>
          <w:szCs w:val="28"/>
        </w:rPr>
        <w:t>第38条 城市空间设计引导</w:t>
      </w:r>
    </w:p>
    <w:p w14:paraId="39030A80" w14:textId="77777777" w:rsidR="004177BC" w:rsidRDefault="00000000">
      <w:pPr>
        <w:pStyle w:val="a6"/>
        <w:spacing w:line="360" w:lineRule="auto"/>
        <w:ind w:left="0" w:firstLineChars="200" w:firstLine="560"/>
        <w:rPr>
          <w:rFonts w:hint="default"/>
          <w:sz w:val="28"/>
          <w:szCs w:val="28"/>
        </w:rPr>
      </w:pPr>
      <w:r>
        <w:rPr>
          <w:sz w:val="28"/>
          <w:szCs w:val="28"/>
        </w:rPr>
        <w:t>1、建筑更新与街巷空间塑造</w:t>
      </w:r>
    </w:p>
    <w:p w14:paraId="44B69AC1" w14:textId="77777777" w:rsidR="004177BC" w:rsidRDefault="00000000">
      <w:pPr>
        <w:pStyle w:val="a6"/>
        <w:spacing w:line="360" w:lineRule="auto"/>
        <w:ind w:left="0" w:firstLineChars="200" w:firstLine="560"/>
        <w:rPr>
          <w:rFonts w:hint="default"/>
          <w:sz w:val="28"/>
          <w:szCs w:val="28"/>
        </w:rPr>
      </w:pPr>
      <w:r>
        <w:rPr>
          <w:sz w:val="28"/>
          <w:szCs w:val="28"/>
        </w:rPr>
        <w:t>本街区更新应遵循“微改造、有机更新”原则，严禁大拆大建。新建及改造建筑应延续老城小尺度肌理，单体建筑面宽不宜过大；街道两侧建筑高度与街道宽度之比应控制在适宜步行的人性化尺度，避免形成封闭压抑的街道空间。建筑屋顶宜选用坡屋顶或平坡结合形式。</w:t>
      </w:r>
    </w:p>
    <w:p w14:paraId="2C5BB82E" w14:textId="77777777" w:rsidR="004177BC" w:rsidRDefault="00000000">
      <w:pPr>
        <w:pStyle w:val="a6"/>
        <w:spacing w:line="360" w:lineRule="auto"/>
        <w:ind w:left="0" w:firstLineChars="200" w:firstLine="560"/>
        <w:rPr>
          <w:rFonts w:hint="default"/>
          <w:sz w:val="28"/>
          <w:szCs w:val="28"/>
        </w:rPr>
      </w:pPr>
      <w:r>
        <w:rPr>
          <w:sz w:val="28"/>
          <w:szCs w:val="28"/>
        </w:rPr>
        <w:t>2、沐溪河沿河界面管控</w:t>
      </w:r>
    </w:p>
    <w:p w14:paraId="55B57CEC" w14:textId="77777777" w:rsidR="004177BC" w:rsidRDefault="00000000">
      <w:pPr>
        <w:pStyle w:val="a6"/>
        <w:spacing w:line="360" w:lineRule="auto"/>
        <w:ind w:left="0" w:firstLineChars="200" w:firstLine="560"/>
        <w:rPr>
          <w:rFonts w:hint="default"/>
          <w:sz w:val="28"/>
          <w:szCs w:val="28"/>
        </w:rPr>
      </w:pPr>
      <w:r>
        <w:rPr>
          <w:sz w:val="28"/>
          <w:szCs w:val="28"/>
        </w:rPr>
        <w:t>沐溪河两岸景观界面是县城重要的城市天际线载体。滨河北路沿线应预留连续开放的滨水步道和绿化带，建筑退让须满足滨水公共空间的底线要求。沿河第一排建筑高度应形成“前低后高”的梯度变化，严格保护“山—水—城”的视线通廊，禁止遮挡沐溪河与周边山体的对景关系。沿河建筑群体轮廓应避免“一刀</w:t>
      </w:r>
      <w:r>
        <w:rPr>
          <w:sz w:val="28"/>
          <w:szCs w:val="28"/>
        </w:rPr>
        <w:t>切”的等高线式布局，鼓励标志性节点打造。</w:t>
      </w:r>
    </w:p>
    <w:p w14:paraId="2E865D20" w14:textId="77777777" w:rsidR="004177BC" w:rsidRDefault="00000000">
      <w:pPr>
        <w:pStyle w:val="a6"/>
        <w:spacing w:line="360" w:lineRule="auto"/>
        <w:ind w:left="0" w:firstLineChars="200" w:firstLine="560"/>
        <w:rPr>
          <w:rFonts w:hint="default"/>
          <w:sz w:val="28"/>
          <w:szCs w:val="28"/>
        </w:rPr>
      </w:pPr>
      <w:r>
        <w:rPr>
          <w:sz w:val="28"/>
          <w:szCs w:val="28"/>
        </w:rPr>
        <w:t>（三）市井生活场景营造</w:t>
      </w:r>
    </w:p>
    <w:p w14:paraId="73AF63F9" w14:textId="77777777" w:rsidR="004177BC" w:rsidRDefault="00000000">
      <w:pPr>
        <w:pStyle w:val="a6"/>
        <w:spacing w:line="360" w:lineRule="auto"/>
        <w:ind w:left="0" w:firstLineChars="200" w:firstLine="560"/>
        <w:rPr>
          <w:rFonts w:hint="default"/>
          <w:sz w:val="28"/>
          <w:szCs w:val="28"/>
        </w:rPr>
      </w:pPr>
      <w:r>
        <w:rPr>
          <w:sz w:val="28"/>
          <w:szCs w:val="28"/>
        </w:rPr>
        <w:t>以“草龙故里·政务门前”为场景主题，谋划多层次的生活交往空间。利用老旧小区改造腾退的边角地，布局社区食堂、便民服务站、街头绿地等5分钟生活圈节点。慢行系统通过铺装纹样、墙面彩绘、竹元素小品等微更新手段植入草龙文化叙事。构建“滨河绿道—街巷步道—社区小路”三级慢行系统，实现与15分钟社区生活圈的步行连通。滨河北路沿线可谋划滨水夜市、草龙文创集市等夜间消费场景，塑造"醉氧绿城"的夜间风貌。</w:t>
      </w:r>
    </w:p>
    <w:p w14:paraId="2A9B2F02" w14:textId="77777777" w:rsidR="004177BC" w:rsidRDefault="00000000">
      <w:pPr>
        <w:pStyle w:val="2"/>
        <w:spacing w:line="360" w:lineRule="auto"/>
        <w:ind w:left="0" w:firstLineChars="200" w:firstLine="562"/>
        <w:jc w:val="both"/>
        <w:rPr>
          <w:rFonts w:hint="default"/>
          <w:sz w:val="28"/>
          <w:szCs w:val="28"/>
        </w:rPr>
      </w:pPr>
      <w:r>
        <w:rPr>
          <w:sz w:val="28"/>
          <w:szCs w:val="28"/>
        </w:rPr>
        <w:t>第39条 建筑色彩管控</w:t>
      </w:r>
    </w:p>
    <w:p w14:paraId="1E673AC4" w14:textId="77777777" w:rsidR="004177BC" w:rsidRDefault="00000000">
      <w:pPr>
        <w:pStyle w:val="a6"/>
        <w:spacing w:line="360" w:lineRule="auto"/>
        <w:ind w:left="0" w:firstLineChars="200" w:firstLine="560"/>
        <w:rPr>
          <w:rFonts w:hint="default"/>
          <w:sz w:val="28"/>
          <w:szCs w:val="28"/>
        </w:rPr>
      </w:pPr>
      <w:r>
        <w:rPr>
          <w:sz w:val="28"/>
          <w:szCs w:val="28"/>
        </w:rPr>
        <w:t>本街区属老城商贸区，建筑色彩应严格遵循《沐川县国土空间总体规划》确定的中心城区“灰白色调为主、土黄和赭石色为辅”的管控要求，色彩明度与纯度控制在中等程度，禁止大面积高饱和色彩，确保与周边青山绿水融为一体并凸显川南地域文化特征。在具体空间引导上，建设街、永济街政务轴线沿线应以暖白、浅灰、淡褐为主色调，保持色彩统一与庄重雅致，严格管控广告招牌对整体色彩秩序的破坏；滨河北路沿河界面宜选用淡雅暖色调，与沐溪河水体及山体背景形成和谐的天际线色彩过渡。新建及改造建筑的外立面色彩方案须经城市设计专项审查，其中高层建筑须重点管控以避免体量过大造成色彩压迫感，夜景照明色彩应与建筑主色调协调，商业及滨水节点可适度丰富但不得破坏老城整体色彩秩序。</w:t>
      </w:r>
    </w:p>
    <w:p w14:paraId="79463F46" w14:textId="77777777" w:rsidR="004177BC" w:rsidRDefault="00000000">
      <w:pPr>
        <w:pStyle w:val="1"/>
        <w:spacing w:after="120"/>
        <w:rPr>
          <w:color w:val="auto"/>
        </w:rPr>
      </w:pPr>
      <w:bookmarkStart w:id="26" w:name="_Toc881"/>
      <w:r>
        <w:rPr>
          <w:color w:val="auto"/>
        </w:rPr>
        <w:t>第十二章 地下空间规划</w:t>
      </w:r>
      <w:bookmarkEnd w:id="26"/>
    </w:p>
    <w:p w14:paraId="16F66AFA" w14:textId="77777777" w:rsidR="004177BC" w:rsidRDefault="00000000">
      <w:pPr>
        <w:pStyle w:val="2"/>
        <w:spacing w:line="360" w:lineRule="auto"/>
        <w:ind w:left="0" w:firstLineChars="200" w:firstLine="562"/>
        <w:jc w:val="both"/>
        <w:rPr>
          <w:rFonts w:hint="default"/>
          <w:sz w:val="28"/>
          <w:szCs w:val="28"/>
        </w:rPr>
      </w:pPr>
      <w:r>
        <w:rPr>
          <w:sz w:val="28"/>
          <w:szCs w:val="28"/>
        </w:rPr>
        <w:t>第40条 地下空间利用</w:t>
      </w:r>
    </w:p>
    <w:p w14:paraId="0672A6C1" w14:textId="77777777" w:rsidR="004177BC" w:rsidRDefault="00000000">
      <w:pPr>
        <w:pStyle w:val="a6"/>
        <w:spacing w:line="360" w:lineRule="auto"/>
        <w:ind w:left="0" w:firstLineChars="200" w:firstLine="560"/>
        <w:rPr>
          <w:rFonts w:hint="default"/>
          <w:sz w:val="28"/>
          <w:szCs w:val="28"/>
        </w:rPr>
      </w:pPr>
      <w:r>
        <w:rPr>
          <w:sz w:val="28"/>
          <w:szCs w:val="28"/>
        </w:rPr>
        <w:t>规划区为城市地下空间一般建设区，以配建功能为主，按照实际需求确定地下空间利用，以中、低高强度开发为主。</w:t>
      </w:r>
    </w:p>
    <w:p w14:paraId="7773FAD9" w14:textId="77777777" w:rsidR="004177BC" w:rsidRDefault="00000000">
      <w:pPr>
        <w:pStyle w:val="2"/>
        <w:spacing w:line="360" w:lineRule="auto"/>
        <w:ind w:left="0" w:firstLineChars="200" w:firstLine="562"/>
        <w:jc w:val="both"/>
        <w:rPr>
          <w:rFonts w:hint="default"/>
          <w:sz w:val="28"/>
          <w:szCs w:val="28"/>
        </w:rPr>
      </w:pPr>
      <w:r>
        <w:rPr>
          <w:sz w:val="28"/>
          <w:szCs w:val="28"/>
        </w:rPr>
        <w:t>第41条 地下空间设施规划</w:t>
      </w:r>
    </w:p>
    <w:p w14:paraId="376B54A3" w14:textId="77777777" w:rsidR="004177BC" w:rsidRDefault="00000000">
      <w:pPr>
        <w:pStyle w:val="a6"/>
        <w:spacing w:line="360" w:lineRule="auto"/>
        <w:ind w:left="0" w:firstLineChars="200" w:firstLine="560"/>
        <w:rPr>
          <w:rFonts w:hint="default"/>
          <w:sz w:val="28"/>
          <w:szCs w:val="28"/>
        </w:rPr>
      </w:pPr>
      <w:r>
        <w:rPr>
          <w:sz w:val="28"/>
          <w:szCs w:val="28"/>
        </w:rPr>
        <w:t>结合人防工程、各类建筑和广场绿地建设地下停车场，在人行过街频繁的主</w:t>
      </w:r>
      <w:r>
        <w:rPr>
          <w:sz w:val="28"/>
          <w:szCs w:val="28"/>
        </w:rPr>
        <w:lastRenderedPageBreak/>
        <w:t>次干道建设地下通道。统筹利用老城有限空间资源，结合老旧小区改造及广场绿地提升工程，在中桥街、建设街、交通街沿线因地制宜配建地下停车场，缓解核心商圈及政务区停车供需矛盾。在中桥街等人行过街频繁的商业节点，可结合道路整治适度考虑建设人行地下通道，提升慢行安全性。统筹安排地下市政管网建设，结合上述道路的改建工程，在管线交叉密集路段可试点建设综合管沟，提升市政基础设施的维护便利性与抗灾能力。</w:t>
      </w:r>
    </w:p>
    <w:p w14:paraId="2B9ACA28" w14:textId="77777777" w:rsidR="004177BC" w:rsidRDefault="00000000">
      <w:pPr>
        <w:pStyle w:val="1"/>
        <w:spacing w:after="120"/>
        <w:rPr>
          <w:color w:val="auto"/>
        </w:rPr>
      </w:pPr>
      <w:bookmarkStart w:id="27" w:name="_Toc16467"/>
      <w:r>
        <w:rPr>
          <w:color w:val="auto"/>
        </w:rPr>
        <w:t>第十三章 控制线划定</w:t>
      </w:r>
      <w:bookmarkEnd w:id="27"/>
    </w:p>
    <w:p w14:paraId="6C4A2B4F" w14:textId="77777777" w:rsidR="004177BC" w:rsidRDefault="00000000">
      <w:pPr>
        <w:pStyle w:val="2"/>
        <w:spacing w:line="360" w:lineRule="auto"/>
        <w:ind w:left="0" w:firstLineChars="200" w:firstLine="562"/>
        <w:jc w:val="both"/>
        <w:rPr>
          <w:rFonts w:hint="default"/>
          <w:sz w:val="28"/>
          <w:szCs w:val="28"/>
        </w:rPr>
      </w:pPr>
      <w:r>
        <w:rPr>
          <w:sz w:val="28"/>
          <w:szCs w:val="28"/>
        </w:rPr>
        <w:t>第42条 “城市道路红线”</w:t>
      </w:r>
    </w:p>
    <w:p w14:paraId="746C5A2D" w14:textId="77777777" w:rsidR="004177BC" w:rsidRDefault="00000000">
      <w:pPr>
        <w:pStyle w:val="a6"/>
        <w:spacing w:line="360" w:lineRule="auto"/>
        <w:ind w:left="0" w:firstLineChars="200" w:firstLine="560"/>
        <w:rPr>
          <w:rFonts w:hint="default"/>
          <w:sz w:val="28"/>
          <w:szCs w:val="28"/>
        </w:rPr>
      </w:pPr>
      <w:r>
        <w:rPr>
          <w:sz w:val="28"/>
          <w:szCs w:val="28"/>
        </w:rPr>
        <w:t>道路红线是指规划道路的路幅边界线，</w:t>
      </w:r>
      <w:r>
        <w:rPr>
          <w:b/>
          <w:sz w:val="28"/>
          <w:szCs w:val="28"/>
          <w:u w:val="single"/>
        </w:rPr>
        <w:t>红线内土地不得进行任何与道路功能不相符合的使用。</w:t>
      </w:r>
      <w:r>
        <w:rPr>
          <w:sz w:val="28"/>
          <w:szCs w:val="28"/>
        </w:rPr>
        <w:t>规划范围内的城市主、次干路严格依据规划执行，支路可在规划实施时适当调整深化，但必须报规划主管部门审批。</w:t>
      </w:r>
    </w:p>
    <w:p w14:paraId="7BCC6083" w14:textId="77777777" w:rsidR="004177BC" w:rsidRDefault="00000000">
      <w:pPr>
        <w:pStyle w:val="2"/>
        <w:spacing w:line="360" w:lineRule="auto"/>
        <w:ind w:left="0" w:firstLineChars="200" w:firstLine="562"/>
        <w:jc w:val="both"/>
        <w:rPr>
          <w:rFonts w:hint="default"/>
          <w:sz w:val="28"/>
          <w:szCs w:val="28"/>
        </w:rPr>
      </w:pPr>
      <w:r>
        <w:rPr>
          <w:sz w:val="28"/>
          <w:szCs w:val="28"/>
        </w:rPr>
        <w:t>第43条 “城市绿线”</w:t>
      </w:r>
    </w:p>
    <w:p w14:paraId="6A9F7EA5" w14:textId="77777777" w:rsidR="004177BC" w:rsidRDefault="00000000">
      <w:pPr>
        <w:pStyle w:val="a6"/>
        <w:spacing w:line="360" w:lineRule="auto"/>
        <w:ind w:left="0" w:firstLineChars="200" w:firstLine="560"/>
        <w:rPr>
          <w:rFonts w:hint="default"/>
          <w:sz w:val="28"/>
          <w:szCs w:val="28"/>
        </w:rPr>
      </w:pPr>
      <w:r>
        <w:rPr>
          <w:sz w:val="28"/>
          <w:szCs w:val="28"/>
        </w:rPr>
        <w:t>规划区内的城市绿线主要为结构性公园绿地用地界线。规划区内城市绿线规划控制严格按照《城市绿线管理办法》规定执行。</w:t>
      </w:r>
    </w:p>
    <w:p w14:paraId="03CA5FEE" w14:textId="77777777" w:rsidR="004177BC" w:rsidRDefault="00000000">
      <w:pPr>
        <w:pStyle w:val="2"/>
        <w:spacing w:line="360" w:lineRule="auto"/>
        <w:ind w:left="0" w:firstLineChars="200" w:firstLine="562"/>
        <w:jc w:val="both"/>
        <w:rPr>
          <w:rFonts w:hint="default"/>
          <w:sz w:val="28"/>
          <w:szCs w:val="28"/>
        </w:rPr>
      </w:pPr>
      <w:r>
        <w:rPr>
          <w:sz w:val="28"/>
          <w:szCs w:val="28"/>
        </w:rPr>
        <w:t>第44条 “城市蓝线”</w:t>
      </w:r>
    </w:p>
    <w:p w14:paraId="05CED4BA" w14:textId="77777777" w:rsidR="004177BC" w:rsidRDefault="00000000">
      <w:pPr>
        <w:pStyle w:val="a6"/>
        <w:spacing w:line="360" w:lineRule="auto"/>
        <w:ind w:left="0" w:firstLineChars="200" w:firstLine="560"/>
        <w:rPr>
          <w:rFonts w:hint="default"/>
          <w:sz w:val="28"/>
          <w:szCs w:val="28"/>
        </w:rPr>
      </w:pPr>
      <w:r>
        <w:rPr>
          <w:sz w:val="28"/>
          <w:szCs w:val="28"/>
        </w:rPr>
        <w:t>规划区不涉及城市蓝线管控内容。</w:t>
      </w:r>
    </w:p>
    <w:p w14:paraId="6AC39DF0" w14:textId="77777777" w:rsidR="004177BC" w:rsidRDefault="00000000">
      <w:pPr>
        <w:pStyle w:val="2"/>
        <w:spacing w:line="360" w:lineRule="auto"/>
        <w:ind w:left="0" w:firstLineChars="200" w:firstLine="562"/>
        <w:jc w:val="both"/>
        <w:rPr>
          <w:rFonts w:hint="default"/>
        </w:rPr>
      </w:pPr>
      <w:r>
        <w:rPr>
          <w:sz w:val="28"/>
          <w:szCs w:val="28"/>
        </w:rPr>
        <w:t>第45条 “城市历史文化保护线”</w:t>
      </w:r>
    </w:p>
    <w:p w14:paraId="6D8EED21" w14:textId="77777777" w:rsidR="004177BC" w:rsidRDefault="00000000">
      <w:pPr>
        <w:pStyle w:val="a6"/>
        <w:spacing w:line="360" w:lineRule="auto"/>
        <w:ind w:left="0" w:firstLineChars="200" w:firstLine="560"/>
        <w:rPr>
          <w:rFonts w:hint="default"/>
          <w:b/>
          <w:sz w:val="28"/>
          <w:szCs w:val="28"/>
          <w:u w:val="single"/>
        </w:rPr>
      </w:pPr>
      <w:r>
        <w:rPr>
          <w:sz w:val="28"/>
          <w:szCs w:val="28"/>
        </w:rPr>
        <w:t>规划区不涉及城市历史文化保护线管控内容。</w:t>
      </w:r>
      <w:r>
        <w:rPr>
          <w:b/>
          <w:sz w:val="28"/>
          <w:szCs w:val="28"/>
          <w:u w:val="single"/>
        </w:rPr>
        <w:t>沐溪镇天主堂是不可移动文物(未定级)，严格按照《中华人民共和国文物保护法》的规定要求执行。</w:t>
      </w:r>
    </w:p>
    <w:p w14:paraId="1F2C0F3D" w14:textId="77777777" w:rsidR="004177BC" w:rsidRDefault="00000000">
      <w:pPr>
        <w:pStyle w:val="2"/>
        <w:spacing w:line="360" w:lineRule="auto"/>
        <w:ind w:left="0" w:firstLineChars="200" w:firstLine="562"/>
        <w:jc w:val="both"/>
        <w:rPr>
          <w:rFonts w:hint="default"/>
          <w:sz w:val="28"/>
          <w:szCs w:val="28"/>
        </w:rPr>
      </w:pPr>
      <w:r>
        <w:rPr>
          <w:sz w:val="28"/>
          <w:szCs w:val="28"/>
        </w:rPr>
        <w:t>第46条 “城市黄线”</w:t>
      </w:r>
    </w:p>
    <w:p w14:paraId="78516190" w14:textId="77777777" w:rsidR="004177BC" w:rsidRDefault="00000000">
      <w:pPr>
        <w:pStyle w:val="a6"/>
        <w:spacing w:line="360" w:lineRule="auto"/>
        <w:ind w:left="0" w:firstLineChars="200" w:firstLine="562"/>
        <w:rPr>
          <w:rFonts w:hAnsi="仿宋_GB2312"/>
          <w:szCs w:val="24"/>
        </w:rPr>
      </w:pPr>
      <w:r>
        <w:rPr>
          <w:b/>
          <w:sz w:val="28"/>
          <w:szCs w:val="28"/>
          <w:u w:val="single"/>
        </w:rPr>
        <w:t>包括城市公共交通设施、城市供水、排水设施、城市污水处理设施、城市环境卫生设施、城市燃气供应设施、城市供电设施、城市通信设施、城市消防设施、城市防洪设施、城市抗震防灾设施以及其他对城市发展全局有影响的城市基础设施控制线。中心城区城市黄线规划控制严格按照《城市黄线管理办法》规定执行。</w:t>
      </w:r>
      <w:r>
        <w:rPr>
          <w:rFonts w:hAnsi="仿宋_GB2312"/>
          <w:szCs w:val="24"/>
        </w:rPr>
        <w:t xml:space="preserve"> </w:t>
      </w:r>
    </w:p>
    <w:p w14:paraId="6518B950" w14:textId="77777777" w:rsidR="004177BC" w:rsidRDefault="00000000">
      <w:pPr>
        <w:pStyle w:val="1"/>
        <w:spacing w:after="120"/>
        <w:rPr>
          <w:color w:val="auto"/>
        </w:rPr>
      </w:pPr>
      <w:bookmarkStart w:id="28" w:name="_Toc25629"/>
      <w:r>
        <w:rPr>
          <w:color w:val="auto"/>
        </w:rPr>
        <w:t>第十六章 土地利用控制规划</w:t>
      </w:r>
      <w:bookmarkEnd w:id="28"/>
    </w:p>
    <w:p w14:paraId="008A1067" w14:textId="77777777" w:rsidR="004177BC" w:rsidRDefault="00000000">
      <w:pPr>
        <w:pStyle w:val="2"/>
        <w:spacing w:line="360" w:lineRule="auto"/>
        <w:ind w:left="0" w:firstLineChars="200" w:firstLine="562"/>
        <w:jc w:val="both"/>
        <w:rPr>
          <w:rFonts w:hint="default"/>
          <w:sz w:val="28"/>
          <w:szCs w:val="28"/>
        </w:rPr>
      </w:pPr>
      <w:r>
        <w:rPr>
          <w:sz w:val="28"/>
          <w:szCs w:val="28"/>
        </w:rPr>
        <w:t>第47条 地块划分</w:t>
      </w:r>
    </w:p>
    <w:p w14:paraId="4BA3E6D4" w14:textId="77777777" w:rsidR="004177BC" w:rsidRDefault="00000000">
      <w:pPr>
        <w:pStyle w:val="a6"/>
        <w:spacing w:line="360" w:lineRule="auto"/>
        <w:ind w:left="0" w:firstLineChars="200" w:firstLine="560"/>
        <w:rPr>
          <w:rFonts w:hint="default"/>
          <w:sz w:val="28"/>
          <w:szCs w:val="28"/>
        </w:rPr>
      </w:pPr>
      <w:r>
        <w:rPr>
          <w:sz w:val="28"/>
          <w:szCs w:val="28"/>
        </w:rPr>
        <w:t>依据土地用地性质，综合考虑宗地权属、城市道路和自然边界等因素，保证边界相对清晰，避免出现异形、零星和夹心地，便于土地供应、开发和建设。</w:t>
      </w:r>
    </w:p>
    <w:p w14:paraId="69DB41AF" w14:textId="77777777" w:rsidR="004177BC" w:rsidRDefault="00000000">
      <w:pPr>
        <w:pStyle w:val="a6"/>
        <w:spacing w:line="360" w:lineRule="auto"/>
        <w:ind w:left="0" w:firstLineChars="200" w:firstLine="560"/>
        <w:rPr>
          <w:rFonts w:hint="default"/>
        </w:rPr>
      </w:pPr>
      <w:r>
        <w:rPr>
          <w:sz w:val="28"/>
          <w:szCs w:val="28"/>
        </w:rPr>
        <w:t>地块规模与其区位、用地类型、开发控制和道路网密度要求等相适 应，单个地块面积不宜过大。</w:t>
      </w:r>
    </w:p>
    <w:p w14:paraId="1B73C6BF" w14:textId="77777777" w:rsidR="004177BC" w:rsidRDefault="00000000">
      <w:pPr>
        <w:pStyle w:val="2"/>
        <w:spacing w:line="360" w:lineRule="auto"/>
        <w:ind w:left="0" w:firstLineChars="200" w:firstLine="562"/>
        <w:jc w:val="both"/>
        <w:rPr>
          <w:rFonts w:hint="default"/>
          <w:sz w:val="28"/>
          <w:szCs w:val="28"/>
        </w:rPr>
      </w:pPr>
      <w:r>
        <w:rPr>
          <w:sz w:val="28"/>
          <w:szCs w:val="28"/>
        </w:rPr>
        <w:t>第48条 土地用途</w:t>
      </w:r>
    </w:p>
    <w:p w14:paraId="439C3DA4" w14:textId="77777777" w:rsidR="004177BC" w:rsidRDefault="00000000">
      <w:pPr>
        <w:pStyle w:val="a6"/>
        <w:spacing w:line="360" w:lineRule="auto"/>
        <w:ind w:left="0" w:firstLineChars="200" w:firstLine="560"/>
        <w:rPr>
          <w:rFonts w:hint="default"/>
          <w:sz w:val="28"/>
          <w:szCs w:val="28"/>
        </w:rPr>
      </w:pPr>
      <w:r>
        <w:rPr>
          <w:sz w:val="28"/>
          <w:szCs w:val="28"/>
        </w:rPr>
        <w:t>用地性质是对地块主要使用功能和属性的控制。</w:t>
      </w:r>
      <w:r>
        <w:rPr>
          <w:b/>
          <w:sz w:val="28"/>
          <w:szCs w:val="28"/>
          <w:u w:val="single"/>
        </w:rPr>
        <w:t>表示方式按照国标《国土空间调查、规划、用途管制用地用海分类指南》(2023年11月)中的用地分类类别和代号</w:t>
      </w:r>
      <w:r>
        <w:rPr>
          <w:sz w:val="28"/>
          <w:szCs w:val="28"/>
        </w:rPr>
        <w:t>。本规划用地性质一般划分至二级类，配套公共服务设施划分至三级类。</w:t>
      </w:r>
    </w:p>
    <w:p w14:paraId="5BF59584" w14:textId="77777777" w:rsidR="004177BC" w:rsidRDefault="00000000">
      <w:pPr>
        <w:pStyle w:val="a6"/>
        <w:spacing w:line="360" w:lineRule="auto"/>
        <w:ind w:left="0" w:firstLineChars="200" w:firstLine="560"/>
        <w:rPr>
          <w:rFonts w:hint="default"/>
          <w:sz w:val="28"/>
          <w:szCs w:val="28"/>
        </w:rPr>
      </w:pPr>
      <w:r>
        <w:rPr>
          <w:sz w:val="28"/>
          <w:szCs w:val="28"/>
        </w:rPr>
        <w:t>建筑的改建、扩建和新建，其使用性质应同所在地块的土地使用性质相符。</w:t>
      </w:r>
    </w:p>
    <w:p w14:paraId="7775DA17" w14:textId="77777777" w:rsidR="004177BC" w:rsidRDefault="00000000">
      <w:pPr>
        <w:pStyle w:val="a6"/>
        <w:spacing w:line="360" w:lineRule="auto"/>
        <w:ind w:left="0" w:firstLineChars="200" w:firstLine="560"/>
        <w:rPr>
          <w:rFonts w:hint="default"/>
          <w:sz w:val="28"/>
          <w:szCs w:val="28"/>
        </w:rPr>
      </w:pPr>
      <w:r>
        <w:rPr>
          <w:sz w:val="28"/>
          <w:szCs w:val="28"/>
        </w:rPr>
        <w:t>各类用地适建范围按照《乐山市城市规划管理技术规定（2022版）》相关内容执行。</w:t>
      </w:r>
    </w:p>
    <w:p w14:paraId="7F3CAF32" w14:textId="77777777" w:rsidR="004177BC" w:rsidRDefault="00000000">
      <w:pPr>
        <w:pStyle w:val="2"/>
        <w:spacing w:line="360" w:lineRule="auto"/>
        <w:ind w:left="0" w:firstLineChars="200" w:firstLine="562"/>
        <w:jc w:val="both"/>
        <w:rPr>
          <w:rFonts w:hint="default"/>
          <w:sz w:val="28"/>
          <w:szCs w:val="28"/>
        </w:rPr>
      </w:pPr>
      <w:r>
        <w:rPr>
          <w:sz w:val="28"/>
          <w:szCs w:val="28"/>
        </w:rPr>
        <w:t>第49条 地块控制指标</w:t>
      </w:r>
    </w:p>
    <w:p w14:paraId="561A0155" w14:textId="77777777" w:rsidR="004177BC" w:rsidRDefault="00000000">
      <w:pPr>
        <w:pStyle w:val="a6"/>
        <w:spacing w:line="360" w:lineRule="auto"/>
        <w:ind w:left="0" w:firstLineChars="200" w:firstLine="560"/>
        <w:rPr>
          <w:rFonts w:hint="default"/>
          <w:sz w:val="28"/>
          <w:szCs w:val="28"/>
        </w:rPr>
      </w:pPr>
      <w:r>
        <w:rPr>
          <w:sz w:val="28"/>
          <w:szCs w:val="28"/>
        </w:rPr>
        <w:t>地块控制指标包括基础性指标、强制性指标以及引导性指标。其中基础性指标包括地块代码、地块性质、地块面积等3项；强制性指标包括容积率、建筑密度、绿地率、建筑限高、建筑后退距离、机动车出入口方位、停车泊位数、配套服务设施等8项，</w:t>
      </w:r>
    </w:p>
    <w:p w14:paraId="3EB1F092" w14:textId="77777777" w:rsidR="004177BC" w:rsidRDefault="00000000">
      <w:pPr>
        <w:pStyle w:val="2"/>
        <w:spacing w:line="360" w:lineRule="auto"/>
        <w:ind w:left="0" w:firstLineChars="200" w:firstLine="562"/>
        <w:jc w:val="both"/>
        <w:rPr>
          <w:rFonts w:hint="default"/>
          <w:sz w:val="28"/>
          <w:szCs w:val="28"/>
        </w:rPr>
      </w:pPr>
      <w:r>
        <w:rPr>
          <w:sz w:val="28"/>
          <w:szCs w:val="28"/>
        </w:rPr>
        <w:t>第50条 建设强度</w:t>
      </w:r>
    </w:p>
    <w:p w14:paraId="4B66F0F2" w14:textId="77777777" w:rsidR="004177BC" w:rsidRDefault="00000000">
      <w:pPr>
        <w:pStyle w:val="a6"/>
        <w:spacing w:line="360" w:lineRule="auto"/>
        <w:ind w:left="0" w:firstLineChars="200" w:firstLine="560"/>
        <w:rPr>
          <w:rFonts w:hint="default"/>
          <w:sz w:val="28"/>
          <w:szCs w:val="28"/>
        </w:rPr>
      </w:pPr>
      <w:r>
        <w:rPr>
          <w:sz w:val="28"/>
          <w:szCs w:val="28"/>
        </w:rPr>
        <w:t>1、土地开发强度控制</w:t>
      </w:r>
    </w:p>
    <w:p w14:paraId="473660EF" w14:textId="77777777" w:rsidR="004177BC" w:rsidRDefault="00000000">
      <w:pPr>
        <w:pStyle w:val="a6"/>
        <w:spacing w:line="360" w:lineRule="auto"/>
        <w:ind w:left="0" w:firstLineChars="200" w:firstLine="560"/>
        <w:rPr>
          <w:rFonts w:hint="default"/>
          <w:sz w:val="28"/>
          <w:szCs w:val="28"/>
        </w:rPr>
      </w:pPr>
      <w:r>
        <w:rPr>
          <w:sz w:val="28"/>
          <w:szCs w:val="28"/>
        </w:rPr>
        <w:t>在土地开发强度上针对不同区域和用地类型，容积率、建筑高度和  建筑密度实行上限控制。建筑高度控制除了按照规划图则相关内容执行  外，还应同时满足其他专项规划、机场净空等的管理控制要求。</w:t>
      </w:r>
    </w:p>
    <w:p w14:paraId="0C3195AE" w14:textId="77777777" w:rsidR="004177BC" w:rsidRDefault="00000000">
      <w:pPr>
        <w:pStyle w:val="a6"/>
        <w:spacing w:line="360" w:lineRule="auto"/>
        <w:ind w:left="0" w:firstLineChars="200" w:firstLine="560"/>
        <w:rPr>
          <w:rFonts w:hint="default"/>
          <w:sz w:val="28"/>
          <w:szCs w:val="28"/>
        </w:rPr>
      </w:pPr>
      <w:r>
        <w:rPr>
          <w:sz w:val="28"/>
          <w:szCs w:val="28"/>
        </w:rPr>
        <w:t>2、绿地率</w:t>
      </w:r>
    </w:p>
    <w:p w14:paraId="6547FA6B" w14:textId="77777777" w:rsidR="004177BC" w:rsidRDefault="00000000">
      <w:pPr>
        <w:pStyle w:val="a6"/>
        <w:spacing w:line="360" w:lineRule="auto"/>
        <w:ind w:leftChars="200" w:left="440"/>
        <w:rPr>
          <w:rFonts w:hint="default"/>
          <w:sz w:val="28"/>
          <w:szCs w:val="28"/>
        </w:rPr>
      </w:pPr>
      <w:r>
        <w:rPr>
          <w:sz w:val="28"/>
          <w:szCs w:val="28"/>
        </w:rPr>
        <w:t>规划区各地块绿地率指标均为下限值，即必须保证地块的绿地率下限，可通过制定政策，鼓励产权单位提高其用地的绿地率。</w:t>
      </w:r>
    </w:p>
    <w:p w14:paraId="155EBC48" w14:textId="77777777" w:rsidR="004177BC" w:rsidRDefault="00000000">
      <w:pPr>
        <w:pStyle w:val="a6"/>
        <w:spacing w:line="360" w:lineRule="auto"/>
        <w:ind w:left="0" w:firstLineChars="200" w:firstLine="560"/>
        <w:rPr>
          <w:rFonts w:hint="default"/>
          <w:sz w:val="28"/>
          <w:szCs w:val="28"/>
        </w:rPr>
      </w:pPr>
      <w:r>
        <w:rPr>
          <w:sz w:val="28"/>
          <w:szCs w:val="28"/>
        </w:rPr>
        <w:t>地块具体指标可根据建设强度和建筑高度控制要求，在不突破单元约束性要</w:t>
      </w:r>
      <w:r>
        <w:rPr>
          <w:sz w:val="28"/>
          <w:szCs w:val="28"/>
        </w:rPr>
        <w:lastRenderedPageBreak/>
        <w:t>求和总规模控制的前提下，经评估论证后优化确定。</w:t>
      </w:r>
    </w:p>
    <w:p w14:paraId="6E69CEB9" w14:textId="77777777" w:rsidR="004177BC" w:rsidRDefault="00000000">
      <w:pPr>
        <w:pStyle w:val="2"/>
        <w:spacing w:line="360" w:lineRule="auto"/>
        <w:ind w:left="0" w:firstLineChars="200" w:firstLine="562"/>
        <w:jc w:val="both"/>
        <w:rPr>
          <w:rFonts w:hint="default"/>
          <w:sz w:val="28"/>
          <w:szCs w:val="28"/>
        </w:rPr>
      </w:pPr>
      <w:r>
        <w:rPr>
          <w:sz w:val="28"/>
          <w:szCs w:val="28"/>
        </w:rPr>
        <w:t>第51条 空间组合</w:t>
      </w:r>
    </w:p>
    <w:p w14:paraId="6C2C94BA" w14:textId="77777777" w:rsidR="004177BC" w:rsidRDefault="00000000">
      <w:pPr>
        <w:pStyle w:val="a6"/>
        <w:spacing w:line="360" w:lineRule="auto"/>
        <w:ind w:left="0" w:firstLineChars="200" w:firstLine="560"/>
        <w:rPr>
          <w:rFonts w:hint="default"/>
          <w:sz w:val="28"/>
          <w:szCs w:val="28"/>
        </w:rPr>
      </w:pPr>
      <w:r>
        <w:rPr>
          <w:sz w:val="28"/>
          <w:szCs w:val="28"/>
        </w:rPr>
        <w:t>建筑间距、建筑退让均按照《乐山市城市规划管理技术规定》的相关内容执行。</w:t>
      </w:r>
    </w:p>
    <w:p w14:paraId="055297CA" w14:textId="77777777" w:rsidR="004177BC" w:rsidRDefault="00000000">
      <w:pPr>
        <w:pStyle w:val="2"/>
        <w:spacing w:line="360" w:lineRule="auto"/>
        <w:ind w:left="0" w:firstLineChars="200" w:firstLine="562"/>
        <w:jc w:val="both"/>
        <w:rPr>
          <w:rFonts w:hint="default"/>
          <w:sz w:val="28"/>
          <w:szCs w:val="28"/>
        </w:rPr>
      </w:pPr>
      <w:r>
        <w:rPr>
          <w:sz w:val="28"/>
          <w:szCs w:val="28"/>
        </w:rPr>
        <w:t>第52条 现状建设管控</w:t>
      </w:r>
    </w:p>
    <w:p w14:paraId="4C95C95E" w14:textId="77777777" w:rsidR="004177BC" w:rsidRDefault="00000000">
      <w:pPr>
        <w:pStyle w:val="a6"/>
        <w:spacing w:line="360" w:lineRule="auto"/>
        <w:ind w:left="0" w:firstLineChars="200" w:firstLine="560"/>
        <w:rPr>
          <w:rFonts w:hint="default"/>
          <w:spacing w:val="-2"/>
          <w:sz w:val="28"/>
          <w:szCs w:val="28"/>
        </w:rPr>
      </w:pPr>
      <w:r>
        <w:rPr>
          <w:sz w:val="28"/>
          <w:szCs w:val="28"/>
        </w:rPr>
        <w:t>现状已批和已建项目，其用地性质与规划相符的，可维持其土地用途及开发指标；与规划不符的，应根据规划实施推进情况，对这部分土地进行再次收储，重新按规划要求进行供地和建设。</w:t>
      </w:r>
    </w:p>
    <w:p w14:paraId="295B02B3" w14:textId="77777777" w:rsidR="004177BC" w:rsidRDefault="004177BC">
      <w:pPr>
        <w:pStyle w:val="a6"/>
        <w:spacing w:line="360" w:lineRule="auto"/>
        <w:ind w:left="0" w:firstLineChars="200" w:firstLine="556"/>
        <w:rPr>
          <w:rFonts w:hint="default"/>
          <w:spacing w:val="-2"/>
          <w:sz w:val="28"/>
          <w:szCs w:val="28"/>
        </w:rPr>
      </w:pPr>
    </w:p>
    <w:p w14:paraId="238367EB" w14:textId="77777777" w:rsidR="004177BC" w:rsidRDefault="00000000">
      <w:pPr>
        <w:pStyle w:val="1"/>
        <w:spacing w:after="120"/>
        <w:rPr>
          <w:color w:val="auto"/>
        </w:rPr>
      </w:pPr>
      <w:bookmarkStart w:id="29" w:name="_bookmark44"/>
      <w:bookmarkStart w:id="30" w:name="_Toc15265"/>
      <w:bookmarkEnd w:id="29"/>
      <w:r>
        <w:rPr>
          <w:color w:val="auto"/>
        </w:rPr>
        <w:t>第十七章 附则</w:t>
      </w:r>
      <w:bookmarkEnd w:id="30"/>
    </w:p>
    <w:p w14:paraId="03366284" w14:textId="77777777" w:rsidR="004177BC" w:rsidRDefault="004177BC">
      <w:pPr>
        <w:pStyle w:val="a6"/>
        <w:spacing w:before="2"/>
        <w:ind w:left="0"/>
        <w:rPr>
          <w:rFonts w:ascii="黑体" w:eastAsia="黑体" w:cs="黑体" w:hint="default"/>
          <w:b/>
        </w:rPr>
      </w:pPr>
    </w:p>
    <w:p w14:paraId="586E01A6" w14:textId="77777777" w:rsidR="004177BC" w:rsidRDefault="00000000">
      <w:pPr>
        <w:pStyle w:val="2"/>
        <w:spacing w:line="360" w:lineRule="auto"/>
        <w:ind w:left="0" w:firstLineChars="200" w:firstLine="562"/>
        <w:jc w:val="both"/>
        <w:rPr>
          <w:rFonts w:hint="default"/>
          <w:sz w:val="28"/>
          <w:szCs w:val="28"/>
        </w:rPr>
      </w:pPr>
      <w:r>
        <w:rPr>
          <w:sz w:val="28"/>
          <w:szCs w:val="28"/>
        </w:rPr>
        <w:t>第64条 规划实施</w:t>
      </w:r>
    </w:p>
    <w:p w14:paraId="0F4210C8" w14:textId="77777777" w:rsidR="004177BC" w:rsidRDefault="00000000">
      <w:pPr>
        <w:pStyle w:val="a6"/>
        <w:spacing w:line="360" w:lineRule="auto"/>
        <w:ind w:left="0" w:firstLineChars="200" w:firstLine="556"/>
        <w:rPr>
          <w:rFonts w:hint="default"/>
          <w:spacing w:val="-2"/>
          <w:sz w:val="28"/>
          <w:szCs w:val="28"/>
        </w:rPr>
      </w:pPr>
      <w:r>
        <w:rPr>
          <w:spacing w:val="-2"/>
          <w:sz w:val="28"/>
          <w:szCs w:val="28"/>
        </w:rPr>
        <w:t>1、在本规划区内的所有建设均应符合本规划和沐川县规划主管部门相关规定。一切单位或个人无权擅自改变规划。</w:t>
      </w:r>
    </w:p>
    <w:p w14:paraId="748A7A1B" w14:textId="77777777" w:rsidR="004177BC" w:rsidRDefault="00000000">
      <w:pPr>
        <w:pStyle w:val="a6"/>
        <w:spacing w:line="360" w:lineRule="auto"/>
        <w:ind w:left="0" w:firstLineChars="200" w:firstLine="556"/>
        <w:rPr>
          <w:rFonts w:hint="default"/>
          <w:spacing w:val="-2"/>
          <w:sz w:val="28"/>
          <w:szCs w:val="28"/>
        </w:rPr>
      </w:pPr>
      <w:r>
        <w:rPr>
          <w:spacing w:val="-2"/>
          <w:sz w:val="28"/>
          <w:szCs w:val="28"/>
        </w:rPr>
        <w:t>2、本规划在实施中确需改变者应将修改意见报规划主管部门批准，方能实施。随着城市建设的发展需做重大调整与变更，须经规划主管部门审查后报沐川县人民政府批准。</w:t>
      </w:r>
    </w:p>
    <w:p w14:paraId="7F7B5983" w14:textId="77777777" w:rsidR="004177BC" w:rsidRDefault="00000000">
      <w:pPr>
        <w:pStyle w:val="a6"/>
        <w:spacing w:line="360" w:lineRule="auto"/>
        <w:ind w:left="0" w:firstLineChars="200" w:firstLine="556"/>
        <w:rPr>
          <w:rFonts w:hint="default"/>
          <w:sz w:val="22"/>
          <w:szCs w:val="22"/>
        </w:rPr>
      </w:pPr>
      <w:r>
        <w:rPr>
          <w:spacing w:val="-2"/>
          <w:sz w:val="28"/>
          <w:szCs w:val="28"/>
        </w:rPr>
        <w:t>3、本规划自沐川县人民政府批准之日起生效。</w:t>
      </w:r>
      <w:bookmarkStart w:id="31" w:name="_bookmark45"/>
      <w:bookmarkEnd w:id="31"/>
    </w:p>
    <w:sectPr w:rsidR="004177BC">
      <w:footerReference w:type="default" r:id="rId15"/>
      <w:pgSz w:w="23808" w:h="16840" w:orient="landscape"/>
      <w:pgMar w:top="1418" w:right="1701" w:bottom="1418" w:left="1701" w:header="567" w:footer="567" w:gutter="0"/>
      <w:cols w:num="2" w:space="55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1CB0E" w14:textId="77777777" w:rsidR="00676E22" w:rsidRDefault="00676E22">
      <w:pPr>
        <w:rPr>
          <w:rFonts w:hint="default"/>
        </w:rPr>
      </w:pPr>
      <w:r>
        <w:separator/>
      </w:r>
    </w:p>
  </w:endnote>
  <w:endnote w:type="continuationSeparator" w:id="0">
    <w:p w14:paraId="4D068F1D" w14:textId="77777777" w:rsidR="00676E22" w:rsidRDefault="00676E22">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5E0E9" w14:textId="77777777" w:rsidR="004177BC" w:rsidRDefault="004177BC">
    <w:pPr>
      <w:pStyle w:val="aa"/>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EABE" w14:textId="77777777" w:rsidR="004177BC" w:rsidRDefault="004177BC">
    <w:pPr>
      <w:pStyle w:val="aa"/>
      <w:jc w:val="center"/>
      <w:rPr>
        <w:rFonts w:hint="default"/>
      </w:rPr>
    </w:pPr>
  </w:p>
  <w:p w14:paraId="582233AB" w14:textId="77777777" w:rsidR="004177BC" w:rsidRDefault="004177BC">
    <w:pPr>
      <w:pStyle w:val="aa"/>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A19D5" w14:textId="77777777" w:rsidR="004177BC" w:rsidRDefault="004177BC">
    <w:pPr>
      <w:pStyle w:val="aa"/>
      <w:jc w:val="cente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BD1A9" w14:textId="77777777" w:rsidR="004177BC" w:rsidRDefault="00000000">
    <w:pPr>
      <w:pStyle w:val="aa"/>
      <w:jc w:val="center"/>
      <w:rPr>
        <w:rFonts w:hint="default"/>
      </w:rPr>
    </w:pPr>
    <w:r>
      <w:rPr>
        <w:noProof/>
      </w:rPr>
      <mc:AlternateContent>
        <mc:Choice Requires="wps">
          <w:drawing>
            <wp:anchor distT="0" distB="0" distL="114300" distR="114300" simplePos="0" relativeHeight="251659264" behindDoc="0" locked="0" layoutInCell="1" allowOverlap="1" wp14:anchorId="041B501C" wp14:editId="26DCF49A">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BDECE4B" w14:textId="77777777" w:rsidR="004177BC" w:rsidRDefault="00000000">
                          <w:pPr>
                            <w:pStyle w:val="aa"/>
                            <w:jc w:val="center"/>
                            <w:rPr>
                              <w:rFonts w:hint="default"/>
                            </w:rPr>
                          </w:pPr>
                          <w:r>
                            <w:fldChar w:fldCharType="begin"/>
                          </w:r>
                          <w:r>
                            <w:instrText>PAGE   \* MERGEFORMAT</w:instrText>
                          </w:r>
                          <w:r>
                            <w:fldChar w:fldCharType="separate"/>
                          </w:r>
                          <w:r>
                            <w:rPr>
                              <w:lang w:val="zh-CN"/>
                            </w:rPr>
                            <w:t>2</w:t>
                          </w:r>
                          <w:r>
                            <w:rPr>
                              <w:lang w:val="zh-CN"/>
                            </w:rPr>
                            <w:fldChar w:fldCharType="end"/>
                          </w:r>
                        </w:p>
                      </w:txbxContent>
                    </wps:txbx>
                    <wps:bodyPr vert="horz" wrap="none" lIns="0" tIns="0" rIns="0" bIns="0" anchor="t" anchorCtr="0">
                      <a:spAutoFit/>
                    </wps:bodyPr>
                  </wps:wsp>
                </a:graphicData>
              </a:graphic>
            </wp:anchor>
          </w:drawing>
        </mc:Choice>
        <mc:Fallback>
          <w:pict>
            <v:shapetype w14:anchorId="041B501C"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" filled="f" stroked="f">
              <v:textbox style="mso-fit-shape-to-text:t" inset="0,0,0,0">
                <w:txbxContent>
                  <w:p w14:paraId="3BDECE4B" w14:textId="77777777" w:rsidR="004177BC" w:rsidRDefault="00000000">
                    <w:pPr>
                      <w:pStyle w:val="aa"/>
                      <w:jc w:val="center"/>
                      <w:rPr>
                        <w:rFonts w:hint="default"/>
                      </w:rPr>
                    </w:pPr>
                    <w:r>
                      <w:fldChar w:fldCharType="begin"/>
                    </w:r>
                    <w:r>
                      <w:instrText>PAGE   \* MERGEFORMAT</w:instrText>
                    </w:r>
                    <w:r>
                      <w:fldChar w:fldCharType="separate"/>
                    </w:r>
                    <w:r>
                      <w:rPr>
                        <w:lang w:val="zh-CN"/>
                      </w:rPr>
                      <w:t>2</w:t>
                    </w:r>
                    <w:r>
                      <w:rPr>
                        <w:lang w:val="zh-CN"/>
                      </w:rPr>
                      <w:fldChar w:fldCharType="end"/>
                    </w:r>
                  </w:p>
                </w:txbxContent>
              </v:textbox>
              <w10:wrap anchorx="margin"/>
            </v:shape>
          </w:pict>
        </mc:Fallback>
      </mc:AlternateContent>
    </w:r>
  </w:p>
  <w:p w14:paraId="2DB70A0D" w14:textId="77777777" w:rsidR="004177BC" w:rsidRDefault="004177BC">
    <w:pPr>
      <w:pStyle w:val="aa"/>
      <w:rPr>
        <w:rFonts w:hint="defau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1199A" w14:textId="77777777" w:rsidR="004177BC" w:rsidRDefault="00000000">
    <w:pPr>
      <w:pStyle w:val="aa"/>
      <w:jc w:val="center"/>
      <w:rPr>
        <w:rFonts w:hint="default"/>
      </w:rPr>
    </w:pPr>
    <w:r>
      <w:rPr>
        <w:noProof/>
      </w:rPr>
      <mc:AlternateContent>
        <mc:Choice Requires="wps">
          <w:drawing>
            <wp:anchor distT="0" distB="0" distL="114300" distR="114300" simplePos="0" relativeHeight="251660288" behindDoc="0" locked="0" layoutInCell="1" allowOverlap="1" wp14:anchorId="05A074CA" wp14:editId="77AD2FBD">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EA17940" w14:textId="77777777" w:rsidR="004177BC" w:rsidRDefault="00000000">
                          <w:pPr>
                            <w:pStyle w:val="aa"/>
                            <w:rPr>
                              <w:rFonts w:hint="default"/>
                            </w:rPr>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type w14:anchorId="05A074CA" id="_x0000_t202" coordsize="21600,21600" o:spt="202" path="m,l,21600r21600,l21600,xe">
              <v:stroke joinstyle="miter"/>
              <v:path gradientshapeok="t" o:connecttype="rect"/>
            </v:shapetype>
            <v:shape id="文本框 4"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" filled="f" stroked="f">
              <v:textbox style="mso-fit-shape-to-text:t" inset="0,0,0,0">
                <w:txbxContent>
                  <w:p w14:paraId="0EA17940" w14:textId="77777777" w:rsidR="004177BC" w:rsidRDefault="00000000">
                    <w:pPr>
                      <w:pStyle w:val="aa"/>
                      <w:rPr>
                        <w:rFonts w:hint="default"/>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25FC" w14:textId="77777777" w:rsidR="004177BC" w:rsidRDefault="00000000">
    <w:pPr>
      <w:pStyle w:val="aa"/>
      <w:jc w:val="center"/>
      <w:rPr>
        <w:rFonts w:hint="default"/>
      </w:rPr>
    </w:pPr>
    <w:r>
      <w:rPr>
        <w:noProof/>
      </w:rPr>
      <mc:AlternateContent>
        <mc:Choice Requires="wps">
          <w:drawing>
            <wp:anchor distT="0" distB="0" distL="114300" distR="114300" simplePos="0" relativeHeight="251661312" behindDoc="0" locked="0" layoutInCell="1" allowOverlap="1" wp14:anchorId="4A0D5501" wp14:editId="7C82DE34">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8853390" w14:textId="77777777" w:rsidR="004177BC" w:rsidRDefault="00000000">
                          <w:pPr>
                            <w:pStyle w:val="aa"/>
                            <w:jc w:val="center"/>
                            <w:rPr>
                              <w:rFonts w:hint="default"/>
                            </w:rPr>
                          </w:pPr>
                          <w:r>
                            <w:fldChar w:fldCharType="begin"/>
                          </w:r>
                          <w:r>
                            <w:instrText>PAGE   \* MERGEFORMAT</w:instrText>
                          </w:r>
                          <w:r>
                            <w:fldChar w:fldCharType="separate"/>
                          </w:r>
                          <w:r>
                            <w:rPr>
                              <w:lang w:val="zh-CN"/>
                            </w:rPr>
                            <w:t>2</w:t>
                          </w:r>
                          <w:r>
                            <w:rPr>
                              <w:lang w:val="zh-CN"/>
                            </w:rPr>
                            <w:fldChar w:fldCharType="end"/>
                          </w:r>
                        </w:p>
                      </w:txbxContent>
                    </wps:txbx>
                    <wps:bodyPr vert="horz" wrap="none" lIns="0" tIns="0" rIns="0" bIns="0" anchor="t" anchorCtr="0">
                      <a:spAutoFit/>
                    </wps:bodyPr>
                  </wps:wsp>
                </a:graphicData>
              </a:graphic>
            </wp:anchor>
          </w:drawing>
        </mc:Choice>
        <mc:Fallback>
          <w:pict>
            <v:shapetype w14:anchorId="4A0D5501" id="_x0000_t202" coordsize="21600,21600" o:spt="202" path="m,l,21600r21600,l21600,xe">
              <v:stroke joinstyle="miter"/>
              <v:path gradientshapeok="t" o:connecttype="rect"/>
            </v:shapetype>
            <v:shape id="文本框 5"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" filled="f" stroked="f">
              <v:textbox style="mso-fit-shape-to-text:t" inset="0,0,0,0">
                <w:txbxContent>
                  <w:p w14:paraId="38853390" w14:textId="77777777" w:rsidR="004177BC" w:rsidRDefault="00000000">
                    <w:pPr>
                      <w:pStyle w:val="aa"/>
                      <w:jc w:val="center"/>
                      <w:rPr>
                        <w:rFonts w:hint="default"/>
                      </w:rPr>
                    </w:pPr>
                    <w:r>
                      <w:fldChar w:fldCharType="begin"/>
                    </w:r>
                    <w:r>
                      <w:instrText>PAGE   \* MERGEFORMAT</w:instrText>
                    </w:r>
                    <w:r>
                      <w:fldChar w:fldCharType="separate"/>
                    </w:r>
                    <w:r>
                      <w:rPr>
                        <w:lang w:val="zh-CN"/>
                      </w:rPr>
                      <w:t>2</w:t>
                    </w:r>
                    <w:r>
                      <w:rPr>
                        <w:lang w:val="zh-CN"/>
                      </w:rPr>
                      <w:fldChar w:fldCharType="end"/>
                    </w:r>
                  </w:p>
                </w:txbxContent>
              </v:textbox>
              <w10:wrap anchorx="margin"/>
            </v:shape>
          </w:pict>
        </mc:Fallback>
      </mc:AlternateContent>
    </w:r>
  </w:p>
  <w:p w14:paraId="21A2DAD6" w14:textId="77777777" w:rsidR="004177BC" w:rsidRDefault="004177BC">
    <w:pPr>
      <w:pStyle w:val="aa"/>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9475B" w14:textId="77777777" w:rsidR="00676E22" w:rsidRDefault="00676E22">
      <w:pPr>
        <w:rPr>
          <w:rFonts w:hint="default"/>
        </w:rPr>
      </w:pPr>
      <w:r>
        <w:separator/>
      </w:r>
    </w:p>
  </w:footnote>
  <w:footnote w:type="continuationSeparator" w:id="0">
    <w:p w14:paraId="49437088" w14:textId="77777777" w:rsidR="00676E22" w:rsidRDefault="00676E22">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D8B9F" w14:textId="77777777" w:rsidR="004177BC" w:rsidRDefault="004177BC">
    <w:pPr>
      <w:pStyle w:val="ac"/>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5BC41" w14:textId="77777777" w:rsidR="004177BC" w:rsidRDefault="00000000">
    <w:pPr>
      <w:pStyle w:val="ac"/>
      <w:pBdr>
        <w:bottom w:val="single" w:sz="4" w:space="0" w:color="auto"/>
      </w:pBdr>
      <w:jc w:val="right"/>
      <w:rPr>
        <w:rFonts w:ascii="宋体" w:eastAsia="宋体" w:hAnsi="宋体"/>
        <w:sz w:val="22"/>
        <w:szCs w:val="22"/>
      </w:rPr>
    </w:pPr>
    <w:r>
      <w:rPr>
        <w:rFonts w:ascii="宋体" w:eastAsia="宋体" w:hAnsi="宋体"/>
        <w:sz w:val="24"/>
        <w:szCs w:val="24"/>
      </w:rPr>
      <w:t xml:space="preserve">沐川县中心城区老城详规单元511129-001-005街区详细规划·文本                                                                                                           </w:t>
    </w:r>
    <w:r>
      <w:rPr>
        <w:rFonts w:ascii="宋体" w:eastAsia="宋体" w:hAnsi="宋体"/>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048826"/>
    <w:multiLevelType w:val="singleLevel"/>
    <w:tmpl w:val="A3048826"/>
    <w:lvl w:ilvl="0">
      <w:start w:val="5"/>
      <w:numFmt w:val="chineseCounting"/>
      <w:suff w:val="space"/>
      <w:lvlText w:val="第%1章"/>
      <w:lvlJc w:val="left"/>
      <w:rPr>
        <w:rFonts w:hint="eastAsia"/>
      </w:rPr>
    </w:lvl>
  </w:abstractNum>
  <w:abstractNum w:abstractNumId="1" w15:restartNumberingAfterBreak="0">
    <w:nsid w:val="DF5FDF6F"/>
    <w:multiLevelType w:val="multilevel"/>
    <w:tmpl w:val="DF5FDF6F"/>
    <w:lvl w:ilvl="0">
      <w:start w:val="1"/>
      <w:numFmt w:val="decimal"/>
      <w:pStyle w:val="a"/>
      <w:suff w:val="nothing"/>
      <w:lvlText w:val="%1."/>
      <w:lvlJc w:val="left"/>
      <w:rPr>
        <w:rFonts w:ascii="仿宋_GB2312" w:eastAsia="仿宋_GB2312" w:cs="仿宋_GB2312" w:hint="default"/>
        <w:sz w:val="30"/>
        <w:szCs w:val="30"/>
        <w:u w:val="none"/>
      </w:rPr>
    </w:lvl>
    <w:lvl w:ilvl="1">
      <w:numFmt w:val="bullet"/>
      <w:lvlText w:val="•"/>
      <w:lvlJc w:val="left"/>
      <w:pPr>
        <w:tabs>
          <w:tab w:val="left" w:pos="113"/>
        </w:tabs>
      </w:pPr>
      <w:rPr>
        <w:rFonts w:hint="default"/>
        <w:u w:val="none"/>
      </w:rPr>
    </w:lvl>
    <w:lvl w:ilvl="2">
      <w:numFmt w:val="bullet"/>
      <w:lvlText w:val="•"/>
      <w:lvlJc w:val="left"/>
      <w:pPr>
        <w:tabs>
          <w:tab w:val="left" w:pos="113"/>
        </w:tabs>
      </w:pPr>
      <w:rPr>
        <w:rFonts w:hint="default"/>
        <w:u w:val="none"/>
      </w:rPr>
    </w:lvl>
    <w:lvl w:ilvl="3">
      <w:numFmt w:val="bullet"/>
      <w:lvlText w:val="•"/>
      <w:lvlJc w:val="left"/>
      <w:pPr>
        <w:tabs>
          <w:tab w:val="left" w:pos="113"/>
        </w:tabs>
      </w:pPr>
      <w:rPr>
        <w:rFonts w:hint="default"/>
        <w:u w:val="none"/>
      </w:rPr>
    </w:lvl>
    <w:lvl w:ilvl="4">
      <w:numFmt w:val="bullet"/>
      <w:lvlText w:val="•"/>
      <w:lvlJc w:val="left"/>
      <w:pPr>
        <w:tabs>
          <w:tab w:val="left" w:pos="113"/>
        </w:tabs>
      </w:pPr>
      <w:rPr>
        <w:rFonts w:hint="default"/>
        <w:u w:val="none"/>
      </w:rPr>
    </w:lvl>
    <w:lvl w:ilvl="5">
      <w:numFmt w:val="bullet"/>
      <w:lvlText w:val="•"/>
      <w:lvlJc w:val="left"/>
      <w:pPr>
        <w:tabs>
          <w:tab w:val="left" w:pos="113"/>
        </w:tabs>
      </w:pPr>
      <w:rPr>
        <w:rFonts w:hint="default"/>
        <w:u w:val="none"/>
      </w:rPr>
    </w:lvl>
    <w:lvl w:ilvl="6">
      <w:numFmt w:val="bullet"/>
      <w:lvlText w:val="•"/>
      <w:lvlJc w:val="left"/>
      <w:pPr>
        <w:tabs>
          <w:tab w:val="left" w:pos="113"/>
        </w:tabs>
      </w:pPr>
      <w:rPr>
        <w:rFonts w:hint="default"/>
        <w:u w:val="none"/>
      </w:rPr>
    </w:lvl>
    <w:lvl w:ilvl="7">
      <w:numFmt w:val="bullet"/>
      <w:lvlText w:val="•"/>
      <w:lvlJc w:val="left"/>
      <w:pPr>
        <w:tabs>
          <w:tab w:val="left" w:pos="113"/>
        </w:tabs>
      </w:pPr>
      <w:rPr>
        <w:rFonts w:hint="default"/>
        <w:u w:val="none"/>
      </w:rPr>
    </w:lvl>
    <w:lvl w:ilvl="8">
      <w:numFmt w:val="bullet"/>
      <w:lvlText w:val="•"/>
      <w:lvlJc w:val="left"/>
      <w:pPr>
        <w:tabs>
          <w:tab w:val="left" w:pos="113"/>
        </w:tabs>
      </w:pPr>
      <w:rPr>
        <w:rFonts w:hint="default"/>
        <w:u w:val="none"/>
      </w:rPr>
    </w:lvl>
  </w:abstractNum>
  <w:abstractNum w:abstractNumId="2" w15:restartNumberingAfterBreak="0">
    <w:nsid w:val="00000403"/>
    <w:multiLevelType w:val="multilevel"/>
    <w:tmpl w:val="00000403"/>
    <w:lvl w:ilvl="0">
      <w:start w:val="1"/>
      <w:numFmt w:val="decimal"/>
      <w:suff w:val="nothing"/>
      <w:lvlText w:val="%1."/>
      <w:lvlJc w:val="left"/>
      <w:rPr>
        <w:rFonts w:ascii="仿宋_GB2312" w:eastAsia="仿宋_GB2312" w:cs="仿宋_GB2312" w:hint="default"/>
        <w:sz w:val="30"/>
        <w:szCs w:val="30"/>
        <w:u w:val="none"/>
      </w:rPr>
    </w:lvl>
    <w:lvl w:ilvl="1">
      <w:numFmt w:val="bullet"/>
      <w:lvlText w:val="•"/>
      <w:lvlJc w:val="left"/>
      <w:pPr>
        <w:tabs>
          <w:tab w:val="left" w:pos="113"/>
        </w:tabs>
      </w:pPr>
      <w:rPr>
        <w:rFonts w:hint="default"/>
        <w:u w:val="none"/>
      </w:rPr>
    </w:lvl>
    <w:lvl w:ilvl="2">
      <w:numFmt w:val="bullet"/>
      <w:lvlText w:val="•"/>
      <w:lvlJc w:val="left"/>
      <w:pPr>
        <w:tabs>
          <w:tab w:val="left" w:pos="113"/>
        </w:tabs>
      </w:pPr>
      <w:rPr>
        <w:rFonts w:hint="default"/>
        <w:u w:val="none"/>
      </w:rPr>
    </w:lvl>
    <w:lvl w:ilvl="3">
      <w:numFmt w:val="bullet"/>
      <w:lvlText w:val="•"/>
      <w:lvlJc w:val="left"/>
      <w:pPr>
        <w:tabs>
          <w:tab w:val="left" w:pos="113"/>
        </w:tabs>
      </w:pPr>
      <w:rPr>
        <w:rFonts w:hint="default"/>
        <w:u w:val="none"/>
      </w:rPr>
    </w:lvl>
    <w:lvl w:ilvl="4">
      <w:numFmt w:val="bullet"/>
      <w:lvlText w:val="•"/>
      <w:lvlJc w:val="left"/>
      <w:pPr>
        <w:tabs>
          <w:tab w:val="left" w:pos="113"/>
        </w:tabs>
      </w:pPr>
      <w:rPr>
        <w:rFonts w:hint="default"/>
        <w:u w:val="none"/>
      </w:rPr>
    </w:lvl>
    <w:lvl w:ilvl="5">
      <w:numFmt w:val="bullet"/>
      <w:lvlText w:val="•"/>
      <w:lvlJc w:val="left"/>
      <w:pPr>
        <w:tabs>
          <w:tab w:val="left" w:pos="113"/>
        </w:tabs>
      </w:pPr>
      <w:rPr>
        <w:rFonts w:hint="default"/>
        <w:u w:val="none"/>
      </w:rPr>
    </w:lvl>
    <w:lvl w:ilvl="6">
      <w:numFmt w:val="bullet"/>
      <w:lvlText w:val="•"/>
      <w:lvlJc w:val="left"/>
      <w:pPr>
        <w:tabs>
          <w:tab w:val="left" w:pos="113"/>
        </w:tabs>
      </w:pPr>
      <w:rPr>
        <w:rFonts w:hint="default"/>
        <w:u w:val="none"/>
      </w:rPr>
    </w:lvl>
    <w:lvl w:ilvl="7">
      <w:numFmt w:val="bullet"/>
      <w:lvlText w:val="•"/>
      <w:lvlJc w:val="left"/>
      <w:pPr>
        <w:tabs>
          <w:tab w:val="left" w:pos="113"/>
        </w:tabs>
      </w:pPr>
      <w:rPr>
        <w:rFonts w:hint="default"/>
        <w:u w:val="none"/>
      </w:rPr>
    </w:lvl>
    <w:lvl w:ilvl="8">
      <w:numFmt w:val="bullet"/>
      <w:lvlText w:val="•"/>
      <w:lvlJc w:val="left"/>
      <w:pPr>
        <w:tabs>
          <w:tab w:val="left" w:pos="113"/>
        </w:tabs>
      </w:pPr>
      <w:rPr>
        <w:rFonts w:hint="default"/>
        <w:u w:val="none"/>
      </w:rPr>
    </w:lvl>
  </w:abstractNum>
  <w:num w:numId="1" w16cid:durableId="605116283">
    <w:abstractNumId w:val="1"/>
  </w:num>
  <w:num w:numId="2" w16cid:durableId="693463233">
    <w:abstractNumId w:val="2"/>
  </w:num>
  <w:num w:numId="3" w16cid:durableId="1766069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oNotUseMarginsForDrawingGridOrigin/>
  <w:doNotShadeFormData/>
  <w:noPunctuationKerning/>
  <w:characterSpacingControl w:val="doNotCompress"/>
  <w:doNotValidateAgainstSchema/>
  <w:doNotDemarcateInvalidXml/>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172A27"/>
    <w:rsid w:val="004177BC"/>
    <w:rsid w:val="00676E22"/>
    <w:rsid w:val="009F696D"/>
    <w:rsid w:val="00B00343"/>
    <w:rsid w:val="013637D1"/>
    <w:rsid w:val="01536131"/>
    <w:rsid w:val="02775E4F"/>
    <w:rsid w:val="03261624"/>
    <w:rsid w:val="07320597"/>
    <w:rsid w:val="09C3084B"/>
    <w:rsid w:val="0B7F2855"/>
    <w:rsid w:val="0B8D0492"/>
    <w:rsid w:val="0F8120BC"/>
    <w:rsid w:val="13390EFF"/>
    <w:rsid w:val="17657C3D"/>
    <w:rsid w:val="1D305121"/>
    <w:rsid w:val="1FAA7E50"/>
    <w:rsid w:val="20C53DD2"/>
    <w:rsid w:val="241A2687"/>
    <w:rsid w:val="24AE21E0"/>
    <w:rsid w:val="29471828"/>
    <w:rsid w:val="2DCF1834"/>
    <w:rsid w:val="35EA1EB9"/>
    <w:rsid w:val="368E4C10"/>
    <w:rsid w:val="37A16550"/>
    <w:rsid w:val="404623E2"/>
    <w:rsid w:val="41801923"/>
    <w:rsid w:val="4565363F"/>
    <w:rsid w:val="5861355C"/>
    <w:rsid w:val="59B63CDD"/>
    <w:rsid w:val="5A8B33BB"/>
    <w:rsid w:val="5BB26B3C"/>
    <w:rsid w:val="63D062E3"/>
    <w:rsid w:val="680447AD"/>
    <w:rsid w:val="6C6D2921"/>
    <w:rsid w:val="6CEA3DAE"/>
    <w:rsid w:val="6FC767EC"/>
    <w:rsid w:val="758D193E"/>
    <w:rsid w:val="7B917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E28089"/>
  <w15:docId w15:val="{3198B1E9-75BC-489A-8CE3-2A6868521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1" w:unhideWhenUsed="1" w:qFormat="1"/>
    <w:lsdException w:name="heading 1" w:uiPriority="1" w:unhideWhenUsed="1" w:qFormat="1"/>
    <w:lsdException w:name="heading 2" w:uiPriority="1"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qFormat="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semiHidden="1" w:uiPriority="10" w:unhideWhenUsed="1" w:qFormat="1"/>
    <w:lsdException w:name="Closing" w:semiHidden="1" w:unhideWhenUsed="1" w:qFormat="1"/>
    <w:lsdException w:name="Signature" w:semiHidden="1" w:unhideWhenUsed="1" w:qFormat="1"/>
    <w:lsdException w:name="Default Paragraph Font" w:uiPriority="1" w:unhideWhenUsed="1" w:qFormat="1"/>
    <w:lsdException w:name="Body Text" w:uiPriority="1" w:unhideWhenUsed="1" w:qFormat="1"/>
    <w:lsdException w:name="Body Text Indent"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unhideWhenUsed="1" w:qFormat="1"/>
    <w:lsdException w:name="FollowedHyperlink" w:semiHidden="1" w:unhideWhenUsed="1" w:qFormat="1"/>
    <w:lsdException w:name="Strong" w:semiHidden="1" w:uiPriority="22" w:unhideWhenUsed="1" w:qFormat="1"/>
    <w:lsdException w:name="Emphasis" w:semiHidden="1" w:uiPriority="20" w:unhideWhenUsed="1"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unhideWhenUsed/>
    <w:qFormat/>
    <w:pPr>
      <w:widowControl w:val="0"/>
      <w:autoSpaceDE w:val="0"/>
      <w:autoSpaceDN w:val="0"/>
      <w:adjustRightInd w:val="0"/>
    </w:pPr>
    <w:rPr>
      <w:rFonts w:ascii="仿宋_GB2312" w:eastAsia="仿宋_GB2312" w:cs="仿宋_GB2312" w:hint="eastAsia"/>
      <w:sz w:val="22"/>
      <w:szCs w:val="22"/>
    </w:rPr>
  </w:style>
  <w:style w:type="paragraph" w:styleId="1">
    <w:name w:val="heading 1"/>
    <w:basedOn w:val="a0"/>
    <w:link w:val="10"/>
    <w:uiPriority w:val="1"/>
    <w:unhideWhenUsed/>
    <w:qFormat/>
    <w:pPr>
      <w:tabs>
        <w:tab w:val="left" w:pos="723"/>
      </w:tabs>
      <w:kinsoku w:val="0"/>
      <w:overflowPunct w:val="0"/>
      <w:spacing w:before="49" w:afterLines="50" w:after="50" w:line="360" w:lineRule="auto"/>
      <w:jc w:val="center"/>
      <w:outlineLvl w:val="0"/>
    </w:pPr>
    <w:rPr>
      <w:rFonts w:ascii="黑体" w:eastAsia="黑体" w:hAnsi="黑体" w:cs="黑体"/>
      <w:b/>
      <w:color w:val="FF0000"/>
      <w:sz w:val="36"/>
      <w:szCs w:val="32"/>
    </w:rPr>
  </w:style>
  <w:style w:type="paragraph" w:styleId="2">
    <w:name w:val="heading 2"/>
    <w:basedOn w:val="a0"/>
    <w:next w:val="a0"/>
    <w:link w:val="20"/>
    <w:uiPriority w:val="1"/>
    <w:unhideWhenUsed/>
    <w:qFormat/>
    <w:pPr>
      <w:ind w:left="1005"/>
      <w:outlineLvl w:val="1"/>
    </w:pPr>
    <w:rPr>
      <w:b/>
      <w:sz w:val="32"/>
      <w:szCs w:val="32"/>
    </w:rPr>
  </w:style>
  <w:style w:type="paragraph" w:styleId="3">
    <w:name w:val="heading 3"/>
    <w:basedOn w:val="a0"/>
    <w:next w:val="a0"/>
    <w:link w:val="30"/>
    <w:uiPriority w:val="9"/>
    <w:unhideWhenUsed/>
    <w:qFormat/>
    <w:pPr>
      <w:keepNext/>
      <w:keepLines/>
      <w:spacing w:before="260" w:after="260" w:line="416" w:lineRule="auto"/>
      <w:outlineLvl w:val="2"/>
    </w:pPr>
    <w:rPr>
      <w:b/>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TOC7">
    <w:name w:val="toc 7"/>
    <w:basedOn w:val="a0"/>
    <w:next w:val="a0"/>
    <w:uiPriority w:val="39"/>
    <w:unhideWhenUsed/>
    <w:qFormat/>
    <w:pPr>
      <w:autoSpaceDE/>
      <w:autoSpaceDN/>
      <w:adjustRightInd/>
      <w:spacing w:after="160" w:line="278" w:lineRule="auto"/>
      <w:ind w:leftChars="1200" w:left="2520"/>
    </w:pPr>
    <w:rPr>
      <w:rFonts w:ascii="等线" w:eastAsia="等线" w:hAnsi="等线" w:cs="Times New Roman"/>
      <w:kern w:val="2"/>
      <w:szCs w:val="24"/>
    </w:rPr>
  </w:style>
  <w:style w:type="paragraph" w:styleId="a4">
    <w:name w:val="annotation text"/>
    <w:basedOn w:val="a0"/>
    <w:link w:val="a5"/>
    <w:uiPriority w:val="99"/>
    <w:unhideWhenUsed/>
    <w:qFormat/>
    <w:pPr>
      <w:autoSpaceDE/>
      <w:autoSpaceDN/>
      <w:adjustRightInd/>
    </w:pPr>
    <w:rPr>
      <w:rFonts w:ascii="等线" w:eastAsia="等线" w:hAnsi="等线" w:cs="Times New Roman"/>
      <w:kern w:val="2"/>
      <w:sz w:val="21"/>
    </w:rPr>
  </w:style>
  <w:style w:type="paragraph" w:styleId="a6">
    <w:name w:val="Body Text"/>
    <w:basedOn w:val="a0"/>
    <w:link w:val="a7"/>
    <w:uiPriority w:val="1"/>
    <w:unhideWhenUsed/>
    <w:qFormat/>
    <w:pPr>
      <w:ind w:left="360"/>
    </w:pPr>
    <w:rPr>
      <w:sz w:val="32"/>
      <w:szCs w:val="32"/>
    </w:rPr>
  </w:style>
  <w:style w:type="paragraph" w:styleId="a8">
    <w:name w:val="Body Text Indent"/>
    <w:basedOn w:val="a0"/>
    <w:link w:val="a9"/>
    <w:uiPriority w:val="99"/>
    <w:unhideWhenUsed/>
    <w:qFormat/>
    <w:pPr>
      <w:spacing w:after="120"/>
      <w:ind w:leftChars="200" w:left="420"/>
    </w:pPr>
  </w:style>
  <w:style w:type="paragraph" w:styleId="TOC5">
    <w:name w:val="toc 5"/>
    <w:basedOn w:val="a0"/>
    <w:next w:val="a0"/>
    <w:uiPriority w:val="39"/>
    <w:unhideWhenUsed/>
    <w:qFormat/>
    <w:pPr>
      <w:autoSpaceDE/>
      <w:autoSpaceDN/>
      <w:adjustRightInd/>
      <w:spacing w:after="160" w:line="278" w:lineRule="auto"/>
      <w:ind w:leftChars="800" w:left="1680"/>
    </w:pPr>
    <w:rPr>
      <w:rFonts w:ascii="等线" w:eastAsia="等线" w:hAnsi="等线" w:cs="Times New Roman"/>
      <w:kern w:val="2"/>
      <w:szCs w:val="24"/>
    </w:rPr>
  </w:style>
  <w:style w:type="paragraph" w:styleId="TOC3">
    <w:name w:val="toc 3"/>
    <w:basedOn w:val="a0"/>
    <w:next w:val="a0"/>
    <w:uiPriority w:val="39"/>
    <w:unhideWhenUsed/>
    <w:qFormat/>
    <w:pPr>
      <w:autoSpaceDE/>
      <w:autoSpaceDN/>
      <w:adjustRightInd/>
      <w:spacing w:after="160" w:line="278" w:lineRule="auto"/>
      <w:ind w:leftChars="400" w:left="840"/>
    </w:pPr>
    <w:rPr>
      <w:rFonts w:ascii="等线" w:eastAsia="等线" w:hAnsi="等线" w:cs="Times New Roman"/>
      <w:kern w:val="2"/>
      <w:szCs w:val="24"/>
    </w:rPr>
  </w:style>
  <w:style w:type="paragraph" w:styleId="TOC8">
    <w:name w:val="toc 8"/>
    <w:basedOn w:val="a0"/>
    <w:next w:val="a0"/>
    <w:uiPriority w:val="39"/>
    <w:unhideWhenUsed/>
    <w:qFormat/>
    <w:pPr>
      <w:autoSpaceDE/>
      <w:autoSpaceDN/>
      <w:adjustRightInd/>
      <w:spacing w:after="160" w:line="278" w:lineRule="auto"/>
      <w:ind w:leftChars="1400" w:left="2940"/>
    </w:pPr>
    <w:rPr>
      <w:rFonts w:ascii="等线" w:eastAsia="等线" w:hAnsi="等线" w:cs="Times New Roman"/>
      <w:kern w:val="2"/>
      <w:szCs w:val="24"/>
    </w:rPr>
  </w:style>
  <w:style w:type="paragraph" w:styleId="aa">
    <w:name w:val="footer"/>
    <w:basedOn w:val="a0"/>
    <w:link w:val="ab"/>
    <w:uiPriority w:val="99"/>
    <w:unhideWhenUsed/>
    <w:qFormat/>
    <w:pPr>
      <w:tabs>
        <w:tab w:val="center" w:pos="4153"/>
        <w:tab w:val="right" w:pos="8306"/>
      </w:tabs>
      <w:snapToGrid w:val="0"/>
    </w:pPr>
    <w:rPr>
      <w:sz w:val="18"/>
      <w:szCs w:val="18"/>
    </w:rPr>
  </w:style>
  <w:style w:type="paragraph" w:styleId="ac">
    <w:name w:val="header"/>
    <w:basedOn w:val="a0"/>
    <w:link w:val="ad"/>
    <w:uiPriority w:val="99"/>
    <w:unhideWhenUsed/>
    <w:qFormat/>
    <w:pPr>
      <w:tabs>
        <w:tab w:val="center" w:pos="4153"/>
        <w:tab w:val="right" w:pos="8306"/>
      </w:tabs>
      <w:snapToGrid w:val="0"/>
      <w:jc w:val="center"/>
    </w:pPr>
    <w:rPr>
      <w:sz w:val="18"/>
      <w:szCs w:val="18"/>
    </w:rPr>
  </w:style>
  <w:style w:type="paragraph" w:styleId="TOC1">
    <w:name w:val="toc 1"/>
    <w:basedOn w:val="a0"/>
    <w:next w:val="a0"/>
    <w:uiPriority w:val="39"/>
    <w:unhideWhenUsed/>
    <w:qFormat/>
    <w:pPr>
      <w:tabs>
        <w:tab w:val="right" w:leader="dot" w:pos="20406"/>
      </w:tabs>
      <w:spacing w:line="360" w:lineRule="auto"/>
    </w:pPr>
    <w:rPr>
      <w:rFonts w:eastAsia="黑体" w:hAnsi="仿宋_GB2312"/>
      <w:sz w:val="30"/>
    </w:rPr>
  </w:style>
  <w:style w:type="paragraph" w:styleId="TOC4">
    <w:name w:val="toc 4"/>
    <w:basedOn w:val="a0"/>
    <w:next w:val="a0"/>
    <w:uiPriority w:val="39"/>
    <w:unhideWhenUsed/>
    <w:qFormat/>
    <w:pPr>
      <w:autoSpaceDE/>
      <w:autoSpaceDN/>
      <w:adjustRightInd/>
      <w:spacing w:after="160" w:line="278" w:lineRule="auto"/>
      <w:ind w:leftChars="600" w:left="1260"/>
    </w:pPr>
    <w:rPr>
      <w:rFonts w:ascii="等线" w:eastAsia="等线" w:hAnsi="等线" w:cs="Times New Roman"/>
      <w:kern w:val="2"/>
      <w:szCs w:val="24"/>
    </w:rPr>
  </w:style>
  <w:style w:type="paragraph" w:styleId="TOC6">
    <w:name w:val="toc 6"/>
    <w:basedOn w:val="a0"/>
    <w:next w:val="a0"/>
    <w:uiPriority w:val="39"/>
    <w:unhideWhenUsed/>
    <w:qFormat/>
    <w:pPr>
      <w:autoSpaceDE/>
      <w:autoSpaceDN/>
      <w:adjustRightInd/>
      <w:spacing w:after="160" w:line="278" w:lineRule="auto"/>
      <w:ind w:leftChars="1000" w:left="2100"/>
    </w:pPr>
    <w:rPr>
      <w:rFonts w:ascii="等线" w:eastAsia="等线" w:hAnsi="等线" w:cs="Times New Roman"/>
      <w:kern w:val="2"/>
      <w:szCs w:val="24"/>
    </w:rPr>
  </w:style>
  <w:style w:type="paragraph" w:styleId="TOC2">
    <w:name w:val="toc 2"/>
    <w:basedOn w:val="a0"/>
    <w:next w:val="a0"/>
    <w:uiPriority w:val="39"/>
    <w:unhideWhenUsed/>
    <w:qFormat/>
    <w:pPr>
      <w:ind w:leftChars="200" w:left="420"/>
    </w:pPr>
  </w:style>
  <w:style w:type="paragraph" w:styleId="TOC9">
    <w:name w:val="toc 9"/>
    <w:basedOn w:val="a0"/>
    <w:next w:val="a0"/>
    <w:uiPriority w:val="39"/>
    <w:unhideWhenUsed/>
    <w:qFormat/>
    <w:pPr>
      <w:autoSpaceDE/>
      <w:autoSpaceDN/>
      <w:adjustRightInd/>
      <w:spacing w:after="160" w:line="278" w:lineRule="auto"/>
      <w:ind w:leftChars="1600" w:left="3360"/>
    </w:pPr>
    <w:rPr>
      <w:rFonts w:ascii="等线" w:eastAsia="等线" w:hAnsi="等线" w:cs="Times New Roman"/>
      <w:kern w:val="2"/>
      <w:szCs w:val="24"/>
    </w:rPr>
  </w:style>
  <w:style w:type="paragraph" w:styleId="ae">
    <w:name w:val="Normal (Web)"/>
    <w:basedOn w:val="a0"/>
    <w:uiPriority w:val="99"/>
    <w:unhideWhenUsed/>
    <w:qFormat/>
    <w:pPr>
      <w:widowControl/>
      <w:autoSpaceDE/>
      <w:autoSpaceDN/>
      <w:adjustRightInd/>
      <w:spacing w:before="100" w:beforeAutospacing="1" w:after="100" w:afterAutospacing="1"/>
    </w:pPr>
    <w:rPr>
      <w:rFonts w:ascii="宋体" w:eastAsia="宋体" w:hAnsi="宋体" w:cs="宋体"/>
      <w:sz w:val="24"/>
      <w:szCs w:val="24"/>
    </w:rPr>
  </w:style>
  <w:style w:type="character" w:styleId="af">
    <w:name w:val="Strong"/>
    <w:basedOn w:val="a1"/>
    <w:uiPriority w:val="22"/>
    <w:semiHidden/>
    <w:unhideWhenUsed/>
    <w:qFormat/>
    <w:rPr>
      <w:b/>
    </w:rPr>
  </w:style>
  <w:style w:type="character" w:styleId="af0">
    <w:name w:val="Hyperlink"/>
    <w:basedOn w:val="a1"/>
    <w:uiPriority w:val="99"/>
    <w:unhideWhenUsed/>
    <w:qFormat/>
    <w:rPr>
      <w:rFonts w:cs="Times New Roman" w:hint="default"/>
      <w:color w:val="0563C1"/>
      <w:sz w:val="24"/>
      <w:szCs w:val="24"/>
      <w:u w:val="single"/>
    </w:rPr>
  </w:style>
  <w:style w:type="character" w:styleId="af1">
    <w:name w:val="annotation reference"/>
    <w:basedOn w:val="a1"/>
    <w:uiPriority w:val="99"/>
    <w:unhideWhenUsed/>
    <w:qFormat/>
    <w:rPr>
      <w:rFonts w:cs="Times New Roman" w:hint="default"/>
      <w:sz w:val="21"/>
      <w:szCs w:val="24"/>
    </w:rPr>
  </w:style>
  <w:style w:type="paragraph" w:styleId="a">
    <w:name w:val="List Paragraph"/>
    <w:basedOn w:val="a0"/>
    <w:uiPriority w:val="1"/>
    <w:unhideWhenUsed/>
    <w:qFormat/>
    <w:pPr>
      <w:numPr>
        <w:numId w:val="1"/>
      </w:numPr>
      <w:tabs>
        <w:tab w:val="left" w:pos="1329"/>
      </w:tabs>
      <w:spacing w:line="560" w:lineRule="exact"/>
      <w:ind w:left="363" w:right="363" w:firstLineChars="200" w:firstLine="564"/>
    </w:pPr>
    <w:rPr>
      <w:rFonts w:hAnsi="仿宋_GB2312"/>
      <w:color w:val="FF0000"/>
      <w:spacing w:val="2"/>
      <w:sz w:val="28"/>
      <w:szCs w:val="28"/>
    </w:rPr>
  </w:style>
  <w:style w:type="paragraph" w:customStyle="1" w:styleId="TableParagraph">
    <w:name w:val="Table Paragraph"/>
    <w:basedOn w:val="a0"/>
    <w:uiPriority w:val="1"/>
    <w:unhideWhenUsed/>
    <w:qFormat/>
    <w:pPr>
      <w:jc w:val="center"/>
    </w:pPr>
    <w:rPr>
      <w:sz w:val="24"/>
      <w:szCs w:val="24"/>
    </w:rPr>
  </w:style>
  <w:style w:type="paragraph" w:customStyle="1" w:styleId="TOC10">
    <w:name w:val="TOC 标题1"/>
    <w:basedOn w:val="1"/>
    <w:next w:val="a0"/>
    <w:uiPriority w:val="39"/>
    <w:unhideWhenUsed/>
    <w:qFormat/>
    <w:pPr>
      <w:keepNext/>
      <w:keepLines/>
      <w:widowControl/>
      <w:autoSpaceDE/>
      <w:autoSpaceDN/>
      <w:adjustRightInd/>
      <w:spacing w:before="240" w:afterLines="0" w:line="259" w:lineRule="auto"/>
      <w:jc w:val="left"/>
    </w:pPr>
    <w:rPr>
      <w:rFonts w:ascii="等线 Light" w:eastAsia="等线 Light" w:hAnsi="等线 Light" w:cs="Times New Roman"/>
      <w:b w:val="0"/>
      <w:color w:val="2F5496"/>
      <w:sz w:val="32"/>
    </w:rPr>
  </w:style>
  <w:style w:type="character" w:customStyle="1" w:styleId="10">
    <w:name w:val="标题 1 字符"/>
    <w:link w:val="1"/>
    <w:uiPriority w:val="9"/>
    <w:unhideWhenUsed/>
    <w:qFormat/>
    <w:rPr>
      <w:rFonts w:ascii="黑体" w:eastAsia="黑体" w:hAnsi="黑体" w:cs="黑体"/>
      <w:b/>
      <w:color w:val="FF0000"/>
      <w:sz w:val="36"/>
      <w:szCs w:val="32"/>
      <w:lang w:val="en-US" w:eastAsia="zh-CN" w:bidi="ar-SA"/>
    </w:rPr>
  </w:style>
  <w:style w:type="character" w:customStyle="1" w:styleId="20">
    <w:name w:val="标题 2 字符"/>
    <w:basedOn w:val="a1"/>
    <w:link w:val="2"/>
    <w:uiPriority w:val="9"/>
    <w:unhideWhenUsed/>
    <w:qFormat/>
    <w:rPr>
      <w:rFonts w:ascii="等线 Light" w:eastAsia="等线 Light" w:hAnsi="等线 Light" w:cs="Times New Roman" w:hint="eastAsia"/>
      <w:b/>
      <w:sz w:val="32"/>
      <w:szCs w:val="32"/>
    </w:rPr>
  </w:style>
  <w:style w:type="character" w:customStyle="1" w:styleId="30">
    <w:name w:val="标题 3 字符"/>
    <w:basedOn w:val="a1"/>
    <w:link w:val="3"/>
    <w:uiPriority w:val="9"/>
    <w:unhideWhenUsed/>
    <w:qFormat/>
    <w:rPr>
      <w:rFonts w:ascii="仿宋_GB2312" w:eastAsia="仿宋_GB2312" w:hAnsi="Times New Roman" w:cs="仿宋_GB2312" w:hint="eastAsia"/>
      <w:b/>
      <w:sz w:val="32"/>
      <w:szCs w:val="32"/>
    </w:rPr>
  </w:style>
  <w:style w:type="character" w:customStyle="1" w:styleId="a7">
    <w:name w:val="正文文本 字符"/>
    <w:basedOn w:val="a1"/>
    <w:link w:val="a6"/>
    <w:uiPriority w:val="99"/>
    <w:unhideWhenUsed/>
    <w:qFormat/>
    <w:rPr>
      <w:rFonts w:ascii="仿宋_GB2312" w:eastAsia="仿宋_GB2312" w:hAnsi="Times New Roman" w:cs="仿宋_GB2312" w:hint="eastAsia"/>
      <w:sz w:val="22"/>
      <w:szCs w:val="22"/>
    </w:rPr>
  </w:style>
  <w:style w:type="character" w:customStyle="1" w:styleId="11">
    <w:name w:val="未处理的提及1"/>
    <w:basedOn w:val="a1"/>
    <w:uiPriority w:val="99"/>
    <w:unhideWhenUsed/>
    <w:qFormat/>
    <w:rPr>
      <w:rFonts w:cs="Times New Roman" w:hint="default"/>
      <w:color w:val="605E5C"/>
      <w:sz w:val="24"/>
      <w:szCs w:val="24"/>
      <w:shd w:val="clear" w:color="auto" w:fill="E1DFDD"/>
    </w:rPr>
  </w:style>
  <w:style w:type="character" w:customStyle="1" w:styleId="a9">
    <w:name w:val="正文文本缩进 字符"/>
    <w:basedOn w:val="a1"/>
    <w:link w:val="a8"/>
    <w:uiPriority w:val="99"/>
    <w:unhideWhenUsed/>
    <w:qFormat/>
    <w:rPr>
      <w:rFonts w:ascii="仿宋_GB2312" w:eastAsia="仿宋_GB2312" w:hAnsi="Times New Roman" w:cs="仿宋_GB2312" w:hint="eastAsia"/>
      <w:sz w:val="24"/>
      <w:szCs w:val="24"/>
    </w:rPr>
  </w:style>
  <w:style w:type="character" w:customStyle="1" w:styleId="ad">
    <w:name w:val="页眉 字符"/>
    <w:basedOn w:val="a1"/>
    <w:link w:val="ac"/>
    <w:uiPriority w:val="99"/>
    <w:unhideWhenUsed/>
    <w:qFormat/>
    <w:rPr>
      <w:rFonts w:ascii="仿宋_GB2312" w:eastAsia="仿宋_GB2312" w:hAnsi="Times New Roman" w:cs="仿宋_GB2312" w:hint="eastAsia"/>
      <w:sz w:val="18"/>
      <w:szCs w:val="18"/>
    </w:rPr>
  </w:style>
  <w:style w:type="character" w:customStyle="1" w:styleId="ab">
    <w:name w:val="页脚 字符"/>
    <w:basedOn w:val="a1"/>
    <w:link w:val="aa"/>
    <w:uiPriority w:val="99"/>
    <w:unhideWhenUsed/>
    <w:qFormat/>
    <w:rPr>
      <w:rFonts w:ascii="仿宋_GB2312" w:eastAsia="仿宋_GB2312" w:hAnsi="Times New Roman" w:cs="仿宋_GB2312" w:hint="eastAsia"/>
      <w:sz w:val="18"/>
      <w:szCs w:val="18"/>
    </w:rPr>
  </w:style>
  <w:style w:type="character" w:customStyle="1" w:styleId="21">
    <w:name w:val="标题 2 字符1"/>
    <w:unhideWhenUsed/>
    <w:qFormat/>
    <w:rPr>
      <w:rFonts w:ascii="黑体" w:eastAsia="黑体" w:hAnsi="Cambria" w:hint="eastAsia"/>
      <w:sz w:val="32"/>
      <w:szCs w:val="24"/>
    </w:rPr>
  </w:style>
  <w:style w:type="character" w:customStyle="1" w:styleId="a5">
    <w:name w:val="批注文字 字符"/>
    <w:basedOn w:val="a1"/>
    <w:link w:val="a4"/>
    <w:uiPriority w:val="99"/>
    <w:unhideWhenUsed/>
    <w:qFormat/>
    <w:rPr>
      <w:rFonts w:ascii="等线" w:eastAsia="等线" w:hAnsi="等线" w:cs="Times New Roman" w:hint="eastAsia"/>
      <w:sz w:val="21"/>
      <w:szCs w:val="24"/>
    </w:rPr>
  </w:style>
  <w:style w:type="paragraph" w:customStyle="1" w:styleId="Default">
    <w:name w:val="Default"/>
    <w:uiPriority w:val="99"/>
    <w:unhideWhenUsed/>
    <w:qFormat/>
    <w:pPr>
      <w:widowControl w:val="0"/>
      <w:autoSpaceDE w:val="0"/>
      <w:autoSpaceDN w:val="0"/>
      <w:adjustRightInd w:val="0"/>
    </w:pPr>
    <w:rPr>
      <w:rFonts w:ascii="仿宋_GB2312" w:eastAsia="仿宋_GB2312" w:hAnsi="仿宋_GB2312" w:hint="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1463</Words>
  <Characters>8342</Characters>
  <Application>Microsoft Office Word</Application>
  <DocSecurity>0</DocSecurity>
  <Lines>69</Lines>
  <Paragraphs>19</Paragraphs>
  <ScaleCrop>false</ScaleCrop>
  <Company/>
  <LinksUpToDate>false</LinksUpToDate>
  <CharactersWithSpaces>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仁武 谢</cp:lastModifiedBy>
  <cp:revision>2</cp:revision>
  <dcterms:created xsi:type="dcterms:W3CDTF">2026-09-07T03:19:00Z</dcterms:created>
  <dcterms:modified xsi:type="dcterms:W3CDTF">2026-09-07T03:19:00Z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98204005A6D34D89BC86C6B4E18C4904_13</vt:lpwstr>
  </property>
  <property fmtid="{D5CDD505-2E9C-101B-9397-08002B2CF9AE}" pid="4" name="KSOTemplateDocerSaveRecord">
    <vt:lpwstr>eyJoZGlkIjoiMDdkMTYyYzNlNmNmMmQwMDlmZGQ3YTBmNDUyMGVhMWUiLCJ1c2VySWQiOiI3MjgyODQ4MDkifQ==</vt:lpwstr>
  </property>
</Properties>
</file>