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FD8095">
      <w:pPr>
        <w:pStyle w:val="7"/>
        <w:kinsoku w:val="0"/>
        <w:overflowPunct w:val="0"/>
        <w:spacing w:before="138" w:line="360" w:lineRule="auto"/>
        <w:ind w:left="352" w:right="610"/>
        <w:jc w:val="center"/>
        <w:rPr>
          <w:rFonts w:hint="default" w:ascii="黑体" w:hAnsi="黑体" w:eastAsia="黑体" w:cs="仿宋"/>
          <w:b/>
          <w:sz w:val="52"/>
          <w:szCs w:val="52"/>
        </w:rPr>
      </w:pPr>
    </w:p>
    <w:p w14:paraId="41747D32">
      <w:pPr>
        <w:pStyle w:val="7"/>
        <w:kinsoku w:val="0"/>
        <w:overflowPunct w:val="0"/>
        <w:spacing w:before="138" w:line="360" w:lineRule="auto"/>
        <w:ind w:left="352" w:right="610"/>
        <w:jc w:val="center"/>
        <w:rPr>
          <w:rFonts w:hint="default" w:ascii="黑体" w:hAnsi="黑体" w:eastAsia="黑体" w:cs="仿宋"/>
          <w:b/>
          <w:sz w:val="52"/>
          <w:szCs w:val="52"/>
        </w:rPr>
      </w:pPr>
    </w:p>
    <w:p w14:paraId="7C2E4090">
      <w:pPr>
        <w:spacing w:line="736" w:lineRule="exact"/>
        <w:ind w:right="121"/>
        <w:jc w:val="center"/>
        <w:rPr>
          <w:rFonts w:hint="default" w:ascii="方正小标宋_GBK" w:eastAsia="方正小标宋_GBK"/>
          <w:sz w:val="44"/>
        </w:rPr>
        <w:sectPr>
          <w:footerReference r:id="rId5" w:type="first"/>
          <w:headerReference r:id="rId3" w:type="default"/>
          <w:footerReference r:id="rId4" w:type="default"/>
          <w:pgSz w:w="23808" w:h="16840" w:orient="landscape"/>
          <w:pgMar w:top="1418" w:right="1701" w:bottom="1418" w:left="1701" w:header="567" w:footer="720" w:gutter="0"/>
          <w:pgNumType w:start="1"/>
          <w:cols w:space="550" w:num="2"/>
          <w:titlePg/>
          <w:docGrid w:linePitch="299" w:charSpace="0"/>
        </w:sectPr>
      </w:pPr>
    </w:p>
    <w:p w14:paraId="152D5306">
      <w:pPr>
        <w:spacing w:line="360" w:lineRule="auto"/>
        <w:ind w:right="121" w:firstLine="880"/>
        <w:jc w:val="center"/>
        <w:rPr>
          <w:rFonts w:ascii="方正小标宋_GBK" w:eastAsia="方正小标宋_GBK"/>
          <w:sz w:val="52"/>
          <w:szCs w:val="52"/>
        </w:rPr>
      </w:pPr>
      <w:r>
        <w:rPr>
          <w:rFonts w:ascii="方正小标宋_GBK" w:eastAsia="方正小标宋_GBK"/>
          <w:sz w:val="52"/>
          <w:szCs w:val="52"/>
        </w:rPr>
        <w:t>沐川县中心城区老城详规单元511129-001-005街区00029,00030地块</w:t>
      </w:r>
    </w:p>
    <w:p w14:paraId="171099C2">
      <w:pPr>
        <w:spacing w:line="360" w:lineRule="auto"/>
        <w:jc w:val="center"/>
        <w:rPr>
          <w:rFonts w:ascii="方正小标宋_GBK" w:eastAsia="方正小标宋_GBK"/>
          <w:sz w:val="52"/>
          <w:szCs w:val="52"/>
        </w:rPr>
      </w:pPr>
      <w:r>
        <w:rPr>
          <w:rFonts w:ascii="方正小标宋_GBK" w:eastAsia="方正小标宋_GBK"/>
          <w:sz w:val="52"/>
          <w:szCs w:val="52"/>
        </w:rPr>
        <w:t>实施性详细规划</w:t>
      </w:r>
    </w:p>
    <w:p w14:paraId="627213F2">
      <w:pPr>
        <w:spacing w:line="360" w:lineRule="auto"/>
        <w:jc w:val="center"/>
        <w:rPr>
          <w:rFonts w:ascii="方正小标宋_GBK" w:eastAsia="方正小标宋_GBK"/>
          <w:sz w:val="52"/>
          <w:szCs w:val="52"/>
        </w:rPr>
      </w:pPr>
    </w:p>
    <w:p w14:paraId="674BEC4D">
      <w:pPr>
        <w:spacing w:line="360" w:lineRule="auto"/>
        <w:jc w:val="center"/>
        <w:rPr>
          <w:rFonts w:ascii="方正小标宋_GBK" w:eastAsia="方正小标宋_GBK"/>
          <w:sz w:val="52"/>
          <w:szCs w:val="52"/>
        </w:rPr>
      </w:pPr>
      <w:r>
        <w:rPr>
          <w:rFonts w:ascii="方正小标宋_GBK" w:eastAsia="方正小标宋_GBK"/>
          <w:sz w:val="52"/>
          <w:szCs w:val="52"/>
        </w:rPr>
        <w:t>说明书</w:t>
      </w:r>
    </w:p>
    <w:p w14:paraId="1568A2E0">
      <w:pPr>
        <w:pStyle w:val="7"/>
        <w:ind w:left="0"/>
        <w:rPr>
          <w:rFonts w:hint="default" w:ascii="方正小标宋_GBK"/>
          <w:sz w:val="50"/>
        </w:rPr>
      </w:pPr>
    </w:p>
    <w:p w14:paraId="10001ED9">
      <w:pPr>
        <w:pStyle w:val="7"/>
        <w:ind w:left="0"/>
        <w:rPr>
          <w:rFonts w:hint="default" w:ascii="方正小标宋_GBK"/>
          <w:sz w:val="50"/>
        </w:rPr>
      </w:pPr>
    </w:p>
    <w:p w14:paraId="1F9D73C3">
      <w:pPr>
        <w:pStyle w:val="7"/>
        <w:ind w:left="0"/>
        <w:rPr>
          <w:rFonts w:hint="default" w:ascii="方正小标宋_GBK"/>
          <w:sz w:val="50"/>
        </w:rPr>
      </w:pPr>
    </w:p>
    <w:p w14:paraId="36491156">
      <w:pPr>
        <w:pStyle w:val="7"/>
        <w:ind w:left="0"/>
        <w:rPr>
          <w:rFonts w:hint="default" w:ascii="方正小标宋_GBK"/>
          <w:sz w:val="50"/>
        </w:rPr>
      </w:pPr>
    </w:p>
    <w:p w14:paraId="510ED4BA">
      <w:pPr>
        <w:pStyle w:val="7"/>
        <w:ind w:left="0"/>
        <w:rPr>
          <w:rFonts w:hint="default" w:ascii="方正小标宋_GBK"/>
          <w:sz w:val="50"/>
        </w:rPr>
      </w:pPr>
    </w:p>
    <w:p w14:paraId="25EF593A">
      <w:pPr>
        <w:pStyle w:val="7"/>
        <w:ind w:left="0"/>
        <w:rPr>
          <w:rFonts w:hint="default" w:ascii="方正小标宋_GBK"/>
          <w:sz w:val="50"/>
        </w:rPr>
      </w:pPr>
    </w:p>
    <w:p w14:paraId="51EFD607">
      <w:pPr>
        <w:pStyle w:val="7"/>
        <w:ind w:left="0" w:right="118"/>
        <w:jc w:val="center"/>
        <w:rPr>
          <w:rFonts w:hint="default" w:ascii="楷体" w:eastAsia="楷体"/>
        </w:rPr>
      </w:pPr>
    </w:p>
    <w:p w14:paraId="53B1DA6A">
      <w:pPr>
        <w:pStyle w:val="7"/>
        <w:spacing w:line="360" w:lineRule="auto"/>
        <w:ind w:left="0" w:right="118"/>
        <w:jc w:val="center"/>
        <w:rPr>
          <w:rFonts w:hint="default" w:ascii="楷体" w:eastAsia="楷体"/>
        </w:rPr>
      </w:pPr>
      <w:r>
        <w:rPr>
          <w:rFonts w:ascii="楷体" w:eastAsia="楷体"/>
        </w:rPr>
        <w:t>沐川县人民政府</w:t>
      </w:r>
    </w:p>
    <w:p w14:paraId="57F56910">
      <w:pPr>
        <w:pStyle w:val="7"/>
        <w:spacing w:line="360" w:lineRule="auto"/>
        <w:ind w:left="0" w:right="118"/>
        <w:jc w:val="center"/>
        <w:rPr>
          <w:rFonts w:hint="default" w:ascii="楷体" w:eastAsia="楷体"/>
        </w:rPr>
      </w:pPr>
      <w:r>
        <w:rPr>
          <w:rFonts w:ascii="楷体" w:eastAsia="楷体"/>
        </w:rPr>
        <w:t>乐山市城乡规划设计院有限公司</w:t>
      </w:r>
    </w:p>
    <w:p w14:paraId="47F26CEF">
      <w:pPr>
        <w:pStyle w:val="7"/>
        <w:spacing w:line="360" w:lineRule="auto"/>
        <w:ind w:left="0" w:right="118"/>
        <w:jc w:val="center"/>
        <w:rPr>
          <w:rFonts w:hint="default" w:ascii="楷体" w:eastAsia="楷体"/>
        </w:rPr>
      </w:pPr>
      <w:r>
        <w:rPr>
          <w:rFonts w:ascii="楷体" w:eastAsia="楷体"/>
        </w:rPr>
        <w:t>2026 年 9 月</w:t>
      </w:r>
    </w:p>
    <w:p w14:paraId="6A7D115F">
      <w:pPr>
        <w:pStyle w:val="7"/>
        <w:kinsoku w:val="0"/>
        <w:overflowPunct w:val="0"/>
        <w:spacing w:before="138" w:line="360" w:lineRule="auto"/>
        <w:ind w:left="352" w:right="610"/>
        <w:jc w:val="center"/>
        <w:rPr>
          <w:rFonts w:hint="default" w:ascii="黑体" w:hAnsi="黑体" w:eastAsia="黑体" w:cs="仿宋"/>
          <w:b/>
          <w:sz w:val="52"/>
          <w:szCs w:val="52"/>
        </w:rPr>
        <w:sectPr>
          <w:type w:val="continuous"/>
          <w:pgSz w:w="23808" w:h="16840" w:orient="landscape"/>
          <w:pgMar w:top="1418" w:right="1701" w:bottom="1418" w:left="1701" w:header="567" w:footer="720" w:gutter="0"/>
          <w:pgNumType w:start="1"/>
          <w:cols w:space="425" w:num="1"/>
          <w:titlePg/>
          <w:docGrid w:linePitch="299" w:charSpace="0"/>
        </w:sectPr>
      </w:pPr>
    </w:p>
    <w:p w14:paraId="68C93064">
      <w:pPr>
        <w:pStyle w:val="7"/>
        <w:kinsoku w:val="0"/>
        <w:overflowPunct w:val="0"/>
        <w:spacing w:before="138" w:line="360" w:lineRule="auto"/>
        <w:ind w:left="352" w:right="610"/>
        <w:jc w:val="center"/>
        <w:rPr>
          <w:rFonts w:hint="default" w:ascii="黑体" w:hAnsi="黑体" w:eastAsia="黑体" w:cs="仿宋"/>
          <w:b/>
          <w:sz w:val="36"/>
          <w:szCs w:val="36"/>
        </w:rPr>
      </w:pPr>
      <w:r>
        <w:rPr>
          <w:rFonts w:ascii="黑体" w:hAnsi="黑体" w:eastAsia="黑体" w:cs="仿宋"/>
          <w:b/>
          <w:sz w:val="36"/>
          <w:szCs w:val="36"/>
        </w:rPr>
        <w:t>目 录</w:t>
      </w:r>
    </w:p>
    <w:p w14:paraId="7EBD50B5">
      <w:pPr>
        <w:pStyle w:val="14"/>
        <w:tabs>
          <w:tab w:val="left" w:pos="1260"/>
        </w:tabs>
        <w:rPr>
          <w:rFonts w:hint="default" w:asciiTheme="minorHAnsi" w:hAnsiTheme="minorHAnsi" w:eastAsiaTheme="minorEastAsia" w:cstheme="minorBidi"/>
          <w:kern w:val="2"/>
          <w:sz w:val="21"/>
        </w:rPr>
      </w:pPr>
      <w:r>
        <w:rPr>
          <w:rFonts w:hint="default" w:ascii="黑体" w:hAnsi="黑体" w:cs="仿宋"/>
          <w:sz w:val="36"/>
          <w:szCs w:val="36"/>
        </w:rPr>
        <w:fldChar w:fldCharType="begin"/>
      </w:r>
      <w:r>
        <w:rPr>
          <w:rFonts w:ascii="黑体" w:hAnsi="黑体" w:cs="仿宋"/>
          <w:sz w:val="36"/>
          <w:szCs w:val="36"/>
        </w:rPr>
        <w:instrText xml:space="preserve"> TOC </w:instrText>
      </w:r>
      <w:r>
        <w:rPr>
          <w:rFonts w:hint="default" w:ascii="黑体" w:hAnsi="黑体" w:cs="仿宋"/>
          <w:sz w:val="36"/>
          <w:szCs w:val="36"/>
        </w:rPr>
        <w:instrText xml:space="preserve">\</w:instrText>
      </w:r>
      <w:r>
        <w:rPr>
          <w:rFonts w:ascii="黑体" w:hAnsi="黑体" w:cs="仿宋"/>
          <w:sz w:val="36"/>
          <w:szCs w:val="36"/>
        </w:rPr>
        <w:instrText xml:space="preserve">o "1-1" </w:instrText>
      </w:r>
      <w:r>
        <w:rPr>
          <w:rFonts w:hint="default" w:ascii="黑体" w:hAnsi="黑体" w:cs="仿宋"/>
          <w:sz w:val="36"/>
          <w:szCs w:val="36"/>
        </w:rPr>
        <w:instrText xml:space="preserve">\</w:instrText>
      </w:r>
      <w:r>
        <w:rPr>
          <w:rFonts w:ascii="黑体" w:hAnsi="黑体" w:cs="仿宋"/>
          <w:sz w:val="36"/>
          <w:szCs w:val="36"/>
        </w:rPr>
        <w:instrText xml:space="preserve">h </w:instrText>
      </w:r>
      <w:r>
        <w:rPr>
          <w:rFonts w:hint="default" w:ascii="黑体" w:hAnsi="黑体" w:cs="仿宋"/>
          <w:sz w:val="36"/>
          <w:szCs w:val="36"/>
        </w:rPr>
        <w:instrText xml:space="preserve">\</w:instrText>
      </w:r>
      <w:r>
        <w:rPr>
          <w:rFonts w:ascii="黑体" w:hAnsi="黑体" w:cs="仿宋"/>
          <w:sz w:val="36"/>
          <w:szCs w:val="36"/>
        </w:rPr>
        <w:instrText xml:space="preserve">z </w:instrText>
      </w:r>
      <w:r>
        <w:rPr>
          <w:rFonts w:hint="default" w:ascii="黑体" w:hAnsi="黑体" w:cs="仿宋"/>
          <w:sz w:val="36"/>
          <w:szCs w:val="36"/>
        </w:rPr>
        <w:instrText xml:space="preserve">\</w:instrText>
      </w:r>
      <w:r>
        <w:rPr>
          <w:rFonts w:ascii="黑体" w:hAnsi="黑体" w:cs="仿宋"/>
          <w:sz w:val="36"/>
          <w:szCs w:val="36"/>
        </w:rPr>
        <w:instrText xml:space="preserve">u </w:instrText>
      </w:r>
      <w:r>
        <w:rPr>
          <w:rFonts w:hint="default" w:ascii="黑体" w:hAnsi="黑体" w:cs="仿宋"/>
          <w:sz w:val="36"/>
          <w:szCs w:val="36"/>
        </w:rPr>
        <w:fldChar w:fldCharType="separate"/>
      </w:r>
      <w:r>
        <w:fldChar w:fldCharType="begin"/>
      </w:r>
      <w:r>
        <w:instrText xml:space="preserve"> HYPERLINK \l "_Toc241000213" </w:instrText>
      </w:r>
      <w:r>
        <w:fldChar w:fldCharType="separate"/>
      </w:r>
      <w:r>
        <w:rPr>
          <w:rStyle w:val="23"/>
          <w:rFonts w:hint="eastAsia"/>
        </w:rPr>
        <w:t>第一章</w:t>
      </w:r>
      <w:r>
        <w:rPr>
          <w:rFonts w:hint="default" w:asciiTheme="minorHAnsi" w:hAnsiTheme="minorHAnsi" w:eastAsiaTheme="minorEastAsia" w:cstheme="minorBidi"/>
          <w:kern w:val="2"/>
          <w:sz w:val="21"/>
        </w:rPr>
        <w:tab/>
      </w:r>
      <w:r>
        <w:rPr>
          <w:rStyle w:val="23"/>
          <w:rFonts w:hint="eastAsia"/>
        </w:rPr>
        <w:t>基础条件</w:t>
      </w:r>
      <w:r>
        <w:tab/>
      </w:r>
      <w:r>
        <w:fldChar w:fldCharType="begin"/>
      </w:r>
      <w:r>
        <w:instrText xml:space="preserve"> PAGEREF _Toc241000213 \h </w:instrText>
      </w:r>
      <w:r>
        <w:rPr>
          <w:rFonts w:hint="default"/>
        </w:rPr>
        <w:fldChar w:fldCharType="separate"/>
      </w:r>
      <w:r>
        <w:rPr>
          <w:rFonts w:hint="default"/>
        </w:rPr>
        <w:t>2</w:t>
      </w:r>
      <w:r>
        <w:fldChar w:fldCharType="end"/>
      </w:r>
      <w:r>
        <w:fldChar w:fldCharType="end"/>
      </w:r>
    </w:p>
    <w:p w14:paraId="5B8C676B">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"_Toc241000214" </w:instrText>
      </w:r>
      <w:r>
        <w:fldChar w:fldCharType="separate"/>
      </w:r>
      <w:r>
        <w:rPr>
          <w:rStyle w:val="23"/>
          <w:rFonts w:hint="eastAsia"/>
        </w:rPr>
        <w:t>第二章</w:t>
      </w:r>
      <w:r>
        <w:rPr>
          <w:rFonts w:hint="default" w:asciiTheme="minorHAnsi" w:hAnsiTheme="minorHAnsi" w:eastAsiaTheme="minorEastAsia" w:cstheme="minorBidi"/>
          <w:kern w:val="2"/>
          <w:sz w:val="21"/>
        </w:rPr>
        <w:tab/>
      </w:r>
      <w:r>
        <w:rPr>
          <w:rStyle w:val="23"/>
          <w:rFonts w:hint="eastAsia"/>
        </w:rPr>
        <w:t>规划传导</w:t>
      </w:r>
      <w:r>
        <w:tab/>
      </w:r>
      <w:r>
        <w:fldChar w:fldCharType="begin"/>
      </w:r>
      <w:r>
        <w:instrText xml:space="preserve"> PAGEREF _Toc241000214 \h </w:instrText>
      </w:r>
      <w:r>
        <w:rPr>
          <w:rFonts w:hint="default"/>
        </w:rPr>
        <w:fldChar w:fldCharType="separate"/>
      </w:r>
      <w:r>
        <w:rPr>
          <w:rFonts w:hint="default"/>
        </w:rPr>
        <w:t>2</w:t>
      </w:r>
      <w:r>
        <w:fldChar w:fldCharType="end"/>
      </w:r>
      <w:r>
        <w:fldChar w:fldCharType="end"/>
      </w:r>
    </w:p>
    <w:p w14:paraId="5B4BDD59">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"_Toc241000215" </w:instrText>
      </w:r>
      <w:r>
        <w:fldChar w:fldCharType="separate"/>
      </w:r>
      <w:r>
        <w:rPr>
          <w:rStyle w:val="23"/>
          <w:rFonts w:hint="eastAsia"/>
        </w:rPr>
        <w:t>第三章</w:t>
      </w:r>
      <w:r>
        <w:rPr>
          <w:rFonts w:hint="default" w:asciiTheme="minorHAnsi" w:hAnsiTheme="minorHAnsi" w:eastAsiaTheme="minorEastAsia" w:cstheme="minorBidi"/>
          <w:kern w:val="2"/>
          <w:sz w:val="21"/>
        </w:rPr>
        <w:tab/>
      </w:r>
      <w:r>
        <w:rPr>
          <w:rStyle w:val="23"/>
          <w:rFonts w:hint="eastAsia"/>
        </w:rPr>
        <w:t>实施层面详细规划</w:t>
      </w:r>
      <w:r>
        <w:tab/>
      </w:r>
      <w:r>
        <w:fldChar w:fldCharType="begin"/>
      </w:r>
      <w:r>
        <w:instrText xml:space="preserve"> PAGEREF _Toc241000215 \h </w:instrText>
      </w:r>
      <w:r>
        <w:rPr>
          <w:rFonts w:hint="default"/>
        </w:rPr>
        <w:fldChar w:fldCharType="separate"/>
      </w:r>
      <w:r>
        <w:rPr>
          <w:rFonts w:hint="default"/>
        </w:rPr>
        <w:t>4</w:t>
      </w:r>
      <w:r>
        <w:fldChar w:fldCharType="end"/>
      </w:r>
      <w:r>
        <w:fldChar w:fldCharType="end"/>
      </w:r>
    </w:p>
    <w:p w14:paraId="7C3C47FD">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"_Toc241000216" </w:instrText>
      </w:r>
      <w:r>
        <w:fldChar w:fldCharType="separate"/>
      </w:r>
      <w:r>
        <w:rPr>
          <w:rStyle w:val="23"/>
          <w:rFonts w:hint="eastAsia"/>
        </w:rPr>
        <w:t>第四章</w:t>
      </w:r>
      <w:r>
        <w:rPr>
          <w:rFonts w:hint="default" w:asciiTheme="minorHAnsi" w:hAnsiTheme="minorHAnsi" w:eastAsiaTheme="minorEastAsia" w:cstheme="minorBidi"/>
          <w:kern w:val="2"/>
          <w:sz w:val="21"/>
        </w:rPr>
        <w:tab/>
      </w:r>
      <w:r>
        <w:rPr>
          <w:rStyle w:val="23"/>
          <w:rFonts w:hint="eastAsia"/>
        </w:rPr>
        <w:t>市政工程规划</w:t>
      </w:r>
      <w:r>
        <w:tab/>
      </w:r>
      <w:r>
        <w:fldChar w:fldCharType="begin"/>
      </w:r>
      <w:r>
        <w:instrText xml:space="preserve"> PAGEREF _Toc241000216 \h </w:instrText>
      </w:r>
      <w:r>
        <w:rPr>
          <w:rFonts w:hint="default"/>
        </w:rPr>
        <w:fldChar w:fldCharType="separate"/>
      </w:r>
      <w:r>
        <w:rPr>
          <w:rFonts w:hint="default"/>
        </w:rPr>
        <w:t>5</w:t>
      </w:r>
      <w:r>
        <w:fldChar w:fldCharType="end"/>
      </w:r>
      <w:r>
        <w:fldChar w:fldCharType="end"/>
      </w:r>
    </w:p>
    <w:p w14:paraId="3C654B39">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"_Toc241000217" </w:instrText>
      </w:r>
      <w:r>
        <w:fldChar w:fldCharType="separate"/>
      </w:r>
      <w:r>
        <w:rPr>
          <w:rStyle w:val="23"/>
          <w:rFonts w:hint="eastAsia"/>
        </w:rPr>
        <w:t>第五章</w:t>
      </w:r>
      <w:r>
        <w:rPr>
          <w:rFonts w:hint="default" w:asciiTheme="minorHAnsi" w:hAnsiTheme="minorHAnsi" w:eastAsiaTheme="minorEastAsia" w:cstheme="minorBidi"/>
          <w:kern w:val="2"/>
          <w:sz w:val="21"/>
        </w:rPr>
        <w:tab/>
      </w:r>
      <w:r>
        <w:rPr>
          <w:rStyle w:val="23"/>
          <w:rFonts w:hint="eastAsia"/>
        </w:rPr>
        <w:t>综合防灾规划</w:t>
      </w:r>
      <w:r>
        <w:tab/>
      </w:r>
      <w:r>
        <w:fldChar w:fldCharType="begin"/>
      </w:r>
      <w:r>
        <w:instrText xml:space="preserve"> PAGEREF _Toc241000217 \h </w:instrText>
      </w:r>
      <w:r>
        <w:rPr>
          <w:rFonts w:hint="default"/>
        </w:rPr>
        <w:fldChar w:fldCharType="separate"/>
      </w:r>
      <w:r>
        <w:rPr>
          <w:rFonts w:hint="default"/>
        </w:rPr>
        <w:t>7</w:t>
      </w:r>
      <w:r>
        <w:fldChar w:fldCharType="end"/>
      </w:r>
      <w:r>
        <w:fldChar w:fldCharType="end"/>
      </w:r>
    </w:p>
    <w:p w14:paraId="4EE86853">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"_Toc241000218" </w:instrText>
      </w:r>
      <w:r>
        <w:fldChar w:fldCharType="separate"/>
      </w:r>
      <w:r>
        <w:rPr>
          <w:rStyle w:val="23"/>
          <w:rFonts w:hint="eastAsia"/>
        </w:rPr>
        <w:t>第六章</w:t>
      </w:r>
      <w:r>
        <w:rPr>
          <w:rFonts w:hint="default" w:asciiTheme="minorHAnsi" w:hAnsiTheme="minorHAnsi" w:eastAsiaTheme="minorEastAsia" w:cstheme="minorBidi"/>
          <w:kern w:val="2"/>
          <w:sz w:val="21"/>
        </w:rPr>
        <w:tab/>
      </w:r>
      <w:r>
        <w:rPr>
          <w:rStyle w:val="23"/>
          <w:rFonts w:hint="eastAsia"/>
        </w:rPr>
        <w:t>城市设计引导</w:t>
      </w:r>
      <w:r>
        <w:tab/>
      </w:r>
      <w:r>
        <w:fldChar w:fldCharType="begin"/>
      </w:r>
      <w:r>
        <w:instrText xml:space="preserve"> PAGEREF _Toc241000218 \h </w:instrText>
      </w:r>
      <w:r>
        <w:rPr>
          <w:rFonts w:hint="default"/>
        </w:rPr>
        <w:fldChar w:fldCharType="separate"/>
      </w:r>
      <w:r>
        <w:rPr>
          <w:rFonts w:hint="default"/>
        </w:rPr>
        <w:t>8</w:t>
      </w:r>
      <w:r>
        <w:fldChar w:fldCharType="end"/>
      </w:r>
      <w:r>
        <w:fldChar w:fldCharType="end"/>
      </w:r>
    </w:p>
    <w:p w14:paraId="59BEFA8C">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"_Toc241000219" </w:instrText>
      </w:r>
      <w:r>
        <w:fldChar w:fldCharType="separate"/>
      </w:r>
      <w:r>
        <w:rPr>
          <w:rStyle w:val="23"/>
          <w:rFonts w:hint="eastAsia"/>
        </w:rPr>
        <w:t>第七章</w:t>
      </w:r>
      <w:r>
        <w:rPr>
          <w:rFonts w:hint="default" w:asciiTheme="minorHAnsi" w:hAnsiTheme="minorHAnsi" w:eastAsiaTheme="minorEastAsia" w:cstheme="minorBidi"/>
          <w:kern w:val="2"/>
          <w:sz w:val="21"/>
        </w:rPr>
        <w:tab/>
      </w:r>
      <w:r>
        <w:rPr>
          <w:rStyle w:val="23"/>
          <w:rFonts w:hint="eastAsia"/>
        </w:rPr>
        <w:t>地下空间规划</w:t>
      </w:r>
      <w:r>
        <w:tab/>
      </w:r>
      <w:r>
        <w:fldChar w:fldCharType="begin"/>
      </w:r>
      <w:r>
        <w:instrText xml:space="preserve"> PAGEREF _Toc241000219 \h </w:instrText>
      </w:r>
      <w:r>
        <w:rPr>
          <w:rFonts w:hint="default"/>
        </w:rPr>
        <w:fldChar w:fldCharType="separate"/>
      </w:r>
      <w:r>
        <w:rPr>
          <w:rFonts w:hint="default"/>
        </w:rPr>
        <w:t>9</w:t>
      </w:r>
      <w:r>
        <w:fldChar w:fldCharType="end"/>
      </w:r>
      <w:r>
        <w:fldChar w:fldCharType="end"/>
      </w:r>
    </w:p>
    <w:p w14:paraId="21B60AE6">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"_Toc241000220" </w:instrText>
      </w:r>
      <w:r>
        <w:fldChar w:fldCharType="separate"/>
      </w:r>
      <w:r>
        <w:rPr>
          <w:rStyle w:val="23"/>
          <w:rFonts w:hint="eastAsia"/>
        </w:rPr>
        <w:t>第八章</w:t>
      </w:r>
      <w:r>
        <w:rPr>
          <w:rFonts w:hint="default" w:asciiTheme="minorHAnsi" w:hAnsiTheme="minorHAnsi" w:eastAsiaTheme="minorEastAsia" w:cstheme="minorBidi"/>
          <w:kern w:val="2"/>
          <w:sz w:val="21"/>
        </w:rPr>
        <w:tab/>
      </w:r>
      <w:r>
        <w:rPr>
          <w:rStyle w:val="23"/>
          <w:rFonts w:hint="eastAsia"/>
        </w:rPr>
        <w:t>土地利用控制规划</w:t>
      </w:r>
      <w:r>
        <w:tab/>
      </w:r>
      <w:r>
        <w:fldChar w:fldCharType="begin"/>
      </w:r>
      <w:r>
        <w:instrText xml:space="preserve"> PAGEREF _Toc241000220 \h </w:instrText>
      </w:r>
      <w:r>
        <w:rPr>
          <w:rFonts w:hint="default"/>
        </w:rPr>
        <w:fldChar w:fldCharType="separate"/>
      </w:r>
      <w:r>
        <w:rPr>
          <w:rFonts w:hint="default"/>
        </w:rPr>
        <w:t>9</w:t>
      </w:r>
      <w:r>
        <w:fldChar w:fldCharType="end"/>
      </w:r>
      <w:r>
        <w:fldChar w:fldCharType="end"/>
      </w:r>
    </w:p>
    <w:p w14:paraId="5E723E45">
      <w:pPr>
        <w:pStyle w:val="14"/>
        <w:tabs>
          <w:tab w:val="left" w:pos="1260"/>
        </w:tabs>
        <w:rPr>
          <w:rFonts w:hint="default" w:asciiTheme="minorHAnsi" w:hAnsiTheme="minorHAnsi" w:eastAsiaTheme="minorEastAsia" w:cstheme="minorBidi"/>
          <w:kern w:val="2"/>
          <w:sz w:val="21"/>
        </w:rPr>
      </w:pPr>
      <w:r>
        <w:fldChar w:fldCharType="begin"/>
      </w:r>
      <w:r>
        <w:instrText xml:space="preserve"> HYPERLINK \l "_Toc241000221" </w:instrText>
      </w:r>
      <w:r>
        <w:fldChar w:fldCharType="separate"/>
      </w:r>
      <w:r>
        <w:rPr>
          <w:rStyle w:val="23"/>
          <w:rFonts w:hint="eastAsia"/>
        </w:rPr>
        <w:t>第九章</w:t>
      </w:r>
      <w:r>
        <w:rPr>
          <w:rFonts w:hint="default" w:asciiTheme="minorHAnsi" w:hAnsiTheme="minorHAnsi" w:eastAsiaTheme="minorEastAsia" w:cstheme="minorBidi"/>
          <w:kern w:val="2"/>
          <w:sz w:val="21"/>
        </w:rPr>
        <w:tab/>
      </w:r>
      <w:r>
        <w:rPr>
          <w:rStyle w:val="23"/>
          <w:rFonts w:hint="eastAsia"/>
        </w:rPr>
        <w:t>实施措施</w:t>
      </w:r>
      <w:r>
        <w:tab/>
      </w:r>
      <w:r>
        <w:fldChar w:fldCharType="begin"/>
      </w:r>
      <w:r>
        <w:instrText xml:space="preserve"> PAGEREF _Toc241000221 \h </w:instrText>
      </w:r>
      <w:r>
        <w:rPr>
          <w:rFonts w:hint="default"/>
        </w:rPr>
        <w:fldChar w:fldCharType="separate"/>
      </w:r>
      <w:r>
        <w:rPr>
          <w:rFonts w:hint="default"/>
        </w:rPr>
        <w:t>10</w:t>
      </w:r>
      <w:r>
        <w:fldChar w:fldCharType="end"/>
      </w:r>
      <w:r>
        <w:fldChar w:fldCharType="end"/>
      </w:r>
    </w:p>
    <w:p w14:paraId="112905D1">
      <w:pPr>
        <w:pStyle w:val="7"/>
        <w:kinsoku w:val="0"/>
        <w:overflowPunct w:val="0"/>
        <w:spacing w:line="360" w:lineRule="auto"/>
        <w:ind w:left="352" w:right="610"/>
        <w:rPr>
          <w:rFonts w:hint="default"/>
          <w:sz w:val="28"/>
          <w:szCs w:val="28"/>
        </w:rPr>
        <w:sectPr>
          <w:footerReference r:id="rId7" w:type="first"/>
          <w:footerReference r:id="rId6" w:type="default"/>
          <w:pgSz w:w="23808" w:h="16840" w:orient="landscape"/>
          <w:pgMar w:top="1418" w:right="1701" w:bottom="1418" w:left="1701" w:header="567" w:footer="720" w:gutter="0"/>
          <w:pgNumType w:start="1"/>
          <w:cols w:space="425" w:num="1"/>
          <w:titlePg/>
          <w:docGrid w:linePitch="299" w:charSpace="0"/>
        </w:sectPr>
      </w:pPr>
      <w:r>
        <w:rPr>
          <w:rFonts w:hint="default" w:ascii="黑体" w:hAnsi="黑体" w:eastAsia="黑体" w:cs="Times New Roman"/>
          <w:kern w:val="2"/>
          <w:szCs w:val="36"/>
        </w:rPr>
        <w:fldChar w:fldCharType="end"/>
      </w:r>
    </w:p>
    <w:p w14:paraId="6714FE0F">
      <w:pPr>
        <w:pStyle w:val="2"/>
        <w:numPr>
          <w:ilvl w:val="0"/>
          <w:numId w:val="2"/>
        </w:numPr>
        <w:spacing w:after="120" w:line="600" w:lineRule="exact"/>
        <w:rPr>
          <w:color w:val="auto"/>
        </w:rPr>
      </w:pPr>
      <w:bookmarkStart w:id="0" w:name="_bookmark0"/>
      <w:bookmarkEnd w:id="0"/>
      <w:bookmarkStart w:id="1" w:name="_Toc241000213"/>
      <w:r>
        <w:rPr>
          <w:color w:val="auto"/>
        </w:rPr>
        <w:t>基础条件</w:t>
      </w:r>
      <w:bookmarkEnd w:id="1"/>
    </w:p>
    <w:p w14:paraId="5004AB13">
      <w:pPr>
        <w:pStyle w:val="3"/>
        <w:keepNext w:val="0"/>
        <w:keepLines w:val="0"/>
        <w:pageBreakBefore w:val="0"/>
        <w:widowControl w:val="0"/>
        <w:kinsoku/>
        <w:wordWrap/>
        <w:overflowPunct/>
        <w:topLinePunct w:val="0"/>
        <w:autoSpaceDE w:val="0"/>
        <w:autoSpaceDN w:val="0"/>
        <w:bidi w:val="0"/>
        <w:adjustRightInd w:val="0"/>
        <w:spacing w:line="600" w:lineRule="exact"/>
        <w:ind w:left="0" w:firstLine="643" w:firstLineChars="200"/>
        <w:jc w:val="both"/>
        <w:textAlignment w:val="auto"/>
        <w:rPr>
          <w:sz w:val="32"/>
          <w:szCs w:val="32"/>
        </w:rPr>
      </w:pPr>
      <w:r>
        <w:rPr>
          <w:sz w:val="32"/>
          <w:szCs w:val="32"/>
        </w:rPr>
        <w:t>一、沐川区位</w:t>
      </w:r>
    </w:p>
    <w:p w14:paraId="39D3021F">
      <w:pPr>
        <w:keepNext w:val="0"/>
        <w:keepLines w:val="0"/>
        <w:pageBreakBefore w:val="0"/>
        <w:widowControl w:val="0"/>
        <w:kinsoku/>
        <w:wordWrap/>
        <w:overflowPunct/>
        <w:topLinePunct w:val="0"/>
        <w:autoSpaceDE w:val="0"/>
        <w:autoSpaceDN w:val="0"/>
        <w:bidi w:val="0"/>
        <w:adjustRightInd w:val="0"/>
        <w:spacing w:line="600" w:lineRule="exact"/>
        <w:ind w:firstLine="624" w:firstLineChars="200"/>
        <w:textAlignment w:val="auto"/>
        <w:rPr>
          <w:spacing w:val="-4"/>
          <w:sz w:val="32"/>
          <w:szCs w:val="32"/>
        </w:rPr>
      </w:pPr>
      <w:r>
        <w:rPr>
          <w:spacing w:val="-4"/>
          <w:sz w:val="32"/>
          <w:szCs w:val="32"/>
        </w:rPr>
        <w:t>沐川县位于四川盆地西南边缘，小凉山余脉的五指山北麓，乐山市境西南部。</w:t>
      </w:r>
      <w:r>
        <w:rPr>
          <w:rFonts w:hint="eastAsia"/>
          <w:spacing w:val="-4"/>
          <w:sz w:val="32"/>
          <w:szCs w:val="32"/>
          <w:lang w:eastAsia="zh-CN"/>
        </w:rPr>
        <w:t>介于东经</w:t>
      </w:r>
      <w:r>
        <w:rPr>
          <w:spacing w:val="-4"/>
          <w:sz w:val="32"/>
          <w:szCs w:val="32"/>
        </w:rPr>
        <w:t>103°32′45″～104°07′47″，北纬28°45′57″～29°15′54″之间，幅员面积1406.97平方千米。东接宜宾县，南界屏山县，西靠马边彝族自治县，西北连峨边彝族自治县，北与沙湾区、犍为县接壤。</w:t>
      </w:r>
    </w:p>
    <w:p w14:paraId="118109F0">
      <w:pPr>
        <w:pStyle w:val="3"/>
        <w:keepNext w:val="0"/>
        <w:keepLines w:val="0"/>
        <w:pageBreakBefore w:val="0"/>
        <w:widowControl w:val="0"/>
        <w:kinsoku/>
        <w:wordWrap/>
        <w:overflowPunct/>
        <w:topLinePunct w:val="0"/>
        <w:autoSpaceDE w:val="0"/>
        <w:autoSpaceDN w:val="0"/>
        <w:bidi w:val="0"/>
        <w:adjustRightInd w:val="0"/>
        <w:spacing w:line="600" w:lineRule="exact"/>
        <w:ind w:left="0" w:firstLine="643" w:firstLineChars="200"/>
        <w:jc w:val="both"/>
        <w:textAlignment w:val="auto"/>
        <w:rPr>
          <w:sz w:val="32"/>
          <w:szCs w:val="32"/>
        </w:rPr>
      </w:pPr>
      <w:r>
        <w:rPr>
          <w:sz w:val="32"/>
          <w:szCs w:val="32"/>
        </w:rPr>
        <w:t>二、文化特色</w:t>
      </w:r>
    </w:p>
    <w:p w14:paraId="17856B0C">
      <w:pPr>
        <w:keepNext w:val="0"/>
        <w:keepLines w:val="0"/>
        <w:pageBreakBefore w:val="0"/>
        <w:widowControl w:val="0"/>
        <w:kinsoku/>
        <w:wordWrap/>
        <w:overflowPunct/>
        <w:topLinePunct w:val="0"/>
        <w:autoSpaceDE w:val="0"/>
        <w:autoSpaceDN w:val="0"/>
        <w:bidi w:val="0"/>
        <w:adjustRightInd w:val="0"/>
        <w:spacing w:line="600" w:lineRule="exact"/>
        <w:ind w:firstLine="624" w:firstLineChars="200"/>
        <w:textAlignment w:val="auto"/>
        <w:rPr>
          <w:b/>
          <w:bCs/>
          <w:sz w:val="32"/>
          <w:szCs w:val="32"/>
        </w:rPr>
      </w:pPr>
      <w:r>
        <w:rPr>
          <w:spacing w:val="-4"/>
          <w:sz w:val="32"/>
          <w:szCs w:val="32"/>
        </w:rPr>
        <w:t>沐川县是历史上川藏、滇藏两条主要茶马古道上重要驿站，古称“沐源川道”。拥有多处古建筑、古遗址、古墓葬、石窟寺、石刻等历史遗址，有获得吉尼斯世界纪录，载入国家级非物质文化遗产的沐川草龙和独具区域特色、民俗风</w:t>
      </w:r>
      <w:r>
        <w:rPr>
          <w:sz w:val="32"/>
          <w:szCs w:val="32"/>
        </w:rPr>
        <w:t>情的竹茶文化，也孕育了沐川特色牛儿灯表演、疱汤文化、特色婚俗、农耕文化等众多民俗文化。</w:t>
      </w:r>
    </w:p>
    <w:p w14:paraId="4F5C8309">
      <w:pPr>
        <w:pStyle w:val="3"/>
        <w:keepNext w:val="0"/>
        <w:keepLines w:val="0"/>
        <w:pageBreakBefore w:val="0"/>
        <w:widowControl w:val="0"/>
        <w:kinsoku/>
        <w:wordWrap/>
        <w:overflowPunct/>
        <w:topLinePunct w:val="0"/>
        <w:autoSpaceDE w:val="0"/>
        <w:autoSpaceDN w:val="0"/>
        <w:bidi w:val="0"/>
        <w:adjustRightInd w:val="0"/>
        <w:spacing w:line="600" w:lineRule="exact"/>
        <w:ind w:left="0" w:firstLine="643" w:firstLineChars="200"/>
        <w:jc w:val="both"/>
        <w:textAlignment w:val="auto"/>
        <w:rPr>
          <w:sz w:val="32"/>
          <w:szCs w:val="32"/>
        </w:rPr>
      </w:pPr>
      <w:r>
        <w:rPr>
          <w:sz w:val="32"/>
          <w:szCs w:val="32"/>
        </w:rPr>
        <w:t>三、中心城区资源条件</w:t>
      </w:r>
    </w:p>
    <w:p w14:paraId="36741A02">
      <w:pPr>
        <w:keepNext w:val="0"/>
        <w:keepLines w:val="0"/>
        <w:pageBreakBefore w:val="0"/>
        <w:widowControl w:val="0"/>
        <w:kinsoku/>
        <w:wordWrap/>
        <w:overflowPunct/>
        <w:topLinePunct w:val="0"/>
        <w:autoSpaceDE w:val="0"/>
        <w:autoSpaceDN w:val="0"/>
        <w:bidi w:val="0"/>
        <w:adjustRightInd w:val="0"/>
        <w:snapToGrid w:val="0"/>
        <w:spacing w:line="600" w:lineRule="exact"/>
        <w:ind w:firstLine="624" w:firstLineChars="200"/>
        <w:textAlignment w:val="auto"/>
        <w:rPr>
          <w:spacing w:val="-4"/>
          <w:sz w:val="32"/>
          <w:szCs w:val="32"/>
        </w:rPr>
      </w:pPr>
      <w:r>
        <w:rPr>
          <w:spacing w:val="-4"/>
          <w:sz w:val="32"/>
          <w:szCs w:val="32"/>
        </w:rPr>
        <w:t>沐川县中心城区群山环绕，溪流穿境，植被状况良好，滨水景观资源丰富</w:t>
      </w:r>
      <w:r>
        <w:rPr>
          <w:rFonts w:hint="eastAsia"/>
          <w:spacing w:val="-4"/>
          <w:sz w:val="32"/>
          <w:szCs w:val="32"/>
          <w:lang w:eastAsia="zh-CN"/>
        </w:rPr>
        <w:t>，</w:t>
      </w:r>
      <w:r>
        <w:rPr>
          <w:spacing w:val="-4"/>
          <w:sz w:val="32"/>
          <w:szCs w:val="32"/>
        </w:rPr>
        <w:t>流经规划区内的河流有虎溪河、沐溪河、沐卷河和龙门溪等河流</w:t>
      </w:r>
      <w:r>
        <w:rPr>
          <w:rFonts w:hint="eastAsia"/>
          <w:spacing w:val="-4"/>
          <w:sz w:val="32"/>
          <w:szCs w:val="32"/>
          <w:lang w:eastAsia="zh-CN"/>
        </w:rPr>
        <w:t>，</w:t>
      </w:r>
      <w:r>
        <w:rPr>
          <w:spacing w:val="-4"/>
          <w:sz w:val="32"/>
          <w:szCs w:val="32"/>
        </w:rPr>
        <w:t>中心城区外围区域已建成多个郊野公园和湿地公园，同时规划区内地势的变化和丰富的水环境为营造城市特色提供了优越的本底条件。受地形地貌影响，沐川县城市空间拓展方向沿沐溪河南向拓展，现状中心城区北部和中部城市功能区较为成熟，城市路网体系基本形成，南向拓展已初具规模，为下一步南部新区的全面开发建设创造了有利条件。</w:t>
      </w:r>
    </w:p>
    <w:p w14:paraId="35982A58">
      <w:pPr>
        <w:pStyle w:val="7"/>
        <w:spacing w:line="600" w:lineRule="exact"/>
        <w:ind w:left="0"/>
        <w:jc w:val="both"/>
        <w:rPr>
          <w:spacing w:val="-4"/>
          <w:sz w:val="28"/>
          <w:szCs w:val="28"/>
        </w:rPr>
      </w:pPr>
    </w:p>
    <w:p w14:paraId="7DF7A70E">
      <w:pPr>
        <w:pStyle w:val="7"/>
        <w:spacing w:line="600" w:lineRule="exact"/>
        <w:ind w:left="0"/>
        <w:jc w:val="both"/>
        <w:rPr>
          <w:spacing w:val="-4"/>
          <w:sz w:val="28"/>
          <w:szCs w:val="28"/>
        </w:rPr>
      </w:pPr>
    </w:p>
    <w:p w14:paraId="161B9AEC">
      <w:pPr>
        <w:pStyle w:val="2"/>
        <w:numPr>
          <w:ilvl w:val="0"/>
          <w:numId w:val="2"/>
        </w:numPr>
        <w:spacing w:after="120" w:line="600" w:lineRule="exact"/>
        <w:rPr>
          <w:color w:val="auto"/>
        </w:rPr>
      </w:pPr>
      <w:bookmarkStart w:id="2" w:name="_Toc241000214"/>
      <w:r>
        <w:rPr>
          <w:color w:val="auto"/>
        </w:rPr>
        <w:t>规划传导</w:t>
      </w:r>
      <w:bookmarkEnd w:id="2"/>
    </w:p>
    <w:p w14:paraId="209DEAF3">
      <w:pPr>
        <w:pStyle w:val="3"/>
        <w:keepNext w:val="0"/>
        <w:keepLines w:val="0"/>
        <w:pageBreakBefore w:val="0"/>
        <w:kinsoku/>
        <w:wordWrap/>
        <w:overflowPunct/>
        <w:topLinePunct w:val="0"/>
        <w:bidi w:val="0"/>
        <w:snapToGrid/>
        <w:spacing w:line="600" w:lineRule="exact"/>
        <w:ind w:left="0" w:firstLine="643" w:firstLineChars="200"/>
        <w:jc w:val="both"/>
        <w:textAlignment w:val="auto"/>
        <w:rPr>
          <w:sz w:val="32"/>
          <w:szCs w:val="32"/>
        </w:rPr>
      </w:pPr>
      <w:r>
        <w:rPr>
          <w:sz w:val="32"/>
          <w:szCs w:val="32"/>
        </w:rPr>
        <w:t>一、城市性质</w:t>
      </w:r>
    </w:p>
    <w:p w14:paraId="29B9A083">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绿色农产品加工基地，休闲康养宜居城。</w:t>
      </w:r>
    </w:p>
    <w:p w14:paraId="04C63FC8">
      <w:pPr>
        <w:pStyle w:val="3"/>
        <w:keepNext w:val="0"/>
        <w:keepLines w:val="0"/>
        <w:pageBreakBefore w:val="0"/>
        <w:kinsoku/>
        <w:wordWrap/>
        <w:overflowPunct/>
        <w:topLinePunct w:val="0"/>
        <w:bidi w:val="0"/>
        <w:snapToGrid/>
        <w:spacing w:line="600" w:lineRule="exact"/>
        <w:ind w:left="0" w:firstLine="643" w:firstLineChars="200"/>
        <w:jc w:val="both"/>
        <w:textAlignment w:val="auto"/>
        <w:rPr>
          <w:sz w:val="32"/>
          <w:szCs w:val="32"/>
        </w:rPr>
      </w:pPr>
      <w:r>
        <w:rPr>
          <w:sz w:val="32"/>
          <w:szCs w:val="32"/>
        </w:rPr>
        <w:t>二、城市规模</w:t>
      </w:r>
    </w:p>
    <w:p w14:paraId="07BBCBA2">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人口规模：规划至2025年，沐川县中心城区人口5.0万人；规划至2035年，沐川县中心城区常住人口6.9万人。</w:t>
      </w:r>
    </w:p>
    <w:p w14:paraId="3E900543">
      <w:pPr>
        <w:pStyle w:val="7"/>
        <w:keepNext w:val="0"/>
        <w:keepLines w:val="0"/>
        <w:pageBreakBefore w:val="0"/>
        <w:kinsoku/>
        <w:wordWrap/>
        <w:overflowPunct/>
        <w:topLinePunct w:val="0"/>
        <w:bidi w:val="0"/>
        <w:snapToGrid/>
        <w:spacing w:line="600" w:lineRule="exact"/>
        <w:jc w:val="both"/>
        <w:textAlignment w:val="auto"/>
        <w:rPr>
          <w:spacing w:val="-4"/>
          <w:sz w:val="32"/>
          <w:szCs w:val="32"/>
        </w:rPr>
      </w:pPr>
      <w:r>
        <w:rPr>
          <w:spacing w:val="-4"/>
          <w:sz w:val="32"/>
          <w:szCs w:val="32"/>
        </w:rPr>
        <w:t>用地规模：至2025年，中心城区城镇建设用地6.06平方千米；至2035年，中心城区城镇建设用地6.90平方千米。</w:t>
      </w:r>
    </w:p>
    <w:p w14:paraId="750836A4">
      <w:pPr>
        <w:pStyle w:val="3"/>
        <w:keepNext w:val="0"/>
        <w:keepLines w:val="0"/>
        <w:pageBreakBefore w:val="0"/>
        <w:kinsoku/>
        <w:wordWrap/>
        <w:overflowPunct/>
        <w:topLinePunct w:val="0"/>
        <w:bidi w:val="0"/>
        <w:snapToGrid/>
        <w:spacing w:line="600" w:lineRule="exact"/>
        <w:ind w:left="0" w:firstLine="643" w:firstLineChars="200"/>
        <w:jc w:val="both"/>
        <w:textAlignment w:val="auto"/>
        <w:rPr>
          <w:sz w:val="32"/>
          <w:szCs w:val="32"/>
        </w:rPr>
      </w:pPr>
      <w:r>
        <w:rPr>
          <w:sz w:val="32"/>
          <w:szCs w:val="32"/>
        </w:rPr>
        <w:t>三、总体定位</w:t>
      </w:r>
    </w:p>
    <w:p w14:paraId="57F4F511">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沐川县总体定位为“乐山南向开放新高地，绿色经济发展强县，绿色农产品加工基地、休闲康养旅游目的地”。</w:t>
      </w:r>
    </w:p>
    <w:p w14:paraId="272ECFA4">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乐山南向开放新高地。积极推进“一港三高三快”的四向通道建设，打造乐山南向云南、东联宜宾、西接攀西的区域性交通枢纽，主动融入成渝地区双城经济圈基础设施建设，深度融入“一轴两翼三带”区域经济布局，充分发挥沐川在乐山南向开放中的区位优势，加强南向拓展，探索乐山南向经济有效合作路径。</w:t>
      </w:r>
    </w:p>
    <w:p w14:paraId="63DBC572">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绿色经济发展强县。以成渝地区双城经济圈建设为总牵引，立足国家重点生态功能区，充分落实“绿水青山就是金山银山”的发展理念，将生态优势转化为产业优势，全面围绕“绿色发展、追赶跨越”基调，不断调整优化产业结构，实现生态保护和经济发展双赢。</w:t>
      </w:r>
    </w:p>
    <w:p w14:paraId="34F4F409">
      <w:pPr>
        <w:pStyle w:val="7"/>
        <w:keepNext w:val="0"/>
        <w:keepLines w:val="0"/>
        <w:pageBreakBefore w:val="0"/>
        <w:kinsoku/>
        <w:wordWrap/>
        <w:overflowPunct/>
        <w:topLinePunct w:val="0"/>
        <w:bidi w:val="0"/>
        <w:snapToGrid/>
        <w:spacing w:line="600" w:lineRule="exact"/>
        <w:ind w:firstLine="468" w:firstLineChars="150"/>
        <w:jc w:val="both"/>
        <w:textAlignment w:val="auto"/>
        <w:rPr>
          <w:spacing w:val="-4"/>
          <w:sz w:val="32"/>
          <w:szCs w:val="32"/>
        </w:rPr>
      </w:pPr>
      <w:r>
        <w:rPr>
          <w:spacing w:val="-4"/>
          <w:sz w:val="32"/>
          <w:szCs w:val="32"/>
        </w:rPr>
        <w:t>绿色农产品加工基地：以绿色农业示范园为引领，实施农产品生产加工供应基地建设行动计划，围绕全县粮油、林竹、茶叶、果蔬、魔芋、中药材等优势特色产业，开展全产业链创建，</w:t>
      </w:r>
      <w:r>
        <w:rPr>
          <w:rFonts w:hAnsi="仿宋"/>
          <w:sz w:val="32"/>
          <w:szCs w:val="32"/>
        </w:rPr>
        <w:t>构建完善的产</w:t>
      </w:r>
      <w:r>
        <w:rPr>
          <w:spacing w:val="-4"/>
          <w:sz w:val="32"/>
          <w:szCs w:val="32"/>
        </w:rPr>
        <w:t>业体系、生产体系、经营体系建设乐山绿色农产品加工聚集区。</w:t>
      </w:r>
    </w:p>
    <w:p w14:paraId="2675D591">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休闲康养旅游目的地。以文旅产业发展为主导，以竹文化为支撑，实施全域旅游“产业布局、交通环线、配套服务、融合发展”四大战略，重点围绕沐川竹海、五马坪、解结湖、桃源山居等规划发展森林康养、避暑旅游、运动休闲、观光度假、民宿体验等文旅产业，不断优化“一核一区三带”文旅产业发展布局，建设巴蜀文化旅游走廊休闲康养宜居城。</w:t>
      </w:r>
    </w:p>
    <w:p w14:paraId="7ADBE165">
      <w:pPr>
        <w:pStyle w:val="3"/>
        <w:keepNext w:val="0"/>
        <w:keepLines w:val="0"/>
        <w:pageBreakBefore w:val="0"/>
        <w:kinsoku/>
        <w:wordWrap/>
        <w:overflowPunct/>
        <w:topLinePunct w:val="0"/>
        <w:bidi w:val="0"/>
        <w:snapToGrid/>
        <w:spacing w:line="600" w:lineRule="exact"/>
        <w:ind w:left="0" w:firstLine="643" w:firstLineChars="200"/>
        <w:jc w:val="both"/>
        <w:textAlignment w:val="auto"/>
        <w:rPr>
          <w:spacing w:val="-4"/>
          <w:sz w:val="32"/>
          <w:szCs w:val="32"/>
        </w:rPr>
      </w:pPr>
      <w:r>
        <w:rPr>
          <w:sz w:val="32"/>
          <w:szCs w:val="32"/>
        </w:rPr>
        <w:t>四、城市拓展方向</w:t>
      </w:r>
    </w:p>
    <w:p w14:paraId="6AF74B10">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根据沐川县城市山水格局和地形地貌，结合沐川县城镇建设适宜性评价分析，确定城市空间拓展为：南拓、东进、北控、西优。</w:t>
      </w:r>
    </w:p>
    <w:p w14:paraId="42398EFA">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南拓：沿沐溪河南向带状拓展，展示产城一体、山水相依城市格局。</w:t>
      </w:r>
    </w:p>
    <w:p w14:paraId="32234F22">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东进：联动金王寺水库，打造沐川康养新城，补充产城融合发展空间支撑。</w:t>
      </w:r>
    </w:p>
    <w:p w14:paraId="15909D79">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北控：利用山体屏障，进一步控制北部产业用地规模。</w:t>
      </w:r>
    </w:p>
    <w:p w14:paraId="19E0B905">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西优：充分利用仁沐新高速出入口的建设，对西部茨梨坝工业组团内低效用地进行提质改造，打造高品质城市产业区。</w:t>
      </w:r>
    </w:p>
    <w:p w14:paraId="2A39F3EF">
      <w:pPr>
        <w:pStyle w:val="3"/>
        <w:keepNext w:val="0"/>
        <w:keepLines w:val="0"/>
        <w:pageBreakBefore w:val="0"/>
        <w:kinsoku/>
        <w:wordWrap/>
        <w:overflowPunct/>
        <w:topLinePunct w:val="0"/>
        <w:bidi w:val="0"/>
        <w:snapToGrid/>
        <w:spacing w:line="600" w:lineRule="exact"/>
        <w:ind w:left="0" w:firstLine="643" w:firstLineChars="200"/>
        <w:jc w:val="both"/>
        <w:textAlignment w:val="auto"/>
        <w:rPr>
          <w:sz w:val="32"/>
          <w:szCs w:val="32"/>
        </w:rPr>
      </w:pPr>
      <w:r>
        <w:rPr>
          <w:sz w:val="32"/>
          <w:szCs w:val="32"/>
        </w:rPr>
        <w:t>五、 城市空间结构</w:t>
      </w:r>
    </w:p>
    <w:p w14:paraId="1788BA36">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沐川中心城区布局呈“一带、双心、多组团”的结构。</w:t>
      </w:r>
    </w:p>
    <w:p w14:paraId="7B4B4F36">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一带为沿沐溪河南北向城市发展带；双心分别为老城商业中心和新城公共服务中心；多组团即5个城市功能组团，包括北部竹产业发展组团、茨梨坝工业提升组团、金王寺康养组团、幸福旅游服务组团、南部绿色加工组团（包括东西部协作园区组团和建和组团）。</w:t>
      </w:r>
    </w:p>
    <w:p w14:paraId="5C525859">
      <w:pPr>
        <w:pStyle w:val="3"/>
        <w:keepNext w:val="0"/>
        <w:keepLines w:val="0"/>
        <w:pageBreakBefore w:val="0"/>
        <w:kinsoku/>
        <w:wordWrap/>
        <w:overflowPunct/>
        <w:topLinePunct w:val="0"/>
        <w:bidi w:val="0"/>
        <w:snapToGrid/>
        <w:spacing w:line="600" w:lineRule="exact"/>
        <w:ind w:left="0" w:firstLine="643" w:firstLineChars="200"/>
        <w:jc w:val="both"/>
        <w:textAlignment w:val="auto"/>
        <w:rPr>
          <w:sz w:val="32"/>
          <w:szCs w:val="32"/>
        </w:rPr>
      </w:pPr>
      <w:r>
        <w:rPr>
          <w:sz w:val="32"/>
          <w:szCs w:val="32"/>
        </w:rPr>
        <w:t>六、 城市功能分区</w:t>
      </w:r>
    </w:p>
    <w:p w14:paraId="2482D9AC">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根据城市布局结构，沐川中心城区分为工业提升功能区、商贸服务综合功能区、旅游康养功能区。</w:t>
      </w:r>
    </w:p>
    <w:p w14:paraId="0F925CDD">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工业提升功能区。包括中心城区北部竹浆纸产业区、西部茨梨坝工业区、南部东西部产业协作园区和建和组团纸制品后加工区。规划发展为以林浆纸一体化产业、农产品加工、纸制品后加工、冷链物流为主的产业区，形成产业化与城市化互动、产业支撑城市、城市促进产业的模式。</w:t>
      </w:r>
    </w:p>
    <w:p w14:paraId="0D87696B">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商贸服务综合功能区。包括现状沐川老城区和沐川南部新城区。规划发展为以居住、商贸、公服、文化娱乐为主的综合新区。</w:t>
      </w:r>
    </w:p>
    <w:p w14:paraId="773B0DEB">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r>
        <w:rPr>
          <w:spacing w:val="-4"/>
          <w:sz w:val="32"/>
          <w:szCs w:val="32"/>
        </w:rPr>
        <w:t>旅游康养功能区。包括城区东部金王寺水库、城区西侧幸福组团和桃园山居区域。规划进一步完善旅游设施和康养设施配套，规划发展为以高档居住、旅游康养、酒店、文化娱乐、餐饮等为主的旅游休闲区。</w:t>
      </w:r>
    </w:p>
    <w:p w14:paraId="01381AD5">
      <w:pPr>
        <w:keepNext w:val="0"/>
        <w:keepLines w:val="0"/>
        <w:pageBreakBefore w:val="0"/>
        <w:kinsoku/>
        <w:wordWrap/>
        <w:overflowPunct/>
        <w:topLinePunct w:val="0"/>
        <w:bidi w:val="0"/>
        <w:snapToGrid/>
        <w:spacing w:line="600" w:lineRule="exact"/>
        <w:ind w:firstLine="624" w:firstLineChars="200"/>
        <w:textAlignment w:val="auto"/>
        <w:rPr>
          <w:spacing w:val="-4"/>
          <w:sz w:val="32"/>
          <w:szCs w:val="32"/>
        </w:rPr>
      </w:pPr>
    </w:p>
    <w:p w14:paraId="5007AEE3">
      <w:pPr>
        <w:pStyle w:val="19"/>
        <w:ind w:firstLine="640"/>
        <w:rPr>
          <w:rFonts w:ascii="仿宋_GB2312" w:hAnsi="Times New Roman" w:eastAsia="仿宋_GB2312" w:cs="仿宋_GB2312"/>
          <w:spacing w:val="-4"/>
          <w:sz w:val="28"/>
          <w:szCs w:val="28"/>
        </w:rPr>
      </w:pPr>
    </w:p>
    <w:p w14:paraId="2F9DB824">
      <w:pPr>
        <w:pStyle w:val="19"/>
        <w:ind w:firstLine="640"/>
        <w:rPr>
          <w:rFonts w:ascii="仿宋_GB2312" w:hAnsi="Times New Roman" w:eastAsia="仿宋_GB2312" w:cs="仿宋_GB2312"/>
          <w:spacing w:val="-4"/>
          <w:sz w:val="28"/>
          <w:szCs w:val="28"/>
        </w:rPr>
      </w:pPr>
    </w:p>
    <w:p w14:paraId="6A39BB43">
      <w:pPr>
        <w:pStyle w:val="19"/>
        <w:ind w:firstLine="640"/>
        <w:rPr>
          <w:rFonts w:ascii="仿宋_GB2312" w:hAnsi="Times New Roman" w:eastAsia="仿宋_GB2312" w:cs="仿宋_GB2312"/>
          <w:spacing w:val="-4"/>
          <w:sz w:val="28"/>
          <w:szCs w:val="28"/>
        </w:rPr>
      </w:pPr>
    </w:p>
    <w:p w14:paraId="524FAE4C">
      <w:pPr>
        <w:pStyle w:val="19"/>
        <w:ind w:firstLine="640"/>
        <w:rPr>
          <w:rFonts w:ascii="仿宋_GB2312" w:hAnsi="Times New Roman" w:eastAsia="仿宋_GB2312" w:cs="仿宋_GB2312"/>
          <w:spacing w:val="-4"/>
          <w:sz w:val="28"/>
          <w:szCs w:val="28"/>
        </w:rPr>
      </w:pPr>
    </w:p>
    <w:p w14:paraId="45F094EA">
      <w:pPr>
        <w:pStyle w:val="19"/>
        <w:ind w:firstLine="640"/>
        <w:rPr>
          <w:rFonts w:ascii="仿宋_GB2312" w:hAnsi="Times New Roman" w:eastAsia="仿宋_GB2312" w:cs="仿宋_GB2312"/>
          <w:spacing w:val="-4"/>
          <w:sz w:val="28"/>
          <w:szCs w:val="28"/>
        </w:rPr>
      </w:pPr>
    </w:p>
    <w:p w14:paraId="42E659A5">
      <w:pPr>
        <w:pStyle w:val="19"/>
        <w:ind w:firstLine="640"/>
        <w:rPr>
          <w:rFonts w:ascii="仿宋_GB2312" w:hAnsi="Times New Roman" w:eastAsia="仿宋_GB2312" w:cs="仿宋_GB2312"/>
          <w:spacing w:val="-4"/>
          <w:sz w:val="28"/>
          <w:szCs w:val="28"/>
        </w:rPr>
      </w:pPr>
    </w:p>
    <w:p w14:paraId="17C55C5E">
      <w:pPr>
        <w:pStyle w:val="19"/>
        <w:ind w:firstLine="640"/>
        <w:rPr>
          <w:rFonts w:ascii="仿宋_GB2312" w:hAnsi="Times New Roman" w:eastAsia="仿宋_GB2312" w:cs="仿宋_GB2312"/>
          <w:spacing w:val="-4"/>
          <w:sz w:val="28"/>
          <w:szCs w:val="28"/>
        </w:rPr>
      </w:pPr>
    </w:p>
    <w:p w14:paraId="00CD9BBB">
      <w:pPr>
        <w:pStyle w:val="19"/>
        <w:ind w:firstLine="640"/>
        <w:rPr>
          <w:rFonts w:ascii="仿宋_GB2312" w:hAnsi="Times New Roman" w:eastAsia="仿宋_GB2312" w:cs="仿宋_GB2312"/>
          <w:spacing w:val="-4"/>
          <w:sz w:val="28"/>
          <w:szCs w:val="28"/>
        </w:rPr>
      </w:pPr>
    </w:p>
    <w:p w14:paraId="454BFD37">
      <w:pPr>
        <w:pStyle w:val="19"/>
        <w:rPr>
          <w:rFonts w:ascii="仿宋_GB2312" w:hAnsi="Times New Roman" w:eastAsia="仿宋_GB2312" w:cs="仿宋_GB2312"/>
          <w:spacing w:val="-4"/>
          <w:sz w:val="28"/>
          <w:szCs w:val="28"/>
        </w:rPr>
      </w:pPr>
    </w:p>
    <w:p w14:paraId="306A385B">
      <w:pPr>
        <w:pStyle w:val="2"/>
        <w:numPr>
          <w:ilvl w:val="0"/>
          <w:numId w:val="2"/>
        </w:numPr>
        <w:spacing w:after="120" w:line="600" w:lineRule="exact"/>
        <w:rPr>
          <w:color w:val="auto"/>
        </w:rPr>
      </w:pPr>
      <w:bookmarkStart w:id="3" w:name="_Toc241000215"/>
      <w:r>
        <w:rPr>
          <w:color w:val="auto"/>
        </w:rPr>
        <w:t>实施层面详细规划</w:t>
      </w:r>
      <w:bookmarkEnd w:id="3"/>
    </w:p>
    <w:p w14:paraId="75AAAC11">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bookmarkStart w:id="4" w:name="_bookmark8"/>
      <w:bookmarkEnd w:id="4"/>
      <w:r>
        <w:rPr>
          <w:rFonts w:hint="eastAsia" w:ascii="仿宋_GB2312" w:hAnsi="仿宋_GB2312" w:eastAsia="仿宋_GB2312" w:cs="仿宋_GB2312"/>
          <w:sz w:val="32"/>
          <w:szCs w:val="32"/>
        </w:rPr>
        <w:t>一、规划定位</w:t>
      </w:r>
    </w:p>
    <w:p w14:paraId="28AC462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80" w:firstLineChars="200"/>
        <w:textAlignment w:val="auto"/>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通过城市更新，以建设街—永济街为骨架，把街区有机融合政务办公、非遗展示、市井生活与滨水休闲的川南韵味老城样板街区。</w:t>
      </w:r>
    </w:p>
    <w:p w14:paraId="3E37DDD6">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bookmarkStart w:id="5" w:name="_bookmark9"/>
      <w:bookmarkEnd w:id="5"/>
      <w:r>
        <w:rPr>
          <w:rFonts w:hint="eastAsia" w:ascii="仿宋_GB2312" w:hAnsi="仿宋_GB2312" w:eastAsia="仿宋_GB2312" w:cs="仿宋_GB2312"/>
          <w:sz w:val="32"/>
          <w:szCs w:val="32"/>
        </w:rPr>
        <w:t>二、规划规模</w:t>
      </w:r>
    </w:p>
    <w:p w14:paraId="09AC3BB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80" w:firstLineChars="200"/>
        <w:textAlignment w:val="auto"/>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街区总建设用地规模3.</w:t>
      </w:r>
      <w:r>
        <w:rPr>
          <w:rFonts w:hint="eastAsia" w:hAnsi="仿宋_GB2312" w:cs="仿宋_GB2312"/>
          <w:spacing w:val="-15"/>
          <w:sz w:val="32"/>
          <w:szCs w:val="32"/>
          <w:lang w:val="en-US" w:eastAsia="zh-CN"/>
        </w:rPr>
        <w:t>23</w:t>
      </w:r>
      <w:r>
        <w:rPr>
          <w:rFonts w:hint="eastAsia" w:ascii="仿宋_GB2312" w:hAnsi="仿宋_GB2312" w:eastAsia="仿宋_GB2312" w:cs="仿宋_GB2312"/>
          <w:spacing w:val="-15"/>
          <w:sz w:val="32"/>
          <w:szCs w:val="32"/>
        </w:rPr>
        <w:t>公顷。</w:t>
      </w:r>
    </w:p>
    <w:p w14:paraId="00EED2BE">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80" w:firstLineChars="200"/>
        <w:textAlignment w:val="auto"/>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落实国土空间规划对城市人均建设用地、人均居住用地以及片区开发强度的安排综合测算。</w:t>
      </w:r>
    </w:p>
    <w:p w14:paraId="39D671CA">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bookmarkStart w:id="6" w:name="_bookmark12"/>
      <w:bookmarkEnd w:id="6"/>
      <w:bookmarkStart w:id="7" w:name="_bookmark11"/>
      <w:bookmarkEnd w:id="7"/>
      <w:r>
        <w:rPr>
          <w:rFonts w:hint="eastAsia" w:ascii="仿宋_GB2312" w:hAnsi="仿宋_GB2312" w:eastAsia="仿宋_GB2312" w:cs="仿宋_GB2312"/>
          <w:sz w:val="32"/>
          <w:szCs w:val="32"/>
        </w:rPr>
        <w:t>三、空间结构</w:t>
      </w:r>
    </w:p>
    <w:p w14:paraId="660188B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005街区规划形成“一核两组团”的街区空间格局。</w:t>
      </w:r>
    </w:p>
    <w:p w14:paraId="592BB034">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一核：以县政府为片区中心，联动其他公服设施，打造老城区的服务核心；</w:t>
      </w:r>
    </w:p>
    <w:p w14:paraId="77B47563">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组团：以中桥街为界，划定两个组团。中桥街以西依托沐溪河、文化广场和老城底蕴打造环滨水休闲组团，展示市井生活、非遗文化等。中桥街以东以城市更新为抓手，提升片区宜居生活品质，打造旧城更新样板。</w:t>
      </w:r>
    </w:p>
    <w:p w14:paraId="0B31BFB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00029,00030地块位于005街区东部组团内，其职能主要为地块更新，打造宜居居住区。</w:t>
      </w:r>
    </w:p>
    <w:p w14:paraId="6BC4920E">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四、用地布局规划</w:t>
      </w:r>
    </w:p>
    <w:p w14:paraId="482BEA61">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（一）居住用地</w:t>
      </w:r>
    </w:p>
    <w:p w14:paraId="5E24319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规划居住用地</w:t>
      </w:r>
      <w:r>
        <w:rPr>
          <w:rFonts w:hint="eastAsia" w:hAnsi="仿宋_GB2312" w:cs="仿宋_GB2312"/>
          <w:sz w:val="32"/>
          <w:szCs w:val="32"/>
          <w:lang w:val="en-US" w:eastAsia="zh-CN"/>
        </w:rPr>
        <w:t>3.00</w:t>
      </w:r>
      <w:r>
        <w:rPr>
          <w:rFonts w:hint="eastAsia" w:ascii="仿宋_GB2312" w:hAnsi="仿宋_GB2312" w:eastAsia="仿宋_GB2312" w:cs="仿宋_GB2312"/>
          <w:sz w:val="32"/>
          <w:szCs w:val="32"/>
        </w:rPr>
        <w:t>公顷。</w:t>
      </w:r>
    </w:p>
    <w:p w14:paraId="23DAA8C0">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（二）公共管理与公共服务用地</w:t>
      </w:r>
    </w:p>
    <w:p w14:paraId="2E69AA8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规划教育用地0.2</w:t>
      </w:r>
      <w:r>
        <w:rPr>
          <w:rFonts w:hint="eastAsia" w:hAnsi="仿宋_GB2312" w:cs="仿宋_GB2312"/>
          <w:sz w:val="32"/>
          <w:szCs w:val="32"/>
          <w:lang w:val="en-US" w:eastAsia="zh-CN"/>
        </w:rPr>
        <w:t>3</w:t>
      </w:r>
      <w:r>
        <w:rPr>
          <w:rFonts w:hint="eastAsia" w:ascii="仿宋_GB2312" w:hAnsi="仿宋_GB2312" w:eastAsia="仿宋_GB2312" w:cs="仿宋_GB2312"/>
          <w:sz w:val="32"/>
          <w:szCs w:val="32"/>
        </w:rPr>
        <w:t>公顷。保留幼儿园1处。规划公共管理与公共服务设施建设标准与相关要求详见图则。</w:t>
      </w:r>
    </w:p>
    <w:p w14:paraId="30CECEC3">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（三）绿地和开敞空间</w:t>
      </w:r>
    </w:p>
    <w:p w14:paraId="23C5003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公园绿地主要沿沐溪河全流域布局，并建设慢行绿道系统，局部区域布置节点公园绿地，串联各类公园绿地，打造滨水绿化休闲带，形成街区环形水环绿绕的绿化空间。规划确定的公园绿地等在城市开发建设时不得随意侵占。在满足绿地率要求和地方相关政策的前提下，公园绿地允许进入设施包括垃圾收集、公厕等环卫设施；配电房、路灯、泵站等市政设施；休息座椅、亭廊、小品等景观设施；停车场、信号灯等交通设施；露天运动场、体育馆、文化馆、健身器材等文化体育设施。</w:t>
      </w:r>
    </w:p>
    <w:p w14:paraId="3514F1C7">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五、对外交通</w:t>
      </w:r>
    </w:p>
    <w:p w14:paraId="6587104D">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区外围区域性交通有仁沐新高速、国道G213等，通过沐源路与街区内主次干道连接，实现对外交通畅达。005街区与县城其他街区主要通过中桥街、建设街、交通街、滨河北路等次干道联系，整体实现内外交通畅达。</w:t>
      </w:r>
    </w:p>
    <w:p w14:paraId="60F2E2FE">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六、路网系统规划</w:t>
      </w:r>
    </w:p>
    <w:p w14:paraId="4C6FC42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hAnsi="仿宋_GB2312" w:cs="仿宋_GB2312"/>
          <w:sz w:val="32"/>
          <w:szCs w:val="32"/>
          <w:lang w:eastAsia="zh-CN"/>
        </w:rPr>
        <w:t>1.</w:t>
      </w:r>
      <w:r>
        <w:rPr>
          <w:rFonts w:hint="eastAsia" w:ascii="仿宋_GB2312" w:hAnsi="仿宋_GB2312" w:eastAsia="仿宋_GB2312" w:cs="仿宋_GB2312"/>
          <w:sz w:val="32"/>
          <w:szCs w:val="32"/>
        </w:rPr>
        <w:t>道路分级</w:t>
      </w:r>
    </w:p>
    <w:p w14:paraId="00860B4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规划在街区内形成主干路、次干路、支路三级城市内部车行道等级体系。</w:t>
      </w:r>
    </w:p>
    <w:p w14:paraId="790EFCB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hAnsi="仿宋_GB2312" w:cs="仿宋_GB2312"/>
          <w:sz w:val="32"/>
          <w:szCs w:val="32"/>
          <w:lang w:eastAsia="zh-CN"/>
        </w:rPr>
        <w:t>2.</w:t>
      </w:r>
      <w:r>
        <w:rPr>
          <w:rFonts w:hint="eastAsia" w:ascii="仿宋_GB2312" w:hAnsi="仿宋_GB2312" w:eastAsia="仿宋_GB2312" w:cs="仿宋_GB2312"/>
          <w:sz w:val="32"/>
          <w:szCs w:val="32"/>
        </w:rPr>
        <w:t>道路纵坡</w:t>
      </w:r>
    </w:p>
    <w:p w14:paraId="3798127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规划道路最小纵坡度应大于或等于0.3%，当遇特殊困难纵坡小于0.3%时，应设置锯齿形边沟或采取其他排水设施。最大纵坡小于等于8.0%。</w:t>
      </w:r>
    </w:p>
    <w:p w14:paraId="75719699">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 公共交通</w:t>
      </w:r>
    </w:p>
    <w:p w14:paraId="0CBB805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大力发展城市公交，结合老城区路幅条件与客流需求，在建设街等主次干道沿线合理布设公交停靠站点，站点服务半径不宜大于500米，实现与县城主要居住组团、商业节点及公共服务设施的公交有效衔接。</w:t>
      </w:r>
    </w:p>
    <w:p w14:paraId="24959C9F">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八、慢行交通</w:t>
      </w:r>
    </w:p>
    <w:p w14:paraId="60646A4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规划沿沐溪河、结合公园绿地开敞空间，构建街区环形慢行交通体系，步行道宽度不宜低于2米。增加步行道路密度，提高水系、绿地公园、商业区、生活街道之间的步行联系和可达性。</w:t>
      </w:r>
    </w:p>
    <w:p w14:paraId="2F2B77C9">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 道路交通设施规划</w:t>
      </w:r>
    </w:p>
    <w:p w14:paraId="7D100031">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hAnsi="仿宋_GB2312" w:cs="仿宋_GB2312"/>
          <w:sz w:val="32"/>
          <w:szCs w:val="32"/>
          <w:lang w:eastAsia="zh-CN"/>
        </w:rPr>
        <w:t>1.</w:t>
      </w:r>
      <w:r>
        <w:rPr>
          <w:rFonts w:hint="eastAsia" w:ascii="仿宋_GB2312" w:hAnsi="仿宋_GB2312" w:eastAsia="仿宋_GB2312" w:cs="仿宋_GB2312"/>
          <w:sz w:val="32"/>
          <w:szCs w:val="32"/>
        </w:rPr>
        <w:t>停车规划</w:t>
      </w:r>
    </w:p>
    <w:p w14:paraId="0D3963F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新增建筑需满足乐山市停车泊位配建标准。</w:t>
      </w:r>
    </w:p>
    <w:p w14:paraId="19B07B94">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在规划区除配建车位之外，规划地面公共停车场4处，建议按停车楼建设。</w:t>
      </w:r>
    </w:p>
    <w:p w14:paraId="2AC3354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结合广场绿地，可配建停车场，公园绿地内配建停车场，其用地面积不得大于公园绿地总面积的10%。</w:t>
      </w:r>
    </w:p>
    <w:p w14:paraId="786A5966">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停车场配建新能源充电停车位比例按相关要求执行。</w:t>
      </w:r>
    </w:p>
    <w:p w14:paraId="0DDAA69E">
      <w:pPr>
        <w:pStyle w:val="7"/>
        <w:spacing w:line="600" w:lineRule="exact"/>
        <w:ind w:left="0" w:firstLine="560" w:firstLineChars="200"/>
        <w:rPr>
          <w:sz w:val="28"/>
          <w:szCs w:val="28"/>
        </w:rPr>
      </w:pPr>
    </w:p>
    <w:p w14:paraId="20A48A10">
      <w:pPr>
        <w:pStyle w:val="7"/>
        <w:spacing w:line="600" w:lineRule="exact"/>
        <w:ind w:left="0" w:firstLine="560" w:firstLineChars="200"/>
        <w:rPr>
          <w:sz w:val="28"/>
          <w:szCs w:val="28"/>
        </w:rPr>
      </w:pPr>
    </w:p>
    <w:p w14:paraId="0BC04ED8">
      <w:pPr>
        <w:pStyle w:val="7"/>
        <w:spacing w:line="600" w:lineRule="exact"/>
        <w:ind w:left="0" w:firstLine="560" w:firstLineChars="200"/>
        <w:rPr>
          <w:sz w:val="28"/>
          <w:szCs w:val="28"/>
        </w:rPr>
      </w:pPr>
    </w:p>
    <w:p w14:paraId="3B1D6911">
      <w:pPr>
        <w:pStyle w:val="7"/>
        <w:spacing w:line="600" w:lineRule="exact"/>
        <w:ind w:left="0" w:firstLine="560" w:firstLineChars="200"/>
        <w:rPr>
          <w:sz w:val="28"/>
          <w:szCs w:val="28"/>
        </w:rPr>
      </w:pPr>
    </w:p>
    <w:p w14:paraId="546FCCDE">
      <w:pPr>
        <w:pStyle w:val="7"/>
        <w:spacing w:line="600" w:lineRule="exact"/>
        <w:ind w:left="0" w:firstLine="560" w:firstLineChars="200"/>
        <w:rPr>
          <w:sz w:val="28"/>
          <w:szCs w:val="28"/>
        </w:rPr>
      </w:pPr>
    </w:p>
    <w:p w14:paraId="504FB697">
      <w:pPr>
        <w:pStyle w:val="7"/>
        <w:spacing w:line="600" w:lineRule="exact"/>
        <w:ind w:left="0" w:firstLine="560" w:firstLineChars="200"/>
        <w:rPr>
          <w:sz w:val="28"/>
          <w:szCs w:val="28"/>
        </w:rPr>
      </w:pPr>
    </w:p>
    <w:p w14:paraId="502F1AAE">
      <w:pPr>
        <w:pStyle w:val="7"/>
        <w:spacing w:line="600" w:lineRule="exact"/>
        <w:ind w:left="0" w:firstLine="560" w:firstLineChars="200"/>
        <w:rPr>
          <w:sz w:val="28"/>
          <w:szCs w:val="28"/>
        </w:rPr>
      </w:pPr>
    </w:p>
    <w:p w14:paraId="2FC0BBF5">
      <w:pPr>
        <w:pStyle w:val="7"/>
        <w:spacing w:line="600" w:lineRule="exact"/>
        <w:ind w:left="0" w:firstLine="560" w:firstLineChars="200"/>
        <w:rPr>
          <w:sz w:val="28"/>
          <w:szCs w:val="28"/>
        </w:rPr>
      </w:pPr>
    </w:p>
    <w:p w14:paraId="47489EF7">
      <w:pPr>
        <w:pStyle w:val="2"/>
        <w:numPr>
          <w:ilvl w:val="0"/>
          <w:numId w:val="2"/>
        </w:numPr>
        <w:spacing w:after="120" w:line="600" w:lineRule="exact"/>
        <w:rPr>
          <w:rFonts w:hint="default"/>
          <w:color w:val="auto"/>
        </w:rPr>
      </w:pPr>
      <w:bookmarkStart w:id="8" w:name="_Toc241000216"/>
      <w:r>
        <w:rPr>
          <w:color w:val="auto"/>
        </w:rPr>
        <w:t>市政工程规划</w:t>
      </w:r>
      <w:bookmarkEnd w:id="8"/>
    </w:p>
    <w:p w14:paraId="71951679">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一、给水工程规划</w:t>
      </w:r>
    </w:p>
    <w:p w14:paraId="3F3D8EEF">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规划以沐川县第一自来水厂为水源，供水规模为1.0万立方米/日，给水主干管沐源路、中桥街、交通街、建设街布置，给水管管径采用DN300～DN500。支管沿其余道路布置，管径不小于DN150。主、次管网共同保证街区的供水安全。</w:t>
      </w:r>
    </w:p>
    <w:p w14:paraId="325B1AC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消防给水：城市消防采用低压制，同城市给水共用一套管网系统，消防用水量按同一时间内火灾次数为1次，一次灭火用水量为25L/s，两小时消防延时的最不利情况来校核城市给水系统，城市消防用水量储存于城市高位水池中。</w:t>
      </w:r>
    </w:p>
    <w:p w14:paraId="5182044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室外消火栓沿规划区主次干道布置，间距不大于120m，并在道路交叉口保证有一处消火栓。</w:t>
      </w:r>
    </w:p>
    <w:p w14:paraId="41D3FB16">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二、排水工程规划</w:t>
      </w:r>
    </w:p>
    <w:p w14:paraId="3534800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规划区排水体制采用雨、污分流制，即：污水收集集中处理，雨水就近排入自然水体。</w:t>
      </w:r>
    </w:p>
    <w:p w14:paraId="65588CF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1.</w:t>
      </w:r>
      <w:r>
        <w:rPr>
          <w:sz w:val="32"/>
          <w:szCs w:val="32"/>
        </w:rPr>
        <w:t>雨水规划</w:t>
      </w:r>
    </w:p>
    <w:p w14:paraId="7446B023">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综合协调道路、场地、排水管道、排洪河道之间的高程关系，规划区雨水排放主要向南、向北进行组织，雨水管一般沿规划道路布置，尽量顺坡敷设，以减少管道埋深；雨水管在街道上的最小管径宜不小于D400，在机动车道下，最小覆土厚度宜大于0.7m。雨水管网工程采用重力流为主的自然排水方式，受纳水体为沐溪河。</w:t>
      </w:r>
    </w:p>
    <w:p w14:paraId="43CC45C4">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2.</w:t>
      </w:r>
      <w:r>
        <w:rPr>
          <w:sz w:val="32"/>
          <w:szCs w:val="32"/>
        </w:rPr>
        <w:t>污水工程</w:t>
      </w:r>
    </w:p>
    <w:p w14:paraId="12FEB274">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沿沐源路、交通街、卷河路敷设污水干管，统一收集沿线污水至第一城市生活污水处理厂进行统一处理，污水管径DN500～DN1000。</w:t>
      </w:r>
    </w:p>
    <w:p w14:paraId="6C0EEA9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污水管的布置以方便污水收集及便于污水临时排放为原则，根据地势沿规划道路布置，通常设置在污水量较大或地下管线较少一侧的人行、绿化带或慢车道下，污水经收集汇入城区污水主干管，排入污水处理厂进行处理。</w:t>
      </w:r>
    </w:p>
    <w:p w14:paraId="74CD38F2">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三、燃气工程规划</w:t>
      </w:r>
    </w:p>
    <w:p w14:paraId="3591A3E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气源来自犍为清溪镇蜀南气矿麻柳场气田。经麻柳场输气站至沐川配气站Ф108管线引入沐川城区，沿沐源路、中桥街、交通街敷设至街区。街区配气管网沿规划道路敷设，形成环枝结合的网络。</w:t>
      </w:r>
    </w:p>
    <w:p w14:paraId="67D3EA7B">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四、供电工程规划</w:t>
      </w:r>
    </w:p>
    <w:p w14:paraId="454CC631">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rFonts w:hint="eastAsia"/>
          <w:sz w:val="32"/>
          <w:szCs w:val="32"/>
          <w:lang w:eastAsia="zh-CN"/>
        </w:rPr>
        <w:t>1.</w:t>
      </w:r>
      <w:r>
        <w:rPr>
          <w:sz w:val="32"/>
          <w:szCs w:val="32"/>
        </w:rPr>
        <w:t>供电设施规划</w:t>
      </w:r>
    </w:p>
    <w:p w14:paraId="2B826771">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规划区用电由中心城区现状110千伏变电站进行保障。</w:t>
      </w:r>
    </w:p>
    <w:p w14:paraId="03DAA5D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2.</w:t>
      </w:r>
      <w:r>
        <w:rPr>
          <w:sz w:val="32"/>
          <w:szCs w:val="32"/>
        </w:rPr>
        <w:t>线路规划</w:t>
      </w:r>
    </w:p>
    <w:p w14:paraId="0C8BB5C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规划区配电网络采用10kV电压等级，网架结构采用放射式与树干式相结合的结构方式沿主要道路布置，主干线路采用地埋电缆沟的敷设方式。</w:t>
      </w:r>
    </w:p>
    <w:p w14:paraId="265926D2">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五、通信工程规划</w:t>
      </w:r>
    </w:p>
    <w:p w14:paraId="67B0F69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1.</w:t>
      </w:r>
      <w:r>
        <w:rPr>
          <w:sz w:val="32"/>
          <w:szCs w:val="32"/>
        </w:rPr>
        <w:t>有线电视网络规划</w:t>
      </w:r>
    </w:p>
    <w:p w14:paraId="35C90157">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规划构建完整的双向化的有线电视光纤传输网络，每300～400用户设置一个光接收点，将光缆架设到小区、大楼，有条件的架设入户。每个光接收点的建筑面积约10～20平方米，服务半径控制在500～1000米内。</w:t>
      </w:r>
    </w:p>
    <w:p w14:paraId="6FCD55B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2.</w:t>
      </w:r>
      <w:r>
        <w:rPr>
          <w:sz w:val="32"/>
          <w:szCs w:val="32"/>
        </w:rPr>
        <w:t>电信管道规划</w:t>
      </w:r>
    </w:p>
    <w:p w14:paraId="46EFCD2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default"/>
          <w:sz w:val="32"/>
          <w:szCs w:val="32"/>
        </w:rPr>
      </w:pPr>
      <w:r>
        <w:rPr>
          <w:sz w:val="32"/>
          <w:szCs w:val="32"/>
        </w:rPr>
        <w:t>电信管道宜与道路施工同步建设，沿城市主要道路建设电信管道，主干光缆网络建设适当控制行数，提高光纤技术含量。通过主干光缆加强交换模块局的沟通，建设城域业务汇聚用光缆网络。</w:t>
      </w:r>
    </w:p>
    <w:p w14:paraId="714D1E42">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default"/>
          <w:sz w:val="32"/>
          <w:szCs w:val="32"/>
        </w:rPr>
      </w:pPr>
      <w:r>
        <w:rPr>
          <w:sz w:val="32"/>
          <w:szCs w:val="32"/>
        </w:rPr>
        <w:t>六、管线综合规划</w:t>
      </w:r>
    </w:p>
    <w:p w14:paraId="70FCC43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1.</w:t>
      </w:r>
      <w:r>
        <w:rPr>
          <w:sz w:val="32"/>
          <w:szCs w:val="32"/>
        </w:rPr>
        <w:t>平面综合</w:t>
      </w:r>
    </w:p>
    <w:p w14:paraId="3511DD7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为避免给水与污水相互污染，强弱电相互干扰，原则上各种管线从道路红线向道路中心线方向平行布置，一般应遵循下列次序：</w:t>
      </w:r>
    </w:p>
    <w:p w14:paraId="7F14412E">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道路西、北侧为</w:t>
      </w:r>
      <w:r>
        <w:rPr>
          <w:rFonts w:hint="eastAsia"/>
          <w:sz w:val="32"/>
          <w:szCs w:val="32"/>
          <w:lang w:eastAsia="zh-CN"/>
        </w:rPr>
        <w:t>：</w:t>
      </w:r>
      <w:r>
        <w:rPr>
          <w:sz w:val="32"/>
          <w:szCs w:val="32"/>
        </w:rPr>
        <w:t>电力、给水、雨水；</w:t>
      </w:r>
    </w:p>
    <w:p w14:paraId="6A84BEE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道路东、南侧为</w:t>
      </w:r>
      <w:r>
        <w:rPr>
          <w:rFonts w:hint="eastAsia"/>
          <w:sz w:val="32"/>
          <w:szCs w:val="32"/>
          <w:lang w:eastAsia="zh-CN"/>
        </w:rPr>
        <w:t>：</w:t>
      </w:r>
      <w:r>
        <w:rPr>
          <w:sz w:val="32"/>
          <w:szCs w:val="32"/>
        </w:rPr>
        <w:t>电信</w:t>
      </w:r>
      <w:r>
        <w:rPr>
          <w:rFonts w:hint="eastAsia"/>
          <w:sz w:val="32"/>
          <w:szCs w:val="32"/>
          <w:lang w:eastAsia="zh-CN"/>
        </w:rPr>
        <w:t>（</w:t>
      </w:r>
      <w:r>
        <w:rPr>
          <w:sz w:val="32"/>
          <w:szCs w:val="32"/>
        </w:rPr>
        <w:t>广电</w:t>
      </w:r>
      <w:r>
        <w:rPr>
          <w:rFonts w:hint="eastAsia"/>
          <w:sz w:val="32"/>
          <w:szCs w:val="32"/>
          <w:lang w:eastAsia="zh-CN"/>
        </w:rPr>
        <w:t>）</w:t>
      </w:r>
      <w:r>
        <w:rPr>
          <w:sz w:val="32"/>
          <w:szCs w:val="32"/>
        </w:rPr>
        <w:t>、燃气、污水、再生水。</w:t>
      </w:r>
    </w:p>
    <w:p w14:paraId="427E64F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管道与建筑红线以及管道与管道间的水平净距应满足国家相关标准规范的要求。</w:t>
      </w:r>
    </w:p>
    <w:p w14:paraId="4F643E2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rFonts w:hint="eastAsia"/>
          <w:sz w:val="32"/>
          <w:szCs w:val="32"/>
          <w:lang w:eastAsia="zh-CN"/>
        </w:rPr>
        <w:t>2.</w:t>
      </w:r>
      <w:r>
        <w:rPr>
          <w:sz w:val="32"/>
          <w:szCs w:val="32"/>
        </w:rPr>
        <w:t>竖向综合</w:t>
      </w:r>
    </w:p>
    <w:p w14:paraId="7C08C52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default"/>
          <w:sz w:val="32"/>
          <w:szCs w:val="32"/>
        </w:rPr>
      </w:pPr>
      <w:r>
        <w:rPr>
          <w:sz w:val="32"/>
          <w:szCs w:val="32"/>
        </w:rPr>
        <w:t>给水、排水、再生水、直埋电力工程管线覆土深度应在土壤冰冻深度以下。在车行道下管线的最小覆土厚度为0.7m。各种工程管线交叉时，自地表面向下的排列顺序宜为：通信、电力、燃气、给水、再生水、雨水、污水。</w:t>
      </w:r>
    </w:p>
    <w:p w14:paraId="5B6C101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若出现交叉矛盾时应遵循小管让大管，压力流管让重力流管，可弯曲管让不可弯曲管等原则进行调整。</w:t>
      </w:r>
    </w:p>
    <w:p w14:paraId="18BD9EF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p>
    <w:p w14:paraId="0848D843">
      <w:pPr>
        <w:pStyle w:val="7"/>
        <w:spacing w:line="600" w:lineRule="exact"/>
        <w:ind w:left="0" w:firstLine="560" w:firstLineChars="200"/>
        <w:rPr>
          <w:sz w:val="28"/>
          <w:szCs w:val="28"/>
        </w:rPr>
      </w:pPr>
    </w:p>
    <w:p w14:paraId="34190854">
      <w:pPr>
        <w:pStyle w:val="7"/>
        <w:spacing w:line="600" w:lineRule="exact"/>
        <w:ind w:left="0" w:firstLine="560" w:firstLineChars="200"/>
        <w:rPr>
          <w:sz w:val="28"/>
          <w:szCs w:val="28"/>
        </w:rPr>
      </w:pPr>
    </w:p>
    <w:p w14:paraId="5F999C67">
      <w:pPr>
        <w:pStyle w:val="7"/>
        <w:spacing w:line="600" w:lineRule="exact"/>
        <w:ind w:left="0" w:firstLine="560" w:firstLineChars="200"/>
        <w:rPr>
          <w:sz w:val="28"/>
          <w:szCs w:val="28"/>
        </w:rPr>
      </w:pPr>
    </w:p>
    <w:p w14:paraId="52D9678A">
      <w:pPr>
        <w:pStyle w:val="7"/>
        <w:spacing w:line="600" w:lineRule="exact"/>
        <w:ind w:left="0" w:firstLine="560" w:firstLineChars="200"/>
        <w:rPr>
          <w:sz w:val="28"/>
          <w:szCs w:val="28"/>
        </w:rPr>
      </w:pPr>
    </w:p>
    <w:p w14:paraId="1E1D99A0">
      <w:pPr>
        <w:pStyle w:val="2"/>
        <w:numPr>
          <w:ilvl w:val="0"/>
          <w:numId w:val="2"/>
        </w:numPr>
        <w:spacing w:after="120" w:line="600" w:lineRule="exact"/>
        <w:rPr>
          <w:rFonts w:hint="default"/>
          <w:color w:val="auto"/>
        </w:rPr>
      </w:pPr>
      <w:bookmarkStart w:id="9" w:name="_Toc241000217"/>
      <w:r>
        <w:rPr>
          <w:color w:val="auto"/>
        </w:rPr>
        <w:t>综合防灾规划</w:t>
      </w:r>
      <w:bookmarkEnd w:id="9"/>
    </w:p>
    <w:p w14:paraId="0FF40F8A">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一、防洪排涝规划</w:t>
      </w:r>
    </w:p>
    <w:p w14:paraId="77B38183">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bookmarkStart w:id="10" w:name="_Toc207615911"/>
      <w:r>
        <w:rPr>
          <w:rFonts w:hint="eastAsia" w:ascii="仿宋_GB2312" w:hAnsi="仿宋_GB2312" w:eastAsia="仿宋_GB2312" w:cs="仿宋_GB2312"/>
          <w:sz w:val="32"/>
          <w:szCs w:val="32"/>
        </w:rPr>
        <w:t xml:space="preserve">根据《防洪标准》（GB50201—2014）及《城市防洪工程设计规范》（CJJ50—92），结合沐川县城的实际情况，确定沐溪河县城段及其支流按20年一遇洪水设防。沐川县中心城区内涝防治按20年一遇标准设防。 </w:t>
      </w:r>
    </w:p>
    <w:p w14:paraId="3F513DB4">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二、抗震规划</w:t>
      </w:r>
      <w:bookmarkEnd w:id="10"/>
    </w:p>
    <w:p w14:paraId="0083B9C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根据《中国地震动参数区划图》，街区对应地震基本烈度Ⅶ度。规划按照七度抗震设防烈度标准设防。学校、医院等人员密集场所按高于当地房屋建设抗震设防要求1档或不低于重点设防类的要求进行设计和施工，重大工程依据审定的地震安全性评价结果进行抗震设防。 </w:t>
      </w:r>
    </w:p>
    <w:p w14:paraId="58AD36F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规划区各项工程建设时，应进行抗震适宜性评价。</w:t>
      </w:r>
    </w:p>
    <w:p w14:paraId="1F10014B">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bookmarkStart w:id="11" w:name="_Toc207615912"/>
      <w:r>
        <w:rPr>
          <w:rFonts w:hint="eastAsia" w:ascii="仿宋_GB2312" w:hAnsi="仿宋_GB2312" w:eastAsia="仿宋_GB2312" w:cs="仿宋_GB2312"/>
          <w:sz w:val="32"/>
          <w:szCs w:val="32"/>
        </w:rPr>
        <w:t>三、消防规划</w:t>
      </w:r>
      <w:bookmarkEnd w:id="11"/>
    </w:p>
    <w:p w14:paraId="2193611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区属于沐川县消防救援大队管理范围。消防水源由市政给水管网统一供给。市政消火栓采用低压供水，市政供水无法保证消防用水的高层工业、民用建筑及大型公共建筑增建消防水池。规划沐溪河水系水为备用消防水源，规划设置一处取水点。</w:t>
      </w:r>
    </w:p>
    <w:p w14:paraId="150E1AD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城市道路作为主要消防通道。消防通道的间距不宜超过160米，宽度不小于4米，净空不小于4米，并尽可能利用城市道路和住宅区道路。当街坊长宽部分超过160米时，均应设置穿过街坊的消防车道，建筑物与建筑物之间也应按相关规范设置消防车通道。高层民用建筑周围应设环形消防车通道。</w:t>
      </w:r>
    </w:p>
    <w:p w14:paraId="7C373712">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四、人防工程规划</w:t>
      </w:r>
    </w:p>
    <w:p w14:paraId="66BC67CD">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划贯彻“长期准备、重点建设、平战结合”的方针，以规划区工程建设为主体，结合地下空间资源的综合开发，建设结构合理、技术先进、稳定可靠的防空设施体系。地下人防掩蔽工程应按照《人民防空工程建设管理规定》中相关要求进行建设。居住小区、高层建筑、重点目标及大型建筑，应修建防空地下室。</w:t>
      </w:r>
    </w:p>
    <w:p w14:paraId="0C699337">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rFonts w:hint="eastAsia" w:ascii="仿宋_GB2312" w:hAnsi="仿宋_GB2312" w:eastAsia="仿宋_GB2312" w:cs="仿宋_GB2312"/>
          <w:sz w:val="32"/>
          <w:szCs w:val="32"/>
        </w:rPr>
      </w:pPr>
      <w:bookmarkStart w:id="12" w:name="_Toc207615914"/>
      <w:r>
        <w:rPr>
          <w:rFonts w:hint="eastAsia" w:ascii="仿宋_GB2312" w:hAnsi="仿宋_GB2312" w:eastAsia="仿宋_GB2312" w:cs="仿宋_GB2312"/>
          <w:sz w:val="32"/>
          <w:szCs w:val="32"/>
        </w:rPr>
        <w:t>五、</w:t>
      </w:r>
      <w:bookmarkEnd w:id="12"/>
      <w:r>
        <w:rPr>
          <w:rFonts w:hint="eastAsia" w:ascii="仿宋_GB2312" w:hAnsi="仿宋_GB2312" w:eastAsia="仿宋_GB2312" w:cs="仿宋_GB2312"/>
          <w:sz w:val="32"/>
          <w:szCs w:val="32"/>
        </w:rPr>
        <w:t>应急避难场所规划</w:t>
      </w:r>
    </w:p>
    <w:p w14:paraId="0AAFC2E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规划结合社区生活圈设置紧急避难场所，规划结合城市公园、绿地、广场、室内公共场馆、学校操场等空地设置临时避难疏散场地，服务半径不超过500米，提升城市韧性防灾能力</w:t>
      </w:r>
      <w:r>
        <w:rPr>
          <w:rFonts w:hint="eastAsia" w:hAnsi="仿宋_GB2312" w:cs="仿宋_GB2312"/>
          <w:sz w:val="32"/>
          <w:szCs w:val="32"/>
          <w:lang w:eastAsia="zh-CN"/>
        </w:rPr>
        <w:t>。</w:t>
      </w:r>
    </w:p>
    <w:p w14:paraId="7274FE86">
      <w:pPr>
        <w:pStyle w:val="7"/>
        <w:spacing w:line="600" w:lineRule="exact"/>
        <w:ind w:left="0" w:firstLine="560" w:firstLineChars="200"/>
        <w:jc w:val="both"/>
        <w:rPr>
          <w:sz w:val="28"/>
          <w:szCs w:val="28"/>
        </w:rPr>
      </w:pPr>
    </w:p>
    <w:p w14:paraId="15852F08">
      <w:pPr>
        <w:pStyle w:val="7"/>
        <w:spacing w:line="600" w:lineRule="exact"/>
        <w:ind w:left="0" w:firstLine="560" w:firstLineChars="200"/>
        <w:jc w:val="both"/>
        <w:rPr>
          <w:sz w:val="28"/>
          <w:szCs w:val="28"/>
        </w:rPr>
      </w:pPr>
    </w:p>
    <w:p w14:paraId="68F77F42">
      <w:pPr>
        <w:pStyle w:val="7"/>
        <w:spacing w:line="600" w:lineRule="exact"/>
        <w:ind w:left="0" w:firstLine="560" w:firstLineChars="200"/>
        <w:jc w:val="both"/>
        <w:rPr>
          <w:sz w:val="28"/>
          <w:szCs w:val="28"/>
        </w:rPr>
      </w:pPr>
    </w:p>
    <w:p w14:paraId="07F82BE3">
      <w:pPr>
        <w:pStyle w:val="7"/>
        <w:spacing w:line="600" w:lineRule="exact"/>
        <w:ind w:left="0" w:firstLine="560" w:firstLineChars="200"/>
        <w:jc w:val="both"/>
        <w:rPr>
          <w:sz w:val="28"/>
          <w:szCs w:val="28"/>
        </w:rPr>
      </w:pPr>
    </w:p>
    <w:p w14:paraId="0D3461CF">
      <w:pPr>
        <w:pStyle w:val="7"/>
        <w:spacing w:line="600" w:lineRule="exact"/>
        <w:ind w:left="0" w:firstLine="560" w:firstLineChars="200"/>
        <w:jc w:val="both"/>
        <w:rPr>
          <w:sz w:val="28"/>
          <w:szCs w:val="28"/>
        </w:rPr>
      </w:pPr>
    </w:p>
    <w:p w14:paraId="3A087C97">
      <w:pPr>
        <w:pStyle w:val="7"/>
        <w:spacing w:line="600" w:lineRule="exact"/>
        <w:ind w:left="0" w:firstLine="560" w:firstLineChars="200"/>
        <w:jc w:val="both"/>
        <w:rPr>
          <w:sz w:val="28"/>
          <w:szCs w:val="28"/>
        </w:rPr>
      </w:pPr>
    </w:p>
    <w:p w14:paraId="4A2ED2C4">
      <w:pPr>
        <w:pStyle w:val="7"/>
        <w:spacing w:line="600" w:lineRule="exact"/>
        <w:ind w:left="0" w:firstLine="560" w:firstLineChars="200"/>
        <w:jc w:val="both"/>
        <w:rPr>
          <w:sz w:val="28"/>
          <w:szCs w:val="28"/>
        </w:rPr>
      </w:pPr>
    </w:p>
    <w:p w14:paraId="358B9BAD">
      <w:pPr>
        <w:pStyle w:val="7"/>
        <w:spacing w:line="600" w:lineRule="exact"/>
        <w:ind w:left="0" w:firstLine="560" w:firstLineChars="200"/>
        <w:jc w:val="both"/>
        <w:rPr>
          <w:sz w:val="28"/>
          <w:szCs w:val="28"/>
        </w:rPr>
      </w:pPr>
    </w:p>
    <w:p w14:paraId="34FD09F5">
      <w:pPr>
        <w:pStyle w:val="7"/>
        <w:spacing w:line="600" w:lineRule="exact"/>
        <w:ind w:left="0" w:firstLine="560" w:firstLineChars="200"/>
        <w:jc w:val="both"/>
        <w:rPr>
          <w:sz w:val="28"/>
          <w:szCs w:val="28"/>
        </w:rPr>
      </w:pPr>
    </w:p>
    <w:p w14:paraId="23EA09F1">
      <w:pPr>
        <w:pStyle w:val="7"/>
        <w:spacing w:line="600" w:lineRule="exact"/>
        <w:ind w:left="0" w:firstLine="560" w:firstLineChars="200"/>
        <w:jc w:val="both"/>
        <w:rPr>
          <w:sz w:val="28"/>
          <w:szCs w:val="28"/>
        </w:rPr>
      </w:pPr>
    </w:p>
    <w:p w14:paraId="1D99DE54">
      <w:pPr>
        <w:pStyle w:val="7"/>
        <w:spacing w:line="600" w:lineRule="exact"/>
        <w:ind w:left="0" w:firstLine="560" w:firstLineChars="200"/>
        <w:jc w:val="both"/>
        <w:rPr>
          <w:sz w:val="28"/>
          <w:szCs w:val="28"/>
        </w:rPr>
      </w:pPr>
    </w:p>
    <w:p w14:paraId="4354118B">
      <w:pPr>
        <w:pStyle w:val="7"/>
        <w:spacing w:line="600" w:lineRule="exact"/>
        <w:ind w:left="0" w:firstLine="560" w:firstLineChars="200"/>
        <w:jc w:val="both"/>
        <w:rPr>
          <w:sz w:val="28"/>
          <w:szCs w:val="28"/>
        </w:rPr>
      </w:pPr>
    </w:p>
    <w:p w14:paraId="239F10CF">
      <w:pPr>
        <w:pStyle w:val="7"/>
        <w:spacing w:line="600" w:lineRule="exact"/>
        <w:ind w:left="0" w:firstLine="560" w:firstLineChars="200"/>
        <w:jc w:val="both"/>
        <w:rPr>
          <w:sz w:val="28"/>
          <w:szCs w:val="28"/>
        </w:rPr>
      </w:pPr>
    </w:p>
    <w:p w14:paraId="0ABF1E51">
      <w:pPr>
        <w:pStyle w:val="7"/>
        <w:spacing w:line="600" w:lineRule="exact"/>
        <w:ind w:left="0" w:firstLine="560" w:firstLineChars="200"/>
        <w:jc w:val="both"/>
        <w:rPr>
          <w:sz w:val="28"/>
          <w:szCs w:val="28"/>
        </w:rPr>
      </w:pPr>
    </w:p>
    <w:p w14:paraId="29238615">
      <w:pPr>
        <w:pStyle w:val="7"/>
        <w:spacing w:line="600" w:lineRule="exact"/>
        <w:ind w:left="0" w:leftChars="0" w:firstLine="0" w:firstLineChars="0"/>
        <w:jc w:val="both"/>
        <w:rPr>
          <w:rFonts w:hint="default"/>
          <w:sz w:val="28"/>
          <w:szCs w:val="28"/>
        </w:rPr>
      </w:pPr>
    </w:p>
    <w:p w14:paraId="4B1F6F3E">
      <w:pPr>
        <w:pStyle w:val="2"/>
        <w:numPr>
          <w:ilvl w:val="0"/>
          <w:numId w:val="2"/>
        </w:numPr>
        <w:spacing w:after="120" w:line="600" w:lineRule="exact"/>
        <w:rPr>
          <w:rFonts w:hint="default"/>
          <w:color w:val="auto"/>
        </w:rPr>
      </w:pPr>
      <w:bookmarkStart w:id="13" w:name="_Toc241000218"/>
      <w:r>
        <w:rPr>
          <w:color w:val="auto"/>
        </w:rPr>
        <w:t>城市设计引导</w:t>
      </w:r>
      <w:bookmarkEnd w:id="13"/>
    </w:p>
    <w:p w14:paraId="4805AA25">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一、城市空间设计引导</w:t>
      </w:r>
    </w:p>
    <w:p w14:paraId="07D4B73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rFonts w:hint="eastAsia"/>
          <w:sz w:val="28"/>
          <w:szCs w:val="28"/>
          <w:lang w:eastAsia="zh-CN"/>
        </w:rPr>
        <w:t>1.</w:t>
      </w:r>
      <w:r>
        <w:rPr>
          <w:sz w:val="28"/>
          <w:szCs w:val="28"/>
        </w:rPr>
        <w:t>建筑更新与街巷空间塑造</w:t>
      </w:r>
    </w:p>
    <w:p w14:paraId="79634767">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rFonts w:hint="eastAsia"/>
          <w:sz w:val="28"/>
          <w:szCs w:val="28"/>
          <w:lang w:val="en-US" w:eastAsia="zh-CN"/>
        </w:rPr>
        <w:t>地块</w:t>
      </w:r>
      <w:r>
        <w:rPr>
          <w:sz w:val="28"/>
          <w:szCs w:val="28"/>
        </w:rPr>
        <w:t>更新应遵循“微改造、有机更新”原则，严禁大拆大建。新建及改造建筑应延续老城小尺度肌理，单体建筑面宽不宜过大；街道两侧建筑高度与街道宽度之比应控制在适宜步行的人性化尺度，避免形成封闭压抑的街道空间。建筑屋顶宜选用坡屋顶或平坡结合形式。</w:t>
      </w:r>
    </w:p>
    <w:p w14:paraId="0BB2C4A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rFonts w:hint="eastAsia"/>
          <w:sz w:val="28"/>
          <w:szCs w:val="28"/>
          <w:lang w:eastAsia="zh-CN"/>
        </w:rPr>
        <w:t>2.</w:t>
      </w:r>
      <w:r>
        <w:rPr>
          <w:sz w:val="28"/>
          <w:szCs w:val="28"/>
        </w:rPr>
        <w:t>沐溪河沿河界面管控</w:t>
      </w:r>
    </w:p>
    <w:p w14:paraId="0637B07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沐溪河两岸景观界面是县城重要的城市天际线载体。严格保护“山—水—城”的视线通廊，沿河建筑群体轮廓应避免“一刀切”的等高线式布局，鼓励标志性节点打造。</w:t>
      </w:r>
    </w:p>
    <w:p w14:paraId="11569478">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二、建筑色彩管控</w:t>
      </w:r>
    </w:p>
    <w:p w14:paraId="025BDB6E">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r>
        <w:rPr>
          <w:sz w:val="28"/>
          <w:szCs w:val="28"/>
        </w:rPr>
        <w:t>本街区属老城商贸区，建筑色彩应遵循《沐川县国土空间总体规划》确定的中心城区“灰白色调为主、土黄和赭石色为辅”的管控要求，色彩明度与纯度控制在中等程度，禁止大面积高饱和色彩，确保与周边青山绿水融为一体并凸显川南地域文化特征</w:t>
      </w:r>
      <w:r>
        <w:rPr>
          <w:rFonts w:hint="eastAsia"/>
          <w:sz w:val="28"/>
          <w:szCs w:val="28"/>
          <w:lang w:eastAsia="zh-CN"/>
        </w:rPr>
        <w:t>。</w:t>
      </w:r>
      <w:r>
        <w:rPr>
          <w:sz w:val="28"/>
          <w:szCs w:val="28"/>
        </w:rPr>
        <w:t>沿线应以暖白、浅灰、淡褐为主色调，保持色彩统一与庄重雅致，严格管控广告招牌对整体色彩秩序的破坏</w:t>
      </w:r>
      <w:r>
        <w:rPr>
          <w:rFonts w:hint="eastAsia"/>
          <w:sz w:val="28"/>
          <w:szCs w:val="28"/>
          <w:lang w:eastAsia="zh-CN"/>
        </w:rPr>
        <w:t>。</w:t>
      </w:r>
      <w:r>
        <w:rPr>
          <w:sz w:val="28"/>
          <w:szCs w:val="28"/>
        </w:rPr>
        <w:t>新建及改造建筑的外立面色彩方案须经城市设计专项审查，其中高层建筑须重点管控以避免体量过大造成色彩压迫感，夜景照明色彩应与建筑主色调协调，商业及滨水节点可适度丰富但不得破坏老城整体色彩秩序。</w:t>
      </w:r>
    </w:p>
    <w:p w14:paraId="0BC9A3F0">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p>
    <w:p w14:paraId="42AE030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p>
    <w:p w14:paraId="06EC97C7">
      <w:pPr>
        <w:pStyle w:val="7"/>
        <w:spacing w:line="600" w:lineRule="exact"/>
        <w:ind w:left="0" w:firstLine="560" w:firstLineChars="200"/>
        <w:rPr>
          <w:sz w:val="28"/>
          <w:szCs w:val="28"/>
        </w:rPr>
      </w:pPr>
    </w:p>
    <w:p w14:paraId="2D753D58">
      <w:pPr>
        <w:pStyle w:val="2"/>
        <w:numPr>
          <w:ilvl w:val="0"/>
          <w:numId w:val="2"/>
        </w:numPr>
        <w:spacing w:after="120" w:line="600" w:lineRule="exact"/>
        <w:rPr>
          <w:rFonts w:hint="default"/>
          <w:color w:val="auto"/>
        </w:rPr>
      </w:pPr>
      <w:bookmarkStart w:id="14" w:name="_Toc241000219"/>
      <w:r>
        <w:rPr>
          <w:color w:val="auto"/>
        </w:rPr>
        <w:t>地下空间规划</w:t>
      </w:r>
      <w:bookmarkEnd w:id="14"/>
    </w:p>
    <w:p w14:paraId="12833E7F">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一、 地下空间利用</w:t>
      </w:r>
    </w:p>
    <w:p w14:paraId="4D1CF1C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规划区为城市地下空间一般建设区，以配建功能为主，按照实际需求确定地下空间利用，以中、低高强度开发为主。</w:t>
      </w:r>
    </w:p>
    <w:p w14:paraId="7149B5BF">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二、 地下空间设施规划</w:t>
      </w:r>
    </w:p>
    <w:p w14:paraId="458CAC6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r>
        <w:rPr>
          <w:sz w:val="28"/>
          <w:szCs w:val="28"/>
        </w:rPr>
        <w:t>结合人防工程、各类建筑和广场绿地建设地下停车场，在人行过街频繁的主次干道建设地下通道。统筹利用老城有限空间资源。统筹安排地下市政管网建设，结合上述道路的改建工程，在管线交叉密集路段可试点建设综合管沟，提升市政基础设施的维护便利性与抗灾能力。</w:t>
      </w:r>
    </w:p>
    <w:p w14:paraId="12AAF93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p>
    <w:p w14:paraId="62F5EA59">
      <w:pPr>
        <w:pStyle w:val="7"/>
        <w:spacing w:line="600" w:lineRule="exact"/>
        <w:ind w:left="0" w:firstLine="560" w:firstLineChars="200"/>
        <w:rPr>
          <w:sz w:val="28"/>
          <w:szCs w:val="28"/>
        </w:rPr>
      </w:pPr>
    </w:p>
    <w:p w14:paraId="5C6ECD9F">
      <w:pPr>
        <w:pStyle w:val="7"/>
        <w:spacing w:line="600" w:lineRule="exact"/>
        <w:ind w:left="0" w:firstLine="560" w:firstLineChars="200"/>
        <w:rPr>
          <w:sz w:val="28"/>
          <w:szCs w:val="28"/>
        </w:rPr>
      </w:pPr>
    </w:p>
    <w:p w14:paraId="5F84435C">
      <w:pPr>
        <w:pStyle w:val="7"/>
        <w:spacing w:line="600" w:lineRule="exact"/>
        <w:ind w:left="0" w:firstLine="560" w:firstLineChars="200"/>
        <w:rPr>
          <w:sz w:val="28"/>
          <w:szCs w:val="28"/>
        </w:rPr>
      </w:pPr>
    </w:p>
    <w:p w14:paraId="0B3B3CA1">
      <w:pPr>
        <w:pStyle w:val="7"/>
        <w:spacing w:line="600" w:lineRule="exact"/>
        <w:ind w:left="0" w:firstLine="560" w:firstLineChars="200"/>
        <w:rPr>
          <w:sz w:val="28"/>
          <w:szCs w:val="28"/>
        </w:rPr>
      </w:pPr>
    </w:p>
    <w:p w14:paraId="4A3F2393">
      <w:pPr>
        <w:pStyle w:val="7"/>
        <w:spacing w:line="600" w:lineRule="exact"/>
        <w:ind w:left="0" w:firstLine="560" w:firstLineChars="200"/>
        <w:rPr>
          <w:sz w:val="28"/>
          <w:szCs w:val="28"/>
        </w:rPr>
      </w:pPr>
    </w:p>
    <w:p w14:paraId="5C97122F">
      <w:pPr>
        <w:pStyle w:val="7"/>
        <w:spacing w:line="600" w:lineRule="exact"/>
        <w:ind w:left="0" w:firstLine="560" w:firstLineChars="200"/>
        <w:rPr>
          <w:sz w:val="28"/>
          <w:szCs w:val="28"/>
        </w:rPr>
      </w:pPr>
    </w:p>
    <w:p w14:paraId="1338F2CB">
      <w:pPr>
        <w:pStyle w:val="7"/>
        <w:spacing w:line="600" w:lineRule="exact"/>
        <w:ind w:left="0" w:firstLine="560" w:firstLineChars="200"/>
        <w:rPr>
          <w:sz w:val="28"/>
          <w:szCs w:val="28"/>
        </w:rPr>
      </w:pPr>
    </w:p>
    <w:p w14:paraId="35F5C14B">
      <w:pPr>
        <w:pStyle w:val="7"/>
        <w:spacing w:line="600" w:lineRule="exact"/>
        <w:ind w:left="0" w:firstLine="560" w:firstLineChars="200"/>
        <w:rPr>
          <w:sz w:val="28"/>
          <w:szCs w:val="28"/>
        </w:rPr>
      </w:pPr>
    </w:p>
    <w:p w14:paraId="2223F9F1">
      <w:pPr>
        <w:pStyle w:val="7"/>
        <w:spacing w:line="600" w:lineRule="exact"/>
        <w:ind w:left="0" w:firstLine="560" w:firstLineChars="200"/>
        <w:rPr>
          <w:sz w:val="28"/>
          <w:szCs w:val="28"/>
        </w:rPr>
      </w:pPr>
    </w:p>
    <w:p w14:paraId="2682ACFD">
      <w:pPr>
        <w:pStyle w:val="7"/>
        <w:spacing w:line="600" w:lineRule="exact"/>
        <w:ind w:left="0" w:firstLine="560" w:firstLineChars="200"/>
        <w:rPr>
          <w:sz w:val="28"/>
          <w:szCs w:val="28"/>
        </w:rPr>
      </w:pPr>
    </w:p>
    <w:p w14:paraId="511F88D8">
      <w:pPr>
        <w:pStyle w:val="7"/>
        <w:spacing w:line="600" w:lineRule="exact"/>
        <w:ind w:left="0" w:firstLine="560" w:firstLineChars="200"/>
        <w:rPr>
          <w:sz w:val="28"/>
          <w:szCs w:val="28"/>
        </w:rPr>
      </w:pPr>
    </w:p>
    <w:p w14:paraId="0E69C213">
      <w:pPr>
        <w:pStyle w:val="7"/>
        <w:spacing w:line="600" w:lineRule="exact"/>
        <w:ind w:left="0" w:firstLine="560" w:firstLineChars="200"/>
        <w:rPr>
          <w:sz w:val="28"/>
          <w:szCs w:val="28"/>
        </w:rPr>
      </w:pPr>
    </w:p>
    <w:p w14:paraId="664258E2">
      <w:pPr>
        <w:pStyle w:val="7"/>
        <w:spacing w:line="600" w:lineRule="exact"/>
        <w:ind w:left="0" w:firstLine="560" w:firstLineChars="200"/>
        <w:rPr>
          <w:rFonts w:hint="default"/>
          <w:sz w:val="28"/>
          <w:szCs w:val="28"/>
        </w:rPr>
      </w:pPr>
    </w:p>
    <w:p w14:paraId="4EE1A876">
      <w:pPr>
        <w:pStyle w:val="2"/>
        <w:numPr>
          <w:ilvl w:val="0"/>
          <w:numId w:val="2"/>
        </w:numPr>
        <w:spacing w:after="120" w:line="600" w:lineRule="exact"/>
        <w:rPr>
          <w:rFonts w:hint="default"/>
          <w:color w:val="auto"/>
        </w:rPr>
      </w:pPr>
      <w:bookmarkStart w:id="15" w:name="_Toc241000220"/>
      <w:r>
        <w:rPr>
          <w:color w:val="auto"/>
        </w:rPr>
        <w:t>土地利用控制规划</w:t>
      </w:r>
      <w:bookmarkEnd w:id="15"/>
    </w:p>
    <w:p w14:paraId="53B182AF">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一、地块划分</w:t>
      </w:r>
    </w:p>
    <w:p w14:paraId="56C85E78">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依据土地用地性质，综合考虑宗地权属、城市道路和自然边界等因素，保证边界相对清晰，避免出现异形、零星和夹心地，便于土地供应、开发和建设。</w:t>
      </w:r>
    </w:p>
    <w:p w14:paraId="2C42ACA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rPr>
      </w:pPr>
      <w:r>
        <w:rPr>
          <w:sz w:val="28"/>
          <w:szCs w:val="28"/>
        </w:rPr>
        <w:t>地块规模与其区位、用地类型、开发控制和道路网密度要求等相适 应，单个地块面积不宜过大。</w:t>
      </w:r>
    </w:p>
    <w:p w14:paraId="5726E170">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二、土地用途</w:t>
      </w:r>
    </w:p>
    <w:p w14:paraId="4C5BF25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用地性质是对地块主要使用功能和属性的控制。表示方式按照国标《国土空间调查、规划、用途管制用地用海分类指南》</w:t>
      </w:r>
      <w:r>
        <w:rPr>
          <w:rFonts w:hint="eastAsia"/>
          <w:sz w:val="28"/>
          <w:szCs w:val="28"/>
          <w:lang w:eastAsia="zh-CN"/>
        </w:rPr>
        <w:t>（</w:t>
      </w:r>
      <w:r>
        <w:rPr>
          <w:sz w:val="28"/>
          <w:szCs w:val="28"/>
        </w:rPr>
        <w:t>2023年11月</w:t>
      </w:r>
      <w:r>
        <w:rPr>
          <w:rFonts w:hint="eastAsia"/>
          <w:sz w:val="28"/>
          <w:szCs w:val="28"/>
          <w:lang w:eastAsia="zh-CN"/>
        </w:rPr>
        <w:t>）</w:t>
      </w:r>
      <w:r>
        <w:rPr>
          <w:sz w:val="28"/>
          <w:szCs w:val="28"/>
        </w:rPr>
        <w:t>中的用地分类类别和代号。本规划用地性质一般划分至二级类，公共</w:t>
      </w:r>
      <w:r>
        <w:rPr>
          <w:rFonts w:hint="eastAsia"/>
          <w:sz w:val="28"/>
          <w:szCs w:val="28"/>
          <w:lang w:val="en-US" w:eastAsia="zh-CN"/>
        </w:rPr>
        <w:t>管理与公共</w:t>
      </w:r>
      <w:r>
        <w:rPr>
          <w:sz w:val="28"/>
          <w:szCs w:val="28"/>
        </w:rPr>
        <w:t>服务</w:t>
      </w:r>
      <w:r>
        <w:rPr>
          <w:rFonts w:hint="eastAsia"/>
          <w:sz w:val="28"/>
          <w:szCs w:val="28"/>
          <w:lang w:val="en-US" w:eastAsia="zh-CN"/>
        </w:rPr>
        <w:t>用地</w:t>
      </w:r>
      <w:r>
        <w:rPr>
          <w:sz w:val="28"/>
          <w:szCs w:val="28"/>
        </w:rPr>
        <w:t>划分至三级类。</w:t>
      </w:r>
    </w:p>
    <w:p w14:paraId="3DF92B3A">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建筑的改建、扩建和新建，其使用性质应同所在地块的土地使用性</w:t>
      </w:r>
      <w:bookmarkStart w:id="19" w:name="_GoBack"/>
      <w:bookmarkEnd w:id="19"/>
      <w:r>
        <w:rPr>
          <w:sz w:val="28"/>
          <w:szCs w:val="28"/>
        </w:rPr>
        <w:t>质相符。</w:t>
      </w:r>
    </w:p>
    <w:p w14:paraId="022CFF06">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各类用地适建范围按照《乐山市城市规划管理技术规定（2022版）》相关内容执行。</w:t>
      </w:r>
    </w:p>
    <w:p w14:paraId="0421E3D4">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三、地块控制指标</w:t>
      </w:r>
    </w:p>
    <w:p w14:paraId="2DF9A5BD">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eastAsia" w:eastAsia="仿宋_GB2312"/>
          <w:sz w:val="28"/>
          <w:szCs w:val="28"/>
          <w:lang w:eastAsia="zh-CN"/>
        </w:rPr>
      </w:pPr>
      <w:r>
        <w:rPr>
          <w:sz w:val="28"/>
          <w:szCs w:val="28"/>
        </w:rPr>
        <w:t>地块控制指标包括基础性指标、强制性指标以及引导性指标。其中基础性指标包括地块代码、地块性质、地块面积等；强制性指标包括容积率、建筑密度、绿地率、建筑限高、机动车出入口方位、停车泊位数、配套服务设施等</w:t>
      </w:r>
      <w:r>
        <w:rPr>
          <w:rFonts w:hint="eastAsia"/>
          <w:sz w:val="28"/>
          <w:szCs w:val="28"/>
          <w:lang w:eastAsia="zh-CN"/>
        </w:rPr>
        <w:t>。</w:t>
      </w:r>
    </w:p>
    <w:p w14:paraId="5EF0F9A0">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四、 建设强度</w:t>
      </w:r>
    </w:p>
    <w:p w14:paraId="7BCC57F6">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rFonts w:hint="eastAsia"/>
          <w:sz w:val="28"/>
          <w:szCs w:val="28"/>
          <w:lang w:eastAsia="zh-CN"/>
        </w:rPr>
        <w:t>1.</w:t>
      </w:r>
      <w:r>
        <w:rPr>
          <w:sz w:val="28"/>
          <w:szCs w:val="28"/>
        </w:rPr>
        <w:t>土地开发强度控制</w:t>
      </w:r>
    </w:p>
    <w:p w14:paraId="5D4D43C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在土地开发强度上针对不同区域和用地类型，容积率、建筑高度和建筑密度实行上限控制。建筑高度控制除了按照规划图则相关内容执行外，还应同时满足其他专项规划、</w:t>
      </w:r>
      <w:r>
        <w:rPr>
          <w:rFonts w:hint="eastAsia"/>
          <w:sz w:val="28"/>
          <w:szCs w:val="28"/>
          <w:lang w:val="en-US" w:eastAsia="zh-CN"/>
        </w:rPr>
        <w:t>民航空廊</w:t>
      </w:r>
      <w:r>
        <w:rPr>
          <w:sz w:val="28"/>
          <w:szCs w:val="28"/>
        </w:rPr>
        <w:t>等的管理控制要求。</w:t>
      </w:r>
    </w:p>
    <w:p w14:paraId="795D5E79">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rFonts w:hint="eastAsia"/>
          <w:sz w:val="28"/>
          <w:szCs w:val="28"/>
          <w:lang w:eastAsia="zh-CN"/>
        </w:rPr>
        <w:t>2.</w:t>
      </w:r>
      <w:r>
        <w:rPr>
          <w:sz w:val="28"/>
          <w:szCs w:val="28"/>
        </w:rPr>
        <w:t>绿地率</w:t>
      </w:r>
    </w:p>
    <w:p w14:paraId="388D2F99">
      <w:pPr>
        <w:pStyle w:val="7"/>
        <w:keepNext w:val="0"/>
        <w:keepLines w:val="0"/>
        <w:pageBreakBefore w:val="0"/>
        <w:widowControl w:val="0"/>
        <w:kinsoku/>
        <w:wordWrap/>
        <w:overflowPunct/>
        <w:topLinePunct w:val="0"/>
        <w:autoSpaceDE w:val="0"/>
        <w:autoSpaceDN w:val="0"/>
        <w:bidi w:val="0"/>
        <w:adjustRightInd w:val="0"/>
        <w:snapToGrid/>
        <w:spacing w:line="600" w:lineRule="exact"/>
        <w:ind w:left="440" w:leftChars="200" w:firstLine="280" w:firstLineChars="100"/>
        <w:textAlignment w:val="auto"/>
        <w:rPr>
          <w:sz w:val="28"/>
          <w:szCs w:val="28"/>
        </w:rPr>
      </w:pPr>
      <w:r>
        <w:rPr>
          <w:sz w:val="28"/>
          <w:szCs w:val="28"/>
        </w:rPr>
        <w:t>规划区各地块绿地率指标均为下限值，即必须保证地块的绿地率下限，可</w:t>
      </w:r>
    </w:p>
    <w:p w14:paraId="18A0952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0" w:firstLineChars="0"/>
        <w:textAlignment w:val="auto"/>
        <w:rPr>
          <w:rFonts w:hint="default"/>
          <w:sz w:val="28"/>
          <w:szCs w:val="28"/>
        </w:rPr>
      </w:pPr>
      <w:r>
        <w:rPr>
          <w:sz w:val="28"/>
          <w:szCs w:val="28"/>
        </w:rPr>
        <w:t>通过制定政策，鼓励产权单位提高其用地的绿地率。</w:t>
      </w:r>
    </w:p>
    <w:p w14:paraId="3C629671">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地块具体指标可根据建设强度和建筑高度控制要求，在不突破单元约束性要求和总规模控制的前提下，经评估论证后优化确定。</w:t>
      </w:r>
    </w:p>
    <w:p w14:paraId="5193F1C4">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五、 空间组合</w:t>
      </w:r>
    </w:p>
    <w:p w14:paraId="4052717F">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rFonts w:hint="default"/>
          <w:sz w:val="28"/>
          <w:szCs w:val="28"/>
        </w:rPr>
      </w:pPr>
      <w:r>
        <w:rPr>
          <w:sz w:val="28"/>
          <w:szCs w:val="28"/>
        </w:rPr>
        <w:t>建筑间距、建筑退让均按照《乐山市城市规划管理技术规定》的相关内容执行。</w:t>
      </w:r>
    </w:p>
    <w:p w14:paraId="551EE6DC">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562" w:firstLineChars="200"/>
        <w:jc w:val="both"/>
        <w:textAlignment w:val="auto"/>
        <w:rPr>
          <w:rFonts w:hint="default"/>
          <w:sz w:val="28"/>
          <w:szCs w:val="28"/>
        </w:rPr>
      </w:pPr>
      <w:r>
        <w:rPr>
          <w:sz w:val="28"/>
          <w:szCs w:val="28"/>
        </w:rPr>
        <w:t>六、 现状建设管控</w:t>
      </w:r>
    </w:p>
    <w:p w14:paraId="65B08082">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r>
        <w:rPr>
          <w:sz w:val="28"/>
          <w:szCs w:val="28"/>
        </w:rPr>
        <w:t>现状已批和已建项目，其用地性质与规划相符的，可维持其土地用途及开发指标；与规划不符的，应根据规划实施推进情况，对这部分土地进行再次收储，重新按规划要求进行供地和建设。</w:t>
      </w:r>
    </w:p>
    <w:p w14:paraId="687570D5">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560" w:firstLineChars="200"/>
        <w:textAlignment w:val="auto"/>
        <w:rPr>
          <w:sz w:val="28"/>
          <w:szCs w:val="28"/>
        </w:rPr>
      </w:pPr>
    </w:p>
    <w:p w14:paraId="2BC08FF7">
      <w:pPr>
        <w:pStyle w:val="7"/>
        <w:spacing w:line="600" w:lineRule="exact"/>
        <w:ind w:left="0" w:firstLine="560" w:firstLineChars="200"/>
        <w:rPr>
          <w:sz w:val="28"/>
          <w:szCs w:val="28"/>
        </w:rPr>
      </w:pPr>
    </w:p>
    <w:p w14:paraId="11D8761F">
      <w:pPr>
        <w:pStyle w:val="7"/>
        <w:spacing w:line="600" w:lineRule="exact"/>
        <w:ind w:left="0" w:firstLine="560" w:firstLineChars="200"/>
        <w:rPr>
          <w:sz w:val="28"/>
          <w:szCs w:val="28"/>
        </w:rPr>
      </w:pPr>
    </w:p>
    <w:p w14:paraId="385579A3">
      <w:pPr>
        <w:pStyle w:val="7"/>
        <w:spacing w:line="600" w:lineRule="exact"/>
        <w:ind w:left="0" w:firstLine="560" w:firstLineChars="200"/>
        <w:rPr>
          <w:sz w:val="28"/>
          <w:szCs w:val="28"/>
        </w:rPr>
      </w:pPr>
    </w:p>
    <w:p w14:paraId="70BDCADF">
      <w:pPr>
        <w:pStyle w:val="7"/>
        <w:spacing w:line="600" w:lineRule="exact"/>
        <w:ind w:left="0" w:firstLine="560" w:firstLineChars="200"/>
        <w:rPr>
          <w:sz w:val="28"/>
          <w:szCs w:val="28"/>
        </w:rPr>
      </w:pPr>
    </w:p>
    <w:p w14:paraId="7CDA5F82">
      <w:pPr>
        <w:pStyle w:val="7"/>
        <w:spacing w:line="600" w:lineRule="exact"/>
        <w:ind w:left="0" w:firstLine="560" w:firstLineChars="200"/>
        <w:rPr>
          <w:sz w:val="28"/>
          <w:szCs w:val="28"/>
        </w:rPr>
      </w:pPr>
    </w:p>
    <w:p w14:paraId="51F5EC5E">
      <w:pPr>
        <w:pStyle w:val="7"/>
        <w:spacing w:line="600" w:lineRule="exact"/>
        <w:ind w:left="0" w:firstLine="560" w:firstLineChars="200"/>
        <w:rPr>
          <w:sz w:val="28"/>
          <w:szCs w:val="28"/>
        </w:rPr>
      </w:pPr>
    </w:p>
    <w:p w14:paraId="7D4C5CAF">
      <w:pPr>
        <w:pStyle w:val="7"/>
        <w:spacing w:line="600" w:lineRule="exact"/>
        <w:ind w:left="0" w:firstLine="560" w:firstLineChars="200"/>
        <w:rPr>
          <w:sz w:val="28"/>
          <w:szCs w:val="28"/>
        </w:rPr>
      </w:pPr>
    </w:p>
    <w:p w14:paraId="51023917">
      <w:pPr>
        <w:pStyle w:val="7"/>
        <w:spacing w:line="600" w:lineRule="exact"/>
        <w:ind w:left="0" w:firstLine="560" w:firstLineChars="200"/>
        <w:rPr>
          <w:sz w:val="28"/>
          <w:szCs w:val="28"/>
        </w:rPr>
      </w:pPr>
    </w:p>
    <w:p w14:paraId="0DF71818">
      <w:pPr>
        <w:pStyle w:val="7"/>
        <w:spacing w:line="600" w:lineRule="exact"/>
        <w:ind w:left="0" w:firstLine="560" w:firstLineChars="200"/>
        <w:rPr>
          <w:sz w:val="28"/>
          <w:szCs w:val="28"/>
        </w:rPr>
      </w:pPr>
    </w:p>
    <w:p w14:paraId="6BC20DC0">
      <w:pPr>
        <w:pStyle w:val="7"/>
        <w:spacing w:line="600" w:lineRule="exact"/>
        <w:ind w:left="0" w:firstLine="560" w:firstLineChars="200"/>
        <w:rPr>
          <w:sz w:val="28"/>
          <w:szCs w:val="28"/>
        </w:rPr>
      </w:pPr>
    </w:p>
    <w:p w14:paraId="32B2DADD">
      <w:pPr>
        <w:pStyle w:val="7"/>
        <w:spacing w:line="600" w:lineRule="exact"/>
        <w:ind w:left="0" w:firstLine="552" w:firstLineChars="200"/>
        <w:rPr>
          <w:rFonts w:hint="default"/>
          <w:spacing w:val="-2"/>
          <w:sz w:val="28"/>
          <w:szCs w:val="28"/>
        </w:rPr>
      </w:pPr>
    </w:p>
    <w:p w14:paraId="40CEE384">
      <w:pPr>
        <w:pStyle w:val="2"/>
        <w:numPr>
          <w:ilvl w:val="0"/>
          <w:numId w:val="2"/>
        </w:numPr>
        <w:spacing w:after="120" w:line="600" w:lineRule="exact"/>
        <w:rPr>
          <w:color w:val="auto"/>
        </w:rPr>
      </w:pPr>
      <w:bookmarkStart w:id="16" w:name="_bookmark44"/>
      <w:bookmarkEnd w:id="16"/>
      <w:bookmarkStart w:id="17" w:name="_Toc241000221"/>
      <w:r>
        <w:rPr>
          <w:color w:val="auto"/>
        </w:rPr>
        <w:t>实施措施</w:t>
      </w:r>
      <w:bookmarkEnd w:id="17"/>
    </w:p>
    <w:p w14:paraId="4F92DDAF">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sz w:val="32"/>
          <w:szCs w:val="32"/>
        </w:rPr>
      </w:pPr>
      <w:r>
        <w:rPr>
          <w:sz w:val="32"/>
          <w:szCs w:val="32"/>
        </w:rPr>
        <w:t>一、组织保障</w:t>
      </w:r>
    </w:p>
    <w:p w14:paraId="3B846E1B">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建立实施详细规划的工作机制和工作规程，明确详细规划各实施主体和行业部门责任分工，保障规划实施人才队伍建设，建立区、镇（乡）联动的规划督察员工作机制，加强对规划编制、审批、实施、修改全过程的督察。建立包含土地管理、城乡规划等领域的专家库，健全国土空间规划专家智库咨询论证制度。</w:t>
      </w:r>
    </w:p>
    <w:p w14:paraId="28292E2A">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sz w:val="32"/>
          <w:szCs w:val="32"/>
        </w:rPr>
      </w:pPr>
      <w:r>
        <w:rPr>
          <w:sz w:val="32"/>
          <w:szCs w:val="32"/>
        </w:rPr>
        <w:t>二、政策配套</w:t>
      </w:r>
    </w:p>
    <w:p w14:paraId="1258B4FC">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完善规划法规、技术标准和规范，把公众参与、专家论证、风险评估等纳入规划决策的法定程序。</w:t>
      </w:r>
    </w:p>
    <w:p w14:paraId="2B0C7FC7">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建立健全自然资源调查监测和确权登记制度，加快完善各类自然资源调查标准、坐标体系、空间数据、技术规范，建立自然资源调查监测体系，夯实自然资源统一管理的基础。</w:t>
      </w:r>
    </w:p>
    <w:p w14:paraId="0A061F41">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sz w:val="32"/>
          <w:szCs w:val="32"/>
        </w:rPr>
      </w:pPr>
      <w:r>
        <w:rPr>
          <w:sz w:val="32"/>
          <w:szCs w:val="32"/>
        </w:rPr>
        <w:t>三、实施监督</w:t>
      </w:r>
    </w:p>
    <w:p w14:paraId="77F0CF7D">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建立规划实施动态监测、定期评估和及时维护制度，</w:t>
      </w:r>
    </w:p>
    <w:p w14:paraId="465A47AF">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对详细规划中确定的各项指标进行实时监测，采取完善规划实施机制、优化调整近期建设规划和年度实施计划等方式，及时调整相关实施策略，开展规划动态维护。</w:t>
      </w:r>
    </w:p>
    <w:p w14:paraId="12E15311">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依法批准后的详细规划必须严格执行，</w:t>
      </w:r>
      <w:r>
        <w:rPr>
          <w:rFonts w:hint="eastAsia"/>
          <w:sz w:val="32"/>
          <w:szCs w:val="32"/>
          <w:lang w:eastAsia="zh-CN"/>
        </w:rPr>
        <w:t>绝不允许</w:t>
      </w:r>
      <w:r>
        <w:rPr>
          <w:sz w:val="32"/>
          <w:szCs w:val="32"/>
        </w:rPr>
        <w:t>任何部门和个人随意修改、违规变更。依据规划任务分工实施方案，加强对规划强制性内容实施的督导和考核。充分发挥人大、政协对规划实施的监督作用。加强国土空间管理综合执法和社会参与机制建设，综合运用卫片监测等信息化手段，强化规划执行监督检查和建设项目竣工核查，及时制止、纠正和严肃依法查处违法违规行为。</w:t>
      </w:r>
    </w:p>
    <w:p w14:paraId="56231124">
      <w:pPr>
        <w:pStyle w:val="3"/>
        <w:keepNext w:val="0"/>
        <w:keepLines w:val="0"/>
        <w:pageBreakBefore w:val="0"/>
        <w:widowControl w:val="0"/>
        <w:kinsoku/>
        <w:wordWrap/>
        <w:overflowPunct/>
        <w:topLinePunct w:val="0"/>
        <w:autoSpaceDE w:val="0"/>
        <w:autoSpaceDN w:val="0"/>
        <w:bidi w:val="0"/>
        <w:adjustRightInd w:val="0"/>
        <w:snapToGrid/>
        <w:spacing w:line="600" w:lineRule="exact"/>
        <w:ind w:left="0" w:firstLine="643" w:firstLineChars="200"/>
        <w:jc w:val="both"/>
        <w:textAlignment w:val="auto"/>
        <w:rPr>
          <w:sz w:val="32"/>
          <w:szCs w:val="32"/>
        </w:rPr>
      </w:pPr>
      <w:r>
        <w:rPr>
          <w:sz w:val="32"/>
          <w:szCs w:val="32"/>
        </w:rPr>
        <w:t>四、规划修改</w:t>
      </w:r>
    </w:p>
    <w:p w14:paraId="27C894B4">
      <w:pPr>
        <w:pStyle w:val="7"/>
        <w:keepNext w:val="0"/>
        <w:keepLines w:val="0"/>
        <w:pageBreakBefore w:val="0"/>
        <w:widowControl w:val="0"/>
        <w:kinsoku/>
        <w:wordWrap/>
        <w:overflowPunct/>
        <w:topLinePunct w:val="0"/>
        <w:autoSpaceDE w:val="0"/>
        <w:autoSpaceDN w:val="0"/>
        <w:bidi w:val="0"/>
        <w:adjustRightInd w:val="0"/>
        <w:snapToGrid/>
        <w:spacing w:line="600" w:lineRule="exact"/>
        <w:ind w:left="0" w:firstLine="640" w:firstLineChars="200"/>
        <w:textAlignment w:val="auto"/>
        <w:rPr>
          <w:sz w:val="32"/>
          <w:szCs w:val="32"/>
        </w:rPr>
      </w:pPr>
      <w:r>
        <w:rPr>
          <w:sz w:val="32"/>
          <w:szCs w:val="32"/>
        </w:rPr>
        <w:t>本规划经批准后必须严格执行，任何部门和个人不得随意修改、违规变更。因国家重大战略调整、上位规划调整、重大项目建设或行政区划调整等确需修改规划的，应按规定程序报批。对规划实施过程中的违规违纪违法行为，依法依规严肃追究责任。</w:t>
      </w:r>
    </w:p>
    <w:p w14:paraId="556DFF07">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ascii="Times New Roman" w:eastAsia="宋体"/>
          <w:color w:val="FF0000"/>
          <w:sz w:val="32"/>
          <w:szCs w:val="32"/>
        </w:rPr>
      </w:pPr>
      <w:r>
        <w:rPr>
          <w:color w:val="FF0000"/>
          <w:sz w:val="32"/>
          <w:szCs w:val="32"/>
        </w:rPr>
        <w:t xml:space="preserve"> </w:t>
      </w:r>
    </w:p>
    <w:p w14:paraId="6A0806FC">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color w:val="FF0000"/>
          <w:sz w:val="32"/>
          <w:szCs w:val="32"/>
        </w:rPr>
      </w:pPr>
      <w:r>
        <w:rPr>
          <w:color w:val="FF0000"/>
          <w:sz w:val="32"/>
          <w:szCs w:val="32"/>
        </w:rPr>
        <w:t xml:space="preserve"> </w:t>
      </w:r>
    </w:p>
    <w:p w14:paraId="661A6ADD">
      <w:pPr>
        <w:pStyle w:val="2"/>
        <w:spacing w:after="120"/>
        <w:rPr>
          <w:rFonts w:hint="default"/>
          <w:sz w:val="22"/>
          <w:szCs w:val="22"/>
        </w:rPr>
      </w:pPr>
      <w:bookmarkStart w:id="18" w:name="_bookmark45"/>
      <w:bookmarkEnd w:id="18"/>
    </w:p>
    <w:sectPr>
      <w:footerReference r:id="rId8" w:type="default"/>
      <w:pgSz w:w="23808" w:h="16840" w:orient="landscape"/>
      <w:pgMar w:top="1418" w:right="1701" w:bottom="1418" w:left="1701" w:header="567" w:footer="567" w:gutter="0"/>
      <w:cols w:space="550" w:num="2"/>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07AB">
    <w:pPr>
      <w:pStyle w:val="12"/>
      <w:jc w:val="center"/>
      <w:rPr>
        <w:rFonts w:hint="default"/>
      </w:rPr>
    </w:pPr>
  </w:p>
  <w:p w14:paraId="565E4ECB">
    <w:pPr>
      <w:pStyle w:val="12"/>
      <w:rPr>
        <w:rFonts w:hint="defau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A8F29">
    <w:pPr>
      <w:pStyle w:val="12"/>
      <w:jc w:val="center"/>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8555E">
    <w:pPr>
      <w:pStyle w:val="12"/>
      <w:jc w:val="center"/>
      <w:rPr>
        <w:rFonts w:hint="default"/>
      </w:rPr>
    </w:pPr>
    <w:r>
      <w:rPr>
        <w:rFonts w:hint="default"/>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7331E24">
                          <w:pPr>
                            <w:pStyle w:val="12"/>
                            <w:jc w:val="center"/>
                            <w:rPr>
                              <w:rFonts w:hint="default"/>
                            </w:rPr>
                          </w:pPr>
                          <w:r>
                            <w:fldChar w:fldCharType="begin"/>
                          </w:r>
                          <w:r>
                            <w:instrText xml:space="preserve">PAGE   \* MERGEFORMAT</w:instrText>
                          </w:r>
                          <w:r>
                            <w:fldChar w:fldCharType="separate"/>
                          </w:r>
                          <w:r>
                            <w:rPr>
                              <w:lang w:val="zh-CN"/>
                            </w:rPr>
                            <w:t>2</w:t>
                          </w:r>
                          <w:r>
                            <w:rPr>
                              <w:lang w:val="zh-CN"/>
                            </w:rPr>
                            <w:fldChar w:fldCharType="end"/>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OqXm5zwAAAAUBAAAPAAAA&#10;AAAAAAEAIAAAACIAAABkcnMvZG93bnJldi54bWxQSwECFAAUAAAACACHTuJAgNsmkuUBAADJAwAA&#10;DgAAAAAAAAABACAAAAAeAQAAZHJzL2Uyb0RvYy54bWxQSwUGAAAAAAYABgBZAQAAdQUAAAAA&#10;">
              <v:fill on="f" focussize="0,0"/>
              <v:stroke on="f"/>
              <v:imagedata o:title=""/>
              <o:lock v:ext="edit" aspectratio="f"/>
              <v:textbox inset="0mm,0mm,0mm,0mm" style="mso-fit-shape-to-text:t;">
                <w:txbxContent>
                  <w:p w14:paraId="07331E24">
                    <w:pPr>
                      <w:pStyle w:val="12"/>
                      <w:jc w:val="center"/>
                      <w:rPr>
                        <w:rFonts w:hint="default"/>
                      </w:rPr>
                    </w:pPr>
                    <w:r>
                      <w:fldChar w:fldCharType="begin"/>
                    </w:r>
                    <w:r>
                      <w:instrText xml:space="preserve">PAGE   \* MERGEFORMAT</w:instrText>
                    </w:r>
                    <w:r>
                      <w:fldChar w:fldCharType="separate"/>
                    </w:r>
                    <w:r>
                      <w:rPr>
                        <w:lang w:val="zh-CN"/>
                      </w:rPr>
                      <w:t>2</w:t>
                    </w:r>
                    <w:r>
                      <w:rPr>
                        <w:lang w:val="zh-CN"/>
                      </w:rPr>
                      <w:fldChar w:fldCharType="end"/>
                    </w:r>
                  </w:p>
                </w:txbxContent>
              </v:textbox>
            </v:shape>
          </w:pict>
        </mc:Fallback>
      </mc:AlternateContent>
    </w:r>
  </w:p>
  <w:p w14:paraId="6BA963E8">
    <w:pPr>
      <w:pStyle w:val="12"/>
      <w:rPr>
        <w:rFonts w:hint="defaul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8A81C">
    <w:pPr>
      <w:pStyle w:val="12"/>
      <w:jc w:val="center"/>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3BB425C">
                          <w:pPr>
                            <w:pStyle w:val="12"/>
                            <w:rPr>
                              <w:rFonts w:hint="default"/>
                            </w:rPr>
                          </w:pPr>
                          <w:r>
                            <w:fldChar w:fldCharType="begin"/>
                          </w:r>
                          <w:r>
                            <w:instrText xml:space="preserve"> PAGE  \* MERGEFORMAT </w:instrText>
                          </w:r>
                          <w:r>
                            <w:fldChar w:fldCharType="separate"/>
                          </w:r>
                          <w:r>
                            <w:rPr>
                              <w:rFonts w:hint="default"/>
                            </w:rPr>
                            <w:t>1</w:t>
                          </w:r>
                          <w:r>
                            <w:fldChar w:fldCharType="end"/>
                          </w:r>
                        </w:p>
                      </w:txbxContent>
                    </wps:txbx>
                    <wps:bodyPr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MbH0m7mAQAAyQMA&#10;AA4AAAAAAAAAAQAgAAAAHgEAAGRycy9lMm9Eb2MueG1sUEsFBgAAAAAGAAYAWQEAAHYFAAAAAA==&#10;">
              <v:fill on="f" focussize="0,0"/>
              <v:stroke on="f"/>
              <v:imagedata o:title=""/>
              <o:lock v:ext="edit" aspectratio="f"/>
              <v:textbox inset="0mm,0mm,0mm,0mm" style="mso-fit-shape-to-text:t;">
                <w:txbxContent>
                  <w:p w14:paraId="73BB425C">
                    <w:pPr>
                      <w:pStyle w:val="12"/>
                      <w:rPr>
                        <w:rFonts w:hint="default"/>
                      </w:rPr>
                    </w:pPr>
                    <w:r>
                      <w:fldChar w:fldCharType="begin"/>
                    </w:r>
                    <w:r>
                      <w:instrText xml:space="preserve"> PAGE  \* MERGEFORMAT </w:instrText>
                    </w:r>
                    <w:r>
                      <w:fldChar w:fldCharType="separate"/>
                    </w:r>
                    <w:r>
                      <w:rPr>
                        <w:rFonts w:hint="default"/>
                      </w:rP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6529F">
    <w:pPr>
      <w:pStyle w:val="12"/>
      <w:jc w:val="center"/>
      <w:rPr>
        <w:rFonts w:hint="default"/>
      </w:rPr>
    </w:pPr>
    <w:r>
      <w:rPr>
        <w:rFonts w:hint="default"/>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27A344AE">
                          <w:pPr>
                            <w:pStyle w:val="12"/>
                            <w:jc w:val="center"/>
                            <w:rPr>
                              <w:rFonts w:hint="default"/>
                            </w:rPr>
                          </w:pPr>
                          <w:r>
                            <w:fldChar w:fldCharType="begin"/>
                          </w:r>
                          <w:r>
                            <w:instrText xml:space="preserve">PAGE   \* MERGEFORMAT</w:instrText>
                          </w:r>
                          <w:r>
                            <w:fldChar w:fldCharType="separate"/>
                          </w:r>
                          <w:r>
                            <w:rPr>
                              <w:rFonts w:hint="default"/>
                              <w:lang w:val="zh-CN"/>
                            </w:rPr>
                            <w:t>3</w:t>
                          </w:r>
                          <w:r>
                            <w:rPr>
                              <w:lang w:val="zh-CN"/>
                            </w:rPr>
                            <w:fldChar w:fldCharType="end"/>
                          </w:r>
                        </w:p>
                      </w:txbxContent>
                    </wps:txbx>
                    <wps:bodyPr vert="horz" wrap="none" lIns="0" tIns="0" rIns="0" bIns="0" anchor="t" anchorCtr="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I1M7wzmAQAAyQMA&#10;AA4AAAAAAAAAAQAgAAAAHgEAAGRycy9lMm9Eb2MueG1sUEsFBgAAAAAGAAYAWQEAAHYFAAAAAA==&#10;">
              <v:fill on="f" focussize="0,0"/>
              <v:stroke on="f"/>
              <v:imagedata o:title=""/>
              <o:lock v:ext="edit" aspectratio="f"/>
              <v:textbox inset="0mm,0mm,0mm,0mm" style="mso-fit-shape-to-text:t;">
                <w:txbxContent>
                  <w:p w14:paraId="27A344AE">
                    <w:pPr>
                      <w:pStyle w:val="12"/>
                      <w:jc w:val="center"/>
                      <w:rPr>
                        <w:rFonts w:hint="default"/>
                      </w:rPr>
                    </w:pPr>
                    <w:r>
                      <w:fldChar w:fldCharType="begin"/>
                    </w:r>
                    <w:r>
                      <w:instrText xml:space="preserve">PAGE   \* MERGEFORMAT</w:instrText>
                    </w:r>
                    <w:r>
                      <w:fldChar w:fldCharType="separate"/>
                    </w:r>
                    <w:r>
                      <w:rPr>
                        <w:rFonts w:hint="default"/>
                        <w:lang w:val="zh-CN"/>
                      </w:rPr>
                      <w:t>3</w:t>
                    </w:r>
                    <w:r>
                      <w:rPr>
                        <w:lang w:val="zh-CN"/>
                      </w:rPr>
                      <w:fldChar w:fldCharType="end"/>
                    </w:r>
                  </w:p>
                </w:txbxContent>
              </v:textbox>
            </v:shape>
          </w:pict>
        </mc:Fallback>
      </mc:AlternateContent>
    </w:r>
  </w:p>
  <w:p w14:paraId="24BF2612">
    <w:pPr>
      <w:pStyle w:val="12"/>
      <w:rPr>
        <w:rFonts w:hint="default"/>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05891">
    <w:pPr>
      <w:pStyle w:val="13"/>
      <w:pBdr>
        <w:bottom w:val="single" w:color="auto" w:sz="4" w:space="0"/>
      </w:pBdr>
      <w:jc w:val="right"/>
      <w:rPr>
        <w:rFonts w:hint="default" w:ascii="宋体" w:hAnsi="宋体" w:eastAsia="宋体"/>
        <w:sz w:val="22"/>
        <w:szCs w:val="22"/>
      </w:rPr>
    </w:pPr>
    <w:r>
      <w:rPr>
        <w:rFonts w:ascii="宋体" w:hAnsi="宋体" w:eastAsia="宋体"/>
        <w:sz w:val="24"/>
        <w:szCs w:val="24"/>
      </w:rPr>
      <w:t xml:space="preserve">沐川县中心城区老城详规单元511129-001-005街区详细规划·说明书                                                                                                           </w:t>
    </w:r>
    <w:r>
      <w:rPr>
        <w:rFonts w:ascii="宋体" w:hAnsi="宋体" w:eastAsia="宋体"/>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5FDF6F"/>
    <w:multiLevelType w:val="multilevel"/>
    <w:tmpl w:val="DF5FDF6F"/>
    <w:lvl w:ilvl="0" w:tentative="0">
      <w:start w:val="1"/>
      <w:numFmt w:val="decimal"/>
      <w:pStyle w:val="25"/>
      <w:suff w:val="nothing"/>
      <w:lvlText w:val="%1."/>
      <w:lvlJc w:val="left"/>
      <w:rPr>
        <w:rFonts w:hint="default" w:ascii="仿宋_GB2312" w:eastAsia="仿宋_GB2312" w:cs="仿宋_GB2312"/>
        <w:sz w:val="30"/>
        <w:szCs w:val="30"/>
        <w:u w:val="none"/>
      </w:rPr>
    </w:lvl>
    <w:lvl w:ilvl="1" w:tentative="0">
      <w:start w:val="0"/>
      <w:numFmt w:val="bullet"/>
      <w:lvlText w:val="•"/>
      <w:lvlJc w:val="left"/>
      <w:pPr>
        <w:tabs>
          <w:tab w:val="left" w:pos="113"/>
        </w:tabs>
      </w:pPr>
      <w:rPr>
        <w:rFonts w:hint="default"/>
        <w:u w:val="none"/>
      </w:rPr>
    </w:lvl>
    <w:lvl w:ilvl="2" w:tentative="0">
      <w:start w:val="0"/>
      <w:numFmt w:val="bullet"/>
      <w:lvlText w:val="•"/>
      <w:lvlJc w:val="left"/>
      <w:pPr>
        <w:tabs>
          <w:tab w:val="left" w:pos="113"/>
        </w:tabs>
      </w:pPr>
      <w:rPr>
        <w:rFonts w:hint="default"/>
        <w:u w:val="none"/>
      </w:rPr>
    </w:lvl>
    <w:lvl w:ilvl="3" w:tentative="0">
      <w:start w:val="0"/>
      <w:numFmt w:val="bullet"/>
      <w:lvlText w:val="•"/>
      <w:lvlJc w:val="left"/>
      <w:pPr>
        <w:tabs>
          <w:tab w:val="left" w:pos="113"/>
        </w:tabs>
      </w:pPr>
      <w:rPr>
        <w:rFonts w:hint="default"/>
        <w:u w:val="none"/>
      </w:rPr>
    </w:lvl>
    <w:lvl w:ilvl="4" w:tentative="0">
      <w:start w:val="0"/>
      <w:numFmt w:val="bullet"/>
      <w:lvlText w:val="•"/>
      <w:lvlJc w:val="left"/>
      <w:pPr>
        <w:tabs>
          <w:tab w:val="left" w:pos="113"/>
        </w:tabs>
      </w:pPr>
      <w:rPr>
        <w:rFonts w:hint="default"/>
        <w:u w:val="none"/>
      </w:rPr>
    </w:lvl>
    <w:lvl w:ilvl="5" w:tentative="0">
      <w:start w:val="0"/>
      <w:numFmt w:val="bullet"/>
      <w:lvlText w:val="•"/>
      <w:lvlJc w:val="left"/>
      <w:pPr>
        <w:tabs>
          <w:tab w:val="left" w:pos="113"/>
        </w:tabs>
      </w:pPr>
      <w:rPr>
        <w:rFonts w:hint="default"/>
        <w:u w:val="none"/>
      </w:rPr>
    </w:lvl>
    <w:lvl w:ilvl="6" w:tentative="0">
      <w:start w:val="0"/>
      <w:numFmt w:val="bullet"/>
      <w:lvlText w:val="•"/>
      <w:lvlJc w:val="left"/>
      <w:pPr>
        <w:tabs>
          <w:tab w:val="left" w:pos="113"/>
        </w:tabs>
      </w:pPr>
      <w:rPr>
        <w:rFonts w:hint="default"/>
        <w:u w:val="none"/>
      </w:rPr>
    </w:lvl>
    <w:lvl w:ilvl="7" w:tentative="0">
      <w:start w:val="0"/>
      <w:numFmt w:val="bullet"/>
      <w:lvlText w:val="•"/>
      <w:lvlJc w:val="left"/>
      <w:pPr>
        <w:tabs>
          <w:tab w:val="left" w:pos="113"/>
        </w:tabs>
      </w:pPr>
      <w:rPr>
        <w:rFonts w:hint="default"/>
        <w:u w:val="none"/>
      </w:rPr>
    </w:lvl>
    <w:lvl w:ilvl="8" w:tentative="0">
      <w:start w:val="0"/>
      <w:numFmt w:val="bullet"/>
      <w:lvlText w:val="•"/>
      <w:lvlJc w:val="left"/>
      <w:pPr>
        <w:tabs>
          <w:tab w:val="left" w:pos="113"/>
        </w:tabs>
      </w:pPr>
      <w:rPr>
        <w:rFonts w:hint="default"/>
        <w:u w:val="none"/>
      </w:rPr>
    </w:lvl>
  </w:abstractNum>
  <w:abstractNum w:abstractNumId="1">
    <w:nsid w:val="4E1D6A17"/>
    <w:multiLevelType w:val="multilevel"/>
    <w:tmpl w:val="4E1D6A17"/>
    <w:lvl w:ilvl="0" w:tentative="0">
      <w:start w:val="1"/>
      <w:numFmt w:val="japaneseCounting"/>
      <w:lvlText w:val="第%1章"/>
      <w:lvlJc w:val="left"/>
      <w:pPr>
        <w:ind w:left="1308" w:hanging="1308"/>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documentProtection w:enforcement="0"/>
  <w:defaultTabStop w:val="720"/>
  <w:drawingGridHorizontalSpacing w:val="120"/>
  <w:drawingGridVerticalSpacing w:val="120"/>
  <w:doNotUseMarginsForDrawingGridOrigin w:val="1"/>
  <w:drawingGridHorizontalOrigin w:val="1800"/>
  <w:drawingGridVerticalOrigin w:val="1440"/>
  <w:doNotShadeFormData w:val="1"/>
  <w:noPunctuationKerning w:val="1"/>
  <w:characterSpacingControl w:val="doNotCompress"/>
  <w:doNotValidateAgainstSchema/>
  <w:doNotDemarcateInvalidXml/>
  <w:hdrShapeDefaults>
    <o:shapelayout v:ext="edit">
      <o:idmap v:ext="edit" data="2"/>
    </o:shapelayout>
  </w:hdrShapeDefaults>
  <w:compat>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51303"/>
    <w:rsid w:val="00172A27"/>
    <w:rsid w:val="002B1714"/>
    <w:rsid w:val="004177BC"/>
    <w:rsid w:val="005C64AD"/>
    <w:rsid w:val="00676E22"/>
    <w:rsid w:val="007022F2"/>
    <w:rsid w:val="007D1BF9"/>
    <w:rsid w:val="009F696D"/>
    <w:rsid w:val="00B00343"/>
    <w:rsid w:val="00BA73E5"/>
    <w:rsid w:val="00C71553"/>
    <w:rsid w:val="00D16845"/>
    <w:rsid w:val="00D171DC"/>
    <w:rsid w:val="00D61B48"/>
    <w:rsid w:val="00DB2078"/>
    <w:rsid w:val="00EB125E"/>
    <w:rsid w:val="013637D1"/>
    <w:rsid w:val="01536131"/>
    <w:rsid w:val="02775E4F"/>
    <w:rsid w:val="03261624"/>
    <w:rsid w:val="07320597"/>
    <w:rsid w:val="09C3084B"/>
    <w:rsid w:val="0B7F2855"/>
    <w:rsid w:val="0B8D0492"/>
    <w:rsid w:val="0F8120BC"/>
    <w:rsid w:val="12C66037"/>
    <w:rsid w:val="13390EFF"/>
    <w:rsid w:val="17657C3D"/>
    <w:rsid w:val="1D305121"/>
    <w:rsid w:val="1FAA7E50"/>
    <w:rsid w:val="20C53DD2"/>
    <w:rsid w:val="241A2687"/>
    <w:rsid w:val="24AE21E0"/>
    <w:rsid w:val="29471828"/>
    <w:rsid w:val="2DCF1834"/>
    <w:rsid w:val="35EA1EB9"/>
    <w:rsid w:val="368E4C10"/>
    <w:rsid w:val="37A16550"/>
    <w:rsid w:val="404623E2"/>
    <w:rsid w:val="40784565"/>
    <w:rsid w:val="41801923"/>
    <w:rsid w:val="43195B8C"/>
    <w:rsid w:val="4565363F"/>
    <w:rsid w:val="48087ABB"/>
    <w:rsid w:val="49644020"/>
    <w:rsid w:val="5861355C"/>
    <w:rsid w:val="59B63CDD"/>
    <w:rsid w:val="5A5A0B0C"/>
    <w:rsid w:val="5A8B33BB"/>
    <w:rsid w:val="5BB26B3C"/>
    <w:rsid w:val="63D062E3"/>
    <w:rsid w:val="680447AD"/>
    <w:rsid w:val="6C6D2921"/>
    <w:rsid w:val="6CEA3DAE"/>
    <w:rsid w:val="6FC767EC"/>
    <w:rsid w:val="758D193E"/>
    <w:rsid w:val="7B917CAE"/>
    <w:rsid w:val="7BC62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1" w:semiHidden="0" w:name="Normal"/>
    <w:lsdException w:qFormat="1" w:uiPriority="1" w:semiHidden="0" w:name="heading 1"/>
    <w:lsdException w:qFormat="1"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semiHidden="0"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iPriority="10" w:name="Title"/>
    <w:lsdException w:qFormat="1" w:uiPriority="99" w:name="Closing"/>
    <w:lsdException w:qFormat="1" w:uiPriority="99" w:name="Signature"/>
    <w:lsdException w:uiPriority="1" w:name="Default Paragraph Font"/>
    <w:lsdException w:qFormat="1" w:uiPriority="1" w:semiHidden="0" w:name="Body Text"/>
    <w:lsdException w:qFormat="1" w:uiPriority="99" w:semiHidden="0"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iPriority="11"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semiHidden="0" w:name="Hyperlink"/>
    <w:lsdException w:qFormat="1" w:uiPriority="99" w:name="FollowedHyperlink"/>
    <w:lsdException w:qFormat="1" w:uiPriority="22" w:name="Strong"/>
    <w:lsdException w:qFormat="1" w:uiPriority="20" w:name="Emphasis"/>
    <w:lsdException w:qFormat="1" w:uiPriority="99" w:name="Document Map"/>
    <w:lsdException w:qFormat="1" w:uiPriority="99" w:name="Plain Text"/>
    <w:lsdException w:qFormat="1" w:uiPriority="99" w:name="E-mail Signature"/>
    <w:lsdException w:qFormat="1" w:uiPriority="99" w:semiHidden="0"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1"/>
    <w:pPr>
      <w:widowControl w:val="0"/>
      <w:autoSpaceDE w:val="0"/>
      <w:autoSpaceDN w:val="0"/>
      <w:adjustRightInd w:val="0"/>
    </w:pPr>
    <w:rPr>
      <w:rFonts w:hint="eastAsia" w:ascii="仿宋_GB2312" w:hAnsi="Times New Roman" w:eastAsia="仿宋_GB2312" w:cs="仿宋_GB2312"/>
      <w:sz w:val="22"/>
      <w:szCs w:val="22"/>
      <w:lang w:val="en-US" w:eastAsia="zh-CN" w:bidi="ar-SA"/>
    </w:rPr>
  </w:style>
  <w:style w:type="paragraph" w:styleId="2">
    <w:name w:val="heading 1"/>
    <w:basedOn w:val="1"/>
    <w:link w:val="28"/>
    <w:unhideWhenUsed/>
    <w:qFormat/>
    <w:uiPriority w:val="1"/>
    <w:pPr>
      <w:tabs>
        <w:tab w:val="left" w:pos="723"/>
      </w:tabs>
      <w:kinsoku w:val="0"/>
      <w:overflowPunct w:val="0"/>
      <w:spacing w:before="49" w:afterLines="50" w:line="360" w:lineRule="auto"/>
      <w:jc w:val="center"/>
      <w:outlineLvl w:val="0"/>
    </w:pPr>
    <w:rPr>
      <w:rFonts w:ascii="黑体" w:hAnsi="黑体" w:eastAsia="黑体" w:cs="黑体"/>
      <w:b/>
      <w:color w:val="FF0000"/>
      <w:sz w:val="36"/>
      <w:szCs w:val="32"/>
    </w:rPr>
  </w:style>
  <w:style w:type="paragraph" w:styleId="3">
    <w:name w:val="heading 2"/>
    <w:basedOn w:val="1"/>
    <w:next w:val="1"/>
    <w:link w:val="29"/>
    <w:unhideWhenUsed/>
    <w:qFormat/>
    <w:uiPriority w:val="1"/>
    <w:pPr>
      <w:ind w:left="1005"/>
      <w:outlineLvl w:val="1"/>
    </w:pPr>
    <w:rPr>
      <w:b/>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sz w:val="32"/>
      <w:szCs w:val="32"/>
    </w:rPr>
  </w:style>
  <w:style w:type="character" w:default="1" w:styleId="21">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autoSpaceDE/>
      <w:autoSpaceDN/>
      <w:adjustRightInd/>
      <w:spacing w:after="160" w:line="278" w:lineRule="auto"/>
      <w:ind w:left="2520" w:leftChars="1200"/>
    </w:pPr>
    <w:rPr>
      <w:rFonts w:ascii="等线" w:hAnsi="等线" w:eastAsia="等线" w:cs="Times New Roman"/>
      <w:kern w:val="2"/>
      <w:szCs w:val="24"/>
    </w:rPr>
  </w:style>
  <w:style w:type="paragraph" w:styleId="6">
    <w:name w:val="annotation text"/>
    <w:basedOn w:val="1"/>
    <w:link w:val="37"/>
    <w:unhideWhenUsed/>
    <w:qFormat/>
    <w:uiPriority w:val="99"/>
    <w:pPr>
      <w:autoSpaceDE/>
      <w:autoSpaceDN/>
      <w:adjustRightInd/>
    </w:pPr>
    <w:rPr>
      <w:rFonts w:ascii="等线" w:hAnsi="等线" w:eastAsia="等线" w:cs="Times New Roman"/>
      <w:kern w:val="2"/>
      <w:sz w:val="21"/>
    </w:rPr>
  </w:style>
  <w:style w:type="paragraph" w:styleId="7">
    <w:name w:val="Body Text"/>
    <w:basedOn w:val="1"/>
    <w:link w:val="31"/>
    <w:unhideWhenUsed/>
    <w:qFormat/>
    <w:uiPriority w:val="1"/>
    <w:pPr>
      <w:ind w:left="360"/>
    </w:pPr>
    <w:rPr>
      <w:sz w:val="32"/>
      <w:szCs w:val="32"/>
    </w:rPr>
  </w:style>
  <w:style w:type="paragraph" w:styleId="8">
    <w:name w:val="Body Text Indent"/>
    <w:basedOn w:val="1"/>
    <w:link w:val="33"/>
    <w:unhideWhenUsed/>
    <w:qFormat/>
    <w:uiPriority w:val="99"/>
    <w:pPr>
      <w:spacing w:after="120"/>
      <w:ind w:left="420" w:leftChars="200"/>
    </w:pPr>
  </w:style>
  <w:style w:type="paragraph" w:styleId="9">
    <w:name w:val="toc 5"/>
    <w:basedOn w:val="1"/>
    <w:next w:val="1"/>
    <w:unhideWhenUsed/>
    <w:qFormat/>
    <w:uiPriority w:val="39"/>
    <w:pPr>
      <w:autoSpaceDE/>
      <w:autoSpaceDN/>
      <w:adjustRightInd/>
      <w:spacing w:after="160" w:line="278" w:lineRule="auto"/>
      <w:ind w:left="1680" w:leftChars="800"/>
    </w:pPr>
    <w:rPr>
      <w:rFonts w:ascii="等线" w:hAnsi="等线" w:eastAsia="等线" w:cs="Times New Roman"/>
      <w:kern w:val="2"/>
      <w:szCs w:val="24"/>
    </w:rPr>
  </w:style>
  <w:style w:type="paragraph" w:styleId="10">
    <w:name w:val="toc 3"/>
    <w:basedOn w:val="1"/>
    <w:next w:val="1"/>
    <w:unhideWhenUsed/>
    <w:qFormat/>
    <w:uiPriority w:val="39"/>
    <w:pPr>
      <w:autoSpaceDE/>
      <w:autoSpaceDN/>
      <w:adjustRightInd/>
      <w:spacing w:after="160" w:line="278" w:lineRule="auto"/>
      <w:ind w:left="840" w:leftChars="400"/>
    </w:pPr>
    <w:rPr>
      <w:rFonts w:ascii="等线" w:hAnsi="等线" w:eastAsia="等线" w:cs="Times New Roman"/>
      <w:kern w:val="2"/>
      <w:szCs w:val="24"/>
    </w:rPr>
  </w:style>
  <w:style w:type="paragraph" w:styleId="11">
    <w:name w:val="toc 8"/>
    <w:basedOn w:val="1"/>
    <w:next w:val="1"/>
    <w:unhideWhenUsed/>
    <w:qFormat/>
    <w:uiPriority w:val="39"/>
    <w:pPr>
      <w:autoSpaceDE/>
      <w:autoSpaceDN/>
      <w:adjustRightInd/>
      <w:spacing w:after="160" w:line="278" w:lineRule="auto"/>
      <w:ind w:left="2940" w:leftChars="1400"/>
    </w:pPr>
    <w:rPr>
      <w:rFonts w:ascii="等线" w:hAnsi="等线" w:eastAsia="等线" w:cs="Times New Roman"/>
      <w:kern w:val="2"/>
      <w:szCs w:val="24"/>
    </w:rPr>
  </w:style>
  <w:style w:type="paragraph" w:styleId="12">
    <w:name w:val="footer"/>
    <w:basedOn w:val="1"/>
    <w:link w:val="35"/>
    <w:unhideWhenUsed/>
    <w:qFormat/>
    <w:uiPriority w:val="99"/>
    <w:pPr>
      <w:tabs>
        <w:tab w:val="center" w:pos="4153"/>
        <w:tab w:val="right" w:pos="8306"/>
      </w:tabs>
      <w:snapToGrid w:val="0"/>
    </w:pPr>
    <w:rPr>
      <w:sz w:val="18"/>
      <w:szCs w:val="18"/>
    </w:rPr>
  </w:style>
  <w:style w:type="paragraph" w:styleId="13">
    <w:name w:val="header"/>
    <w:basedOn w:val="1"/>
    <w:link w:val="34"/>
    <w:unhideWhenUsed/>
    <w:qFormat/>
    <w:uiPriority w:val="99"/>
    <w:pP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right" w:leader="dot" w:pos="20406"/>
      </w:tabs>
      <w:spacing w:line="360" w:lineRule="auto"/>
    </w:pPr>
    <w:rPr>
      <w:rFonts w:hAnsi="仿宋_GB2312" w:eastAsia="黑体"/>
      <w:sz w:val="30"/>
    </w:rPr>
  </w:style>
  <w:style w:type="paragraph" w:styleId="15">
    <w:name w:val="toc 4"/>
    <w:basedOn w:val="1"/>
    <w:next w:val="1"/>
    <w:unhideWhenUsed/>
    <w:qFormat/>
    <w:uiPriority w:val="39"/>
    <w:pPr>
      <w:autoSpaceDE/>
      <w:autoSpaceDN/>
      <w:adjustRightInd/>
      <w:spacing w:after="160" w:line="278" w:lineRule="auto"/>
      <w:ind w:left="1260" w:leftChars="600"/>
    </w:pPr>
    <w:rPr>
      <w:rFonts w:ascii="等线" w:hAnsi="等线" w:eastAsia="等线" w:cs="Times New Roman"/>
      <w:kern w:val="2"/>
      <w:szCs w:val="24"/>
    </w:rPr>
  </w:style>
  <w:style w:type="paragraph" w:styleId="16">
    <w:name w:val="toc 6"/>
    <w:basedOn w:val="1"/>
    <w:next w:val="1"/>
    <w:unhideWhenUsed/>
    <w:qFormat/>
    <w:uiPriority w:val="39"/>
    <w:pPr>
      <w:autoSpaceDE/>
      <w:autoSpaceDN/>
      <w:adjustRightInd/>
      <w:spacing w:after="160" w:line="278" w:lineRule="auto"/>
      <w:ind w:left="2100" w:leftChars="1000"/>
    </w:pPr>
    <w:rPr>
      <w:rFonts w:ascii="等线" w:hAnsi="等线" w:eastAsia="等线" w:cs="Times New Roman"/>
      <w:kern w:val="2"/>
      <w:szCs w:val="24"/>
    </w:rPr>
  </w:style>
  <w:style w:type="paragraph" w:styleId="17">
    <w:name w:val="toc 2"/>
    <w:basedOn w:val="1"/>
    <w:next w:val="1"/>
    <w:unhideWhenUsed/>
    <w:qFormat/>
    <w:uiPriority w:val="39"/>
    <w:pPr>
      <w:ind w:left="420" w:leftChars="200"/>
    </w:pPr>
  </w:style>
  <w:style w:type="paragraph" w:styleId="18">
    <w:name w:val="toc 9"/>
    <w:basedOn w:val="1"/>
    <w:next w:val="1"/>
    <w:unhideWhenUsed/>
    <w:qFormat/>
    <w:uiPriority w:val="39"/>
    <w:pPr>
      <w:autoSpaceDE/>
      <w:autoSpaceDN/>
      <w:adjustRightInd/>
      <w:spacing w:after="160" w:line="278" w:lineRule="auto"/>
      <w:ind w:left="3360" w:leftChars="1600"/>
    </w:pPr>
    <w:rPr>
      <w:rFonts w:ascii="等线" w:hAnsi="等线" w:eastAsia="等线" w:cs="Times New Roman"/>
      <w:kern w:val="2"/>
      <w:szCs w:val="24"/>
    </w:rPr>
  </w:style>
  <w:style w:type="paragraph" w:styleId="19">
    <w:name w:val="Normal (Web)"/>
    <w:basedOn w:val="1"/>
    <w:unhideWhenUsed/>
    <w:qFormat/>
    <w:uiPriority w:val="99"/>
    <w:pPr>
      <w:widowControl/>
      <w:autoSpaceDE/>
      <w:autoSpaceDN/>
      <w:adjustRightInd/>
      <w:spacing w:before="100" w:beforeAutospacing="1" w:after="100" w:afterAutospacing="1"/>
    </w:pPr>
    <w:rPr>
      <w:rFonts w:ascii="宋体" w:hAnsi="宋体" w:eastAsia="宋体" w:cs="宋体"/>
      <w:sz w:val="24"/>
      <w:szCs w:val="24"/>
    </w:rPr>
  </w:style>
  <w:style w:type="character" w:styleId="22">
    <w:name w:val="Strong"/>
    <w:basedOn w:val="21"/>
    <w:semiHidden/>
    <w:unhideWhenUsed/>
    <w:qFormat/>
    <w:uiPriority w:val="22"/>
    <w:rPr>
      <w:b/>
    </w:rPr>
  </w:style>
  <w:style w:type="character" w:styleId="23">
    <w:name w:val="Hyperlink"/>
    <w:basedOn w:val="21"/>
    <w:unhideWhenUsed/>
    <w:qFormat/>
    <w:uiPriority w:val="99"/>
    <w:rPr>
      <w:rFonts w:hint="default" w:cs="Times New Roman"/>
      <w:color w:val="0563C1"/>
      <w:sz w:val="24"/>
      <w:szCs w:val="24"/>
      <w:u w:val="single"/>
    </w:rPr>
  </w:style>
  <w:style w:type="character" w:styleId="24">
    <w:name w:val="annotation reference"/>
    <w:basedOn w:val="21"/>
    <w:unhideWhenUsed/>
    <w:qFormat/>
    <w:uiPriority w:val="99"/>
    <w:rPr>
      <w:rFonts w:hint="default" w:cs="Times New Roman"/>
      <w:sz w:val="21"/>
      <w:szCs w:val="24"/>
    </w:rPr>
  </w:style>
  <w:style w:type="paragraph" w:styleId="25">
    <w:name w:val="List Paragraph"/>
    <w:basedOn w:val="1"/>
    <w:unhideWhenUsed/>
    <w:qFormat/>
    <w:uiPriority w:val="1"/>
    <w:pPr>
      <w:numPr>
        <w:ilvl w:val="0"/>
        <w:numId w:val="1"/>
      </w:numPr>
      <w:tabs>
        <w:tab w:val="left" w:pos="1329"/>
      </w:tabs>
      <w:spacing w:line="560" w:lineRule="exact"/>
      <w:ind w:left="363" w:right="363" w:firstLine="564" w:firstLineChars="200"/>
    </w:pPr>
    <w:rPr>
      <w:rFonts w:hAnsi="仿宋_GB2312"/>
      <w:color w:val="FF0000"/>
      <w:spacing w:val="2"/>
      <w:sz w:val="28"/>
      <w:szCs w:val="28"/>
    </w:rPr>
  </w:style>
  <w:style w:type="paragraph" w:customStyle="1" w:styleId="26">
    <w:name w:val="Table Paragraph"/>
    <w:basedOn w:val="1"/>
    <w:unhideWhenUsed/>
    <w:qFormat/>
    <w:uiPriority w:val="1"/>
    <w:pPr>
      <w:jc w:val="center"/>
    </w:pPr>
    <w:rPr>
      <w:sz w:val="24"/>
      <w:szCs w:val="24"/>
    </w:rPr>
  </w:style>
  <w:style w:type="paragraph" w:customStyle="1" w:styleId="27">
    <w:name w:val="TOC 标题1"/>
    <w:basedOn w:val="2"/>
    <w:next w:val="1"/>
    <w:unhideWhenUsed/>
    <w:qFormat/>
    <w:uiPriority w:val="39"/>
    <w:pPr>
      <w:keepNext/>
      <w:keepLines/>
      <w:widowControl/>
      <w:autoSpaceDE/>
      <w:autoSpaceDN/>
      <w:adjustRightInd/>
      <w:spacing w:before="240" w:afterLines="0" w:line="259" w:lineRule="auto"/>
      <w:jc w:val="left"/>
    </w:pPr>
    <w:rPr>
      <w:rFonts w:ascii="等线 Light" w:hAnsi="等线 Light" w:eastAsia="等线 Light" w:cs="Times New Roman"/>
      <w:b w:val="0"/>
      <w:color w:val="2F5496"/>
      <w:sz w:val="32"/>
    </w:rPr>
  </w:style>
  <w:style w:type="character" w:customStyle="1" w:styleId="28">
    <w:name w:val="标题 1 Char"/>
    <w:link w:val="2"/>
    <w:unhideWhenUsed/>
    <w:qFormat/>
    <w:uiPriority w:val="9"/>
    <w:rPr>
      <w:rFonts w:ascii="黑体" w:hAnsi="黑体" w:eastAsia="黑体" w:cs="黑体"/>
      <w:b/>
      <w:color w:val="FF0000"/>
      <w:sz w:val="36"/>
      <w:szCs w:val="32"/>
      <w:lang w:val="en-US" w:eastAsia="zh-CN" w:bidi="ar-SA"/>
    </w:rPr>
  </w:style>
  <w:style w:type="character" w:customStyle="1" w:styleId="29">
    <w:name w:val="标题 2 Char"/>
    <w:basedOn w:val="21"/>
    <w:link w:val="3"/>
    <w:unhideWhenUsed/>
    <w:qFormat/>
    <w:uiPriority w:val="9"/>
    <w:rPr>
      <w:rFonts w:hint="eastAsia" w:ascii="等线 Light" w:hAnsi="等线 Light" w:eastAsia="等线 Light" w:cs="Times New Roman"/>
      <w:b/>
      <w:sz w:val="32"/>
      <w:szCs w:val="32"/>
    </w:rPr>
  </w:style>
  <w:style w:type="character" w:customStyle="1" w:styleId="30">
    <w:name w:val="标题 3 Char"/>
    <w:basedOn w:val="21"/>
    <w:link w:val="4"/>
    <w:unhideWhenUsed/>
    <w:qFormat/>
    <w:uiPriority w:val="9"/>
    <w:rPr>
      <w:rFonts w:hint="eastAsia" w:ascii="仿宋_GB2312" w:hAnsi="Times New Roman" w:eastAsia="仿宋_GB2312" w:cs="仿宋_GB2312"/>
      <w:b/>
      <w:sz w:val="32"/>
      <w:szCs w:val="32"/>
    </w:rPr>
  </w:style>
  <w:style w:type="character" w:customStyle="1" w:styleId="31">
    <w:name w:val="正文文本 Char"/>
    <w:basedOn w:val="21"/>
    <w:link w:val="7"/>
    <w:unhideWhenUsed/>
    <w:qFormat/>
    <w:uiPriority w:val="99"/>
    <w:rPr>
      <w:rFonts w:hint="eastAsia" w:ascii="仿宋_GB2312" w:hAnsi="Times New Roman" w:eastAsia="仿宋_GB2312" w:cs="仿宋_GB2312"/>
      <w:sz w:val="22"/>
      <w:szCs w:val="22"/>
    </w:rPr>
  </w:style>
  <w:style w:type="character" w:customStyle="1" w:styleId="32">
    <w:name w:val="未处理的提及1"/>
    <w:basedOn w:val="21"/>
    <w:unhideWhenUsed/>
    <w:qFormat/>
    <w:uiPriority w:val="99"/>
    <w:rPr>
      <w:rFonts w:hint="default" w:cs="Times New Roman"/>
      <w:color w:val="605E5C"/>
      <w:sz w:val="24"/>
      <w:szCs w:val="24"/>
      <w:shd w:val="clear" w:color="auto" w:fill="E1DFDD"/>
    </w:rPr>
  </w:style>
  <w:style w:type="character" w:customStyle="1" w:styleId="33">
    <w:name w:val="正文文本缩进 Char"/>
    <w:basedOn w:val="21"/>
    <w:link w:val="8"/>
    <w:unhideWhenUsed/>
    <w:qFormat/>
    <w:uiPriority w:val="99"/>
    <w:rPr>
      <w:rFonts w:hint="eastAsia" w:ascii="仿宋_GB2312" w:hAnsi="Times New Roman" w:eastAsia="仿宋_GB2312" w:cs="仿宋_GB2312"/>
      <w:sz w:val="24"/>
      <w:szCs w:val="24"/>
    </w:rPr>
  </w:style>
  <w:style w:type="character" w:customStyle="1" w:styleId="34">
    <w:name w:val="页眉 Char"/>
    <w:basedOn w:val="21"/>
    <w:link w:val="13"/>
    <w:unhideWhenUsed/>
    <w:qFormat/>
    <w:uiPriority w:val="99"/>
    <w:rPr>
      <w:rFonts w:hint="eastAsia" w:ascii="仿宋_GB2312" w:hAnsi="Times New Roman" w:eastAsia="仿宋_GB2312" w:cs="仿宋_GB2312"/>
      <w:sz w:val="18"/>
      <w:szCs w:val="18"/>
    </w:rPr>
  </w:style>
  <w:style w:type="character" w:customStyle="1" w:styleId="35">
    <w:name w:val="页脚 Char"/>
    <w:basedOn w:val="21"/>
    <w:link w:val="12"/>
    <w:unhideWhenUsed/>
    <w:qFormat/>
    <w:uiPriority w:val="99"/>
    <w:rPr>
      <w:rFonts w:hint="eastAsia" w:ascii="仿宋_GB2312" w:hAnsi="Times New Roman" w:eastAsia="仿宋_GB2312" w:cs="仿宋_GB2312"/>
      <w:sz w:val="18"/>
      <w:szCs w:val="18"/>
    </w:rPr>
  </w:style>
  <w:style w:type="character" w:customStyle="1" w:styleId="36">
    <w:name w:val="标题 2 字符1"/>
    <w:unhideWhenUsed/>
    <w:qFormat/>
    <w:uiPriority w:val="0"/>
    <w:rPr>
      <w:rFonts w:hint="eastAsia" w:ascii="黑体" w:hAnsi="Cambria" w:eastAsia="黑体"/>
      <w:sz w:val="32"/>
      <w:szCs w:val="24"/>
    </w:rPr>
  </w:style>
  <w:style w:type="character" w:customStyle="1" w:styleId="37">
    <w:name w:val="批注文字 Char"/>
    <w:basedOn w:val="21"/>
    <w:link w:val="6"/>
    <w:unhideWhenUsed/>
    <w:qFormat/>
    <w:uiPriority w:val="99"/>
    <w:rPr>
      <w:rFonts w:hint="eastAsia" w:ascii="等线" w:hAnsi="等线" w:eastAsia="等线" w:cs="Times New Roman"/>
      <w:sz w:val="21"/>
      <w:szCs w:val="24"/>
    </w:rPr>
  </w:style>
  <w:style w:type="paragraph" w:customStyle="1" w:styleId="38">
    <w:name w:val="Default"/>
    <w:unhideWhenUsed/>
    <w:qFormat/>
    <w:uiPriority w:val="99"/>
    <w:pPr>
      <w:widowControl w:val="0"/>
      <w:autoSpaceDE w:val="0"/>
      <w:autoSpaceDN w:val="0"/>
      <w:adjustRightInd w:val="0"/>
    </w:pPr>
    <w:rPr>
      <w:rFonts w:hint="eastAsia" w:ascii="仿宋_GB2312" w:hAnsi="仿宋_GB2312" w:eastAsia="仿宋_GB2312" w:cs="Times New Roman"/>
      <w:color w:val="000000"/>
      <w:sz w:val="24"/>
      <w:szCs w:val="24"/>
      <w:lang w:val="en-US" w:eastAsia="zh-CN" w:bidi="ar-SA"/>
    </w:rPr>
  </w:style>
  <w:style w:type="paragraph" w:customStyle="1" w:styleId="39">
    <w:name w:val="List Paragraph1"/>
    <w:basedOn w:val="1"/>
    <w:uiPriority w:val="0"/>
    <w:pPr>
      <w:autoSpaceDE/>
      <w:autoSpaceDN/>
      <w:adjustRightInd/>
      <w:ind w:firstLine="420" w:firstLineChars="200"/>
      <w:jc w:val="both"/>
    </w:pPr>
    <w:rPr>
      <w:rFonts w:hint="default" w:ascii="Calibri" w:hAnsi="Calibri" w:eastAsia="宋体" w:cs="Times New Roman"/>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9058e630-d63c-4579-a259-67aef6459144</errorID>
      <errorWord>界于东经</errorWord>
      <group>L1_Word</group>
      <groupName>字词问题</groupName>
      <ability>L2_Typo</ability>
      <abilityName>字词错误</abilityName>
      <candidateList>
        <item>介于东经</item>
      </candidateList>
      <explain/>
      <paraID>39D3021F</paraID>
      <start>34</start>
      <end>38</end>
      <status>modified</status>
      <modifiedWord>介于东经</modifiedWord>
      <trackRevisions>false</trackRevisions>
    </reviewItem>
    <reviewItem>
      <errorID>cbafa38d-cf63-40da-91d8-aaac4e00cadd</errorID>
      <errorWord>,</errorWord>
      <group>L1_Format</group>
      <groupName>格式问题</groupName>
      <ability>L2_HalfPunc_CN</ability>
      <abilityName>全半角问题</abilityName>
      <candidateList>
        <item>，</item>
      </candidateList>
      <explain>文本全半角错误。</explain>
      <paraID>36741A02</paraID>
      <start>32</start>
      <end>33</end>
      <status>modified</status>
      <modifiedWord>，</modifiedWord>
      <trackRevisions>false</trackRevisions>
    </reviewItem>
    <reviewItem>
      <errorID>25619a36-7627-4c39-a8f4-bd799b91e9f7</errorID>
      <errorWord>,</errorWord>
      <group>L1_Format</group>
      <groupName>格式问题</groupName>
      <ability>L2_HalfPunc_CN</ability>
      <abilityName>全半角问题</abilityName>
      <candidateList>
        <item>，</item>
      </candidateList>
      <explain>文本全半角错误。</explain>
      <paraID>36741A02</paraID>
      <start>61</start>
      <end>62</end>
      <status>modified</status>
      <modifiedWord>，</modifiedWord>
      <trackRevisions>false</trackRevisions>
    </reviewItem>
    <reviewItem>
      <errorID>d5cb5a88-f818-49a4-a31b-fa6a52f2fd83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4C6FC425</paraID>
      <start>0</start>
      <end>2</end>
      <status>modified</status>
      <modifiedWord>1.</modifiedWord>
      <trackRevisions>false</trackRevisions>
    </reviewItem>
    <reviewItem>
      <errorID>20bb5ce5-0f06-4ccf-9f33-9a9f5cb612e6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790EFCB0</paraID>
      <start>0</start>
      <end>2</end>
      <status>modified</status>
      <modifiedWord>2.</modifiedWord>
      <trackRevisions>false</trackRevisions>
    </reviewItem>
    <reviewItem>
      <errorID>fbdb8dff-ec53-41bb-b989-fe822f9f35b9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7D100031</paraID>
      <start>0</start>
      <end>2</end>
      <status>modified</status>
      <modifiedWord>1.</modifiedWord>
      <trackRevisions>false</trackRevisions>
    </reviewItem>
    <reviewItem>
      <errorID>754cf128-58df-442a-8663-2cdcd7495302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65588CF9</paraID>
      <start>0</start>
      <end>2</end>
      <status>modified</status>
      <modifiedWord>1.</modifiedWord>
      <trackRevisions>false</trackRevisions>
    </reviewItem>
    <reviewItem>
      <errorID>c8b8e3d0-301f-4917-b870-a5a2b3ae1627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43CC45C4</paraID>
      <start>0</start>
      <end>2</end>
      <status>modified</status>
      <modifiedWord>2.</modifiedWord>
      <trackRevisions>false</trackRevisions>
    </reviewItem>
    <reviewItem>
      <errorID>1f67feea-f009-463a-949f-8ca30adee976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454CC631</paraID>
      <start>0</start>
      <end>2</end>
      <status>modified</status>
      <modifiedWord>1.</modifiedWord>
      <trackRevisions>false</trackRevisions>
    </reviewItem>
    <reviewItem>
      <errorID>92b658d0-023b-4750-b8b6-179cd3eb26fa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3DAA5D8</paraID>
      <start>0</start>
      <end>2</end>
      <status>modified</status>
      <modifiedWord>2.</modifiedWord>
      <trackRevisions>false</trackRevisions>
    </reviewItem>
    <reviewItem>
      <errorID>d36174f2-320d-4d4e-bf34-f5f1bfb5a93e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67B0F690</paraID>
      <start>0</start>
      <end>2</end>
      <status>modified</status>
      <modifiedWord>1.</modifiedWord>
      <trackRevisions>false</trackRevisions>
    </reviewItem>
    <reviewItem>
      <errorID>e712f587-56bb-451c-b687-1a956034a32e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6FCD55B9</paraID>
      <start>0</start>
      <end>2</end>
      <status>modified</status>
      <modifiedWord>2.</modifiedWord>
      <trackRevisions>false</trackRevisions>
    </reviewItem>
    <reviewItem>
      <errorID>45d605b8-08e9-4d56-8090-b9be3ef897fe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70FCC430</paraID>
      <start>0</start>
      <end>2</end>
      <status>modified</status>
      <modifiedWord>1.</modifiedWord>
      <trackRevisions>false</trackRevisions>
    </reviewItem>
    <reviewItem>
      <errorID>be441f37-1e82-4b15-b4c1-0f58dc7b5ca3</errorID>
      <errorWord>:</errorWord>
      <group>L1_Format</group>
      <groupName>格式问题</groupName>
      <ability>L2_HalfPunc_CN</ability>
      <abilityName>全半角问题</abilityName>
      <candidateList>
        <item>：</item>
      </candidateList>
      <explain>文本全半角错误。</explain>
      <paraID>7F14412E</paraID>
      <start>7</start>
      <end>8</end>
      <status>modified</status>
      <modifiedWord>：</modifiedWord>
      <trackRevisions>false</trackRevisions>
    </reviewItem>
    <reviewItem>
      <errorID>a72ffb5d-4e96-49c7-bfa3-4c200466ef93</errorID>
      <errorWord>:</errorWord>
      <group>L1_Format</group>
      <groupName>格式问题</groupName>
      <ability>L2_HalfPunc_CN</ability>
      <abilityName>全半角问题</abilityName>
      <candidateList>
        <item>：</item>
      </candidateList>
      <explain>文本全半角错误。</explain>
      <paraID>6A84BEE9</paraID>
      <start>7</start>
      <end>8</end>
      <status>modified</status>
      <modifiedWord>：</modifiedWord>
      <trackRevisions>false</trackRevisions>
    </reviewItem>
    <reviewItem>
      <errorID>7e169f16-c102-4848-ad07-00d2eecc765a</errorID>
      <errorWord>(</errorWord>
      <group>L1_Format</group>
      <groupName>格式问题</groupName>
      <ability>L2_HalfPunc_CN</ability>
      <abilityName>全半角问题</abilityName>
      <candidateList>
        <item>（</item>
      </candidateList>
      <explain>文本全半角错误。</explain>
      <paraID>6A84BEE9</paraID>
      <start>10</start>
      <end>11</end>
      <status>modified</status>
      <modifiedWord>（</modifiedWord>
      <trackRevisions>false</trackRevisions>
    </reviewItem>
    <reviewItem>
      <errorID>0b59312e-cc32-4ac1-871f-f1a6d7b7bc9a</errorID>
      <errorWord>)</errorWord>
      <group>L1_Format</group>
      <groupName>格式问题</groupName>
      <ability>L2_HalfPunc_CN</ability>
      <abilityName>全半角问题</abilityName>
      <candidateList>
        <item>）</item>
      </candidateList>
      <explain>文本全半角错误。</explain>
      <paraID>6A84BEE9</paraID>
      <start>13</start>
      <end>14</end>
      <status>modified</status>
      <modifiedWord>）</modifiedWord>
      <trackRevisions>false</trackRevisions>
    </reviewItem>
    <reviewItem>
      <errorID>ecc4ee9a-b068-4138-ac09-c6ab57492ebc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4F643E2C</paraID>
      <start>0</start>
      <end>2</end>
      <status>modified</status>
      <modifiedWord>2.</modifiedWord>
      <trackRevisions>false</trackRevisions>
    </reviewItem>
    <reviewItem>
      <errorID>08f06883-5ec0-449c-9c2d-4b329d3af7f0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7D4B735</paraID>
      <start>0</start>
      <end>2</end>
      <status>modified</status>
      <modifiedWord>1.</modifiedWord>
      <trackRevisions>false</trackRevisions>
    </reviewItem>
    <reviewItem>
      <errorID>5639238c-8ce4-4f8b-8543-d24b46631bca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BB2C4AA</paraID>
      <start>0</start>
      <end>2</end>
      <status>modified</status>
      <modifiedWord>2.</modifiedWord>
      <trackRevisions>false</trackRevisions>
    </reviewItem>
    <reviewItem>
      <errorID>8ad8060a-20e4-46e4-9c83-77a585f6f9d3</errorID>
      <errorWord>(</errorWord>
      <group>L1_Format</group>
      <groupName>格式问题</groupName>
      <ability>L2_HalfPunc_CN</ability>
      <abilityName>全半角问题</abilityName>
      <candidateList>
        <item>（</item>
      </candidateList>
      <explain>文本全半角错误。</explain>
      <paraID>4C5BF259</paraID>
      <start>53</start>
      <end>54</end>
      <status>modified</status>
      <modifiedWord>（</modifiedWord>
      <trackRevisions>false</trackRevisions>
    </reviewItem>
    <reviewItem>
      <errorID>3fcfbf55-d25b-4bbc-8777-9edb96db771e</errorID>
      <errorWord>)</errorWord>
      <group>L1_Format</group>
      <groupName>格式问题</groupName>
      <ability>L2_HalfPunc_CN</ability>
      <abilityName>全半角问题</abilityName>
      <candidateList>
        <item>）</item>
      </candidateList>
      <explain>文本全半角错误。</explain>
      <paraID>4C5BF259</paraID>
      <start>62</start>
      <end>63</end>
      <status>modified</status>
      <modifiedWord>）</modifiedWord>
      <trackRevisions>false</trackRevisions>
    </reviewItem>
    <reviewItem>
      <errorID>84e204a6-20ee-4352-924a-4ab22ae12ce6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7BCC57F6</paraID>
      <start>0</start>
      <end>2</end>
      <status>modified</status>
      <modifiedWord>1.</modifiedWord>
      <trackRevisions>false</trackRevisions>
    </reviewItem>
    <reviewItem>
      <errorID>34e9517a-5e6a-48dc-8ee7-d46bbb0108fc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795D5E79</paraID>
      <start>0</start>
      <end>2</end>
      <status>modified</status>
      <modifiedWord>2.</modifiedWord>
      <trackRevisions>false</trackRevisions>
    </reviewItem>
    <reviewItem>
      <errorID>0103353f-9d0e-4133-9b55-b9bb43e58061</errorID>
      <errorWord>决不允许</errorWord>
      <group>L1_Word</group>
      <groupName>字词问题</groupName>
      <ability>L2_Typo</ability>
      <abilityName>字词错误</abilityName>
      <candidateList>
        <item>绝不允许</item>
      </candidateList>
      <explain/>
      <paraID>12E15311</paraID>
      <start>17</start>
      <end>21</end>
      <status>modified</status>
      <modifiedWord>绝不允许</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5f222d-c3e6-49f4-bc0c-d257db1e41f1}">
  <ds:schemaRefs/>
</ds:datastoreItem>
</file>

<file path=docProps/app.xml><?xml version="1.0" encoding="utf-8"?>
<Properties xmlns="http://schemas.openxmlformats.org/officeDocument/2006/extended-properties" xmlns:vt="http://schemas.openxmlformats.org/officeDocument/2006/docPropsVTypes">
  <Template>Normal</Template>
  <Pages>11</Pages>
  <Words>7797</Words>
  <Characters>8000</Characters>
  <Lines>63</Lines>
  <Paragraphs>17</Paragraphs>
  <TotalTime>11</TotalTime>
  <ScaleCrop>false</ScaleCrop>
  <LinksUpToDate>false</LinksUpToDate>
  <CharactersWithSpaces>8046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2026-09-22T12:05:00Z</dcterms:created>
  <dc:creator>Administrator</dc:creator>
  <cp:lastModifiedBy>WPS_1645063306</cp:lastModifiedBy>
  <dcterms:modified xsi:type="dcterms:W3CDTF">2026-09-22T13:56:36Z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77955E3E3D5E4A0AB09F0B68C404C024_13</vt:lpwstr>
  </property>
  <property fmtid="{D5CDD505-2E9C-101B-9397-08002B2CF9AE}" pid="4" name="KSOTemplateDocerSaveRecord">
    <vt:lpwstr>eyJoZGlkIjoiZmVlMmM4MDI1N2Y3MDNjN2QxOTNhOGI1ODA1YTkxYjMiLCJ1c2VySWQiOiIxMzMzMTIzOTIzIn0=</vt:lpwstr>
  </property>
</Properties>
</file>