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D5306">
      <w:pPr>
        <w:spacing w:line="360" w:lineRule="auto"/>
        <w:ind w:right="121" w:firstLine="880"/>
        <w:jc w:val="center"/>
        <w:rPr>
          <w:rFonts w:ascii="方正小标宋_GBK" w:eastAsia="方正小标宋_GBK"/>
          <w:sz w:val="52"/>
          <w:szCs w:val="52"/>
        </w:rPr>
      </w:pPr>
      <w:r>
        <w:rPr>
          <w:rFonts w:ascii="方正小标宋_GBK" w:eastAsia="方正小标宋_GBK"/>
          <w:sz w:val="52"/>
          <w:szCs w:val="52"/>
        </w:rPr>
        <w:t>沐川县中心城区老城详规单元511129-001-005街区00029,00030地块</w:t>
      </w:r>
    </w:p>
    <w:p w14:paraId="171099C2">
      <w:pPr>
        <w:spacing w:line="360" w:lineRule="auto"/>
        <w:jc w:val="center"/>
        <w:rPr>
          <w:rFonts w:ascii="方正小标宋_GBK" w:eastAsia="方正小标宋_GBK"/>
          <w:sz w:val="52"/>
          <w:szCs w:val="52"/>
        </w:rPr>
      </w:pPr>
      <w:r>
        <w:rPr>
          <w:rFonts w:ascii="方正小标宋_GBK" w:eastAsia="方正小标宋_GBK"/>
          <w:sz w:val="52"/>
          <w:szCs w:val="52"/>
        </w:rPr>
        <w:t>实施性详细规划</w:t>
      </w:r>
    </w:p>
    <w:p w14:paraId="627213F2">
      <w:pPr>
        <w:spacing w:line="360" w:lineRule="auto"/>
        <w:jc w:val="center"/>
        <w:rPr>
          <w:rFonts w:ascii="方正小标宋_GBK" w:eastAsia="方正小标宋_GBK"/>
          <w:sz w:val="52"/>
          <w:szCs w:val="52"/>
        </w:rPr>
      </w:pPr>
    </w:p>
    <w:p w14:paraId="674BEC4D">
      <w:pPr>
        <w:spacing w:line="360" w:lineRule="auto"/>
        <w:jc w:val="center"/>
        <w:rPr>
          <w:rFonts w:hint="eastAsia" w:ascii="方正小标宋_GBK" w:eastAsia="方正小标宋_GBK"/>
          <w:sz w:val="52"/>
          <w:szCs w:val="52"/>
          <w:lang w:val="en-US" w:eastAsia="zh-CN"/>
        </w:rPr>
      </w:pPr>
      <w:r>
        <w:rPr>
          <w:rFonts w:hint="eastAsia" w:ascii="方正小标宋_GBK" w:eastAsia="方正小标宋_GBK"/>
          <w:sz w:val="52"/>
          <w:szCs w:val="52"/>
          <w:lang w:val="en-US" w:eastAsia="zh-CN"/>
        </w:rPr>
        <w:t>文  本</w:t>
      </w:r>
    </w:p>
    <w:p w14:paraId="1568A2E0">
      <w:pPr>
        <w:pStyle w:val="6"/>
        <w:ind w:left="0"/>
        <w:rPr>
          <w:rFonts w:hint="default" w:ascii="方正小标宋_GBK"/>
          <w:sz w:val="50"/>
        </w:rPr>
      </w:pPr>
    </w:p>
    <w:p w14:paraId="510ED4BA">
      <w:pPr>
        <w:pStyle w:val="6"/>
        <w:ind w:left="0"/>
        <w:rPr>
          <w:rFonts w:hint="default" w:ascii="方正小标宋_GBK"/>
          <w:sz w:val="50"/>
        </w:rPr>
      </w:pPr>
    </w:p>
    <w:p w14:paraId="25EF593A">
      <w:pPr>
        <w:pStyle w:val="6"/>
        <w:ind w:left="0"/>
        <w:rPr>
          <w:rFonts w:hint="default" w:ascii="方正小标宋_GBK"/>
          <w:sz w:val="50"/>
        </w:rPr>
      </w:pPr>
    </w:p>
    <w:p w14:paraId="0793A7DD">
      <w:pPr>
        <w:pStyle w:val="6"/>
        <w:ind w:left="0"/>
        <w:rPr>
          <w:rFonts w:hint="default" w:ascii="方正小标宋_GBK"/>
          <w:sz w:val="50"/>
        </w:rPr>
      </w:pPr>
    </w:p>
    <w:p w14:paraId="51EFD607">
      <w:pPr>
        <w:pStyle w:val="6"/>
        <w:ind w:left="0" w:right="118"/>
        <w:jc w:val="center"/>
        <w:rPr>
          <w:rFonts w:hint="default" w:ascii="楷体" w:eastAsia="楷体"/>
        </w:rPr>
      </w:pPr>
    </w:p>
    <w:p w14:paraId="53B1DA6A">
      <w:pPr>
        <w:pStyle w:val="6"/>
        <w:spacing w:line="360" w:lineRule="auto"/>
        <w:ind w:left="0" w:right="118"/>
        <w:jc w:val="center"/>
        <w:rPr>
          <w:rFonts w:hint="default" w:ascii="楷体" w:eastAsia="楷体"/>
        </w:rPr>
      </w:pPr>
      <w:r>
        <w:rPr>
          <w:rFonts w:ascii="楷体" w:eastAsia="楷体"/>
        </w:rPr>
        <w:t>沐川县人民政府</w:t>
      </w:r>
    </w:p>
    <w:p w14:paraId="57F56910">
      <w:pPr>
        <w:pStyle w:val="6"/>
        <w:spacing w:line="360" w:lineRule="auto"/>
        <w:ind w:left="0" w:right="118"/>
        <w:jc w:val="center"/>
        <w:rPr>
          <w:rFonts w:hint="default" w:ascii="楷体" w:eastAsia="楷体"/>
        </w:rPr>
      </w:pPr>
      <w:r>
        <w:rPr>
          <w:rFonts w:ascii="楷体" w:eastAsia="楷体"/>
        </w:rPr>
        <w:t>乐山市城乡规划设计院有限公司</w:t>
      </w:r>
    </w:p>
    <w:p w14:paraId="05C15F64">
      <w:pPr>
        <w:pStyle w:val="6"/>
        <w:spacing w:line="360" w:lineRule="auto"/>
        <w:ind w:left="0" w:right="118"/>
        <w:jc w:val="center"/>
        <w:rPr>
          <w:rFonts w:hint="eastAsia" w:ascii="仿宋" w:hAnsi="仿宋" w:eastAsia="楷体" w:cs="仿宋"/>
          <w:szCs w:val="32"/>
          <w:lang w:val="en-US" w:eastAsia="zh-CN"/>
        </w:rPr>
        <w:sectPr>
          <w:headerReference r:id="rId7" w:type="first"/>
          <w:footerReference r:id="rId10" w:type="first"/>
          <w:headerReference r:id="rId5" w:type="default"/>
          <w:footerReference r:id="rId8" w:type="default"/>
          <w:headerReference r:id="rId6" w:type="even"/>
          <w:footerReference r:id="rId9" w:type="even"/>
          <w:pgSz w:w="23811" w:h="16838"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ascii="楷体" w:eastAsia="楷体"/>
        </w:rPr>
        <w:t xml:space="preserve">2026 年 9 </w:t>
      </w:r>
      <w:r>
        <w:rPr>
          <w:rFonts w:hint="eastAsia" w:ascii="楷体" w:eastAsia="楷体"/>
          <w:lang w:val="en-US" w:eastAsia="zh-CN"/>
        </w:rPr>
        <w:t>月</w:t>
      </w:r>
    </w:p>
    <w:p w14:paraId="4ED4BC52">
      <w:pPr>
        <w:spacing w:line="360" w:lineRule="auto"/>
        <w:ind w:left="0" w:leftChars="0" w:firstLine="0" w:firstLineChars="0"/>
        <w:rPr>
          <w:rFonts w:ascii="黑体" w:eastAsia="黑体" w:hAnsiTheme="minorHAnsi"/>
          <w:sz w:val="30"/>
          <w:szCs w:val="30"/>
        </w:rPr>
      </w:pPr>
    </w:p>
    <w:p w14:paraId="4C504C41">
      <w:pPr>
        <w:spacing w:line="360" w:lineRule="auto"/>
        <w:ind w:firstLine="296" w:firstLineChars="100"/>
        <w:rPr>
          <w:rFonts w:ascii="黑体" w:eastAsia="黑体" w:hAnsiTheme="minorHAnsi"/>
          <w:sz w:val="30"/>
          <w:szCs w:val="30"/>
        </w:rPr>
      </w:pPr>
    </w:p>
    <w:p w14:paraId="1AF4CBF1">
      <w:pPr>
        <w:spacing w:line="360" w:lineRule="auto"/>
        <w:ind w:firstLine="296" w:firstLineChars="100"/>
        <w:rPr>
          <w:rFonts w:ascii="黑体" w:eastAsia="黑体" w:hAnsiTheme="minorHAnsi"/>
          <w:sz w:val="30"/>
          <w:szCs w:val="30"/>
        </w:rPr>
      </w:pPr>
    </w:p>
    <w:p w14:paraId="4068CA97">
      <w:pPr>
        <w:spacing w:line="360" w:lineRule="auto"/>
        <w:ind w:firstLine="296" w:firstLineChars="100"/>
        <w:rPr>
          <w:rFonts w:ascii="黑体" w:eastAsia="黑体" w:hAnsiTheme="minorHAnsi"/>
          <w:sz w:val="30"/>
          <w:szCs w:val="30"/>
        </w:rPr>
      </w:pPr>
    </w:p>
    <w:p w14:paraId="47AB0C82">
      <w:pPr>
        <w:spacing w:line="360" w:lineRule="auto"/>
        <w:ind w:firstLine="296" w:firstLineChars="100"/>
        <w:rPr>
          <w:rFonts w:ascii="黑体" w:eastAsia="黑体" w:hAnsiTheme="minorHAnsi"/>
          <w:sz w:val="30"/>
          <w:szCs w:val="30"/>
        </w:rPr>
      </w:pPr>
      <w:r>
        <w:rPr>
          <w:rFonts w:hint="eastAsia" w:ascii="黑体" w:eastAsia="黑体" w:hAnsiTheme="minorHAnsi"/>
          <w:sz w:val="30"/>
          <w:szCs w:val="30"/>
        </w:rPr>
        <w:drawing>
          <wp:anchor distT="0" distB="0" distL="114300" distR="114300" simplePos="0" relativeHeight="251659264" behindDoc="1" locked="0" layoutInCell="1" allowOverlap="1">
            <wp:simplePos x="0" y="0"/>
            <wp:positionH relativeFrom="column">
              <wp:posOffset>86995</wp:posOffset>
            </wp:positionH>
            <wp:positionV relativeFrom="paragraph">
              <wp:posOffset>220345</wp:posOffset>
            </wp:positionV>
            <wp:extent cx="6236335" cy="4381500"/>
            <wp:effectExtent l="0" t="0" r="12065" b="0"/>
            <wp:wrapNone/>
            <wp:docPr id="3" name="图片 3" descr="O:/2.2/城乡规划（国土空间规划）编制资质证书—正本(1)_01.png城乡规划（国土空间规划）编制资质证书—正本(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O:/2.2/城乡规划（国土空间规划）编制资质证书—正本(1)_01.png城乡规划（国土空间规划）编制资质证书—正本(1)_01"/>
                    <pic:cNvPicPr>
                      <a:picLocks noChangeAspect="1"/>
                    </pic:cNvPicPr>
                  </pic:nvPicPr>
                  <pic:blipFill>
                    <a:blip r:embed="rId16" cstate="print"/>
                    <a:srcRect t="316" b="316"/>
                    <a:stretch>
                      <a:fillRect/>
                    </a:stretch>
                  </pic:blipFill>
                  <pic:spPr>
                    <a:xfrm>
                      <a:off x="0" y="0"/>
                      <a:ext cx="6236335" cy="4381500"/>
                    </a:xfrm>
                    <a:prstGeom prst="rect">
                      <a:avLst/>
                    </a:prstGeom>
                  </pic:spPr>
                </pic:pic>
              </a:graphicData>
            </a:graphic>
          </wp:anchor>
        </w:drawing>
      </w:r>
    </w:p>
    <w:p w14:paraId="19498743">
      <w:pPr>
        <w:spacing w:line="360" w:lineRule="auto"/>
        <w:ind w:firstLine="296" w:firstLineChars="100"/>
        <w:rPr>
          <w:rFonts w:ascii="黑体" w:eastAsia="黑体" w:hAnsiTheme="minorHAnsi"/>
          <w:sz w:val="30"/>
          <w:szCs w:val="30"/>
        </w:rPr>
      </w:pPr>
    </w:p>
    <w:p w14:paraId="2307C57D">
      <w:pPr>
        <w:spacing w:line="360" w:lineRule="auto"/>
        <w:ind w:firstLine="296" w:firstLineChars="100"/>
        <w:rPr>
          <w:rFonts w:ascii="黑体" w:eastAsia="黑体" w:hAnsiTheme="minorHAnsi"/>
          <w:sz w:val="30"/>
          <w:szCs w:val="30"/>
        </w:rPr>
      </w:pPr>
    </w:p>
    <w:p w14:paraId="143C3759">
      <w:pPr>
        <w:spacing w:line="360" w:lineRule="auto"/>
        <w:ind w:firstLine="296" w:firstLineChars="100"/>
        <w:rPr>
          <w:rFonts w:ascii="黑体" w:eastAsia="黑体" w:hAnsiTheme="minorHAnsi"/>
          <w:sz w:val="30"/>
          <w:szCs w:val="30"/>
        </w:rPr>
      </w:pPr>
    </w:p>
    <w:p w14:paraId="4E14ECB1">
      <w:pPr>
        <w:spacing w:line="360" w:lineRule="auto"/>
        <w:ind w:firstLine="296" w:firstLineChars="100"/>
        <w:rPr>
          <w:rFonts w:ascii="黑体" w:eastAsia="黑体" w:hAnsiTheme="minorHAnsi"/>
          <w:sz w:val="30"/>
          <w:szCs w:val="30"/>
        </w:rPr>
      </w:pPr>
    </w:p>
    <w:p w14:paraId="3A76137B">
      <w:pPr>
        <w:spacing w:line="360" w:lineRule="auto"/>
        <w:ind w:firstLine="296" w:firstLineChars="100"/>
        <w:rPr>
          <w:rFonts w:ascii="黑体" w:eastAsia="黑体" w:hAnsiTheme="minorHAnsi"/>
          <w:sz w:val="30"/>
          <w:szCs w:val="30"/>
        </w:rPr>
      </w:pPr>
    </w:p>
    <w:p w14:paraId="0F2031BE">
      <w:pPr>
        <w:spacing w:line="360" w:lineRule="auto"/>
        <w:ind w:firstLine="296" w:firstLineChars="100"/>
        <w:rPr>
          <w:rFonts w:ascii="黑体" w:eastAsia="黑体" w:hAnsiTheme="minorHAnsi"/>
          <w:sz w:val="30"/>
          <w:szCs w:val="30"/>
        </w:rPr>
      </w:pPr>
    </w:p>
    <w:p w14:paraId="01919443">
      <w:pPr>
        <w:spacing w:line="360" w:lineRule="auto"/>
        <w:ind w:firstLine="296" w:firstLineChars="100"/>
        <w:rPr>
          <w:rFonts w:ascii="黑体" w:eastAsia="黑体" w:hAnsiTheme="minorHAnsi"/>
          <w:sz w:val="30"/>
          <w:szCs w:val="30"/>
        </w:rPr>
      </w:pPr>
    </w:p>
    <w:p w14:paraId="7885620E">
      <w:pPr>
        <w:spacing w:line="360" w:lineRule="auto"/>
        <w:ind w:firstLine="296" w:firstLineChars="100"/>
        <w:rPr>
          <w:rFonts w:ascii="黑体" w:eastAsia="黑体" w:hAnsiTheme="minorHAnsi"/>
          <w:sz w:val="30"/>
          <w:szCs w:val="30"/>
        </w:rPr>
      </w:pPr>
    </w:p>
    <w:p w14:paraId="7D7BE66F">
      <w:pPr>
        <w:spacing w:line="360" w:lineRule="auto"/>
        <w:ind w:firstLine="296" w:firstLineChars="100"/>
        <w:rPr>
          <w:rFonts w:ascii="黑体" w:eastAsia="黑体" w:hAnsiTheme="minorHAnsi"/>
          <w:sz w:val="30"/>
          <w:szCs w:val="30"/>
        </w:rPr>
      </w:pPr>
    </w:p>
    <w:p w14:paraId="5EC8043A">
      <w:pPr>
        <w:spacing w:line="360" w:lineRule="auto"/>
        <w:ind w:firstLine="296" w:firstLineChars="100"/>
        <w:rPr>
          <w:rFonts w:ascii="黑体" w:eastAsia="黑体" w:hAnsiTheme="minorHAnsi"/>
          <w:sz w:val="30"/>
          <w:szCs w:val="30"/>
        </w:rPr>
      </w:pPr>
    </w:p>
    <w:p w14:paraId="4211AC60">
      <w:pPr>
        <w:spacing w:line="360" w:lineRule="auto"/>
        <w:ind w:firstLine="296" w:firstLineChars="100"/>
        <w:rPr>
          <w:rFonts w:ascii="黑体" w:eastAsia="黑体" w:hAnsiTheme="minorHAnsi"/>
          <w:sz w:val="30"/>
          <w:szCs w:val="30"/>
        </w:rPr>
      </w:pPr>
    </w:p>
    <w:p w14:paraId="2DBB54E9">
      <w:pPr>
        <w:spacing w:line="360" w:lineRule="auto"/>
        <w:ind w:firstLine="296" w:firstLineChars="100"/>
        <w:rPr>
          <w:rFonts w:ascii="黑体" w:eastAsia="黑体" w:hAnsiTheme="minorHAnsi"/>
          <w:sz w:val="30"/>
          <w:szCs w:val="30"/>
        </w:rPr>
      </w:pPr>
    </w:p>
    <w:p w14:paraId="623C9258">
      <w:pPr>
        <w:spacing w:line="360" w:lineRule="auto"/>
        <w:ind w:firstLine="296" w:firstLineChars="100"/>
        <w:rPr>
          <w:rFonts w:ascii="黑体" w:eastAsia="黑体" w:hAnsiTheme="minorHAnsi"/>
          <w:sz w:val="30"/>
          <w:szCs w:val="30"/>
        </w:rPr>
      </w:pPr>
    </w:p>
    <w:p w14:paraId="5D3B2597">
      <w:pPr>
        <w:spacing w:line="360" w:lineRule="auto"/>
        <w:ind w:firstLine="296" w:firstLineChars="100"/>
        <w:rPr>
          <w:rFonts w:ascii="黑体" w:eastAsia="黑体" w:hAnsiTheme="minorHAnsi"/>
          <w:sz w:val="30"/>
          <w:szCs w:val="30"/>
        </w:rPr>
      </w:pPr>
    </w:p>
    <w:p w14:paraId="30D9749B">
      <w:pPr>
        <w:spacing w:line="360" w:lineRule="auto"/>
        <w:ind w:firstLine="296" w:firstLineChars="100"/>
        <w:rPr>
          <w:rFonts w:ascii="黑体" w:eastAsia="黑体" w:hAnsiTheme="minorHAnsi"/>
          <w:sz w:val="30"/>
          <w:szCs w:val="30"/>
        </w:rPr>
      </w:pPr>
    </w:p>
    <w:p w14:paraId="46E4F463">
      <w:pPr>
        <w:spacing w:line="360" w:lineRule="auto"/>
        <w:ind w:firstLine="296" w:firstLineChars="100"/>
        <w:rPr>
          <w:rFonts w:ascii="黑体" w:eastAsia="黑体" w:hAnsiTheme="minorHAnsi"/>
          <w:sz w:val="30"/>
          <w:szCs w:val="30"/>
        </w:rPr>
      </w:pPr>
    </w:p>
    <w:p w14:paraId="285C14A6">
      <w:pPr>
        <w:spacing w:line="736" w:lineRule="exact"/>
        <w:ind w:left="2112" w:leftChars="200" w:right="121" w:hanging="1480" w:hangingChars="500"/>
        <w:rPr>
          <w:rFonts w:ascii="宋体" w:hAnsi="宋体" w:eastAsia="宋体" w:cs="宋体"/>
          <w:sz w:val="30"/>
          <w:szCs w:val="30"/>
        </w:rPr>
      </w:pPr>
      <w:r>
        <w:rPr>
          <w:rFonts w:hint="eastAsia" w:ascii="黑体" w:eastAsia="黑体" w:hAnsiTheme="minorHAnsi"/>
          <w:sz w:val="30"/>
          <w:szCs w:val="30"/>
        </w:rPr>
        <w:t>项目名称：</w:t>
      </w:r>
      <w:r>
        <w:rPr>
          <w:rFonts w:hint="eastAsia" w:ascii="宋体" w:hAnsi="宋体" w:eastAsia="宋体" w:cs="宋体"/>
          <w:sz w:val="30"/>
          <w:szCs w:val="30"/>
        </w:rPr>
        <w:t>沐川县中心城区老城详规单元511129-001-005街区00029,00030地块实施性详细规划</w:t>
      </w:r>
    </w:p>
    <w:p w14:paraId="18594668">
      <w:pPr>
        <w:spacing w:line="360" w:lineRule="auto"/>
        <w:ind w:firstLine="296" w:firstLineChars="100"/>
        <w:rPr>
          <w:rFonts w:ascii="宋体" w:hAnsi="宋体" w:eastAsia="宋体" w:cs="宋体"/>
          <w:sz w:val="30"/>
          <w:szCs w:val="30"/>
        </w:rPr>
      </w:pPr>
      <w:r>
        <w:rPr>
          <w:rFonts w:hint="eastAsia" w:ascii="黑体" w:eastAsia="黑体" w:hAnsiTheme="minorHAnsi"/>
          <w:sz w:val="30"/>
          <w:szCs w:val="30"/>
        </w:rPr>
        <w:t>委托单位：</w:t>
      </w:r>
      <w:r>
        <w:rPr>
          <w:rFonts w:hint="eastAsia" w:ascii="宋体" w:hAnsi="宋体" w:eastAsia="宋体" w:cs="宋体"/>
          <w:sz w:val="30"/>
          <w:szCs w:val="30"/>
          <w:lang w:val="en-US" w:eastAsia="zh-CN"/>
        </w:rPr>
        <w:t>沐川县</w:t>
      </w:r>
      <w:r>
        <w:rPr>
          <w:rFonts w:hint="eastAsia" w:ascii="宋体" w:hAnsi="宋体" w:eastAsia="宋体" w:cs="宋体"/>
          <w:sz w:val="30"/>
          <w:szCs w:val="30"/>
        </w:rPr>
        <w:t>自然资源局</w:t>
      </w:r>
    </w:p>
    <w:p w14:paraId="1F1618FD">
      <w:pPr>
        <w:spacing w:line="360" w:lineRule="auto"/>
        <w:ind w:firstLine="296" w:firstLineChars="100"/>
        <w:rPr>
          <w:rFonts w:ascii="黑体" w:eastAsia="黑体" w:hAnsiTheme="minorHAnsi"/>
          <w:sz w:val="30"/>
          <w:szCs w:val="30"/>
        </w:rPr>
      </w:pPr>
      <w:r>
        <w:rPr>
          <w:rFonts w:hint="eastAsia" w:ascii="黑体" w:eastAsia="黑体" w:hAnsiTheme="minorHAnsi"/>
          <w:sz w:val="30"/>
          <w:szCs w:val="30"/>
        </w:rPr>
        <w:t>承担编制单位：</w:t>
      </w:r>
      <w:r>
        <w:rPr>
          <w:rFonts w:hint="eastAsia" w:ascii="宋体" w:hAnsi="宋体" w:eastAsia="宋体" w:cs="宋体"/>
          <w:sz w:val="30"/>
          <w:szCs w:val="30"/>
        </w:rPr>
        <w:t>乐山市城乡规划设计院有限公司</w:t>
      </w:r>
    </w:p>
    <w:p w14:paraId="336AB42F">
      <w:pPr>
        <w:spacing w:line="360" w:lineRule="auto"/>
        <w:ind w:firstLine="296" w:firstLineChars="100"/>
        <w:rPr>
          <w:rFonts w:ascii="黑体" w:eastAsia="黑体" w:hAnsiTheme="minorHAnsi"/>
          <w:sz w:val="30"/>
          <w:szCs w:val="30"/>
        </w:rPr>
      </w:pPr>
      <w:r>
        <w:rPr>
          <w:rFonts w:hint="eastAsia" w:ascii="黑体" w:eastAsia="黑体" w:hAnsiTheme="minorHAnsi"/>
          <w:sz w:val="30"/>
          <w:szCs w:val="30"/>
        </w:rPr>
        <w:t>城乡规划编制资质证书等级：</w:t>
      </w:r>
      <w:r>
        <w:rPr>
          <w:rFonts w:hint="eastAsia" w:ascii="宋体" w:hAnsi="宋体" w:eastAsia="宋体" w:cs="宋体"/>
          <w:sz w:val="30"/>
          <w:szCs w:val="30"/>
        </w:rPr>
        <w:t>甲级</w:t>
      </w:r>
    </w:p>
    <w:p w14:paraId="4DB48C58">
      <w:pPr>
        <w:spacing w:line="360" w:lineRule="auto"/>
        <w:ind w:firstLine="296" w:firstLineChars="100"/>
        <w:rPr>
          <w:rFonts w:ascii="宋体" w:hAnsi="宋体" w:eastAsia="宋体" w:cs="宋体"/>
          <w:sz w:val="30"/>
          <w:szCs w:val="30"/>
        </w:rPr>
      </w:pPr>
      <w:r>
        <w:rPr>
          <w:rFonts w:hint="eastAsia" w:ascii="黑体" w:eastAsia="黑体" w:hAnsiTheme="minorHAnsi"/>
          <w:sz w:val="30"/>
          <w:szCs w:val="30"/>
        </w:rPr>
        <w:t>城乡规划编制资质证书编号：</w:t>
      </w:r>
      <w:r>
        <w:rPr>
          <w:rFonts w:hint="eastAsia" w:ascii="宋体" w:hAnsi="宋体" w:eastAsia="宋体" w:cs="宋体"/>
          <w:sz w:val="30"/>
          <w:szCs w:val="30"/>
        </w:rPr>
        <w:t>自资规甲字21510283</w:t>
      </w:r>
    </w:p>
    <w:p w14:paraId="2C7F112D">
      <w:pPr>
        <w:ind w:firstLine="632"/>
      </w:pPr>
      <w:bookmarkStart w:id="46" w:name="_GoBack"/>
      <w:bookmarkEnd w:id="46"/>
    </w:p>
    <w:p w14:paraId="5FCDA073">
      <w:pPr>
        <w:spacing w:line="480" w:lineRule="auto"/>
        <w:ind w:firstLine="296" w:firstLineChars="100"/>
        <w:rPr>
          <w:rFonts w:eastAsiaTheme="minorEastAsia"/>
          <w:sz w:val="30"/>
          <w:szCs w:val="30"/>
        </w:rPr>
      </w:pPr>
      <w:r>
        <w:rPr>
          <w:rFonts w:hint="eastAsia" w:ascii="黑体" w:eastAsia="黑体" w:hAnsiTheme="minorHAnsi"/>
          <w:sz w:val="30"/>
          <w:szCs w:val="30"/>
        </w:rPr>
        <w:t>院          长：</w:t>
      </w:r>
      <w:r>
        <w:rPr>
          <w:rFonts w:hint="eastAsia" w:eastAsiaTheme="minorEastAsia"/>
          <w:sz w:val="30"/>
          <w:szCs w:val="30"/>
        </w:rPr>
        <w:t>刘  波 正高级工程师 注册城乡规划师</w:t>
      </w:r>
    </w:p>
    <w:p w14:paraId="0EC5373C">
      <w:pPr>
        <w:ind w:firstLine="296" w:firstLineChars="100"/>
        <w:rPr>
          <w:rFonts w:eastAsiaTheme="minorEastAsia"/>
          <w:sz w:val="30"/>
          <w:szCs w:val="30"/>
        </w:rPr>
      </w:pPr>
      <w:r>
        <w:rPr>
          <w:rFonts w:hint="eastAsia" w:ascii="黑体" w:eastAsia="黑体" w:hAnsiTheme="minorHAnsi"/>
          <w:sz w:val="30"/>
          <w:szCs w:val="30"/>
        </w:rPr>
        <w:t>总  规  划  师</w:t>
      </w:r>
      <w:r>
        <w:rPr>
          <w:rFonts w:ascii="黑体" w:eastAsia="黑体" w:hAnsiTheme="minorHAnsi"/>
          <w:sz w:val="30"/>
          <w:szCs w:val="30"/>
        </w:rPr>
        <w:t>：</w:t>
      </w:r>
      <w:r>
        <w:rPr>
          <w:rFonts w:hint="eastAsia" w:eastAsiaTheme="minorEastAsia"/>
          <w:sz w:val="30"/>
          <w:szCs w:val="30"/>
        </w:rPr>
        <w:t>刘  俊 高级工程师   注册城乡规划师</w:t>
      </w:r>
    </w:p>
    <w:p w14:paraId="4FC44A1A">
      <w:pPr>
        <w:ind w:firstLine="296" w:firstLineChars="100"/>
        <w:rPr>
          <w:rFonts w:eastAsiaTheme="minorEastAsia"/>
          <w:sz w:val="30"/>
          <w:szCs w:val="30"/>
        </w:rPr>
      </w:pPr>
      <w:r>
        <w:rPr>
          <w:rFonts w:hint="eastAsia" w:ascii="黑体" w:eastAsia="黑体" w:hAnsiTheme="minorHAnsi"/>
          <w:sz w:val="30"/>
          <w:szCs w:val="30"/>
        </w:rPr>
        <w:t>空间规划所所长：</w:t>
      </w:r>
      <w:r>
        <w:rPr>
          <w:rFonts w:hint="eastAsia" w:eastAsiaTheme="minorEastAsia"/>
          <w:sz w:val="30"/>
          <w:szCs w:val="30"/>
        </w:rPr>
        <w:t>赵  征 高级工程师   注册城乡规划师</w:t>
      </w:r>
    </w:p>
    <w:p w14:paraId="7D268EF4">
      <w:pPr>
        <w:ind w:firstLine="296" w:firstLineChars="100"/>
      </w:pPr>
      <w:r>
        <w:rPr>
          <w:rFonts w:ascii="黑体" w:eastAsia="黑体" w:hAnsiTheme="minorHAnsi"/>
          <w:sz w:val="30"/>
          <w:szCs w:val="30"/>
        </w:rPr>
        <w:t>项</w:t>
      </w:r>
      <w:r>
        <w:rPr>
          <w:rFonts w:hint="eastAsia" w:ascii="黑体" w:eastAsia="黑体" w:hAnsiTheme="minorHAnsi"/>
          <w:sz w:val="30"/>
          <w:szCs w:val="30"/>
        </w:rPr>
        <w:t xml:space="preserve"> </w:t>
      </w:r>
      <w:r>
        <w:rPr>
          <w:rFonts w:ascii="黑体" w:eastAsia="黑体" w:hAnsiTheme="minorHAnsi"/>
          <w:sz w:val="30"/>
          <w:szCs w:val="30"/>
        </w:rPr>
        <w:t>目</w:t>
      </w:r>
      <w:r>
        <w:rPr>
          <w:rFonts w:hint="eastAsia" w:ascii="黑体" w:eastAsia="黑体" w:hAnsiTheme="minorHAnsi"/>
          <w:sz w:val="30"/>
          <w:szCs w:val="30"/>
        </w:rPr>
        <w:t xml:space="preserve"> </w:t>
      </w:r>
      <w:r>
        <w:rPr>
          <w:rFonts w:ascii="黑体" w:eastAsia="黑体" w:hAnsiTheme="minorHAnsi"/>
          <w:sz w:val="30"/>
          <w:szCs w:val="30"/>
        </w:rPr>
        <w:t>负</w:t>
      </w:r>
      <w:r>
        <w:rPr>
          <w:rFonts w:hint="eastAsia" w:ascii="黑体" w:eastAsia="黑体" w:hAnsiTheme="minorHAnsi"/>
          <w:sz w:val="30"/>
          <w:szCs w:val="30"/>
        </w:rPr>
        <w:t xml:space="preserve"> </w:t>
      </w:r>
      <w:r>
        <w:rPr>
          <w:rFonts w:ascii="黑体" w:eastAsia="黑体" w:hAnsiTheme="minorHAnsi"/>
          <w:sz w:val="30"/>
          <w:szCs w:val="30"/>
        </w:rPr>
        <w:t>责</w:t>
      </w:r>
      <w:r>
        <w:rPr>
          <w:rFonts w:hint="eastAsia" w:ascii="黑体" w:eastAsia="黑体" w:hAnsiTheme="minorHAnsi"/>
          <w:sz w:val="30"/>
          <w:szCs w:val="30"/>
        </w:rPr>
        <w:t xml:space="preserve"> </w:t>
      </w:r>
      <w:r>
        <w:rPr>
          <w:rFonts w:ascii="黑体" w:eastAsia="黑体" w:hAnsiTheme="minorHAnsi"/>
          <w:sz w:val="30"/>
          <w:szCs w:val="30"/>
        </w:rPr>
        <w:t>人：</w:t>
      </w:r>
      <w:r>
        <w:rPr>
          <w:rFonts w:hint="eastAsia" w:eastAsiaTheme="minorEastAsia"/>
          <w:sz w:val="30"/>
          <w:szCs w:val="30"/>
        </w:rPr>
        <w:t>李  婧 高级工程师   注册城乡规划师</w:t>
      </w:r>
    </w:p>
    <w:p w14:paraId="3C37B1EC">
      <w:pPr>
        <w:ind w:left="8012" w:leftChars="100" w:hanging="7696" w:hangingChars="2600"/>
        <w:rPr>
          <w:rFonts w:eastAsiaTheme="minorEastAsia"/>
          <w:sz w:val="30"/>
          <w:szCs w:val="30"/>
        </w:rPr>
      </w:pPr>
      <w:r>
        <w:rPr>
          <w:rFonts w:hint="eastAsia" w:ascii="黑体" w:eastAsia="黑体" w:hAnsiTheme="minorHAnsi"/>
          <w:sz w:val="30"/>
          <w:szCs w:val="30"/>
        </w:rPr>
        <w:t xml:space="preserve">项 目 参 加 </w:t>
      </w:r>
      <w:r>
        <w:rPr>
          <w:rFonts w:ascii="黑体" w:eastAsia="黑体" w:hAnsiTheme="minorHAnsi"/>
          <w:sz w:val="30"/>
          <w:szCs w:val="30"/>
        </w:rPr>
        <w:t>人：</w:t>
      </w:r>
      <w:r>
        <w:rPr>
          <w:rFonts w:hint="eastAsia" w:eastAsiaTheme="minorEastAsia"/>
          <w:sz w:val="30"/>
          <w:szCs w:val="30"/>
        </w:rPr>
        <w:t>周  强 高级工程师</w:t>
      </w:r>
    </w:p>
    <w:p w14:paraId="2458B13F">
      <w:pPr>
        <w:ind w:firstLine="2664" w:firstLineChars="900"/>
        <w:rPr>
          <w:rFonts w:eastAsiaTheme="minorEastAsia"/>
          <w:sz w:val="30"/>
          <w:szCs w:val="30"/>
        </w:rPr>
      </w:pPr>
      <w:r>
        <w:rPr>
          <w:rFonts w:hint="eastAsia" w:eastAsiaTheme="minorEastAsia"/>
          <w:sz w:val="30"/>
          <w:szCs w:val="30"/>
        </w:rPr>
        <w:t>袁秋艳 工程师</w:t>
      </w:r>
    </w:p>
    <w:p w14:paraId="1CD7730D">
      <w:pPr>
        <w:ind w:firstLine="2664" w:firstLineChars="900"/>
        <w:rPr>
          <w:rFonts w:eastAsiaTheme="minorEastAsia"/>
          <w:sz w:val="30"/>
          <w:szCs w:val="30"/>
        </w:rPr>
      </w:pPr>
    </w:p>
    <w:p w14:paraId="6F7F2564">
      <w:pPr>
        <w:ind w:firstLine="632"/>
        <w:rPr>
          <w:rFonts w:hint="eastAsia"/>
        </w:rPr>
      </w:pPr>
    </w:p>
    <w:p w14:paraId="3D83B695">
      <w:pPr>
        <w:ind w:firstLine="632"/>
        <w:rPr>
          <w:rFonts w:hint="eastAsia"/>
        </w:rPr>
      </w:pPr>
    </w:p>
    <w:p w14:paraId="2082F121">
      <w:pPr>
        <w:ind w:firstLine="632"/>
        <w:rPr>
          <w:rFonts w:hint="eastAsia"/>
        </w:rPr>
      </w:pPr>
    </w:p>
    <w:p w14:paraId="61DA3546">
      <w:pPr>
        <w:ind w:firstLine="632"/>
        <w:rPr>
          <w:rFonts w:hint="eastAsia"/>
        </w:rPr>
      </w:pPr>
    </w:p>
    <w:p w14:paraId="198E2276">
      <w:pPr>
        <w:ind w:firstLine="632"/>
        <w:rPr>
          <w:rFonts w:hint="eastAsia"/>
        </w:rPr>
      </w:pPr>
    </w:p>
    <w:p w14:paraId="1C1CF38F">
      <w:pPr>
        <w:ind w:firstLine="632"/>
      </w:pPr>
    </w:p>
    <w:p w14:paraId="0D4A8A8F">
      <w:pPr>
        <w:ind w:firstLine="296" w:firstLineChars="100"/>
        <w:rPr>
          <w:rFonts w:eastAsiaTheme="minorEastAsia"/>
          <w:sz w:val="30"/>
          <w:szCs w:val="30"/>
        </w:rPr>
      </w:pPr>
      <w:r>
        <w:rPr>
          <w:rFonts w:hint="eastAsia" w:ascii="黑体" w:eastAsia="黑体" w:hAnsiTheme="minorHAnsi"/>
          <w:sz w:val="30"/>
          <w:szCs w:val="30"/>
        </w:rPr>
        <w:t>校          核</w:t>
      </w:r>
      <w:r>
        <w:rPr>
          <w:rFonts w:ascii="黑体" w:eastAsia="黑体" w:hAnsiTheme="minorHAnsi"/>
          <w:sz w:val="30"/>
          <w:szCs w:val="30"/>
        </w:rPr>
        <w:t>：</w:t>
      </w:r>
      <w:r>
        <w:rPr>
          <w:rFonts w:hint="eastAsia" w:eastAsiaTheme="minorEastAsia"/>
          <w:sz w:val="30"/>
          <w:szCs w:val="30"/>
        </w:rPr>
        <w:t>赵  征、林厚宇</w:t>
      </w:r>
    </w:p>
    <w:p w14:paraId="4FA73DFF">
      <w:pPr>
        <w:ind w:firstLine="632"/>
        <w:sectPr>
          <w:footerReference r:id="rId11" w:type="default"/>
          <w:pgSz w:w="23811" w:h="16838" w:orient="landscape"/>
          <w:pgMar w:top="1587" w:right="1871" w:bottom="1474" w:left="1871" w:header="851" w:footer="992" w:gutter="0"/>
          <w:pgBorders>
            <w:top w:val="none" w:sz="0" w:space="0"/>
            <w:left w:val="none" w:sz="0" w:space="0"/>
            <w:bottom w:val="none" w:sz="0" w:space="0"/>
            <w:right w:val="none" w:sz="0" w:space="0"/>
          </w:pgBorders>
          <w:pgNumType w:start="1"/>
          <w:cols w:equalWidth="0" w:num="2">
            <w:col w:w="9822" w:space="425"/>
            <w:col w:w="9822"/>
          </w:cols>
          <w:docGrid w:type="linesAndChars" w:linePitch="437" w:charSpace="-842"/>
        </w:sectPr>
      </w:pPr>
    </w:p>
    <w:p w14:paraId="5A1BC6BA">
      <w:pPr>
        <w:spacing w:line="240" w:lineRule="auto"/>
        <w:ind w:firstLine="0" w:firstLineChars="0"/>
        <w:jc w:val="center"/>
        <w:rPr>
          <w:rFonts w:ascii="黑体" w:hAnsi="黑体" w:eastAsia="黑体" w:cs="黑体"/>
          <w:sz w:val="36"/>
          <w:szCs w:val="36"/>
        </w:rPr>
      </w:pPr>
      <w:r>
        <w:rPr>
          <w:rFonts w:hint="eastAsia" w:ascii="黑体" w:hAnsi="黑体" w:eastAsia="黑体" w:cs="黑体"/>
          <w:sz w:val="36"/>
          <w:szCs w:val="36"/>
        </w:rPr>
        <w:t>目  录</w:t>
      </w:r>
    </w:p>
    <w:p w14:paraId="0E965E40">
      <w:pPr>
        <w:pStyle w:val="9"/>
        <w:tabs>
          <w:tab w:val="right" w:leader="dot" w:pos="10253"/>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_Toc4169 </w:instrText>
      </w:r>
      <w:r>
        <w:rPr>
          <w:rFonts w:hint="eastAsia"/>
        </w:rPr>
        <w:fldChar w:fldCharType="separate"/>
      </w:r>
      <w:r>
        <w:rPr>
          <w:rFonts w:hint="eastAsia" w:ascii="方正小标宋_GBK" w:hAnsi="方正小标宋_GBK" w:eastAsia="方正小标宋_GBK" w:cs="方正小标宋_GBK"/>
          <w:szCs w:val="36"/>
        </w:rPr>
        <w:t>第一章 总 则</w:t>
      </w:r>
      <w:r>
        <w:tab/>
      </w:r>
      <w:r>
        <w:fldChar w:fldCharType="begin"/>
      </w:r>
      <w:r>
        <w:instrText xml:space="preserve"> PAGEREF _Toc4169 \h </w:instrText>
      </w:r>
      <w:r>
        <w:fldChar w:fldCharType="separate"/>
      </w:r>
      <w:r>
        <w:t>2</w:t>
      </w:r>
      <w:r>
        <w:fldChar w:fldCharType="end"/>
      </w:r>
      <w:r>
        <w:rPr>
          <w:rFonts w:hint="eastAsia"/>
        </w:rPr>
        <w:fldChar w:fldCharType="end"/>
      </w:r>
    </w:p>
    <w:p w14:paraId="30847F5F">
      <w:pPr>
        <w:pStyle w:val="10"/>
        <w:tabs>
          <w:tab w:val="right" w:leader="dot" w:pos="10253"/>
        </w:tabs>
      </w:pPr>
      <w:r>
        <w:rPr>
          <w:rFonts w:hint="eastAsia"/>
        </w:rPr>
        <w:fldChar w:fldCharType="begin"/>
      </w:r>
      <w:r>
        <w:rPr>
          <w:rFonts w:hint="eastAsia"/>
        </w:rPr>
        <w:instrText xml:space="preserve"> HYPERLINK \l _Toc25394 </w:instrText>
      </w:r>
      <w:r>
        <w:rPr>
          <w:rFonts w:hint="eastAsia"/>
        </w:rPr>
        <w:fldChar w:fldCharType="separate"/>
      </w:r>
      <w:r>
        <w:rPr>
          <w:rFonts w:hint="default" w:ascii="仿宋" w:hAnsi="仿宋" w:eastAsia="仿宋" w:cs="宋体"/>
          <w:szCs w:val="32"/>
          <w:lang w:val="en-US"/>
        </w:rPr>
        <w:t xml:space="preserve">第1条 </w:t>
      </w:r>
      <w:r>
        <w:rPr>
          <w:rFonts w:hint="eastAsia" w:ascii="仿宋_GB2312" w:hAnsi="仿宋_GB2312" w:eastAsia="仿宋_GB2312" w:cs="仿宋_GB2312"/>
          <w:szCs w:val="32"/>
        </w:rPr>
        <w:t>规划目的</w:t>
      </w:r>
      <w:r>
        <w:tab/>
      </w:r>
      <w:r>
        <w:fldChar w:fldCharType="begin"/>
      </w:r>
      <w:r>
        <w:instrText xml:space="preserve"> PAGEREF _Toc25394 \h </w:instrText>
      </w:r>
      <w:r>
        <w:fldChar w:fldCharType="separate"/>
      </w:r>
      <w:r>
        <w:t>2</w:t>
      </w:r>
      <w:r>
        <w:fldChar w:fldCharType="end"/>
      </w:r>
      <w:r>
        <w:rPr>
          <w:rFonts w:hint="eastAsia"/>
        </w:rPr>
        <w:fldChar w:fldCharType="end"/>
      </w:r>
    </w:p>
    <w:p w14:paraId="443B6E35">
      <w:pPr>
        <w:pStyle w:val="10"/>
        <w:tabs>
          <w:tab w:val="right" w:leader="dot" w:pos="10253"/>
        </w:tabs>
      </w:pPr>
      <w:r>
        <w:rPr>
          <w:rFonts w:hint="eastAsia"/>
        </w:rPr>
        <w:fldChar w:fldCharType="begin"/>
      </w:r>
      <w:r>
        <w:rPr>
          <w:rFonts w:hint="eastAsia"/>
        </w:rPr>
        <w:instrText xml:space="preserve"> HYPERLINK \l _Toc18871 </w:instrText>
      </w:r>
      <w:r>
        <w:rPr>
          <w:rFonts w:hint="eastAsia"/>
        </w:rPr>
        <w:fldChar w:fldCharType="separate"/>
      </w:r>
      <w:r>
        <w:rPr>
          <w:rFonts w:hint="default" w:ascii="仿宋" w:hAnsi="仿宋" w:eastAsia="仿宋" w:cs="宋体"/>
          <w:szCs w:val="32"/>
          <w:lang w:val="en-US"/>
        </w:rPr>
        <w:t xml:space="preserve">第2条 </w:t>
      </w:r>
      <w:r>
        <w:rPr>
          <w:rFonts w:hint="eastAsia" w:ascii="仿宋_GB2312" w:hAnsi="仿宋_GB2312" w:eastAsia="仿宋_GB2312" w:cs="仿宋_GB2312"/>
          <w:szCs w:val="32"/>
        </w:rPr>
        <w:t>适用范围</w:t>
      </w:r>
      <w:r>
        <w:tab/>
      </w:r>
      <w:r>
        <w:fldChar w:fldCharType="begin"/>
      </w:r>
      <w:r>
        <w:instrText xml:space="preserve"> PAGEREF _Toc18871 \h </w:instrText>
      </w:r>
      <w:r>
        <w:fldChar w:fldCharType="separate"/>
      </w:r>
      <w:r>
        <w:t>2</w:t>
      </w:r>
      <w:r>
        <w:fldChar w:fldCharType="end"/>
      </w:r>
      <w:r>
        <w:rPr>
          <w:rFonts w:hint="eastAsia"/>
        </w:rPr>
        <w:fldChar w:fldCharType="end"/>
      </w:r>
    </w:p>
    <w:p w14:paraId="1F37CE5B">
      <w:pPr>
        <w:pStyle w:val="10"/>
        <w:tabs>
          <w:tab w:val="right" w:leader="dot" w:pos="10253"/>
        </w:tabs>
      </w:pPr>
      <w:r>
        <w:rPr>
          <w:rFonts w:hint="eastAsia"/>
        </w:rPr>
        <w:fldChar w:fldCharType="begin"/>
      </w:r>
      <w:r>
        <w:rPr>
          <w:rFonts w:hint="eastAsia"/>
        </w:rPr>
        <w:instrText xml:space="preserve"> HYPERLINK \l _Toc24793 </w:instrText>
      </w:r>
      <w:r>
        <w:rPr>
          <w:rFonts w:hint="eastAsia"/>
        </w:rPr>
        <w:fldChar w:fldCharType="separate"/>
      </w:r>
      <w:r>
        <w:rPr>
          <w:rFonts w:hint="default" w:ascii="仿宋" w:hAnsi="仿宋" w:eastAsia="仿宋" w:cs="宋体"/>
          <w:szCs w:val="32"/>
          <w:lang w:val="en-US"/>
        </w:rPr>
        <w:t xml:space="preserve">第3条 </w:t>
      </w:r>
      <w:r>
        <w:rPr>
          <w:rFonts w:hint="eastAsia" w:ascii="仿宋_GB2312" w:hAnsi="仿宋_GB2312" w:eastAsia="仿宋_GB2312" w:cs="仿宋_GB2312"/>
          <w:szCs w:val="32"/>
        </w:rPr>
        <w:t>地位作用</w:t>
      </w:r>
      <w:r>
        <w:tab/>
      </w:r>
      <w:r>
        <w:fldChar w:fldCharType="begin"/>
      </w:r>
      <w:r>
        <w:instrText xml:space="preserve"> PAGEREF _Toc24793 \h </w:instrText>
      </w:r>
      <w:r>
        <w:fldChar w:fldCharType="separate"/>
      </w:r>
      <w:r>
        <w:t>2</w:t>
      </w:r>
      <w:r>
        <w:fldChar w:fldCharType="end"/>
      </w:r>
      <w:r>
        <w:rPr>
          <w:rFonts w:hint="eastAsia"/>
        </w:rPr>
        <w:fldChar w:fldCharType="end"/>
      </w:r>
    </w:p>
    <w:p w14:paraId="4815070E">
      <w:pPr>
        <w:pStyle w:val="10"/>
        <w:tabs>
          <w:tab w:val="right" w:leader="dot" w:pos="10253"/>
        </w:tabs>
      </w:pPr>
      <w:r>
        <w:rPr>
          <w:rFonts w:hint="eastAsia"/>
        </w:rPr>
        <w:fldChar w:fldCharType="begin"/>
      </w:r>
      <w:r>
        <w:rPr>
          <w:rFonts w:hint="eastAsia"/>
        </w:rPr>
        <w:instrText xml:space="preserve"> HYPERLINK \l _Toc16909 </w:instrText>
      </w:r>
      <w:r>
        <w:rPr>
          <w:rFonts w:hint="eastAsia"/>
        </w:rPr>
        <w:fldChar w:fldCharType="separate"/>
      </w:r>
      <w:r>
        <w:rPr>
          <w:rFonts w:hint="default" w:ascii="仿宋" w:hAnsi="仿宋" w:eastAsia="仿宋" w:cs="宋体"/>
          <w:szCs w:val="32"/>
          <w:lang w:val="en-US"/>
        </w:rPr>
        <w:t xml:space="preserve">第4条 </w:t>
      </w:r>
      <w:r>
        <w:rPr>
          <w:rFonts w:hint="eastAsia" w:ascii="仿宋_GB2312" w:hAnsi="仿宋_GB2312" w:eastAsia="仿宋_GB2312" w:cs="仿宋_GB2312"/>
          <w:szCs w:val="32"/>
        </w:rPr>
        <w:t>规划层面</w:t>
      </w:r>
      <w:r>
        <w:tab/>
      </w:r>
      <w:r>
        <w:fldChar w:fldCharType="begin"/>
      </w:r>
      <w:r>
        <w:instrText xml:space="preserve"> PAGEREF _Toc16909 \h </w:instrText>
      </w:r>
      <w:r>
        <w:fldChar w:fldCharType="separate"/>
      </w:r>
      <w:r>
        <w:t>2</w:t>
      </w:r>
      <w:r>
        <w:fldChar w:fldCharType="end"/>
      </w:r>
      <w:r>
        <w:rPr>
          <w:rFonts w:hint="eastAsia"/>
        </w:rPr>
        <w:fldChar w:fldCharType="end"/>
      </w:r>
    </w:p>
    <w:p w14:paraId="7E74A485">
      <w:pPr>
        <w:pStyle w:val="10"/>
        <w:tabs>
          <w:tab w:val="right" w:leader="dot" w:pos="10253"/>
        </w:tabs>
      </w:pPr>
      <w:r>
        <w:rPr>
          <w:rFonts w:hint="eastAsia"/>
        </w:rPr>
        <w:fldChar w:fldCharType="begin"/>
      </w:r>
      <w:r>
        <w:rPr>
          <w:rFonts w:hint="eastAsia"/>
        </w:rPr>
        <w:instrText xml:space="preserve"> HYPERLINK \l _Toc22162 </w:instrText>
      </w:r>
      <w:r>
        <w:rPr>
          <w:rFonts w:hint="eastAsia"/>
        </w:rPr>
        <w:fldChar w:fldCharType="separate"/>
      </w:r>
      <w:r>
        <w:rPr>
          <w:rFonts w:hint="default" w:ascii="仿宋" w:hAnsi="仿宋" w:eastAsia="仿宋" w:cs="宋体"/>
          <w:szCs w:val="32"/>
          <w:lang w:val="en-US"/>
        </w:rPr>
        <w:t xml:space="preserve">第5条 </w:t>
      </w:r>
      <w:r>
        <w:rPr>
          <w:rFonts w:hint="eastAsia" w:ascii="仿宋_GB2312" w:hAnsi="仿宋_GB2312" w:eastAsia="仿宋_GB2312" w:cs="仿宋_GB2312"/>
          <w:szCs w:val="32"/>
        </w:rPr>
        <w:t>规划原则</w:t>
      </w:r>
      <w:r>
        <w:tab/>
      </w:r>
      <w:r>
        <w:fldChar w:fldCharType="begin"/>
      </w:r>
      <w:r>
        <w:instrText xml:space="preserve"> PAGEREF _Toc22162 \h </w:instrText>
      </w:r>
      <w:r>
        <w:fldChar w:fldCharType="separate"/>
      </w:r>
      <w:r>
        <w:t>2</w:t>
      </w:r>
      <w:r>
        <w:fldChar w:fldCharType="end"/>
      </w:r>
      <w:r>
        <w:rPr>
          <w:rFonts w:hint="eastAsia"/>
        </w:rPr>
        <w:fldChar w:fldCharType="end"/>
      </w:r>
    </w:p>
    <w:p w14:paraId="7B9BFE19">
      <w:pPr>
        <w:pStyle w:val="10"/>
        <w:tabs>
          <w:tab w:val="right" w:leader="dot" w:pos="10253"/>
        </w:tabs>
      </w:pPr>
      <w:r>
        <w:rPr>
          <w:rFonts w:hint="eastAsia"/>
        </w:rPr>
        <w:fldChar w:fldCharType="begin"/>
      </w:r>
      <w:r>
        <w:rPr>
          <w:rFonts w:hint="eastAsia"/>
        </w:rPr>
        <w:instrText xml:space="preserve"> HYPERLINK \l _Toc11472 </w:instrText>
      </w:r>
      <w:r>
        <w:rPr>
          <w:rFonts w:hint="eastAsia"/>
        </w:rPr>
        <w:fldChar w:fldCharType="separate"/>
      </w:r>
      <w:r>
        <w:rPr>
          <w:rFonts w:hint="default" w:ascii="仿宋" w:hAnsi="仿宋" w:eastAsia="仿宋" w:cs="宋体"/>
          <w:szCs w:val="32"/>
          <w:lang w:val="en-US"/>
        </w:rPr>
        <w:t xml:space="preserve">第6条 </w:t>
      </w:r>
      <w:r>
        <w:rPr>
          <w:rFonts w:hint="eastAsia" w:ascii="仿宋_GB2312" w:hAnsi="仿宋_GB2312" w:eastAsia="仿宋_GB2312" w:cs="仿宋_GB2312"/>
          <w:szCs w:val="32"/>
        </w:rPr>
        <w:t>成果和法律定位</w:t>
      </w:r>
      <w:r>
        <w:tab/>
      </w:r>
      <w:r>
        <w:fldChar w:fldCharType="begin"/>
      </w:r>
      <w:r>
        <w:instrText xml:space="preserve"> PAGEREF _Toc11472 \h </w:instrText>
      </w:r>
      <w:r>
        <w:fldChar w:fldCharType="separate"/>
      </w:r>
      <w:r>
        <w:t>2</w:t>
      </w:r>
      <w:r>
        <w:fldChar w:fldCharType="end"/>
      </w:r>
      <w:r>
        <w:rPr>
          <w:rFonts w:hint="eastAsia"/>
        </w:rPr>
        <w:fldChar w:fldCharType="end"/>
      </w:r>
    </w:p>
    <w:p w14:paraId="1EB6A4F9">
      <w:pPr>
        <w:pStyle w:val="10"/>
        <w:tabs>
          <w:tab w:val="right" w:leader="dot" w:pos="10253"/>
        </w:tabs>
      </w:pPr>
      <w:r>
        <w:rPr>
          <w:rFonts w:hint="eastAsia"/>
        </w:rPr>
        <w:fldChar w:fldCharType="begin"/>
      </w:r>
      <w:r>
        <w:rPr>
          <w:rFonts w:hint="eastAsia"/>
        </w:rPr>
        <w:instrText xml:space="preserve"> HYPERLINK \l _Toc31267 </w:instrText>
      </w:r>
      <w:r>
        <w:rPr>
          <w:rFonts w:hint="eastAsia"/>
        </w:rPr>
        <w:fldChar w:fldCharType="separate"/>
      </w:r>
      <w:r>
        <w:rPr>
          <w:rFonts w:hint="default" w:ascii="仿宋" w:hAnsi="仿宋" w:eastAsia="仿宋" w:cs="宋体"/>
          <w:szCs w:val="32"/>
          <w:lang w:val="en-US"/>
        </w:rPr>
        <w:t xml:space="preserve">第7条 </w:t>
      </w:r>
      <w:r>
        <w:rPr>
          <w:rFonts w:hint="eastAsia" w:ascii="仿宋_GB2312" w:hAnsi="仿宋_GB2312" w:eastAsia="仿宋_GB2312" w:cs="仿宋_GB2312"/>
          <w:szCs w:val="32"/>
        </w:rPr>
        <w:t>规划依据</w:t>
      </w:r>
      <w:r>
        <w:tab/>
      </w:r>
      <w:r>
        <w:fldChar w:fldCharType="begin"/>
      </w:r>
      <w:r>
        <w:instrText xml:space="preserve"> PAGEREF _Toc31267 \h </w:instrText>
      </w:r>
      <w:r>
        <w:fldChar w:fldCharType="separate"/>
      </w:r>
      <w:r>
        <w:t>2</w:t>
      </w:r>
      <w:r>
        <w:fldChar w:fldCharType="end"/>
      </w:r>
      <w:r>
        <w:rPr>
          <w:rFonts w:hint="eastAsia"/>
        </w:rPr>
        <w:fldChar w:fldCharType="end"/>
      </w:r>
    </w:p>
    <w:p w14:paraId="2B9B5C91">
      <w:pPr>
        <w:pStyle w:val="10"/>
        <w:tabs>
          <w:tab w:val="right" w:leader="dot" w:pos="10253"/>
        </w:tabs>
      </w:pPr>
      <w:r>
        <w:rPr>
          <w:rFonts w:hint="eastAsia"/>
        </w:rPr>
        <w:fldChar w:fldCharType="begin"/>
      </w:r>
      <w:r>
        <w:rPr>
          <w:rFonts w:hint="eastAsia"/>
        </w:rPr>
        <w:instrText xml:space="preserve"> HYPERLINK \l _Toc16309 </w:instrText>
      </w:r>
      <w:r>
        <w:rPr>
          <w:rFonts w:hint="eastAsia"/>
        </w:rPr>
        <w:fldChar w:fldCharType="separate"/>
      </w:r>
      <w:r>
        <w:rPr>
          <w:rFonts w:hint="default" w:ascii="仿宋" w:hAnsi="仿宋" w:eastAsia="仿宋" w:cs="宋体"/>
          <w:szCs w:val="32"/>
          <w:lang w:val="en-US"/>
        </w:rPr>
        <w:t xml:space="preserve">第8条 </w:t>
      </w:r>
      <w:r>
        <w:rPr>
          <w:rFonts w:hint="eastAsia" w:ascii="仿宋_GB2312" w:hAnsi="仿宋_GB2312" w:eastAsia="仿宋_GB2312" w:cs="仿宋_GB2312"/>
          <w:szCs w:val="32"/>
        </w:rPr>
        <w:t>执行主体和管理权限</w:t>
      </w:r>
      <w:r>
        <w:tab/>
      </w:r>
      <w:r>
        <w:fldChar w:fldCharType="begin"/>
      </w:r>
      <w:r>
        <w:instrText xml:space="preserve"> PAGEREF _Toc16309 \h </w:instrText>
      </w:r>
      <w:r>
        <w:fldChar w:fldCharType="separate"/>
      </w:r>
      <w:r>
        <w:t>2</w:t>
      </w:r>
      <w:r>
        <w:fldChar w:fldCharType="end"/>
      </w:r>
      <w:r>
        <w:rPr>
          <w:rFonts w:hint="eastAsia"/>
        </w:rPr>
        <w:fldChar w:fldCharType="end"/>
      </w:r>
    </w:p>
    <w:p w14:paraId="3E2774D8">
      <w:pPr>
        <w:pStyle w:val="10"/>
        <w:tabs>
          <w:tab w:val="right" w:leader="dot" w:pos="10253"/>
        </w:tabs>
      </w:pPr>
      <w:r>
        <w:rPr>
          <w:rFonts w:hint="eastAsia"/>
        </w:rPr>
        <w:fldChar w:fldCharType="begin"/>
      </w:r>
      <w:r>
        <w:rPr>
          <w:rFonts w:hint="eastAsia"/>
        </w:rPr>
        <w:instrText xml:space="preserve"> HYPERLINK \l _Toc19784 </w:instrText>
      </w:r>
      <w:r>
        <w:rPr>
          <w:rFonts w:hint="eastAsia"/>
        </w:rPr>
        <w:fldChar w:fldCharType="separate"/>
      </w:r>
      <w:r>
        <w:rPr>
          <w:rFonts w:hint="default" w:ascii="仿宋" w:hAnsi="仿宋" w:eastAsia="仿宋" w:cs="宋体"/>
          <w:szCs w:val="32"/>
          <w:lang w:val="en-US"/>
        </w:rPr>
        <w:t xml:space="preserve">第9条 </w:t>
      </w:r>
      <w:r>
        <w:rPr>
          <w:rFonts w:hint="eastAsia" w:ascii="仿宋_GB2312" w:hAnsi="仿宋_GB2312" w:eastAsia="仿宋_GB2312" w:cs="仿宋_GB2312"/>
          <w:szCs w:val="32"/>
        </w:rPr>
        <w:t>强制性规划内容</w:t>
      </w:r>
      <w:r>
        <w:tab/>
      </w:r>
      <w:r>
        <w:fldChar w:fldCharType="begin"/>
      </w:r>
      <w:r>
        <w:instrText xml:space="preserve"> PAGEREF _Toc19784 \h </w:instrText>
      </w:r>
      <w:r>
        <w:fldChar w:fldCharType="separate"/>
      </w:r>
      <w:r>
        <w:t>3</w:t>
      </w:r>
      <w:r>
        <w:fldChar w:fldCharType="end"/>
      </w:r>
      <w:r>
        <w:rPr>
          <w:rFonts w:hint="eastAsia"/>
        </w:rPr>
        <w:fldChar w:fldCharType="end"/>
      </w:r>
    </w:p>
    <w:p w14:paraId="31688062">
      <w:pPr>
        <w:pStyle w:val="9"/>
        <w:tabs>
          <w:tab w:val="right" w:leader="dot" w:pos="10253"/>
        </w:tabs>
      </w:pPr>
      <w:r>
        <w:rPr>
          <w:rFonts w:hint="eastAsia"/>
        </w:rPr>
        <w:fldChar w:fldCharType="begin"/>
      </w:r>
      <w:r>
        <w:rPr>
          <w:rFonts w:hint="eastAsia"/>
        </w:rPr>
        <w:instrText xml:space="preserve"> HYPERLINK \l _Toc5348 </w:instrText>
      </w:r>
      <w:r>
        <w:rPr>
          <w:rFonts w:hint="eastAsia"/>
        </w:rPr>
        <w:fldChar w:fldCharType="separate"/>
      </w:r>
      <w:r>
        <w:rPr>
          <w:rFonts w:hint="eastAsia" w:ascii="方正小标宋_GBK" w:hAnsi="方正小标宋_GBK" w:eastAsia="方正小标宋_GBK" w:cs="方正小标宋_GBK"/>
          <w:szCs w:val="36"/>
        </w:rPr>
        <w:t>第二章 基础工作</w:t>
      </w:r>
      <w:r>
        <w:tab/>
      </w:r>
      <w:r>
        <w:fldChar w:fldCharType="begin"/>
      </w:r>
      <w:r>
        <w:instrText xml:space="preserve"> PAGEREF _Toc5348 \h </w:instrText>
      </w:r>
      <w:r>
        <w:fldChar w:fldCharType="separate"/>
      </w:r>
      <w:r>
        <w:t>3</w:t>
      </w:r>
      <w:r>
        <w:fldChar w:fldCharType="end"/>
      </w:r>
      <w:r>
        <w:rPr>
          <w:rFonts w:hint="eastAsia"/>
        </w:rPr>
        <w:fldChar w:fldCharType="end"/>
      </w:r>
    </w:p>
    <w:p w14:paraId="6272C4D9">
      <w:pPr>
        <w:pStyle w:val="10"/>
        <w:tabs>
          <w:tab w:val="right" w:leader="dot" w:pos="10253"/>
        </w:tabs>
      </w:pPr>
      <w:r>
        <w:rPr>
          <w:rFonts w:hint="eastAsia"/>
        </w:rPr>
        <w:fldChar w:fldCharType="begin"/>
      </w:r>
      <w:r>
        <w:rPr>
          <w:rFonts w:hint="eastAsia"/>
        </w:rPr>
        <w:instrText xml:space="preserve"> HYPERLINK \l _Toc2946 </w:instrText>
      </w:r>
      <w:r>
        <w:rPr>
          <w:rFonts w:hint="eastAsia"/>
        </w:rPr>
        <w:fldChar w:fldCharType="separate"/>
      </w:r>
      <w:r>
        <w:rPr>
          <w:rFonts w:hint="default" w:ascii="仿宋" w:hAnsi="仿宋" w:eastAsia="仿宋" w:cs="宋体"/>
          <w:szCs w:val="32"/>
          <w:lang w:val="en-US"/>
        </w:rPr>
        <w:t xml:space="preserve">第10条 </w:t>
      </w:r>
      <w:r>
        <w:rPr>
          <w:rFonts w:hint="eastAsia" w:ascii="仿宋_GB2312" w:hAnsi="仿宋_GB2312" w:eastAsia="仿宋_GB2312" w:cs="仿宋_GB2312"/>
          <w:szCs w:val="32"/>
        </w:rPr>
        <w:t>底图底数</w:t>
      </w:r>
      <w:r>
        <w:tab/>
      </w:r>
      <w:r>
        <w:fldChar w:fldCharType="begin"/>
      </w:r>
      <w:r>
        <w:instrText xml:space="preserve"> PAGEREF _Toc2946 \h </w:instrText>
      </w:r>
      <w:r>
        <w:fldChar w:fldCharType="separate"/>
      </w:r>
      <w:r>
        <w:t>3</w:t>
      </w:r>
      <w:r>
        <w:fldChar w:fldCharType="end"/>
      </w:r>
      <w:r>
        <w:rPr>
          <w:rFonts w:hint="eastAsia"/>
        </w:rPr>
        <w:fldChar w:fldCharType="end"/>
      </w:r>
    </w:p>
    <w:p w14:paraId="23D5105C">
      <w:pPr>
        <w:pStyle w:val="10"/>
        <w:tabs>
          <w:tab w:val="right" w:leader="dot" w:pos="10253"/>
        </w:tabs>
      </w:pPr>
      <w:r>
        <w:rPr>
          <w:rFonts w:hint="eastAsia"/>
        </w:rPr>
        <w:fldChar w:fldCharType="begin"/>
      </w:r>
      <w:r>
        <w:rPr>
          <w:rFonts w:hint="eastAsia"/>
        </w:rPr>
        <w:instrText xml:space="preserve"> HYPERLINK \l _Toc9221 </w:instrText>
      </w:r>
      <w:r>
        <w:rPr>
          <w:rFonts w:hint="eastAsia"/>
        </w:rPr>
        <w:fldChar w:fldCharType="separate"/>
      </w:r>
      <w:r>
        <w:rPr>
          <w:rFonts w:hint="default" w:ascii="仿宋" w:hAnsi="仿宋" w:eastAsia="仿宋" w:cs="宋体"/>
          <w:szCs w:val="32"/>
          <w:lang w:val="en-US"/>
        </w:rPr>
        <w:t xml:space="preserve">第11条 </w:t>
      </w:r>
      <w:r>
        <w:rPr>
          <w:rFonts w:hint="eastAsia" w:ascii="仿宋_GB2312" w:hAnsi="仿宋_GB2312" w:eastAsia="仿宋_GB2312" w:cs="仿宋_GB2312"/>
          <w:szCs w:val="32"/>
        </w:rPr>
        <w:t>特征问题</w:t>
      </w:r>
      <w:r>
        <w:tab/>
      </w:r>
      <w:r>
        <w:fldChar w:fldCharType="begin"/>
      </w:r>
      <w:r>
        <w:instrText xml:space="preserve"> PAGEREF _Toc9221 \h </w:instrText>
      </w:r>
      <w:r>
        <w:fldChar w:fldCharType="separate"/>
      </w:r>
      <w:r>
        <w:t>3</w:t>
      </w:r>
      <w:r>
        <w:fldChar w:fldCharType="end"/>
      </w:r>
      <w:r>
        <w:rPr>
          <w:rFonts w:hint="eastAsia"/>
        </w:rPr>
        <w:fldChar w:fldCharType="end"/>
      </w:r>
    </w:p>
    <w:p w14:paraId="5B4CBCD4">
      <w:pPr>
        <w:pStyle w:val="9"/>
        <w:tabs>
          <w:tab w:val="right" w:leader="dot" w:pos="10253"/>
        </w:tabs>
      </w:pPr>
      <w:r>
        <w:rPr>
          <w:rFonts w:hint="eastAsia"/>
        </w:rPr>
        <w:fldChar w:fldCharType="begin"/>
      </w:r>
      <w:r>
        <w:rPr>
          <w:rFonts w:hint="eastAsia"/>
        </w:rPr>
        <w:instrText xml:space="preserve"> HYPERLINK \l _Toc30552 </w:instrText>
      </w:r>
      <w:r>
        <w:rPr>
          <w:rFonts w:hint="eastAsia"/>
        </w:rPr>
        <w:fldChar w:fldCharType="separate"/>
      </w:r>
      <w:r>
        <w:rPr>
          <w:rFonts w:hint="eastAsia" w:ascii="方正小标宋_GBK" w:hAnsi="方正小标宋_GBK" w:eastAsia="方正小标宋_GBK" w:cs="方正小标宋_GBK"/>
          <w:szCs w:val="36"/>
        </w:rPr>
        <w:t>第三章 实施层面详细规划</w:t>
      </w:r>
      <w:r>
        <w:tab/>
      </w:r>
      <w:r>
        <w:fldChar w:fldCharType="begin"/>
      </w:r>
      <w:r>
        <w:instrText xml:space="preserve"> PAGEREF _Toc30552 \h </w:instrText>
      </w:r>
      <w:r>
        <w:fldChar w:fldCharType="separate"/>
      </w:r>
      <w:r>
        <w:t>3</w:t>
      </w:r>
      <w:r>
        <w:fldChar w:fldCharType="end"/>
      </w:r>
      <w:r>
        <w:rPr>
          <w:rFonts w:hint="eastAsia"/>
        </w:rPr>
        <w:fldChar w:fldCharType="end"/>
      </w:r>
    </w:p>
    <w:p w14:paraId="6082AC43">
      <w:pPr>
        <w:pStyle w:val="10"/>
        <w:tabs>
          <w:tab w:val="right" w:leader="dot" w:pos="10253"/>
        </w:tabs>
      </w:pPr>
      <w:r>
        <w:rPr>
          <w:rFonts w:hint="eastAsia"/>
        </w:rPr>
        <w:fldChar w:fldCharType="begin"/>
      </w:r>
      <w:r>
        <w:rPr>
          <w:rFonts w:hint="eastAsia"/>
        </w:rPr>
        <w:instrText xml:space="preserve"> HYPERLINK \l _Toc12536 </w:instrText>
      </w:r>
      <w:r>
        <w:rPr>
          <w:rFonts w:hint="eastAsia"/>
        </w:rPr>
        <w:fldChar w:fldCharType="separate"/>
      </w:r>
      <w:r>
        <w:rPr>
          <w:rFonts w:hint="default" w:ascii="仿宋" w:hAnsi="仿宋" w:eastAsia="仿宋" w:cs="宋体"/>
          <w:szCs w:val="32"/>
          <w:lang w:val="en-US"/>
        </w:rPr>
        <w:t xml:space="preserve">第12条 </w:t>
      </w:r>
      <w:r>
        <w:rPr>
          <w:rFonts w:hint="eastAsia" w:ascii="仿宋_GB2312" w:hAnsi="仿宋_GB2312" w:eastAsia="仿宋_GB2312" w:cs="仿宋_GB2312"/>
          <w:szCs w:val="32"/>
        </w:rPr>
        <w:t>土地用途</w:t>
      </w:r>
      <w:r>
        <w:tab/>
      </w:r>
      <w:r>
        <w:fldChar w:fldCharType="begin"/>
      </w:r>
      <w:r>
        <w:instrText xml:space="preserve"> PAGEREF _Toc12536 \h </w:instrText>
      </w:r>
      <w:r>
        <w:fldChar w:fldCharType="separate"/>
      </w:r>
      <w:r>
        <w:t>3</w:t>
      </w:r>
      <w:r>
        <w:fldChar w:fldCharType="end"/>
      </w:r>
      <w:r>
        <w:rPr>
          <w:rFonts w:hint="eastAsia"/>
        </w:rPr>
        <w:fldChar w:fldCharType="end"/>
      </w:r>
    </w:p>
    <w:p w14:paraId="5E6614AC">
      <w:pPr>
        <w:pStyle w:val="10"/>
        <w:tabs>
          <w:tab w:val="right" w:leader="dot" w:pos="10253"/>
        </w:tabs>
      </w:pPr>
      <w:r>
        <w:rPr>
          <w:rFonts w:hint="eastAsia"/>
        </w:rPr>
        <w:fldChar w:fldCharType="begin"/>
      </w:r>
      <w:r>
        <w:rPr>
          <w:rFonts w:hint="eastAsia"/>
        </w:rPr>
        <w:instrText xml:space="preserve"> HYPERLINK \l _Toc2749 </w:instrText>
      </w:r>
      <w:r>
        <w:rPr>
          <w:rFonts w:hint="eastAsia"/>
        </w:rPr>
        <w:fldChar w:fldCharType="separate"/>
      </w:r>
      <w:r>
        <w:rPr>
          <w:rFonts w:hint="default" w:ascii="仿宋" w:hAnsi="仿宋" w:eastAsia="仿宋" w:cs="宋体"/>
          <w:szCs w:val="32"/>
          <w:lang w:val="en-US"/>
        </w:rPr>
        <w:t xml:space="preserve">第13条 </w:t>
      </w:r>
      <w:r>
        <w:rPr>
          <w:rFonts w:hint="eastAsia" w:ascii="仿宋_GB2312" w:hAnsi="仿宋_GB2312" w:eastAsia="仿宋_GB2312" w:cs="仿宋_GB2312"/>
          <w:szCs w:val="32"/>
        </w:rPr>
        <w:t>地块划分</w:t>
      </w:r>
      <w:r>
        <w:tab/>
      </w:r>
      <w:r>
        <w:fldChar w:fldCharType="begin"/>
      </w:r>
      <w:r>
        <w:instrText xml:space="preserve"> PAGEREF _Toc2749 \h </w:instrText>
      </w:r>
      <w:r>
        <w:fldChar w:fldCharType="separate"/>
      </w:r>
      <w:r>
        <w:t>3</w:t>
      </w:r>
      <w:r>
        <w:fldChar w:fldCharType="end"/>
      </w:r>
      <w:r>
        <w:rPr>
          <w:rFonts w:hint="eastAsia"/>
        </w:rPr>
        <w:fldChar w:fldCharType="end"/>
      </w:r>
    </w:p>
    <w:p w14:paraId="3CB18C41">
      <w:pPr>
        <w:pStyle w:val="10"/>
        <w:tabs>
          <w:tab w:val="right" w:leader="dot" w:pos="10253"/>
        </w:tabs>
      </w:pPr>
      <w:r>
        <w:rPr>
          <w:rFonts w:hint="eastAsia"/>
        </w:rPr>
        <w:fldChar w:fldCharType="begin"/>
      </w:r>
      <w:r>
        <w:rPr>
          <w:rFonts w:hint="eastAsia"/>
        </w:rPr>
        <w:instrText xml:space="preserve"> HYPERLINK \l _Toc17714 </w:instrText>
      </w:r>
      <w:r>
        <w:rPr>
          <w:rFonts w:hint="eastAsia"/>
        </w:rPr>
        <w:fldChar w:fldCharType="separate"/>
      </w:r>
      <w:r>
        <w:rPr>
          <w:rFonts w:hint="default" w:ascii="仿宋" w:hAnsi="仿宋" w:eastAsia="仿宋" w:cs="宋体"/>
          <w:szCs w:val="32"/>
          <w:lang w:val="en-US"/>
        </w:rPr>
        <w:t xml:space="preserve">第14条 </w:t>
      </w:r>
      <w:r>
        <w:rPr>
          <w:rFonts w:hint="eastAsia" w:ascii="仿宋_GB2312" w:hAnsi="仿宋_GB2312" w:eastAsia="仿宋_GB2312" w:cs="仿宋_GB2312"/>
          <w:szCs w:val="32"/>
        </w:rPr>
        <w:t>地块控制指标</w:t>
      </w:r>
      <w:r>
        <w:tab/>
      </w:r>
      <w:r>
        <w:fldChar w:fldCharType="begin"/>
      </w:r>
      <w:r>
        <w:instrText xml:space="preserve"> PAGEREF _Toc17714 \h </w:instrText>
      </w:r>
      <w:r>
        <w:fldChar w:fldCharType="separate"/>
      </w:r>
      <w:r>
        <w:t>3</w:t>
      </w:r>
      <w:r>
        <w:fldChar w:fldCharType="end"/>
      </w:r>
      <w:r>
        <w:rPr>
          <w:rFonts w:hint="eastAsia"/>
        </w:rPr>
        <w:fldChar w:fldCharType="end"/>
      </w:r>
    </w:p>
    <w:p w14:paraId="4EE8A9A7">
      <w:pPr>
        <w:pStyle w:val="10"/>
        <w:tabs>
          <w:tab w:val="right" w:leader="dot" w:pos="10253"/>
        </w:tabs>
      </w:pPr>
      <w:r>
        <w:rPr>
          <w:rFonts w:hint="eastAsia"/>
        </w:rPr>
        <w:fldChar w:fldCharType="begin"/>
      </w:r>
      <w:r>
        <w:rPr>
          <w:rFonts w:hint="eastAsia"/>
        </w:rPr>
        <w:instrText xml:space="preserve"> HYPERLINK \l _Toc27504 </w:instrText>
      </w:r>
      <w:r>
        <w:rPr>
          <w:rFonts w:hint="eastAsia"/>
        </w:rPr>
        <w:fldChar w:fldCharType="separate"/>
      </w:r>
      <w:r>
        <w:rPr>
          <w:rFonts w:hint="default" w:ascii="仿宋" w:hAnsi="仿宋" w:eastAsia="仿宋" w:cs="宋体"/>
          <w:szCs w:val="32"/>
          <w:lang w:val="en-US"/>
        </w:rPr>
        <w:t xml:space="preserve">第15条 </w:t>
      </w:r>
      <w:r>
        <w:rPr>
          <w:rFonts w:hint="eastAsia" w:ascii="仿宋_GB2312" w:hAnsi="仿宋_GB2312" w:eastAsia="仿宋_GB2312" w:cs="仿宋_GB2312"/>
          <w:szCs w:val="32"/>
        </w:rPr>
        <w:t>土地兼容</w:t>
      </w:r>
      <w:r>
        <w:tab/>
      </w:r>
      <w:r>
        <w:fldChar w:fldCharType="begin"/>
      </w:r>
      <w:r>
        <w:instrText xml:space="preserve"> PAGEREF _Toc27504 \h </w:instrText>
      </w:r>
      <w:r>
        <w:fldChar w:fldCharType="separate"/>
      </w:r>
      <w:r>
        <w:t>3</w:t>
      </w:r>
      <w:r>
        <w:fldChar w:fldCharType="end"/>
      </w:r>
      <w:r>
        <w:rPr>
          <w:rFonts w:hint="eastAsia"/>
        </w:rPr>
        <w:fldChar w:fldCharType="end"/>
      </w:r>
    </w:p>
    <w:p w14:paraId="07C010B8">
      <w:pPr>
        <w:pStyle w:val="10"/>
        <w:tabs>
          <w:tab w:val="right" w:leader="dot" w:pos="10253"/>
        </w:tabs>
      </w:pPr>
      <w:r>
        <w:rPr>
          <w:rFonts w:hint="eastAsia"/>
        </w:rPr>
        <w:fldChar w:fldCharType="begin"/>
      </w:r>
      <w:r>
        <w:rPr>
          <w:rFonts w:hint="eastAsia"/>
        </w:rPr>
        <w:instrText xml:space="preserve"> HYPERLINK \l _Toc12560 </w:instrText>
      </w:r>
      <w:r>
        <w:rPr>
          <w:rFonts w:hint="eastAsia"/>
        </w:rPr>
        <w:fldChar w:fldCharType="separate"/>
      </w:r>
      <w:r>
        <w:rPr>
          <w:rFonts w:hint="default" w:ascii="仿宋" w:hAnsi="仿宋" w:eastAsia="仿宋" w:cs="宋体"/>
          <w:szCs w:val="32"/>
          <w:lang w:val="en-US"/>
        </w:rPr>
        <w:t xml:space="preserve">第16条 </w:t>
      </w:r>
      <w:r>
        <w:rPr>
          <w:rFonts w:hint="eastAsia" w:ascii="仿宋_GB2312" w:hAnsi="仿宋_GB2312" w:eastAsia="仿宋_GB2312" w:cs="仿宋_GB2312"/>
          <w:szCs w:val="32"/>
        </w:rPr>
        <w:t>混合用地</w:t>
      </w:r>
      <w:r>
        <w:tab/>
      </w:r>
      <w:r>
        <w:fldChar w:fldCharType="begin"/>
      </w:r>
      <w:r>
        <w:instrText xml:space="preserve"> PAGEREF _Toc12560 \h </w:instrText>
      </w:r>
      <w:r>
        <w:fldChar w:fldCharType="separate"/>
      </w:r>
      <w:r>
        <w:t>3</w:t>
      </w:r>
      <w:r>
        <w:fldChar w:fldCharType="end"/>
      </w:r>
      <w:r>
        <w:rPr>
          <w:rFonts w:hint="eastAsia"/>
        </w:rPr>
        <w:fldChar w:fldCharType="end"/>
      </w:r>
    </w:p>
    <w:p w14:paraId="69DB1432">
      <w:pPr>
        <w:pStyle w:val="10"/>
        <w:tabs>
          <w:tab w:val="right" w:leader="dot" w:pos="10253"/>
        </w:tabs>
      </w:pPr>
      <w:r>
        <w:rPr>
          <w:rFonts w:hint="eastAsia"/>
        </w:rPr>
        <w:fldChar w:fldCharType="begin"/>
      </w:r>
      <w:r>
        <w:rPr>
          <w:rFonts w:hint="eastAsia"/>
        </w:rPr>
        <w:instrText xml:space="preserve"> HYPERLINK \l _Toc19346 </w:instrText>
      </w:r>
      <w:r>
        <w:rPr>
          <w:rFonts w:hint="eastAsia"/>
        </w:rPr>
        <w:fldChar w:fldCharType="separate"/>
      </w:r>
      <w:r>
        <w:rPr>
          <w:rFonts w:hint="default" w:ascii="仿宋" w:hAnsi="仿宋" w:eastAsia="仿宋" w:cs="宋体"/>
          <w:szCs w:val="32"/>
          <w:lang w:val="en-US"/>
        </w:rPr>
        <w:t xml:space="preserve">第17条 </w:t>
      </w:r>
      <w:r>
        <w:rPr>
          <w:rFonts w:hint="eastAsia" w:ascii="仿宋_GB2312" w:hAnsi="仿宋_GB2312" w:eastAsia="仿宋_GB2312" w:cs="仿宋_GB2312"/>
          <w:szCs w:val="32"/>
        </w:rPr>
        <w:t>停车设施</w:t>
      </w:r>
      <w:r>
        <w:tab/>
      </w:r>
      <w:r>
        <w:fldChar w:fldCharType="begin"/>
      </w:r>
      <w:r>
        <w:instrText xml:space="preserve"> PAGEREF _Toc19346 \h </w:instrText>
      </w:r>
      <w:r>
        <w:fldChar w:fldCharType="separate"/>
      </w:r>
      <w:r>
        <w:t>3</w:t>
      </w:r>
      <w:r>
        <w:fldChar w:fldCharType="end"/>
      </w:r>
      <w:r>
        <w:rPr>
          <w:rFonts w:hint="eastAsia"/>
        </w:rPr>
        <w:fldChar w:fldCharType="end"/>
      </w:r>
    </w:p>
    <w:p w14:paraId="7ECE0C53">
      <w:pPr>
        <w:pStyle w:val="10"/>
        <w:tabs>
          <w:tab w:val="right" w:leader="dot" w:pos="10253"/>
        </w:tabs>
      </w:pPr>
      <w:r>
        <w:rPr>
          <w:rFonts w:hint="eastAsia"/>
        </w:rPr>
        <w:fldChar w:fldCharType="begin"/>
      </w:r>
      <w:r>
        <w:rPr>
          <w:rFonts w:hint="eastAsia"/>
        </w:rPr>
        <w:instrText xml:space="preserve"> HYPERLINK \l _Toc15514 </w:instrText>
      </w:r>
      <w:r>
        <w:rPr>
          <w:rFonts w:hint="eastAsia"/>
        </w:rPr>
        <w:fldChar w:fldCharType="separate"/>
      </w:r>
      <w:r>
        <w:rPr>
          <w:rFonts w:hint="default" w:ascii="仿宋" w:hAnsi="仿宋" w:eastAsia="仿宋" w:cs="宋体"/>
          <w:szCs w:val="32"/>
          <w:lang w:val="en-US"/>
        </w:rPr>
        <w:t xml:space="preserve">第18条 </w:t>
      </w:r>
      <w:r>
        <w:rPr>
          <w:rFonts w:hint="eastAsia" w:ascii="仿宋_GB2312" w:hAnsi="仿宋_GB2312" w:eastAsia="仿宋_GB2312" w:cs="仿宋_GB2312"/>
          <w:szCs w:val="32"/>
        </w:rPr>
        <w:t>地下空间</w:t>
      </w:r>
      <w:r>
        <w:tab/>
      </w:r>
      <w:r>
        <w:fldChar w:fldCharType="begin"/>
      </w:r>
      <w:r>
        <w:instrText xml:space="preserve"> PAGEREF _Toc15514 \h </w:instrText>
      </w:r>
      <w:r>
        <w:fldChar w:fldCharType="separate"/>
      </w:r>
      <w:r>
        <w:t>4</w:t>
      </w:r>
      <w:r>
        <w:fldChar w:fldCharType="end"/>
      </w:r>
      <w:r>
        <w:rPr>
          <w:rFonts w:hint="eastAsia"/>
        </w:rPr>
        <w:fldChar w:fldCharType="end"/>
      </w:r>
    </w:p>
    <w:p w14:paraId="14E1A600">
      <w:pPr>
        <w:pStyle w:val="10"/>
        <w:tabs>
          <w:tab w:val="right" w:leader="dot" w:pos="10253"/>
        </w:tabs>
      </w:pPr>
      <w:r>
        <w:rPr>
          <w:rFonts w:hint="eastAsia"/>
        </w:rPr>
        <w:fldChar w:fldCharType="begin"/>
      </w:r>
      <w:r>
        <w:rPr>
          <w:rFonts w:hint="eastAsia"/>
        </w:rPr>
        <w:instrText xml:space="preserve"> HYPERLINK \l _Toc24523 </w:instrText>
      </w:r>
      <w:r>
        <w:rPr>
          <w:rFonts w:hint="eastAsia"/>
        </w:rPr>
        <w:fldChar w:fldCharType="separate"/>
      </w:r>
      <w:r>
        <w:rPr>
          <w:rFonts w:hint="default" w:ascii="仿宋" w:hAnsi="仿宋" w:eastAsia="仿宋" w:cs="宋体"/>
          <w:szCs w:val="32"/>
          <w:lang w:val="en-US"/>
        </w:rPr>
        <w:t xml:space="preserve">第19条 </w:t>
      </w:r>
      <w:r>
        <w:rPr>
          <w:rFonts w:hint="eastAsia" w:ascii="仿宋_GB2312" w:hAnsi="仿宋_GB2312" w:eastAsia="仿宋_GB2312" w:cs="仿宋_GB2312"/>
          <w:szCs w:val="32"/>
        </w:rPr>
        <w:t>空间组合</w:t>
      </w:r>
      <w:r>
        <w:tab/>
      </w:r>
      <w:r>
        <w:fldChar w:fldCharType="begin"/>
      </w:r>
      <w:r>
        <w:instrText xml:space="preserve"> PAGEREF _Toc24523 \h </w:instrText>
      </w:r>
      <w:r>
        <w:fldChar w:fldCharType="separate"/>
      </w:r>
      <w:r>
        <w:t>4</w:t>
      </w:r>
      <w:r>
        <w:fldChar w:fldCharType="end"/>
      </w:r>
      <w:r>
        <w:rPr>
          <w:rFonts w:hint="eastAsia"/>
        </w:rPr>
        <w:fldChar w:fldCharType="end"/>
      </w:r>
    </w:p>
    <w:p w14:paraId="0B5C02A0">
      <w:pPr>
        <w:pStyle w:val="10"/>
        <w:tabs>
          <w:tab w:val="right" w:leader="dot" w:pos="10253"/>
        </w:tabs>
      </w:pPr>
      <w:r>
        <w:rPr>
          <w:rFonts w:hint="eastAsia"/>
        </w:rPr>
        <w:fldChar w:fldCharType="begin"/>
      </w:r>
      <w:r>
        <w:rPr>
          <w:rFonts w:hint="eastAsia"/>
        </w:rPr>
        <w:instrText xml:space="preserve"> HYPERLINK \l _Toc11149 </w:instrText>
      </w:r>
      <w:r>
        <w:rPr>
          <w:rFonts w:hint="eastAsia"/>
        </w:rPr>
        <w:fldChar w:fldCharType="separate"/>
      </w:r>
      <w:r>
        <w:rPr>
          <w:rFonts w:hint="default" w:ascii="仿宋" w:hAnsi="仿宋" w:eastAsia="仿宋" w:cs="宋体"/>
          <w:szCs w:val="32"/>
          <w:lang w:val="en-US"/>
        </w:rPr>
        <w:t xml:space="preserve">第20条 </w:t>
      </w:r>
      <w:r>
        <w:rPr>
          <w:rFonts w:hint="eastAsia" w:ascii="仿宋_GB2312" w:hAnsi="仿宋_GB2312" w:eastAsia="仿宋_GB2312" w:cs="仿宋_GB2312"/>
          <w:szCs w:val="32"/>
        </w:rPr>
        <w:t>风貌管控</w:t>
      </w:r>
      <w:r>
        <w:tab/>
      </w:r>
      <w:r>
        <w:fldChar w:fldCharType="begin"/>
      </w:r>
      <w:r>
        <w:instrText xml:space="preserve"> PAGEREF _Toc11149 \h </w:instrText>
      </w:r>
      <w:r>
        <w:fldChar w:fldCharType="separate"/>
      </w:r>
      <w:r>
        <w:t>4</w:t>
      </w:r>
      <w:r>
        <w:fldChar w:fldCharType="end"/>
      </w:r>
      <w:r>
        <w:rPr>
          <w:rFonts w:hint="eastAsia"/>
        </w:rPr>
        <w:fldChar w:fldCharType="end"/>
      </w:r>
    </w:p>
    <w:p w14:paraId="5C6252E9">
      <w:pPr>
        <w:pStyle w:val="10"/>
        <w:tabs>
          <w:tab w:val="right" w:leader="dot" w:pos="10253"/>
        </w:tabs>
      </w:pPr>
      <w:r>
        <w:rPr>
          <w:rFonts w:hint="eastAsia"/>
        </w:rPr>
        <w:fldChar w:fldCharType="begin"/>
      </w:r>
      <w:r>
        <w:rPr>
          <w:rFonts w:hint="eastAsia"/>
        </w:rPr>
        <w:instrText xml:space="preserve"> HYPERLINK \l _Toc8115 </w:instrText>
      </w:r>
      <w:r>
        <w:rPr>
          <w:rFonts w:hint="eastAsia"/>
        </w:rPr>
        <w:fldChar w:fldCharType="separate"/>
      </w:r>
      <w:r>
        <w:rPr>
          <w:rFonts w:hint="default" w:ascii="仿宋" w:hAnsi="仿宋" w:eastAsia="仿宋" w:cs="宋体"/>
          <w:szCs w:val="32"/>
          <w:lang w:val="en-US"/>
        </w:rPr>
        <w:t xml:space="preserve">第21条 </w:t>
      </w:r>
      <w:r>
        <w:rPr>
          <w:rFonts w:hint="eastAsia" w:ascii="仿宋_GB2312" w:hAnsi="仿宋_GB2312" w:eastAsia="仿宋_GB2312" w:cs="仿宋_GB2312"/>
          <w:szCs w:val="32"/>
        </w:rPr>
        <w:t>海绵城市</w:t>
      </w:r>
      <w:r>
        <w:tab/>
      </w:r>
      <w:r>
        <w:fldChar w:fldCharType="begin"/>
      </w:r>
      <w:r>
        <w:instrText xml:space="preserve"> PAGEREF _Toc8115 \h </w:instrText>
      </w:r>
      <w:r>
        <w:fldChar w:fldCharType="separate"/>
      </w:r>
      <w:r>
        <w:t>4</w:t>
      </w:r>
      <w:r>
        <w:fldChar w:fldCharType="end"/>
      </w:r>
      <w:r>
        <w:rPr>
          <w:rFonts w:hint="eastAsia"/>
        </w:rPr>
        <w:fldChar w:fldCharType="end"/>
      </w:r>
    </w:p>
    <w:p w14:paraId="7C33E862">
      <w:pPr>
        <w:pStyle w:val="9"/>
        <w:tabs>
          <w:tab w:val="right" w:leader="dot" w:pos="10253"/>
        </w:tabs>
      </w:pPr>
      <w:r>
        <w:rPr>
          <w:rFonts w:hint="eastAsia"/>
        </w:rPr>
        <w:fldChar w:fldCharType="begin"/>
      </w:r>
      <w:r>
        <w:rPr>
          <w:rFonts w:hint="eastAsia"/>
        </w:rPr>
        <w:instrText xml:space="preserve"> HYPERLINK \l _Toc5809 </w:instrText>
      </w:r>
      <w:r>
        <w:rPr>
          <w:rFonts w:hint="eastAsia"/>
        </w:rPr>
        <w:fldChar w:fldCharType="separate"/>
      </w:r>
      <w:r>
        <w:rPr>
          <w:rFonts w:hint="eastAsia" w:ascii="方正小标宋_GBK" w:hAnsi="方正小标宋_GBK" w:eastAsia="方正小标宋_GBK" w:cs="方正小标宋_GBK"/>
          <w:szCs w:val="36"/>
        </w:rPr>
        <w:t>第四章 实施措施</w:t>
      </w:r>
      <w:r>
        <w:tab/>
      </w:r>
      <w:r>
        <w:fldChar w:fldCharType="begin"/>
      </w:r>
      <w:r>
        <w:instrText xml:space="preserve"> PAGEREF _Toc5809 \h </w:instrText>
      </w:r>
      <w:r>
        <w:fldChar w:fldCharType="separate"/>
      </w:r>
      <w:r>
        <w:t>4</w:t>
      </w:r>
      <w:r>
        <w:fldChar w:fldCharType="end"/>
      </w:r>
      <w:r>
        <w:rPr>
          <w:rFonts w:hint="eastAsia"/>
        </w:rPr>
        <w:fldChar w:fldCharType="end"/>
      </w:r>
    </w:p>
    <w:p w14:paraId="7E8C9FC5">
      <w:pPr>
        <w:pStyle w:val="10"/>
        <w:tabs>
          <w:tab w:val="right" w:leader="dot" w:pos="10253"/>
        </w:tabs>
      </w:pPr>
      <w:r>
        <w:rPr>
          <w:rFonts w:hint="eastAsia"/>
        </w:rPr>
        <w:fldChar w:fldCharType="begin"/>
      </w:r>
      <w:r>
        <w:rPr>
          <w:rFonts w:hint="eastAsia"/>
        </w:rPr>
        <w:instrText xml:space="preserve"> HYPERLINK \l _Toc27221 </w:instrText>
      </w:r>
      <w:r>
        <w:rPr>
          <w:rFonts w:hint="eastAsia"/>
        </w:rPr>
        <w:fldChar w:fldCharType="separate"/>
      </w:r>
      <w:r>
        <w:rPr>
          <w:rFonts w:hint="default" w:ascii="仿宋" w:hAnsi="仿宋" w:eastAsia="仿宋" w:cs="宋体"/>
          <w:szCs w:val="32"/>
          <w:lang w:val="en-US"/>
        </w:rPr>
        <w:t xml:space="preserve">第22条 </w:t>
      </w:r>
      <w:r>
        <w:rPr>
          <w:rFonts w:hint="eastAsia" w:ascii="仿宋_GB2312" w:hAnsi="仿宋_GB2312" w:eastAsia="仿宋_GB2312" w:cs="仿宋_GB2312"/>
          <w:szCs w:val="32"/>
        </w:rPr>
        <w:t>加强组织保障</w:t>
      </w:r>
      <w:r>
        <w:tab/>
      </w:r>
      <w:r>
        <w:fldChar w:fldCharType="begin"/>
      </w:r>
      <w:r>
        <w:instrText xml:space="preserve"> PAGEREF _Toc27221 \h </w:instrText>
      </w:r>
      <w:r>
        <w:fldChar w:fldCharType="separate"/>
      </w:r>
      <w:r>
        <w:t>4</w:t>
      </w:r>
      <w:r>
        <w:fldChar w:fldCharType="end"/>
      </w:r>
      <w:r>
        <w:rPr>
          <w:rFonts w:hint="eastAsia"/>
        </w:rPr>
        <w:fldChar w:fldCharType="end"/>
      </w:r>
    </w:p>
    <w:p w14:paraId="2A06C693">
      <w:pPr>
        <w:pStyle w:val="10"/>
        <w:tabs>
          <w:tab w:val="right" w:leader="dot" w:pos="10253"/>
        </w:tabs>
      </w:pPr>
      <w:r>
        <w:rPr>
          <w:rFonts w:hint="eastAsia"/>
        </w:rPr>
        <w:fldChar w:fldCharType="begin"/>
      </w:r>
      <w:r>
        <w:rPr>
          <w:rFonts w:hint="eastAsia"/>
        </w:rPr>
        <w:instrText xml:space="preserve"> HYPERLINK \l _Toc27833 </w:instrText>
      </w:r>
      <w:r>
        <w:rPr>
          <w:rFonts w:hint="eastAsia"/>
        </w:rPr>
        <w:fldChar w:fldCharType="separate"/>
      </w:r>
      <w:r>
        <w:rPr>
          <w:rFonts w:hint="default" w:ascii="仿宋" w:hAnsi="仿宋" w:eastAsia="仿宋" w:cs="宋体"/>
          <w:szCs w:val="32"/>
          <w:lang w:val="en-US"/>
        </w:rPr>
        <w:t xml:space="preserve">第23条 </w:t>
      </w:r>
      <w:r>
        <w:rPr>
          <w:rFonts w:hint="eastAsia" w:ascii="仿宋_GB2312" w:hAnsi="仿宋_GB2312" w:eastAsia="仿宋_GB2312" w:cs="仿宋_GB2312"/>
          <w:szCs w:val="32"/>
        </w:rPr>
        <w:t>完善政策配套</w:t>
      </w:r>
      <w:r>
        <w:tab/>
      </w:r>
      <w:r>
        <w:fldChar w:fldCharType="begin"/>
      </w:r>
      <w:r>
        <w:instrText xml:space="preserve"> PAGEREF _Toc27833 \h </w:instrText>
      </w:r>
      <w:r>
        <w:fldChar w:fldCharType="separate"/>
      </w:r>
      <w:r>
        <w:t>4</w:t>
      </w:r>
      <w:r>
        <w:fldChar w:fldCharType="end"/>
      </w:r>
      <w:r>
        <w:rPr>
          <w:rFonts w:hint="eastAsia"/>
        </w:rPr>
        <w:fldChar w:fldCharType="end"/>
      </w:r>
    </w:p>
    <w:p w14:paraId="1006641F">
      <w:pPr>
        <w:pStyle w:val="10"/>
        <w:tabs>
          <w:tab w:val="right" w:leader="dot" w:pos="10253"/>
        </w:tabs>
      </w:pPr>
      <w:r>
        <w:rPr>
          <w:rFonts w:hint="eastAsia"/>
        </w:rPr>
        <w:fldChar w:fldCharType="begin"/>
      </w:r>
      <w:r>
        <w:rPr>
          <w:rFonts w:hint="eastAsia"/>
        </w:rPr>
        <w:instrText xml:space="preserve"> HYPERLINK \l _Toc14350 </w:instrText>
      </w:r>
      <w:r>
        <w:rPr>
          <w:rFonts w:hint="eastAsia"/>
        </w:rPr>
        <w:fldChar w:fldCharType="separate"/>
      </w:r>
      <w:r>
        <w:rPr>
          <w:rFonts w:hint="default" w:ascii="仿宋" w:hAnsi="仿宋" w:eastAsia="仿宋" w:cs="宋体"/>
          <w:szCs w:val="32"/>
          <w:lang w:val="en-US"/>
        </w:rPr>
        <w:t xml:space="preserve">第24条 </w:t>
      </w:r>
      <w:r>
        <w:rPr>
          <w:rFonts w:hint="eastAsia" w:ascii="仿宋_GB2312" w:hAnsi="仿宋_GB2312" w:eastAsia="仿宋_GB2312" w:cs="仿宋_GB2312"/>
          <w:szCs w:val="32"/>
        </w:rPr>
        <w:t>建立监督评估机制</w:t>
      </w:r>
      <w:r>
        <w:tab/>
      </w:r>
      <w:r>
        <w:fldChar w:fldCharType="begin"/>
      </w:r>
      <w:r>
        <w:instrText xml:space="preserve"> PAGEREF _Toc14350 \h </w:instrText>
      </w:r>
      <w:r>
        <w:fldChar w:fldCharType="separate"/>
      </w:r>
      <w:r>
        <w:t>4</w:t>
      </w:r>
      <w:r>
        <w:fldChar w:fldCharType="end"/>
      </w:r>
      <w:r>
        <w:rPr>
          <w:rFonts w:hint="eastAsia"/>
        </w:rPr>
        <w:fldChar w:fldCharType="end"/>
      </w:r>
    </w:p>
    <w:p w14:paraId="19B67C99">
      <w:pPr>
        <w:pStyle w:val="9"/>
        <w:tabs>
          <w:tab w:val="right" w:leader="dot" w:pos="10253"/>
        </w:tabs>
      </w:pPr>
      <w:r>
        <w:rPr>
          <w:rFonts w:hint="eastAsia"/>
        </w:rPr>
        <w:fldChar w:fldCharType="begin"/>
      </w:r>
      <w:r>
        <w:rPr>
          <w:rFonts w:hint="eastAsia"/>
        </w:rPr>
        <w:instrText xml:space="preserve"> HYPERLINK \l _Toc16191 </w:instrText>
      </w:r>
      <w:r>
        <w:rPr>
          <w:rFonts w:hint="eastAsia"/>
        </w:rPr>
        <w:fldChar w:fldCharType="separate"/>
      </w:r>
      <w:r>
        <w:rPr>
          <w:rFonts w:hint="eastAsia" w:ascii="方正小标宋_GBK" w:hAnsi="方正小标宋_GBK" w:eastAsia="方正小标宋_GBK" w:cs="方正小标宋_GBK"/>
          <w:szCs w:val="36"/>
        </w:rPr>
        <w:t>第五章 附则</w:t>
      </w:r>
      <w:r>
        <w:tab/>
      </w:r>
      <w:r>
        <w:fldChar w:fldCharType="begin"/>
      </w:r>
      <w:r>
        <w:instrText xml:space="preserve"> PAGEREF _Toc16191 \h </w:instrText>
      </w:r>
      <w:r>
        <w:fldChar w:fldCharType="separate"/>
      </w:r>
      <w:r>
        <w:t>4</w:t>
      </w:r>
      <w:r>
        <w:fldChar w:fldCharType="end"/>
      </w:r>
      <w:r>
        <w:rPr>
          <w:rFonts w:hint="eastAsia"/>
        </w:rPr>
        <w:fldChar w:fldCharType="end"/>
      </w:r>
    </w:p>
    <w:p w14:paraId="179444AB">
      <w:pPr>
        <w:pStyle w:val="10"/>
        <w:tabs>
          <w:tab w:val="right" w:leader="dot" w:pos="10253"/>
        </w:tabs>
      </w:pPr>
      <w:r>
        <w:rPr>
          <w:rFonts w:hint="eastAsia"/>
        </w:rPr>
        <w:fldChar w:fldCharType="begin"/>
      </w:r>
      <w:r>
        <w:rPr>
          <w:rFonts w:hint="eastAsia"/>
        </w:rPr>
        <w:instrText xml:space="preserve"> HYPERLINK \l _Toc3088 </w:instrText>
      </w:r>
      <w:r>
        <w:rPr>
          <w:rFonts w:hint="eastAsia"/>
        </w:rPr>
        <w:fldChar w:fldCharType="separate"/>
      </w:r>
      <w:r>
        <w:rPr>
          <w:rFonts w:hint="default" w:ascii="仿宋" w:hAnsi="仿宋" w:eastAsia="仿宋" w:cs="宋体"/>
          <w:szCs w:val="32"/>
          <w:lang w:val="en-US"/>
        </w:rPr>
        <w:t xml:space="preserve">第25条 </w:t>
      </w:r>
      <w:r>
        <w:rPr>
          <w:rFonts w:hint="eastAsia" w:ascii="仿宋_GB2312" w:hAnsi="仿宋_GB2312" w:eastAsia="仿宋_GB2312" w:cs="仿宋_GB2312"/>
          <w:szCs w:val="32"/>
        </w:rPr>
        <w:t>规划生效日期</w:t>
      </w:r>
      <w:r>
        <w:tab/>
      </w:r>
      <w:r>
        <w:fldChar w:fldCharType="begin"/>
      </w:r>
      <w:r>
        <w:instrText xml:space="preserve"> PAGEREF _Toc3088 \h </w:instrText>
      </w:r>
      <w:r>
        <w:fldChar w:fldCharType="separate"/>
      </w:r>
      <w:r>
        <w:t>4</w:t>
      </w:r>
      <w:r>
        <w:fldChar w:fldCharType="end"/>
      </w:r>
      <w:r>
        <w:rPr>
          <w:rFonts w:hint="eastAsia"/>
        </w:rPr>
        <w:fldChar w:fldCharType="end"/>
      </w:r>
    </w:p>
    <w:p w14:paraId="0332034D">
      <w:pPr>
        <w:pStyle w:val="10"/>
        <w:tabs>
          <w:tab w:val="right" w:leader="dot" w:pos="10253"/>
        </w:tabs>
      </w:pPr>
      <w:r>
        <w:rPr>
          <w:rFonts w:hint="eastAsia"/>
        </w:rPr>
        <w:fldChar w:fldCharType="begin"/>
      </w:r>
      <w:r>
        <w:rPr>
          <w:rFonts w:hint="eastAsia"/>
        </w:rPr>
        <w:instrText xml:space="preserve"> HYPERLINK \l _Toc25761 </w:instrText>
      </w:r>
      <w:r>
        <w:rPr>
          <w:rFonts w:hint="eastAsia"/>
        </w:rPr>
        <w:fldChar w:fldCharType="separate"/>
      </w:r>
      <w:r>
        <w:rPr>
          <w:rFonts w:hint="default" w:ascii="仿宋" w:hAnsi="仿宋" w:eastAsia="仿宋" w:cs="宋体"/>
          <w:szCs w:val="32"/>
          <w:lang w:val="en-US"/>
        </w:rPr>
        <w:t xml:space="preserve">第26条 </w:t>
      </w:r>
      <w:r>
        <w:rPr>
          <w:rFonts w:hint="eastAsia" w:ascii="仿宋_GB2312" w:hAnsi="仿宋_GB2312" w:eastAsia="仿宋_GB2312" w:cs="仿宋_GB2312"/>
          <w:szCs w:val="32"/>
        </w:rPr>
        <w:t>规划变更与调整</w:t>
      </w:r>
      <w:r>
        <w:tab/>
      </w:r>
      <w:r>
        <w:fldChar w:fldCharType="begin"/>
      </w:r>
      <w:r>
        <w:instrText xml:space="preserve"> PAGEREF _Toc25761 \h </w:instrText>
      </w:r>
      <w:r>
        <w:fldChar w:fldCharType="separate"/>
      </w:r>
      <w:r>
        <w:t>4</w:t>
      </w:r>
      <w:r>
        <w:fldChar w:fldCharType="end"/>
      </w:r>
      <w:r>
        <w:rPr>
          <w:rFonts w:hint="eastAsia"/>
        </w:rPr>
        <w:fldChar w:fldCharType="end"/>
      </w:r>
    </w:p>
    <w:p w14:paraId="7D85A3BC">
      <w:pPr>
        <w:pStyle w:val="10"/>
        <w:tabs>
          <w:tab w:val="right" w:leader="dot" w:pos="10253"/>
        </w:tabs>
      </w:pPr>
      <w:r>
        <w:rPr>
          <w:rFonts w:hint="eastAsia"/>
        </w:rPr>
        <w:fldChar w:fldCharType="begin"/>
      </w:r>
      <w:r>
        <w:rPr>
          <w:rFonts w:hint="eastAsia"/>
        </w:rPr>
        <w:instrText xml:space="preserve"> HYPERLINK \l _Toc11089 </w:instrText>
      </w:r>
      <w:r>
        <w:rPr>
          <w:rFonts w:hint="eastAsia"/>
        </w:rPr>
        <w:fldChar w:fldCharType="separate"/>
      </w:r>
      <w:r>
        <w:rPr>
          <w:rFonts w:hint="default" w:ascii="仿宋" w:hAnsi="仿宋" w:eastAsia="仿宋" w:cs="宋体"/>
          <w:szCs w:val="32"/>
          <w:lang w:val="en-US"/>
        </w:rPr>
        <w:t xml:space="preserve">第27条 </w:t>
      </w:r>
      <w:r>
        <w:rPr>
          <w:rFonts w:hint="eastAsia" w:ascii="仿宋_GB2312" w:hAnsi="仿宋_GB2312" w:eastAsia="仿宋_GB2312" w:cs="仿宋_GB2312"/>
          <w:szCs w:val="32"/>
        </w:rPr>
        <w:t>规划解释权</w:t>
      </w:r>
      <w:r>
        <w:tab/>
      </w:r>
      <w:r>
        <w:fldChar w:fldCharType="begin"/>
      </w:r>
      <w:r>
        <w:instrText xml:space="preserve"> PAGEREF _Toc11089 \h </w:instrText>
      </w:r>
      <w:r>
        <w:fldChar w:fldCharType="separate"/>
      </w:r>
      <w:r>
        <w:t>4</w:t>
      </w:r>
      <w:r>
        <w:fldChar w:fldCharType="end"/>
      </w:r>
      <w:r>
        <w:rPr>
          <w:rFonts w:hint="eastAsia"/>
        </w:rPr>
        <w:fldChar w:fldCharType="end"/>
      </w:r>
    </w:p>
    <w:p w14:paraId="58F05313">
      <w:pPr>
        <w:pStyle w:val="9"/>
        <w:tabs>
          <w:tab w:val="right" w:leader="dot" w:pos="10253"/>
        </w:tabs>
      </w:pPr>
      <w:r>
        <w:rPr>
          <w:rFonts w:hint="eastAsia"/>
        </w:rPr>
        <w:fldChar w:fldCharType="begin"/>
      </w:r>
      <w:r>
        <w:rPr>
          <w:rFonts w:hint="eastAsia"/>
        </w:rPr>
        <w:instrText xml:space="preserve"> HYPERLINK \l _Toc32201 </w:instrText>
      </w:r>
      <w:r>
        <w:rPr>
          <w:rFonts w:hint="eastAsia"/>
        </w:rPr>
        <w:fldChar w:fldCharType="separate"/>
      </w:r>
      <w:r>
        <w:rPr>
          <w:rFonts w:hint="eastAsia"/>
        </w:rPr>
        <w:t>附表</w:t>
      </w:r>
      <w:r>
        <w:tab/>
      </w:r>
      <w:r>
        <w:fldChar w:fldCharType="begin"/>
      </w:r>
      <w:r>
        <w:instrText xml:space="preserve"> PAGEREF _Toc32201 \h </w:instrText>
      </w:r>
      <w:r>
        <w:fldChar w:fldCharType="separate"/>
      </w:r>
      <w:r>
        <w:t>5</w:t>
      </w:r>
      <w:r>
        <w:fldChar w:fldCharType="end"/>
      </w:r>
      <w:r>
        <w:rPr>
          <w:rFonts w:hint="eastAsia"/>
        </w:rPr>
        <w:fldChar w:fldCharType="end"/>
      </w:r>
    </w:p>
    <w:p w14:paraId="2238F9E9">
      <w:pPr>
        <w:pStyle w:val="10"/>
        <w:tabs>
          <w:tab w:val="right" w:leader="dot" w:pos="10253"/>
        </w:tabs>
      </w:pPr>
      <w:r>
        <w:rPr>
          <w:rFonts w:hint="eastAsia"/>
        </w:rPr>
        <w:fldChar w:fldCharType="begin"/>
      </w:r>
      <w:r>
        <w:rPr>
          <w:rFonts w:hint="eastAsia"/>
        </w:rPr>
        <w:instrText xml:space="preserve"> HYPERLINK \l _Toc2998 </w:instrText>
      </w:r>
      <w:r>
        <w:rPr>
          <w:rFonts w:hint="eastAsia"/>
        </w:rPr>
        <w:fldChar w:fldCharType="separate"/>
      </w:r>
      <w:r>
        <w:rPr>
          <w:rFonts w:hint="eastAsia" w:ascii="黑体" w:hAnsi="黑体" w:eastAsia="黑体" w:cs="黑体"/>
          <w:bCs/>
          <w:szCs w:val="30"/>
        </w:rPr>
        <w:t>1.建设用地统计表</w:t>
      </w:r>
      <w:r>
        <w:tab/>
      </w:r>
      <w:r>
        <w:fldChar w:fldCharType="begin"/>
      </w:r>
      <w:r>
        <w:instrText xml:space="preserve"> PAGEREF _Toc2998 \h </w:instrText>
      </w:r>
      <w:r>
        <w:fldChar w:fldCharType="separate"/>
      </w:r>
      <w:r>
        <w:t>5</w:t>
      </w:r>
      <w:r>
        <w:fldChar w:fldCharType="end"/>
      </w:r>
      <w:r>
        <w:rPr>
          <w:rFonts w:hint="eastAsia"/>
        </w:rPr>
        <w:fldChar w:fldCharType="end"/>
      </w:r>
    </w:p>
    <w:p w14:paraId="47A9FEFB">
      <w:pPr>
        <w:pStyle w:val="2"/>
        <w:spacing w:before="156" w:after="156" w:line="480" w:lineRule="exact"/>
        <w:sectPr>
          <w:headerReference r:id="rId12" w:type="default"/>
          <w:footerReference r:id="rId13" w:type="default"/>
          <w:pgSz w:w="23811" w:h="16838" w:orient="landscape"/>
          <w:pgMar w:top="1800" w:right="1440" w:bottom="1800" w:left="1440" w:header="851" w:footer="992" w:gutter="0"/>
          <w:pgBorders>
            <w:top w:val="none" w:sz="0" w:space="0"/>
            <w:left w:val="none" w:sz="0" w:space="0"/>
            <w:bottom w:val="none" w:sz="0" w:space="0"/>
            <w:right w:val="none" w:sz="0" w:space="0"/>
          </w:pgBorders>
          <w:pgNumType w:start="1"/>
          <w:cols w:equalWidth="0" w:num="2">
            <w:col w:w="10253" w:space="425"/>
            <w:col w:w="10253"/>
          </w:cols>
          <w:docGrid w:type="lines" w:linePitch="312" w:charSpace="0"/>
        </w:sectPr>
      </w:pPr>
      <w:r>
        <w:rPr>
          <w:rFonts w:hint="eastAsia"/>
        </w:rPr>
        <w:fldChar w:fldCharType="end"/>
      </w:r>
      <w:bookmarkStart w:id="0" w:name="_Toc2734"/>
      <w:bookmarkStart w:id="1" w:name="_Toc26093"/>
    </w:p>
    <w:p w14:paraId="770B811E">
      <w:pPr>
        <w:ind w:firstLine="640"/>
        <w:sectPr>
          <w:footerReference r:id="rId14" w:type="default"/>
          <w:type w:val="continuous"/>
          <w:pgSz w:w="23811" w:h="16838" w:orient="landscape"/>
          <w:pgMar w:top="1800" w:right="1440" w:bottom="1800" w:left="1440" w:header="851" w:footer="992" w:gutter="0"/>
          <w:pgBorders>
            <w:top w:val="none" w:sz="0" w:space="0"/>
            <w:left w:val="none" w:sz="0" w:space="0"/>
            <w:bottom w:val="none" w:sz="0" w:space="0"/>
            <w:right w:val="none" w:sz="0" w:space="0"/>
          </w:pgBorders>
          <w:cols w:equalWidth="0" w:num="2">
            <w:col w:w="10253" w:space="425"/>
            <w:col w:w="10253"/>
          </w:cols>
          <w:docGrid w:type="lines" w:linePitch="312" w:charSpace="0"/>
        </w:sectPr>
      </w:pPr>
    </w:p>
    <w:p w14:paraId="78409C89">
      <w:pPr>
        <w:pStyle w:val="2"/>
        <w:spacing w:before="156" w:after="156" w:line="590" w:lineRule="exact"/>
        <w:rPr>
          <w:rFonts w:hint="eastAsia" w:ascii="方正小标宋_GBK" w:hAnsi="方正小标宋_GBK" w:eastAsia="方正小标宋_GBK" w:cs="方正小标宋_GBK"/>
          <w:sz w:val="36"/>
          <w:szCs w:val="36"/>
        </w:rPr>
      </w:pPr>
      <w:bookmarkStart w:id="2" w:name="_Toc4169"/>
      <w:r>
        <w:rPr>
          <w:rFonts w:hint="eastAsia" w:ascii="方正小标宋_GBK" w:hAnsi="方正小标宋_GBK" w:eastAsia="方正小标宋_GBK" w:cs="方正小标宋_GBK"/>
          <w:sz w:val="36"/>
          <w:szCs w:val="36"/>
        </w:rPr>
        <w:t>第一章 总 则</w:t>
      </w:r>
      <w:bookmarkEnd w:id="0"/>
      <w:bookmarkEnd w:id="1"/>
      <w:bookmarkEnd w:id="2"/>
    </w:p>
    <w:p w14:paraId="738355CD">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3" w:name="_Toc25394"/>
      <w:r>
        <w:rPr>
          <w:rFonts w:hint="eastAsia" w:ascii="仿宋_GB2312" w:hAnsi="仿宋_GB2312" w:eastAsia="仿宋_GB2312" w:cs="仿宋_GB2312"/>
          <w:szCs w:val="32"/>
        </w:rPr>
        <w:t>规划目的</w:t>
      </w:r>
      <w:bookmarkEnd w:id="3"/>
    </w:p>
    <w:p w14:paraId="03FD078E">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为贯彻落实《沐川县国土空间总体规划（2021</w:t>
      </w:r>
      <w:r>
        <w:rPr>
          <w:rFonts w:hint="eastAsia" w:ascii="仿宋_GB2312" w:hAnsi="仿宋_GB2312" w:cs="仿宋_GB2312"/>
          <w:lang w:eastAsia="zh-CN"/>
        </w:rPr>
        <w:t>—</w:t>
      </w:r>
      <w:r>
        <w:rPr>
          <w:rFonts w:hint="eastAsia" w:ascii="仿宋_GB2312" w:hAnsi="仿宋_GB2312" w:eastAsia="仿宋_GB2312" w:cs="仿宋_GB2312"/>
        </w:rPr>
        <w:t>2035年</w:t>
      </w:r>
      <w:r>
        <w:rPr>
          <w:rFonts w:hint="eastAsia" w:ascii="仿宋_GB2312" w:hAnsi="仿宋_GB2312" w:cs="仿宋_GB2312"/>
          <w:lang w:eastAsia="zh-CN"/>
        </w:rPr>
        <w:t>）</w:t>
      </w:r>
      <w:r>
        <w:rPr>
          <w:rFonts w:hint="eastAsia" w:ascii="仿宋_GB2312" w:hAnsi="仿宋_GB2312" w:eastAsia="仿宋_GB2312" w:cs="仿宋_GB2312"/>
        </w:rPr>
        <w:t>》管控要求，统筹项目建设与远期发展用地布局，完善城市配套，合理引导老城详规单元511129-001-005街区00029,00030地块建设，适应规划管理的需要，特编制《沐川县中心城区老城详规单元511129-001-005街区00029,00030地块详细规划》（以下简称“本规划”），并制定本规划文本。</w:t>
      </w:r>
    </w:p>
    <w:p w14:paraId="733EFADC">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4" w:name="_Toc18871"/>
      <w:r>
        <w:rPr>
          <w:rFonts w:hint="eastAsia" w:ascii="仿宋_GB2312" w:hAnsi="仿宋_GB2312" w:eastAsia="仿宋_GB2312" w:cs="仿宋_GB2312"/>
          <w:szCs w:val="32"/>
        </w:rPr>
        <w:t>适用范围</w:t>
      </w:r>
      <w:bookmarkEnd w:id="4"/>
    </w:p>
    <w:p w14:paraId="3978B160">
      <w:pPr>
        <w:pStyle w:val="6"/>
        <w:pageBreakBefore w:val="0"/>
        <w:widowControl w:val="0"/>
        <w:kinsoku/>
        <w:wordWrap/>
        <w:overflowPunct/>
        <w:topLinePunct w:val="0"/>
        <w:bidi w:val="0"/>
        <w:snapToGrid/>
        <w:spacing w:line="600" w:lineRule="exact"/>
        <w:ind w:left="0" w:firstLine="640" w:firstLineChars="200"/>
        <w:jc w:val="both"/>
        <w:textAlignment w:val="auto"/>
        <w:rPr>
          <w:rFonts w:hint="eastAsia" w:ascii="仿宋_GB2312" w:hAnsi="仿宋_GB2312" w:eastAsia="仿宋_GB2312" w:cs="仿宋_GB2312"/>
          <w:kern w:val="2"/>
          <w:sz w:val="32"/>
          <w:szCs w:val="24"/>
          <w:lang w:val="en-US" w:eastAsia="zh-CN" w:bidi="ar-SA"/>
        </w:rPr>
      </w:pPr>
      <w:r>
        <w:rPr>
          <w:rFonts w:hint="eastAsia" w:ascii="仿宋_GB2312" w:hAnsi="仿宋_GB2312" w:eastAsia="仿宋_GB2312" w:cs="仿宋_GB2312"/>
          <w:kern w:val="2"/>
          <w:sz w:val="32"/>
          <w:szCs w:val="24"/>
          <w:lang w:val="en-US" w:eastAsia="zh-CN" w:bidi="ar-SA"/>
        </w:rPr>
        <w:t>本规划适用于511129-001-005街区00029,00030地块</w:t>
      </w:r>
      <w:r>
        <w:rPr>
          <w:rFonts w:hint="eastAsia" w:hAnsi="仿宋_GB2312" w:cs="仿宋_GB2312"/>
          <w:kern w:val="2"/>
          <w:sz w:val="32"/>
          <w:szCs w:val="24"/>
          <w:lang w:val="en-US" w:eastAsia="zh-CN" w:bidi="ar-SA"/>
        </w:rPr>
        <w:t>共计3.23公顷区域内</w:t>
      </w:r>
      <w:r>
        <w:rPr>
          <w:rFonts w:hint="eastAsia" w:ascii="仿宋_GB2312" w:hAnsi="仿宋_GB2312" w:eastAsia="仿宋_GB2312" w:cs="仿宋_GB2312"/>
          <w:kern w:val="2"/>
          <w:sz w:val="32"/>
          <w:szCs w:val="24"/>
          <w:lang w:val="en-US" w:eastAsia="zh-CN" w:bidi="ar-SA"/>
        </w:rPr>
        <w:t>的规划与建设管理控制，不作施工依据。</w:t>
      </w:r>
    </w:p>
    <w:p w14:paraId="4D0F3E94">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5" w:name="_Toc24793"/>
      <w:r>
        <w:rPr>
          <w:rFonts w:hint="eastAsia" w:ascii="仿宋_GB2312" w:hAnsi="仿宋_GB2312" w:eastAsia="仿宋_GB2312" w:cs="仿宋_GB2312"/>
          <w:szCs w:val="32"/>
        </w:rPr>
        <w:t>地位作用</w:t>
      </w:r>
      <w:bookmarkEnd w:id="5"/>
    </w:p>
    <w:p w14:paraId="034C057C">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本规划是老城详规单元511129-001-005街区00029,00030地块建设的指导性文件，是城乡规划行政主管部门作出规划行政许可，实施规划管理的依据。</w:t>
      </w:r>
    </w:p>
    <w:p w14:paraId="4F439ADF">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6" w:name="_Toc16909"/>
      <w:r>
        <w:rPr>
          <w:rFonts w:hint="eastAsia" w:ascii="仿宋_GB2312" w:hAnsi="仿宋_GB2312" w:eastAsia="仿宋_GB2312" w:cs="仿宋_GB2312"/>
          <w:szCs w:val="32"/>
        </w:rPr>
        <w:t>规划层面</w:t>
      </w:r>
      <w:bookmarkEnd w:id="6"/>
    </w:p>
    <w:p w14:paraId="414D1A7C">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本规划为实施层面详细规划。</w:t>
      </w:r>
    </w:p>
    <w:p w14:paraId="60A70389">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7" w:name="_Toc22162"/>
      <w:r>
        <w:rPr>
          <w:rFonts w:hint="eastAsia" w:ascii="仿宋_GB2312" w:hAnsi="仿宋_GB2312" w:eastAsia="仿宋_GB2312" w:cs="仿宋_GB2312"/>
          <w:szCs w:val="32"/>
        </w:rPr>
        <w:t>规划原则</w:t>
      </w:r>
      <w:bookmarkEnd w:id="7"/>
    </w:p>
    <w:p w14:paraId="6168A22A">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1.以人为本，塑造人性化的空间；</w:t>
      </w:r>
    </w:p>
    <w:p w14:paraId="2E81EB8A">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2.以营衡投，有序推进；</w:t>
      </w:r>
    </w:p>
    <w:p w14:paraId="0A550D7B">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3.近期盘活，远期统筹。</w:t>
      </w:r>
    </w:p>
    <w:p w14:paraId="4F1CC091">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8" w:name="_Toc11472"/>
      <w:r>
        <w:rPr>
          <w:rFonts w:hint="eastAsia" w:ascii="仿宋_GB2312" w:hAnsi="仿宋_GB2312" w:eastAsia="仿宋_GB2312" w:cs="仿宋_GB2312"/>
          <w:szCs w:val="32"/>
        </w:rPr>
        <w:t>成果和法律定位</w:t>
      </w:r>
      <w:bookmarkEnd w:id="8"/>
    </w:p>
    <w:p w14:paraId="0954983A">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本规划由文本、图集、图则、附件和数据库组成，规划文本和图则具有同等法律效力。任何单位和个人在本规划区范围内进行各项建设活动，必须遵守本规划。</w:t>
      </w:r>
    </w:p>
    <w:p w14:paraId="772FA17A">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9" w:name="_Toc31267"/>
      <w:r>
        <w:rPr>
          <w:rFonts w:hint="eastAsia" w:ascii="仿宋_GB2312" w:hAnsi="仿宋_GB2312" w:eastAsia="仿宋_GB2312" w:cs="仿宋_GB2312"/>
          <w:szCs w:val="32"/>
        </w:rPr>
        <w:t>规划依据</w:t>
      </w:r>
      <w:bookmarkEnd w:id="9"/>
    </w:p>
    <w:p w14:paraId="4F95E4EC">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1.《中华人民共和国城乡规划法》（2019年修正）</w:t>
      </w:r>
    </w:p>
    <w:p w14:paraId="4A7F99A2">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2.《中华人民共和国土地管理法》（2019年修正）</w:t>
      </w:r>
    </w:p>
    <w:p w14:paraId="1013F94C">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3.《国土空间调查、规划、用途管制用地用海分类指南》（2023年）</w:t>
      </w:r>
    </w:p>
    <w:p w14:paraId="4B47FF3E">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4.《城市道路工程设计规范》（CJJ 37-2012）（2016年版）</w:t>
      </w:r>
    </w:p>
    <w:p w14:paraId="04342896">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5.《城乡建设用地竖向规划规范》（CJJ 83-2016）</w:t>
      </w:r>
    </w:p>
    <w:p w14:paraId="5FD90442">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6.《住宅项目规范》（GB 55038-2025）</w:t>
      </w:r>
    </w:p>
    <w:p w14:paraId="19AE9FF7">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7.《城市居住区规划设计标准》（GB 50180-2018）</w:t>
      </w:r>
    </w:p>
    <w:p w14:paraId="33D93961">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8.《城市工程管线综合规划规范》（GB 50289-2016）</w:t>
      </w:r>
    </w:p>
    <w:p w14:paraId="4451CD24">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9.《社区生活圈规划技术指南》（TD/T 1062-2021）</w:t>
      </w:r>
    </w:p>
    <w:p w14:paraId="253963D2">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10.《四川省城乡规划条例》（2011年）</w:t>
      </w:r>
    </w:p>
    <w:p w14:paraId="7322AED1">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11.《四川省城镇详细规划编制指南》（2026年版）</w:t>
      </w:r>
    </w:p>
    <w:p w14:paraId="3E8F454D">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12.《沐川县国土空间总体规划（2021—2035年）》</w:t>
      </w:r>
    </w:p>
    <w:p w14:paraId="1A29477A">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13.国家及四川省、乐山市相关的技术标准、规范和规定</w:t>
      </w:r>
    </w:p>
    <w:p w14:paraId="2541E481">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14.规划区电子地形图及其他相关资料</w:t>
      </w:r>
    </w:p>
    <w:p w14:paraId="18668A21">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10" w:name="_Toc16309"/>
      <w:r>
        <w:rPr>
          <w:rFonts w:hint="eastAsia" w:ascii="仿宋_GB2312" w:hAnsi="仿宋_GB2312" w:eastAsia="仿宋_GB2312" w:cs="仿宋_GB2312"/>
          <w:szCs w:val="32"/>
        </w:rPr>
        <w:t>执行主体和管理权限</w:t>
      </w:r>
      <w:bookmarkEnd w:id="10"/>
    </w:p>
    <w:p w14:paraId="14BF91A4">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本规划由沐川县人民政府组织实施，沐川县规划行政主管部门依法按照本规划进行规划管理。</w:t>
      </w:r>
    </w:p>
    <w:p w14:paraId="4A2E557C">
      <w:pPr>
        <w:pStyle w:val="3"/>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Cs w:val="32"/>
        </w:rPr>
      </w:pPr>
      <w:bookmarkStart w:id="11" w:name="_Toc19784"/>
      <w:r>
        <w:rPr>
          <w:rFonts w:hint="eastAsia" w:ascii="仿宋_GB2312" w:hAnsi="仿宋_GB2312" w:eastAsia="仿宋_GB2312" w:cs="仿宋_GB2312"/>
          <w:szCs w:val="32"/>
        </w:rPr>
        <w:t>强制性规划内容</w:t>
      </w:r>
      <w:bookmarkEnd w:id="11"/>
    </w:p>
    <w:p w14:paraId="601F7E41">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本文本中加下划线内容为强制性内容，规划的强制性内容不得随意调整，如需修改，须严格按照《中华人民共和国城乡规划法》第四十八条规定履行法定修改程序。</w:t>
      </w:r>
    </w:p>
    <w:p w14:paraId="04A71303">
      <w:pPr>
        <w:pStyle w:val="2"/>
        <w:spacing w:before="156" w:after="156" w:line="590" w:lineRule="exact"/>
        <w:rPr>
          <w:rFonts w:hint="eastAsia" w:ascii="方正小标宋_GBK" w:hAnsi="方正小标宋_GBK" w:eastAsia="方正小标宋_GBK" w:cs="方正小标宋_GBK"/>
          <w:sz w:val="36"/>
          <w:szCs w:val="36"/>
        </w:rPr>
      </w:pPr>
      <w:bookmarkStart w:id="12" w:name="_Toc5348"/>
      <w:r>
        <w:rPr>
          <w:rFonts w:hint="eastAsia" w:ascii="方正小标宋_GBK" w:hAnsi="方正小标宋_GBK" w:eastAsia="方正小标宋_GBK" w:cs="方正小标宋_GBK"/>
          <w:sz w:val="36"/>
          <w:szCs w:val="36"/>
        </w:rPr>
        <w:t>第二章</w:t>
      </w:r>
      <w:bookmarkStart w:id="13" w:name="_Toc29035"/>
      <w:bookmarkStart w:id="14" w:name="_Toc24296"/>
      <w:r>
        <w:rPr>
          <w:rFonts w:hint="eastAsia" w:ascii="方正小标宋_GBK" w:hAnsi="方正小标宋_GBK" w:eastAsia="方正小标宋_GBK" w:cs="方正小标宋_GBK"/>
          <w:sz w:val="36"/>
          <w:szCs w:val="36"/>
        </w:rPr>
        <w:t xml:space="preserve"> 基础工作</w:t>
      </w:r>
      <w:bookmarkEnd w:id="12"/>
      <w:bookmarkEnd w:id="13"/>
      <w:bookmarkEnd w:id="14"/>
    </w:p>
    <w:p w14:paraId="3D957AC7">
      <w:pPr>
        <w:pStyle w:val="3"/>
        <w:spacing w:line="590" w:lineRule="exact"/>
        <w:rPr>
          <w:rFonts w:hint="eastAsia" w:ascii="仿宋_GB2312" w:hAnsi="仿宋_GB2312" w:eastAsia="仿宋_GB2312" w:cs="仿宋_GB2312"/>
          <w:szCs w:val="32"/>
        </w:rPr>
      </w:pPr>
      <w:bookmarkStart w:id="15" w:name="_Toc2946"/>
      <w:r>
        <w:rPr>
          <w:rFonts w:hint="eastAsia" w:ascii="仿宋_GB2312" w:hAnsi="仿宋_GB2312" w:eastAsia="仿宋_GB2312" w:cs="仿宋_GB2312"/>
          <w:szCs w:val="32"/>
        </w:rPr>
        <w:t>底图底数</w:t>
      </w:r>
      <w:bookmarkEnd w:id="15"/>
    </w:p>
    <w:p w14:paraId="12B4CC52">
      <w:pPr>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rPr>
        <w:t>规划地块总面积约</w:t>
      </w:r>
      <w:r>
        <w:rPr>
          <w:rFonts w:hint="eastAsia" w:ascii="仿宋_GB2312" w:hAnsi="仿宋_GB2312" w:eastAsia="仿宋_GB2312" w:cs="仿宋_GB2312"/>
          <w:lang w:val="en-US" w:eastAsia="zh-CN"/>
        </w:rPr>
        <w:t>3.23</w:t>
      </w:r>
      <w:r>
        <w:rPr>
          <w:rFonts w:hint="eastAsia" w:ascii="仿宋_GB2312" w:hAnsi="仿宋_GB2312" w:eastAsia="仿宋_GB2312" w:cs="仿宋_GB2312"/>
        </w:rPr>
        <w:t>公顷。</w:t>
      </w:r>
    </w:p>
    <w:p w14:paraId="03B3286E">
      <w:pPr>
        <w:pStyle w:val="3"/>
        <w:spacing w:line="590" w:lineRule="exact"/>
        <w:rPr>
          <w:rFonts w:hint="eastAsia" w:ascii="仿宋_GB2312" w:hAnsi="仿宋_GB2312" w:eastAsia="仿宋_GB2312" w:cs="仿宋_GB2312"/>
          <w:szCs w:val="32"/>
        </w:rPr>
      </w:pPr>
      <w:bookmarkStart w:id="16" w:name="_Toc9221"/>
      <w:r>
        <w:rPr>
          <w:rFonts w:hint="eastAsia" w:ascii="仿宋_GB2312" w:hAnsi="仿宋_GB2312" w:eastAsia="仿宋_GB2312" w:cs="仿宋_GB2312"/>
          <w:szCs w:val="32"/>
        </w:rPr>
        <w:t>特征问题</w:t>
      </w:r>
      <w:bookmarkEnd w:id="16"/>
    </w:p>
    <w:p w14:paraId="0B520ADD">
      <w:pPr>
        <w:ind w:firstLine="640"/>
        <w:rPr>
          <w:rFonts w:hint="eastAsia" w:ascii="仿宋_GB2312" w:hAnsi="仿宋_GB2312" w:eastAsia="仿宋_GB2312" w:cs="仿宋_GB2312"/>
        </w:rPr>
      </w:pPr>
      <w:r>
        <w:rPr>
          <w:rFonts w:hint="eastAsia" w:ascii="仿宋_GB2312" w:hAnsi="仿宋_GB2312" w:eastAsia="仿宋_GB2312" w:cs="仿宋_GB2312"/>
        </w:rPr>
        <w:t>1.现状情况</w:t>
      </w:r>
    </w:p>
    <w:p w14:paraId="54687F49">
      <w:pPr>
        <w:ind w:firstLine="640"/>
        <w:rPr>
          <w:rFonts w:hint="eastAsia" w:ascii="仿宋_GB2312" w:hAnsi="仿宋_GB2312" w:eastAsia="仿宋_GB2312" w:cs="仿宋_GB2312"/>
        </w:rPr>
      </w:pPr>
      <w:r>
        <w:rPr>
          <w:rFonts w:hint="eastAsia" w:ascii="仿宋_GB2312" w:hAnsi="仿宋_GB2312" w:eastAsia="仿宋_GB2312" w:cs="仿宋_GB2312"/>
        </w:rPr>
        <w:t>地块多为已收储国有土地。</w:t>
      </w:r>
    </w:p>
    <w:p w14:paraId="6D81152B">
      <w:pPr>
        <w:ind w:firstLine="640"/>
        <w:rPr>
          <w:rFonts w:hint="eastAsia" w:ascii="仿宋_GB2312" w:hAnsi="仿宋_GB2312" w:eastAsia="仿宋_GB2312" w:cs="仿宋_GB2312"/>
        </w:rPr>
      </w:pPr>
      <w:r>
        <w:rPr>
          <w:rFonts w:hint="eastAsia" w:ascii="仿宋_GB2312" w:hAnsi="仿宋_GB2312" w:eastAsia="仿宋_GB2312" w:cs="仿宋_GB2312"/>
        </w:rPr>
        <w:t>2.配套设施</w:t>
      </w:r>
    </w:p>
    <w:p w14:paraId="27896143">
      <w:pPr>
        <w:ind w:firstLine="640"/>
        <w:rPr>
          <w:rFonts w:hint="eastAsia" w:ascii="仿宋_GB2312" w:hAnsi="仿宋_GB2312" w:eastAsia="仿宋_GB2312" w:cs="仿宋_GB2312"/>
        </w:rPr>
      </w:pPr>
      <w:r>
        <w:rPr>
          <w:rFonts w:hint="eastAsia" w:ascii="仿宋_GB2312" w:hAnsi="仿宋_GB2312" w:eastAsia="仿宋_GB2312" w:cs="仿宋_GB2312"/>
        </w:rPr>
        <w:t>地块位于城区，周边道路已基本建成，交通区位优势明显。</w:t>
      </w:r>
    </w:p>
    <w:p w14:paraId="6AE8FA1F">
      <w:pPr>
        <w:pStyle w:val="2"/>
        <w:spacing w:before="156" w:after="156" w:line="590" w:lineRule="exact"/>
        <w:rPr>
          <w:rFonts w:hint="eastAsia" w:ascii="方正小标宋_GBK" w:hAnsi="方正小标宋_GBK" w:eastAsia="方正小标宋_GBK" w:cs="方正小标宋_GBK"/>
          <w:sz w:val="36"/>
          <w:szCs w:val="36"/>
        </w:rPr>
      </w:pPr>
      <w:bookmarkStart w:id="17" w:name="_Toc30552"/>
      <w:bookmarkStart w:id="18" w:name="_Toc7317"/>
      <w:bookmarkStart w:id="19" w:name="_Toc20185"/>
      <w:r>
        <w:rPr>
          <w:rFonts w:hint="eastAsia" w:ascii="方正小标宋_GBK" w:hAnsi="方正小标宋_GBK" w:eastAsia="方正小标宋_GBK" w:cs="方正小标宋_GBK"/>
          <w:sz w:val="36"/>
          <w:szCs w:val="36"/>
        </w:rPr>
        <w:t>第三章 实施层面详细规划</w:t>
      </w:r>
      <w:bookmarkEnd w:id="17"/>
      <w:bookmarkEnd w:id="18"/>
      <w:bookmarkEnd w:id="19"/>
    </w:p>
    <w:p w14:paraId="78E08CFA">
      <w:pPr>
        <w:pStyle w:val="3"/>
        <w:spacing w:line="590" w:lineRule="exact"/>
        <w:rPr>
          <w:rFonts w:hint="eastAsia" w:ascii="仿宋_GB2312" w:hAnsi="仿宋_GB2312" w:eastAsia="仿宋_GB2312" w:cs="仿宋_GB2312"/>
          <w:szCs w:val="32"/>
        </w:rPr>
      </w:pPr>
      <w:bookmarkStart w:id="20" w:name="_Toc12536"/>
      <w:r>
        <w:rPr>
          <w:rFonts w:hint="eastAsia" w:ascii="仿宋_GB2312" w:hAnsi="仿宋_GB2312" w:eastAsia="仿宋_GB2312" w:cs="仿宋_GB2312"/>
          <w:szCs w:val="32"/>
        </w:rPr>
        <w:t>土地用途</w:t>
      </w:r>
      <w:bookmarkEnd w:id="20"/>
    </w:p>
    <w:p w14:paraId="48C0E63C">
      <w:pPr>
        <w:ind w:firstLine="640"/>
        <w:rPr>
          <w:rFonts w:hint="eastAsia" w:ascii="仿宋_GB2312" w:hAnsi="仿宋_GB2312" w:eastAsia="仿宋_GB2312" w:cs="仿宋_GB2312"/>
        </w:rPr>
      </w:pPr>
      <w:r>
        <w:rPr>
          <w:rFonts w:hint="eastAsia" w:ascii="仿宋_GB2312" w:hAnsi="仿宋_GB2312" w:eastAsia="仿宋_GB2312" w:cs="仿宋_GB2312"/>
        </w:rPr>
        <w:t>规划区内土地使用性质分类和代码按《国土空间调查、规划、用途管制用地用海分类指南》进行划分。本规划用地性质一般划分至二级类</w:t>
      </w:r>
      <w:r>
        <w:rPr>
          <w:rFonts w:hint="eastAsia" w:ascii="仿宋_GB2312" w:hAnsi="仿宋_GB2312" w:cs="仿宋_GB2312"/>
          <w:lang w:eastAsia="zh-CN"/>
        </w:rPr>
        <w:t>，</w:t>
      </w:r>
      <w:r>
        <w:rPr>
          <w:rFonts w:hint="eastAsia" w:ascii="仿宋_GB2312" w:hAnsi="仿宋_GB2312" w:cs="仿宋_GB2312"/>
          <w:lang w:val="en-US" w:eastAsia="zh-CN"/>
        </w:rPr>
        <w:t>其中公共服务管理与公共服务用地分为三级类。</w:t>
      </w:r>
      <w:r>
        <w:rPr>
          <w:rFonts w:hint="eastAsia" w:ascii="仿宋_GB2312" w:hAnsi="仿宋_GB2312" w:eastAsia="仿宋_GB2312" w:cs="仿宋_GB2312"/>
        </w:rPr>
        <w:t>。</w:t>
      </w:r>
    </w:p>
    <w:p w14:paraId="0B4A38FE">
      <w:pPr>
        <w:ind w:firstLine="640"/>
        <w:rPr>
          <w:rFonts w:hint="default" w:ascii="仿宋_GB2312" w:hAnsi="仿宋_GB2312" w:eastAsia="仿宋_GB2312" w:cs="仿宋_GB2312"/>
          <w:lang w:val="en-US" w:eastAsia="zh-CN"/>
        </w:rPr>
      </w:pPr>
      <w:r>
        <w:rPr>
          <w:rFonts w:hint="eastAsia" w:ascii="仿宋_GB2312" w:hAnsi="仿宋_GB2312" w:cs="仿宋_GB2312"/>
          <w:lang w:val="en-US" w:eastAsia="zh-CN"/>
        </w:rPr>
        <w:t>规划区域内城镇住宅用地3.00公顷，幼儿园用地0.23公顷。</w:t>
      </w:r>
    </w:p>
    <w:p w14:paraId="29EE4013">
      <w:pPr>
        <w:ind w:firstLine="640"/>
        <w:rPr>
          <w:rFonts w:hint="eastAsia" w:ascii="仿宋_GB2312" w:hAnsi="仿宋_GB2312" w:eastAsia="仿宋_GB2312" w:cs="仿宋_GB2312"/>
        </w:rPr>
      </w:pPr>
      <w:r>
        <w:rPr>
          <w:rFonts w:hint="eastAsia" w:ascii="仿宋_GB2312" w:hAnsi="仿宋_GB2312" w:eastAsia="仿宋_GB2312" w:cs="仿宋_GB2312"/>
        </w:rPr>
        <w:t>建筑的改建、扩建和新建，其使用性质应同所在地块的土地使用性质相符。各类用地适建范围按照现行《乐山市城市规划管理技术规定》相关内容执行。</w:t>
      </w:r>
    </w:p>
    <w:p w14:paraId="4ABBBDFC">
      <w:pPr>
        <w:pStyle w:val="3"/>
        <w:spacing w:line="590" w:lineRule="exact"/>
        <w:rPr>
          <w:rFonts w:hint="eastAsia" w:ascii="仿宋_GB2312" w:hAnsi="仿宋_GB2312" w:eastAsia="仿宋_GB2312" w:cs="仿宋_GB2312"/>
          <w:szCs w:val="32"/>
        </w:rPr>
      </w:pPr>
      <w:bookmarkStart w:id="21" w:name="_Toc2749"/>
      <w:r>
        <w:rPr>
          <w:rFonts w:hint="eastAsia" w:ascii="仿宋_GB2312" w:hAnsi="仿宋_GB2312" w:eastAsia="仿宋_GB2312" w:cs="仿宋_GB2312"/>
          <w:szCs w:val="32"/>
        </w:rPr>
        <w:t>地块划分</w:t>
      </w:r>
      <w:bookmarkEnd w:id="21"/>
    </w:p>
    <w:p w14:paraId="35647FBB">
      <w:pPr>
        <w:ind w:firstLine="640"/>
        <w:rPr>
          <w:rFonts w:hint="eastAsia" w:ascii="仿宋_GB2312" w:hAnsi="仿宋_GB2312" w:eastAsia="仿宋_GB2312" w:cs="仿宋_GB2312"/>
        </w:rPr>
      </w:pPr>
      <w:r>
        <w:rPr>
          <w:rFonts w:hint="eastAsia" w:ascii="仿宋_GB2312" w:hAnsi="仿宋_GB2312" w:eastAsia="仿宋_GB2312" w:cs="仿宋_GB2312"/>
        </w:rPr>
        <w:t>依据土地用地性质，综合考虑宗地权属、城市道路和自然边界等因素，保证边界相对清晰，避免出现异形、零星和夹心地，便于土地供应、开发和建设。</w:t>
      </w:r>
    </w:p>
    <w:p w14:paraId="21FAE563">
      <w:pPr>
        <w:ind w:firstLine="640"/>
        <w:rPr>
          <w:rFonts w:hint="eastAsia" w:ascii="仿宋_GB2312" w:hAnsi="仿宋_GB2312" w:eastAsia="仿宋_GB2312" w:cs="仿宋_GB2312"/>
        </w:rPr>
      </w:pPr>
      <w:r>
        <w:rPr>
          <w:rFonts w:hint="eastAsia" w:ascii="仿宋_GB2312" w:hAnsi="仿宋_GB2312" w:eastAsia="仿宋_GB2312" w:cs="仿宋_GB2312"/>
        </w:rPr>
        <w:t>地块规模与其区位、用地类型、开发控制和道路网密度要求等相适应，单个地块面积不宜过大。</w:t>
      </w:r>
    </w:p>
    <w:p w14:paraId="2A1F809F">
      <w:pPr>
        <w:ind w:firstLine="640"/>
        <w:rPr>
          <w:rFonts w:hint="eastAsia" w:ascii="仿宋_GB2312" w:hAnsi="仿宋_GB2312" w:eastAsia="仿宋_GB2312" w:cs="仿宋_GB2312"/>
        </w:rPr>
      </w:pPr>
      <w:r>
        <w:rPr>
          <w:rFonts w:hint="eastAsia" w:ascii="仿宋_GB2312" w:hAnsi="仿宋_GB2312" w:eastAsia="仿宋_GB2312" w:cs="仿宋_GB2312"/>
        </w:rPr>
        <w:t>本规划地块编码沿用沐川县中心城区老城详规单元详细规划编码方式，并纳入沐川县中心城区老城详规单元详细规划地块编码体系，待沐川县中心城区老城详规单元详细规划批复后同步更新。</w:t>
      </w:r>
    </w:p>
    <w:p w14:paraId="1082CDE3">
      <w:pPr>
        <w:pStyle w:val="3"/>
        <w:spacing w:line="590" w:lineRule="exact"/>
        <w:rPr>
          <w:rFonts w:hint="eastAsia" w:ascii="仿宋_GB2312" w:hAnsi="仿宋_GB2312" w:eastAsia="仿宋_GB2312" w:cs="仿宋_GB2312"/>
          <w:szCs w:val="32"/>
        </w:rPr>
      </w:pPr>
      <w:bookmarkStart w:id="22" w:name="_Toc17714"/>
      <w:r>
        <w:rPr>
          <w:rFonts w:hint="eastAsia" w:ascii="仿宋_GB2312" w:hAnsi="仿宋_GB2312" w:eastAsia="仿宋_GB2312" w:cs="仿宋_GB2312"/>
          <w:szCs w:val="32"/>
        </w:rPr>
        <w:t>地块控制指标</w:t>
      </w:r>
      <w:bookmarkEnd w:id="22"/>
    </w:p>
    <w:p w14:paraId="6BE94FF8">
      <w:pPr>
        <w:ind w:firstLine="640"/>
        <w:rPr>
          <w:rFonts w:hint="eastAsia" w:ascii="仿宋_GB2312" w:hAnsi="仿宋_GB2312" w:eastAsia="仿宋_GB2312" w:cs="仿宋_GB2312"/>
        </w:rPr>
      </w:pPr>
      <w:r>
        <w:rPr>
          <w:rFonts w:hint="eastAsia" w:ascii="仿宋_GB2312" w:hAnsi="仿宋_GB2312" w:eastAsia="仿宋_GB2312" w:cs="仿宋_GB2312"/>
        </w:rPr>
        <w:t>在土地开发强度上针对不同区域和用地类型，容积率、建筑高度和建筑密度实行上限控制。地块规划条件按照实施图则执行。建筑高度控制除了按照规划图则相关内容执行外，还应同时满足其他专项规划的相关要求。</w:t>
      </w:r>
    </w:p>
    <w:p w14:paraId="1C5E5934">
      <w:pPr>
        <w:ind w:firstLine="640"/>
        <w:rPr>
          <w:rFonts w:hint="eastAsia" w:ascii="仿宋_GB2312" w:hAnsi="仿宋_GB2312" w:eastAsia="仿宋_GB2312" w:cs="仿宋_GB2312"/>
        </w:rPr>
      </w:pPr>
      <w:r>
        <w:rPr>
          <w:rFonts w:hint="eastAsia" w:ascii="仿宋_GB2312" w:hAnsi="仿宋_GB2312" w:eastAsia="仿宋_GB2312" w:cs="仿宋_GB2312"/>
        </w:rPr>
        <w:t>地块具体指标可根据建设强度和建筑高度控制要求，在不突破单元约束性要求和总规模控制的前提下，经评估论证后优化确定。</w:t>
      </w:r>
    </w:p>
    <w:p w14:paraId="425002B2">
      <w:pPr>
        <w:pStyle w:val="3"/>
        <w:spacing w:line="590" w:lineRule="exact"/>
        <w:rPr>
          <w:rFonts w:hint="eastAsia" w:ascii="仿宋_GB2312" w:hAnsi="仿宋_GB2312" w:eastAsia="仿宋_GB2312" w:cs="仿宋_GB2312"/>
          <w:szCs w:val="32"/>
        </w:rPr>
      </w:pPr>
      <w:bookmarkStart w:id="23" w:name="_Toc27504"/>
      <w:r>
        <w:rPr>
          <w:rFonts w:hint="eastAsia" w:ascii="仿宋_GB2312" w:hAnsi="仿宋_GB2312" w:eastAsia="仿宋_GB2312" w:cs="仿宋_GB2312"/>
          <w:szCs w:val="32"/>
        </w:rPr>
        <w:t>土地兼容</w:t>
      </w:r>
      <w:bookmarkEnd w:id="23"/>
    </w:p>
    <w:p w14:paraId="616603CD">
      <w:pPr>
        <w:ind w:firstLine="640"/>
        <w:rPr>
          <w:rFonts w:hint="eastAsia" w:ascii="仿宋_GB2312" w:hAnsi="仿宋_GB2312" w:eastAsia="仿宋_GB2312" w:cs="仿宋_GB2312"/>
        </w:rPr>
      </w:pPr>
      <w:r>
        <w:rPr>
          <w:rFonts w:hint="eastAsia" w:ascii="仿宋_GB2312" w:hAnsi="仿宋_GB2312" w:eastAsia="仿宋_GB2312" w:cs="仿宋_GB2312"/>
        </w:rPr>
        <w:t>图则中明确了用地兼容的按实施图则执行，未明确的按照现行《乐山市城市规划管理技术规定》相关要求执行。</w:t>
      </w:r>
    </w:p>
    <w:p w14:paraId="5E72CF95">
      <w:pPr>
        <w:pStyle w:val="3"/>
        <w:spacing w:line="590" w:lineRule="exact"/>
        <w:rPr>
          <w:rFonts w:hint="eastAsia" w:ascii="仿宋_GB2312" w:hAnsi="仿宋_GB2312" w:eastAsia="仿宋_GB2312" w:cs="仿宋_GB2312"/>
          <w:szCs w:val="32"/>
        </w:rPr>
      </w:pPr>
      <w:bookmarkStart w:id="24" w:name="_Toc12560"/>
      <w:r>
        <w:rPr>
          <w:rFonts w:hint="eastAsia" w:ascii="仿宋_GB2312" w:hAnsi="仿宋_GB2312" w:eastAsia="仿宋_GB2312" w:cs="仿宋_GB2312"/>
          <w:szCs w:val="32"/>
        </w:rPr>
        <w:t>混合用地</w:t>
      </w:r>
      <w:bookmarkEnd w:id="24"/>
    </w:p>
    <w:p w14:paraId="56F750E2">
      <w:pPr>
        <w:ind w:firstLine="640"/>
        <w:rPr>
          <w:rFonts w:hint="eastAsia" w:ascii="仿宋_GB2312" w:hAnsi="仿宋_GB2312" w:eastAsia="仿宋_GB2312" w:cs="仿宋_GB2312"/>
        </w:rPr>
      </w:pPr>
      <w:r>
        <w:rPr>
          <w:rFonts w:hint="eastAsia" w:ascii="仿宋_GB2312" w:hAnsi="仿宋_GB2312" w:eastAsia="仿宋_GB2312" w:cs="仿宋_GB2312"/>
        </w:rPr>
        <w:t>混合用地是指土地使用功能在两种或两种以上的地块，对各功能用地面积、建筑面积的具体比例不作要求，由规划主管部门结合实际情况确定。</w:t>
      </w:r>
    </w:p>
    <w:p w14:paraId="628BEEC3">
      <w:pPr>
        <w:pStyle w:val="3"/>
        <w:spacing w:line="590" w:lineRule="exact"/>
        <w:rPr>
          <w:rFonts w:hint="eastAsia" w:ascii="仿宋_GB2312" w:hAnsi="仿宋_GB2312" w:eastAsia="仿宋_GB2312" w:cs="仿宋_GB2312"/>
          <w:szCs w:val="32"/>
        </w:rPr>
      </w:pPr>
      <w:bookmarkStart w:id="25" w:name="_Toc19346"/>
      <w:r>
        <w:rPr>
          <w:rFonts w:hint="eastAsia" w:ascii="仿宋_GB2312" w:hAnsi="仿宋_GB2312" w:eastAsia="仿宋_GB2312" w:cs="仿宋_GB2312"/>
          <w:szCs w:val="32"/>
        </w:rPr>
        <w:t>停车设施</w:t>
      </w:r>
      <w:bookmarkEnd w:id="25"/>
    </w:p>
    <w:p w14:paraId="5BCFC766">
      <w:pPr>
        <w:ind w:firstLine="640"/>
        <w:rPr>
          <w:rFonts w:hint="eastAsia" w:ascii="仿宋_GB2312" w:hAnsi="仿宋_GB2312" w:eastAsia="仿宋_GB2312" w:cs="仿宋_GB2312"/>
        </w:rPr>
      </w:pPr>
      <w:r>
        <w:rPr>
          <w:rFonts w:hint="eastAsia" w:ascii="仿宋_GB2312" w:hAnsi="仿宋_GB2312" w:eastAsia="仿宋_GB2312" w:cs="仿宋_GB2312"/>
        </w:rPr>
        <w:t>各地块停车泊位配建比例按实施图则执行，未明确的按照现行《乐山市城市规划管理技术规定》相关要求执行，且要充分利用地下空间设置停车场。停车充电设施的配置应符合川办发〔2022〕34号、乐府办发〔2022〕43号文件要求。</w:t>
      </w:r>
    </w:p>
    <w:p w14:paraId="3941FC8A">
      <w:pPr>
        <w:pStyle w:val="3"/>
        <w:spacing w:line="590" w:lineRule="exact"/>
        <w:rPr>
          <w:rFonts w:hint="eastAsia" w:ascii="仿宋_GB2312" w:hAnsi="仿宋_GB2312" w:eastAsia="仿宋_GB2312" w:cs="仿宋_GB2312"/>
          <w:szCs w:val="32"/>
        </w:rPr>
      </w:pPr>
      <w:bookmarkStart w:id="26" w:name="_Toc15514"/>
      <w:r>
        <w:rPr>
          <w:rFonts w:hint="eastAsia" w:ascii="仿宋_GB2312" w:hAnsi="仿宋_GB2312" w:eastAsia="仿宋_GB2312" w:cs="仿宋_GB2312"/>
          <w:szCs w:val="32"/>
        </w:rPr>
        <w:t>地下空间</w:t>
      </w:r>
      <w:bookmarkEnd w:id="26"/>
    </w:p>
    <w:p w14:paraId="4D662C61">
      <w:pPr>
        <w:ind w:firstLine="640"/>
        <w:rPr>
          <w:rFonts w:hint="eastAsia" w:ascii="仿宋_GB2312" w:hAnsi="仿宋_GB2312" w:eastAsia="仿宋_GB2312" w:cs="仿宋_GB2312"/>
        </w:rPr>
      </w:pPr>
      <w:r>
        <w:rPr>
          <w:rFonts w:hint="eastAsia" w:ascii="仿宋_GB2312" w:hAnsi="仿宋_GB2312" w:eastAsia="仿宋_GB2312" w:cs="仿宋_GB2312"/>
        </w:rPr>
        <w:t>允许修建与用地性质一致的地下使用空间及配套设施等。开发深度至室外地坪起计不得超过10米，其余事项应符合国家相关规范标准及现行《乐山市城市规划管理技术规定》的要求。</w:t>
      </w:r>
    </w:p>
    <w:p w14:paraId="6900BDF7">
      <w:pPr>
        <w:pStyle w:val="3"/>
        <w:spacing w:line="590" w:lineRule="exact"/>
        <w:rPr>
          <w:rFonts w:hint="eastAsia" w:ascii="仿宋_GB2312" w:hAnsi="仿宋_GB2312" w:eastAsia="仿宋_GB2312" w:cs="仿宋_GB2312"/>
          <w:szCs w:val="32"/>
        </w:rPr>
      </w:pPr>
      <w:bookmarkStart w:id="27" w:name="_Toc24523"/>
      <w:bookmarkStart w:id="28" w:name="_Toc22302"/>
      <w:bookmarkStart w:id="29" w:name="_Toc7245"/>
      <w:r>
        <w:rPr>
          <w:rFonts w:hint="eastAsia" w:ascii="仿宋_GB2312" w:hAnsi="仿宋_GB2312" w:eastAsia="仿宋_GB2312" w:cs="仿宋_GB2312"/>
          <w:szCs w:val="32"/>
        </w:rPr>
        <w:t>空间组合</w:t>
      </w:r>
      <w:bookmarkEnd w:id="27"/>
    </w:p>
    <w:p w14:paraId="313A6858">
      <w:pPr>
        <w:ind w:firstLine="640"/>
        <w:rPr>
          <w:rFonts w:hint="eastAsia" w:ascii="仿宋_GB2312" w:hAnsi="仿宋_GB2312" w:eastAsia="仿宋_GB2312" w:cs="仿宋_GB2312"/>
        </w:rPr>
      </w:pPr>
      <w:r>
        <w:rPr>
          <w:rFonts w:hint="eastAsia" w:ascii="仿宋_GB2312" w:hAnsi="仿宋_GB2312" w:eastAsia="仿宋_GB2312" w:cs="仿宋_GB2312"/>
        </w:rPr>
        <w:t>建筑间距、建筑退让均按照现行《乐山市城市规划管理技术规定》的相关要求执行。机动车出入口方位、禁止开口路段详见实施图则。</w:t>
      </w:r>
    </w:p>
    <w:p w14:paraId="0F64D52E">
      <w:pPr>
        <w:pStyle w:val="3"/>
        <w:spacing w:line="590" w:lineRule="exact"/>
        <w:rPr>
          <w:rFonts w:hint="eastAsia" w:ascii="仿宋_GB2312" w:hAnsi="仿宋_GB2312" w:eastAsia="仿宋_GB2312" w:cs="仿宋_GB2312"/>
          <w:szCs w:val="32"/>
        </w:rPr>
      </w:pPr>
      <w:bookmarkStart w:id="30" w:name="_Toc11149"/>
      <w:r>
        <w:rPr>
          <w:rFonts w:hint="eastAsia" w:ascii="仿宋_GB2312" w:hAnsi="仿宋_GB2312" w:eastAsia="仿宋_GB2312" w:cs="仿宋_GB2312"/>
          <w:szCs w:val="32"/>
        </w:rPr>
        <w:t>风貌管控</w:t>
      </w:r>
      <w:bookmarkEnd w:id="30"/>
    </w:p>
    <w:p w14:paraId="522E5C6B">
      <w:pPr>
        <w:ind w:firstLine="640"/>
        <w:rPr>
          <w:rFonts w:hint="eastAsia" w:ascii="仿宋_GB2312" w:hAnsi="仿宋_GB2312" w:eastAsia="仿宋_GB2312" w:cs="仿宋_GB2312"/>
        </w:rPr>
      </w:pPr>
      <w:r>
        <w:rPr>
          <w:rFonts w:hint="eastAsia" w:ascii="仿宋_GB2312" w:hAnsi="仿宋_GB2312" w:eastAsia="仿宋_GB2312" w:cs="仿宋_GB2312"/>
        </w:rPr>
        <w:t>1.建筑屋顶、立面、色彩、造型与相邻建筑的空间布局及景观环境协调，满足现行《乐山市城市规划管理技术规定》。</w:t>
      </w:r>
    </w:p>
    <w:p w14:paraId="1D23301C">
      <w:pPr>
        <w:ind w:firstLine="640"/>
        <w:rPr>
          <w:rFonts w:hint="eastAsia" w:ascii="仿宋_GB2312" w:hAnsi="仿宋_GB2312" w:eastAsia="仿宋_GB2312" w:cs="仿宋_GB2312"/>
        </w:rPr>
      </w:pPr>
      <w:r>
        <w:rPr>
          <w:rFonts w:hint="eastAsia" w:ascii="仿宋_GB2312" w:hAnsi="仿宋_GB2312" w:eastAsia="仿宋_GB2312" w:cs="仿宋_GB2312"/>
        </w:rPr>
        <w:t>2.商业建筑不得低于两层，居住用地内鼓励商业独立设置（若设置社区底商，宜布局在宽度24米以下的非主要干道两侧）。</w:t>
      </w:r>
    </w:p>
    <w:p w14:paraId="62159B45">
      <w:pPr>
        <w:ind w:firstLine="640"/>
        <w:rPr>
          <w:rFonts w:hint="eastAsia" w:ascii="仿宋_GB2312" w:hAnsi="仿宋_GB2312" w:eastAsia="仿宋_GB2312" w:cs="仿宋_GB2312"/>
        </w:rPr>
      </w:pPr>
      <w:r>
        <w:rPr>
          <w:rFonts w:hint="eastAsia" w:ascii="仿宋_GB2312" w:hAnsi="仿宋_GB2312" w:eastAsia="仿宋_GB2312" w:cs="仿宋_GB2312"/>
        </w:rPr>
        <w:t>3.满足规划管理部门提出的</w:t>
      </w:r>
      <w:r>
        <w:rPr>
          <w:rFonts w:hint="eastAsia" w:ascii="仿宋_GB2312" w:hAnsi="仿宋_GB2312" w:cs="仿宋_GB2312"/>
          <w:lang w:eastAsia="zh-CN"/>
        </w:rPr>
        <w:t>其他</w:t>
      </w:r>
      <w:r>
        <w:rPr>
          <w:rFonts w:hint="eastAsia" w:ascii="仿宋_GB2312" w:hAnsi="仿宋_GB2312" w:eastAsia="仿宋_GB2312" w:cs="仿宋_GB2312"/>
        </w:rPr>
        <w:t>管理要求。</w:t>
      </w:r>
    </w:p>
    <w:p w14:paraId="3D5B0279">
      <w:pPr>
        <w:pStyle w:val="3"/>
        <w:spacing w:line="590" w:lineRule="exact"/>
        <w:rPr>
          <w:rFonts w:hint="eastAsia" w:ascii="仿宋_GB2312" w:hAnsi="仿宋_GB2312" w:eastAsia="仿宋_GB2312" w:cs="仿宋_GB2312"/>
          <w:szCs w:val="32"/>
        </w:rPr>
      </w:pPr>
      <w:bookmarkStart w:id="31" w:name="_Toc8115"/>
      <w:r>
        <w:rPr>
          <w:rFonts w:hint="eastAsia" w:ascii="仿宋_GB2312" w:hAnsi="仿宋_GB2312" w:eastAsia="仿宋_GB2312" w:cs="仿宋_GB2312"/>
          <w:szCs w:val="32"/>
        </w:rPr>
        <w:t>海绵城市</w:t>
      </w:r>
      <w:bookmarkEnd w:id="31"/>
    </w:p>
    <w:p w14:paraId="01B33C70">
      <w:pPr>
        <w:ind w:firstLine="640"/>
        <w:rPr>
          <w:rFonts w:hint="eastAsia" w:ascii="仿宋_GB2312" w:hAnsi="仿宋_GB2312" w:eastAsia="仿宋_GB2312" w:cs="仿宋_GB2312"/>
        </w:rPr>
      </w:pPr>
      <w:r>
        <w:rPr>
          <w:rFonts w:hint="eastAsia" w:ascii="仿宋_GB2312" w:hAnsi="仿宋_GB2312" w:eastAsia="仿宋_GB2312" w:cs="仿宋_GB2312"/>
        </w:rPr>
        <w:t>地块年径流总量控制率应满足《乐山市海绵城市建设管理条例》《乐山市海绵城市专项规划（2022—2035年）</w:t>
      </w:r>
      <w:r>
        <w:rPr>
          <w:rFonts w:hint="eastAsia" w:ascii="仿宋_GB2312" w:hAnsi="仿宋_GB2312" w:cs="仿宋_GB2312"/>
          <w:lang w:eastAsia="zh-CN"/>
        </w:rPr>
        <w:t>》等</w:t>
      </w:r>
      <w:r>
        <w:rPr>
          <w:rFonts w:hint="eastAsia" w:ascii="仿宋_GB2312" w:hAnsi="仿宋_GB2312" w:eastAsia="仿宋_GB2312" w:cs="仿宋_GB2312"/>
        </w:rPr>
        <w:t>相关要求。</w:t>
      </w:r>
    </w:p>
    <w:p w14:paraId="5E1DAF7D">
      <w:pPr>
        <w:pStyle w:val="2"/>
        <w:spacing w:before="156" w:after="156" w:line="590" w:lineRule="exact"/>
        <w:rPr>
          <w:rFonts w:hint="eastAsia" w:ascii="方正小标宋_GBK" w:hAnsi="方正小标宋_GBK" w:eastAsia="方正小标宋_GBK" w:cs="方正小标宋_GBK"/>
          <w:sz w:val="36"/>
          <w:szCs w:val="36"/>
        </w:rPr>
      </w:pPr>
      <w:bookmarkStart w:id="32" w:name="_Toc5809"/>
      <w:r>
        <w:rPr>
          <w:rFonts w:hint="eastAsia" w:ascii="方正小标宋_GBK" w:hAnsi="方正小标宋_GBK" w:eastAsia="方正小标宋_GBK" w:cs="方正小标宋_GBK"/>
          <w:sz w:val="36"/>
          <w:szCs w:val="36"/>
        </w:rPr>
        <w:t>第四章 实施措施</w:t>
      </w:r>
      <w:bookmarkEnd w:id="28"/>
      <w:bookmarkEnd w:id="29"/>
      <w:bookmarkEnd w:id="32"/>
    </w:p>
    <w:p w14:paraId="3A0306A1">
      <w:pPr>
        <w:pStyle w:val="3"/>
        <w:spacing w:line="590" w:lineRule="exact"/>
        <w:rPr>
          <w:rFonts w:hint="eastAsia" w:ascii="仿宋_GB2312" w:hAnsi="仿宋_GB2312" w:eastAsia="仿宋_GB2312" w:cs="仿宋_GB2312"/>
          <w:szCs w:val="32"/>
        </w:rPr>
      </w:pPr>
      <w:bookmarkStart w:id="33" w:name="_Toc27221"/>
      <w:r>
        <w:rPr>
          <w:rFonts w:hint="eastAsia" w:ascii="仿宋_GB2312" w:hAnsi="仿宋_GB2312" w:eastAsia="仿宋_GB2312" w:cs="仿宋_GB2312"/>
          <w:szCs w:val="32"/>
        </w:rPr>
        <w:t>加强组织保障</w:t>
      </w:r>
      <w:bookmarkEnd w:id="33"/>
    </w:p>
    <w:p w14:paraId="0C71582D">
      <w:pPr>
        <w:ind w:firstLine="640"/>
        <w:rPr>
          <w:rFonts w:hint="eastAsia" w:ascii="仿宋_GB2312" w:hAnsi="仿宋_GB2312" w:eastAsia="仿宋_GB2312" w:cs="仿宋_GB2312"/>
        </w:rPr>
      </w:pPr>
      <w:r>
        <w:rPr>
          <w:rFonts w:hint="eastAsia" w:ascii="仿宋_GB2312" w:hAnsi="仿宋_GB2312" w:eastAsia="仿宋_GB2312" w:cs="仿宋_GB2312"/>
        </w:rPr>
        <w:t>加强规划统筹，实现“多规衔接”，做到规划编制“一张图”，规划管理“一班人”，规划实施“一盘棋”，维护规划的权威性。</w:t>
      </w:r>
    </w:p>
    <w:p w14:paraId="0F6BE014">
      <w:pPr>
        <w:pStyle w:val="3"/>
        <w:spacing w:line="590" w:lineRule="exact"/>
        <w:rPr>
          <w:rFonts w:hint="eastAsia" w:ascii="仿宋_GB2312" w:hAnsi="仿宋_GB2312" w:eastAsia="仿宋_GB2312" w:cs="仿宋_GB2312"/>
          <w:szCs w:val="32"/>
        </w:rPr>
      </w:pPr>
      <w:bookmarkStart w:id="34" w:name="_Toc27833"/>
      <w:r>
        <w:rPr>
          <w:rFonts w:hint="eastAsia" w:ascii="仿宋_GB2312" w:hAnsi="仿宋_GB2312" w:eastAsia="仿宋_GB2312" w:cs="仿宋_GB2312"/>
          <w:szCs w:val="32"/>
        </w:rPr>
        <w:t>完善政策配套</w:t>
      </w:r>
      <w:bookmarkEnd w:id="34"/>
    </w:p>
    <w:p w14:paraId="0CF452CE">
      <w:pPr>
        <w:ind w:firstLine="640"/>
        <w:rPr>
          <w:rFonts w:hint="eastAsia" w:ascii="仿宋_GB2312" w:hAnsi="仿宋_GB2312" w:eastAsia="仿宋_GB2312" w:cs="仿宋_GB2312"/>
        </w:rPr>
      </w:pPr>
      <w:r>
        <w:rPr>
          <w:rFonts w:hint="eastAsia" w:ascii="仿宋_GB2312" w:hAnsi="仿宋_GB2312" w:eastAsia="仿宋_GB2312" w:cs="仿宋_GB2312"/>
        </w:rPr>
        <w:t>对与规划意图不符的已征地，应做好置换工作，以实现规划所期望的城市风貌与布局结构形态。</w:t>
      </w:r>
    </w:p>
    <w:p w14:paraId="2923F1A0">
      <w:pPr>
        <w:pStyle w:val="3"/>
        <w:spacing w:line="590" w:lineRule="exact"/>
        <w:rPr>
          <w:rFonts w:hint="eastAsia" w:ascii="仿宋_GB2312" w:hAnsi="仿宋_GB2312" w:eastAsia="仿宋_GB2312" w:cs="仿宋_GB2312"/>
          <w:szCs w:val="32"/>
        </w:rPr>
      </w:pPr>
      <w:bookmarkStart w:id="35" w:name="_Toc14350"/>
      <w:r>
        <w:rPr>
          <w:rFonts w:hint="eastAsia" w:ascii="仿宋_GB2312" w:hAnsi="仿宋_GB2312" w:eastAsia="仿宋_GB2312" w:cs="仿宋_GB2312"/>
          <w:szCs w:val="32"/>
        </w:rPr>
        <w:t>建立监督评估机制</w:t>
      </w:r>
      <w:bookmarkEnd w:id="35"/>
    </w:p>
    <w:p w14:paraId="2BF9B50F">
      <w:pPr>
        <w:ind w:firstLine="640"/>
        <w:rPr>
          <w:rFonts w:hint="eastAsia" w:ascii="仿宋_GB2312" w:hAnsi="仿宋_GB2312" w:eastAsia="仿宋_GB2312" w:cs="仿宋_GB2312"/>
        </w:rPr>
      </w:pPr>
      <w:r>
        <w:rPr>
          <w:rFonts w:hint="eastAsia" w:ascii="仿宋_GB2312" w:hAnsi="仿宋_GB2312" w:eastAsia="仿宋_GB2312" w:cs="仿宋_GB2312"/>
        </w:rPr>
        <w:t>健全公众参与制度，做好公示公开、主动接受社会监督。建立规划实施动态监测制度，定期开展规划实施评估。依托国土空间基础信息平台和国土空间规划“一张图”系统，加快推进规划编制、审批、实施、监督全程在线数字化管理，提高工作质效。</w:t>
      </w:r>
    </w:p>
    <w:p w14:paraId="278FF86F">
      <w:pPr>
        <w:pStyle w:val="2"/>
        <w:spacing w:before="156" w:after="156" w:line="590" w:lineRule="exact"/>
        <w:rPr>
          <w:rFonts w:hint="eastAsia" w:ascii="方正小标宋_GBK" w:hAnsi="方正小标宋_GBK" w:eastAsia="方正小标宋_GBK" w:cs="方正小标宋_GBK"/>
          <w:sz w:val="36"/>
          <w:szCs w:val="36"/>
        </w:rPr>
      </w:pPr>
      <w:bookmarkStart w:id="36" w:name="_Toc403138113"/>
      <w:bookmarkStart w:id="37" w:name="_Toc367721351"/>
      <w:bookmarkStart w:id="38" w:name="_Toc222888795"/>
      <w:bookmarkStart w:id="39" w:name="_Toc16191"/>
      <w:bookmarkStart w:id="40" w:name="_Toc36647506"/>
      <w:r>
        <w:rPr>
          <w:rFonts w:hint="eastAsia" w:ascii="方正小标宋_GBK" w:hAnsi="方正小标宋_GBK" w:eastAsia="方正小标宋_GBK" w:cs="方正小标宋_GBK"/>
          <w:sz w:val="36"/>
          <w:szCs w:val="36"/>
        </w:rPr>
        <w:t>第五章 附则</w:t>
      </w:r>
      <w:bookmarkEnd w:id="36"/>
      <w:bookmarkEnd w:id="37"/>
      <w:bookmarkEnd w:id="38"/>
      <w:bookmarkEnd w:id="39"/>
      <w:bookmarkEnd w:id="40"/>
    </w:p>
    <w:p w14:paraId="75F92FBF">
      <w:pPr>
        <w:pStyle w:val="3"/>
        <w:spacing w:line="590" w:lineRule="exact"/>
        <w:rPr>
          <w:rFonts w:hint="eastAsia" w:ascii="仿宋_GB2312" w:hAnsi="仿宋_GB2312" w:eastAsia="仿宋_GB2312" w:cs="仿宋_GB2312"/>
          <w:szCs w:val="32"/>
        </w:rPr>
      </w:pPr>
      <w:bookmarkStart w:id="41" w:name="_Toc3088"/>
      <w:r>
        <w:rPr>
          <w:rFonts w:hint="eastAsia" w:ascii="仿宋_GB2312" w:hAnsi="仿宋_GB2312" w:eastAsia="仿宋_GB2312" w:cs="仿宋_GB2312"/>
          <w:szCs w:val="32"/>
        </w:rPr>
        <w:t>规划生效日期</w:t>
      </w:r>
      <w:bookmarkEnd w:id="41"/>
    </w:p>
    <w:p w14:paraId="236E9B4F">
      <w:pPr>
        <w:ind w:firstLine="640"/>
        <w:rPr>
          <w:rFonts w:hint="eastAsia" w:ascii="仿宋_GB2312" w:hAnsi="仿宋_GB2312" w:eastAsia="仿宋_GB2312" w:cs="仿宋_GB2312"/>
        </w:rPr>
      </w:pPr>
      <w:r>
        <w:rPr>
          <w:rFonts w:hint="eastAsia" w:ascii="仿宋_GB2312" w:hAnsi="仿宋_GB2312" w:eastAsia="仿宋_GB2312" w:cs="仿宋_GB2312"/>
        </w:rPr>
        <w:t>本规划自沐川县人民政府批准之日起生效执行。</w:t>
      </w:r>
    </w:p>
    <w:p w14:paraId="039D491C">
      <w:pPr>
        <w:pStyle w:val="3"/>
        <w:spacing w:line="590" w:lineRule="exact"/>
        <w:rPr>
          <w:rFonts w:hint="eastAsia" w:ascii="仿宋_GB2312" w:hAnsi="仿宋_GB2312" w:eastAsia="仿宋_GB2312" w:cs="仿宋_GB2312"/>
          <w:szCs w:val="32"/>
        </w:rPr>
      </w:pPr>
      <w:bookmarkStart w:id="42" w:name="_Toc25761"/>
      <w:r>
        <w:rPr>
          <w:rFonts w:hint="eastAsia" w:ascii="仿宋_GB2312" w:hAnsi="仿宋_GB2312" w:eastAsia="仿宋_GB2312" w:cs="仿宋_GB2312"/>
          <w:szCs w:val="32"/>
        </w:rPr>
        <w:t>规划变更与调整</w:t>
      </w:r>
      <w:bookmarkEnd w:id="42"/>
    </w:p>
    <w:p w14:paraId="74873BEB">
      <w:pPr>
        <w:ind w:firstLine="640"/>
        <w:rPr>
          <w:rFonts w:hint="eastAsia" w:ascii="仿宋_GB2312" w:hAnsi="仿宋_GB2312" w:eastAsia="仿宋_GB2312" w:cs="仿宋_GB2312"/>
          <w:u w:val="single"/>
        </w:rPr>
      </w:pPr>
      <w:r>
        <w:rPr>
          <w:rFonts w:hint="eastAsia" w:ascii="仿宋_GB2312" w:hAnsi="仿宋_GB2312" w:eastAsia="仿宋_GB2312" w:cs="仿宋_GB2312"/>
          <w:u w:val="single"/>
        </w:rPr>
        <w:t>禁止未经法定程序而对本规划作出变更。确因需要对本规划变更时，须按法定程序进行。</w:t>
      </w:r>
    </w:p>
    <w:p w14:paraId="3A856880">
      <w:pPr>
        <w:pStyle w:val="3"/>
        <w:spacing w:line="590" w:lineRule="exact"/>
        <w:rPr>
          <w:rFonts w:hint="eastAsia" w:ascii="仿宋_GB2312" w:hAnsi="仿宋_GB2312" w:eastAsia="仿宋_GB2312" w:cs="仿宋_GB2312"/>
          <w:szCs w:val="32"/>
        </w:rPr>
      </w:pPr>
      <w:bookmarkStart w:id="43" w:name="_Toc11089"/>
      <w:r>
        <w:rPr>
          <w:rFonts w:hint="eastAsia" w:ascii="仿宋_GB2312" w:hAnsi="仿宋_GB2312" w:eastAsia="仿宋_GB2312" w:cs="仿宋_GB2312"/>
          <w:szCs w:val="32"/>
        </w:rPr>
        <w:t>规划解释权</w:t>
      </w:r>
      <w:bookmarkEnd w:id="43"/>
    </w:p>
    <w:p w14:paraId="1B41CCB1">
      <w:pPr>
        <w:ind w:firstLine="640"/>
        <w:rPr>
          <w:rFonts w:hint="eastAsia" w:ascii="仿宋_GB2312" w:hAnsi="仿宋_GB2312" w:eastAsia="仿宋_GB2312" w:cs="仿宋_GB2312"/>
        </w:rPr>
      </w:pPr>
      <w:r>
        <w:rPr>
          <w:rFonts w:hint="eastAsia" w:ascii="仿宋_GB2312" w:hAnsi="仿宋_GB2312" w:eastAsia="仿宋_GB2312" w:cs="仿宋_GB2312"/>
        </w:rPr>
        <w:t>本规划解释权属沐川县规划行政主管部门。</w:t>
      </w:r>
    </w:p>
    <w:p w14:paraId="6B0E651C">
      <w:pPr>
        <w:pStyle w:val="2"/>
        <w:spacing w:before="156" w:after="156"/>
        <w:jc w:val="left"/>
        <w:rPr>
          <w:rFonts w:hint="eastAsia" w:ascii="仿宋_GB2312" w:hAnsi="仿宋_GB2312" w:eastAsia="仿宋_GB2312" w:cs="仿宋_GB2312"/>
        </w:rPr>
        <w:sectPr>
          <w:pgSz w:w="23811" w:h="16838" w:orient="landscape"/>
          <w:pgMar w:top="1800" w:right="1440" w:bottom="1800" w:left="1440" w:header="851" w:footer="992" w:gutter="0"/>
          <w:pgBorders>
            <w:top w:val="none" w:sz="0" w:space="0"/>
            <w:left w:val="none" w:sz="0" w:space="0"/>
            <w:bottom w:val="none" w:sz="0" w:space="0"/>
            <w:right w:val="none" w:sz="0" w:space="0"/>
          </w:pgBorders>
          <w:cols w:equalWidth="0" w:num="2">
            <w:col w:w="10253" w:space="425"/>
            <w:col w:w="10253"/>
          </w:cols>
          <w:docGrid w:type="lines" w:linePitch="312" w:charSpace="0"/>
        </w:sectPr>
      </w:pPr>
    </w:p>
    <w:p w14:paraId="2F4A682E">
      <w:pPr>
        <w:pStyle w:val="2"/>
        <w:spacing w:before="156" w:after="156"/>
        <w:jc w:val="left"/>
      </w:pPr>
      <w:bookmarkStart w:id="44" w:name="_Toc32201"/>
      <w:r>
        <w:rPr>
          <w:rFonts w:hint="eastAsia"/>
        </w:rPr>
        <w:t>附表</w:t>
      </w:r>
      <w:bookmarkEnd w:id="44"/>
    </w:p>
    <w:p w14:paraId="46A2E452">
      <w:pPr>
        <w:pStyle w:val="3"/>
        <w:numPr>
          <w:ilvl w:val="0"/>
          <w:numId w:val="0"/>
        </w:numPr>
        <w:jc w:val="center"/>
        <w:rPr>
          <w:rFonts w:ascii="黑体" w:hAnsi="黑体" w:eastAsia="黑体" w:cs="黑体"/>
          <w:b w:val="0"/>
          <w:bCs/>
          <w:color w:val="auto"/>
          <w:sz w:val="30"/>
          <w:szCs w:val="30"/>
        </w:rPr>
      </w:pPr>
      <w:bookmarkStart w:id="45" w:name="_Toc2998"/>
      <w:r>
        <w:rPr>
          <w:rFonts w:hint="eastAsia" w:ascii="黑体" w:hAnsi="黑体" w:eastAsia="黑体" w:cs="黑体"/>
          <w:b w:val="0"/>
          <w:bCs/>
          <w:color w:val="auto"/>
          <w:sz w:val="30"/>
          <w:szCs w:val="30"/>
        </w:rPr>
        <w:t>1.建设用地统计表</w:t>
      </w:r>
      <w:bookmarkEnd w:id="45"/>
    </w:p>
    <w:tbl>
      <w:tblPr>
        <w:tblStyle w:val="11"/>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431"/>
        <w:gridCol w:w="1775"/>
        <w:gridCol w:w="1270"/>
        <w:gridCol w:w="1360"/>
        <w:gridCol w:w="1300"/>
        <w:gridCol w:w="1540"/>
        <w:gridCol w:w="1126"/>
        <w:gridCol w:w="1667"/>
      </w:tblGrid>
      <w:tr w14:paraId="31E51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15" w:hRule="atLeast"/>
        </w:trPr>
        <w:tc>
          <w:tcPr>
            <w:tcW w:w="205" w:type="pct"/>
            <w:vMerge w:val="restart"/>
            <w:tcBorders>
              <w:tl2br w:val="nil"/>
              <w:tr2bl w:val="nil"/>
            </w:tcBorders>
            <w:shd w:val="clear" w:color="auto" w:fill="auto"/>
            <w:vAlign w:val="center"/>
          </w:tcPr>
          <w:p w14:paraId="4E9F429A">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序号</w:t>
            </w:r>
          </w:p>
        </w:tc>
        <w:tc>
          <w:tcPr>
            <w:tcW w:w="847" w:type="pct"/>
            <w:vMerge w:val="restart"/>
            <w:tcBorders>
              <w:tl2br w:val="nil"/>
              <w:tr2bl w:val="nil"/>
            </w:tcBorders>
            <w:shd w:val="clear" w:color="auto" w:fill="auto"/>
            <w:vAlign w:val="center"/>
          </w:tcPr>
          <w:p w14:paraId="6C5C325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一级类</w:t>
            </w:r>
          </w:p>
        </w:tc>
        <w:tc>
          <w:tcPr>
            <w:tcW w:w="606" w:type="pct"/>
            <w:vMerge w:val="restart"/>
            <w:tcBorders>
              <w:tl2br w:val="nil"/>
              <w:tr2bl w:val="nil"/>
            </w:tcBorders>
            <w:shd w:val="clear" w:color="auto" w:fill="auto"/>
            <w:vAlign w:val="center"/>
          </w:tcPr>
          <w:p w14:paraId="455F6B9B">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二级类</w:t>
            </w:r>
          </w:p>
        </w:tc>
        <w:tc>
          <w:tcPr>
            <w:tcW w:w="1270" w:type="pct"/>
            <w:gridSpan w:val="2"/>
            <w:tcBorders>
              <w:tl2br w:val="nil"/>
              <w:tr2bl w:val="nil"/>
            </w:tcBorders>
            <w:shd w:val="clear" w:color="auto" w:fill="auto"/>
            <w:vAlign w:val="center"/>
          </w:tcPr>
          <w:p w14:paraId="3919A069">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现状</w:t>
            </w:r>
          </w:p>
        </w:tc>
        <w:tc>
          <w:tcPr>
            <w:tcW w:w="1273" w:type="pct"/>
            <w:gridSpan w:val="2"/>
            <w:tcBorders>
              <w:tl2br w:val="nil"/>
              <w:tr2bl w:val="nil"/>
            </w:tcBorders>
            <w:shd w:val="clear" w:color="auto" w:fill="auto"/>
            <w:vAlign w:val="center"/>
          </w:tcPr>
          <w:p w14:paraId="3EECCD7B">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规划</w:t>
            </w:r>
          </w:p>
        </w:tc>
        <w:tc>
          <w:tcPr>
            <w:tcW w:w="796" w:type="pct"/>
            <w:tcBorders>
              <w:tl2br w:val="nil"/>
              <w:tr2bl w:val="nil"/>
            </w:tcBorders>
            <w:shd w:val="clear" w:color="auto" w:fill="auto"/>
            <w:vAlign w:val="center"/>
          </w:tcPr>
          <w:p w14:paraId="32567FA5">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变化</w:t>
            </w:r>
          </w:p>
        </w:tc>
      </w:tr>
      <w:tr w14:paraId="23366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5" w:hRule="atLeast"/>
        </w:trPr>
        <w:tc>
          <w:tcPr>
            <w:tcW w:w="205" w:type="pct"/>
            <w:vMerge w:val="continue"/>
            <w:tcBorders>
              <w:tl2br w:val="nil"/>
              <w:tr2bl w:val="nil"/>
            </w:tcBorders>
            <w:shd w:val="clear" w:color="auto" w:fill="auto"/>
            <w:vAlign w:val="center"/>
          </w:tcPr>
          <w:p w14:paraId="6FEFC71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21"/>
                <w:szCs w:val="21"/>
                <w:u w:val="none"/>
              </w:rPr>
            </w:pPr>
          </w:p>
        </w:tc>
        <w:tc>
          <w:tcPr>
            <w:tcW w:w="847" w:type="pct"/>
            <w:vMerge w:val="continue"/>
            <w:tcBorders>
              <w:tl2br w:val="nil"/>
              <w:tr2bl w:val="nil"/>
            </w:tcBorders>
            <w:shd w:val="clear" w:color="auto" w:fill="auto"/>
            <w:vAlign w:val="center"/>
          </w:tcPr>
          <w:p w14:paraId="3BBC8009">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06" w:type="pct"/>
            <w:vMerge w:val="continue"/>
            <w:tcBorders>
              <w:tl2br w:val="nil"/>
              <w:tr2bl w:val="nil"/>
            </w:tcBorders>
            <w:shd w:val="clear" w:color="auto" w:fill="auto"/>
            <w:vAlign w:val="center"/>
          </w:tcPr>
          <w:p w14:paraId="74C0297E">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49" w:type="pct"/>
            <w:tcBorders>
              <w:tl2br w:val="nil"/>
              <w:tr2bl w:val="nil"/>
            </w:tcBorders>
            <w:shd w:val="clear" w:color="auto" w:fill="auto"/>
            <w:vAlign w:val="bottom"/>
          </w:tcPr>
          <w:p w14:paraId="14D85DC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面积</w:t>
            </w:r>
          </w:p>
        </w:tc>
        <w:tc>
          <w:tcPr>
            <w:tcW w:w="620" w:type="pct"/>
            <w:tcBorders>
              <w:tl2br w:val="nil"/>
              <w:tr2bl w:val="nil"/>
            </w:tcBorders>
            <w:shd w:val="clear" w:color="auto" w:fill="auto"/>
            <w:vAlign w:val="bottom"/>
          </w:tcPr>
          <w:p w14:paraId="6BDE8DDF">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比重</w:t>
            </w:r>
          </w:p>
        </w:tc>
        <w:tc>
          <w:tcPr>
            <w:tcW w:w="735" w:type="pct"/>
            <w:tcBorders>
              <w:tl2br w:val="nil"/>
              <w:tr2bl w:val="nil"/>
            </w:tcBorders>
            <w:shd w:val="clear" w:color="auto" w:fill="auto"/>
            <w:vAlign w:val="bottom"/>
          </w:tcPr>
          <w:p w14:paraId="478C1ECF">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面积</w:t>
            </w:r>
          </w:p>
        </w:tc>
        <w:tc>
          <w:tcPr>
            <w:tcW w:w="537" w:type="pct"/>
            <w:tcBorders>
              <w:tl2br w:val="nil"/>
              <w:tr2bl w:val="nil"/>
            </w:tcBorders>
            <w:shd w:val="clear" w:color="auto" w:fill="auto"/>
            <w:vAlign w:val="bottom"/>
          </w:tcPr>
          <w:p w14:paraId="118DD6B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比重</w:t>
            </w:r>
          </w:p>
        </w:tc>
        <w:tc>
          <w:tcPr>
            <w:tcW w:w="796" w:type="pct"/>
            <w:tcBorders>
              <w:tl2br w:val="nil"/>
              <w:tr2bl w:val="nil"/>
            </w:tcBorders>
            <w:shd w:val="clear" w:color="auto" w:fill="auto"/>
            <w:vAlign w:val="bottom"/>
          </w:tcPr>
          <w:p w14:paraId="2039C630">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面积</w:t>
            </w:r>
          </w:p>
        </w:tc>
      </w:tr>
      <w:tr w14:paraId="5E269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7585484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847" w:type="pct"/>
            <w:tcBorders>
              <w:tl2br w:val="nil"/>
              <w:tr2bl w:val="nil"/>
            </w:tcBorders>
            <w:shd w:val="clear" w:color="auto" w:fill="auto"/>
            <w:vAlign w:val="center"/>
          </w:tcPr>
          <w:p w14:paraId="726AA7F2">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居住用地</w:t>
            </w:r>
          </w:p>
        </w:tc>
        <w:tc>
          <w:tcPr>
            <w:tcW w:w="606" w:type="pct"/>
            <w:tcBorders>
              <w:tl2br w:val="nil"/>
              <w:tr2bl w:val="nil"/>
            </w:tcBorders>
            <w:shd w:val="clear" w:color="auto" w:fill="auto"/>
            <w:vAlign w:val="center"/>
          </w:tcPr>
          <w:p w14:paraId="0298E9A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49" w:type="pct"/>
            <w:tcBorders>
              <w:tl2br w:val="nil"/>
              <w:tr2bl w:val="nil"/>
            </w:tcBorders>
            <w:shd w:val="clear" w:color="auto" w:fill="auto"/>
            <w:vAlign w:val="center"/>
          </w:tcPr>
          <w:p w14:paraId="13F791E0">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17167.88 </w:t>
            </w:r>
          </w:p>
        </w:tc>
        <w:tc>
          <w:tcPr>
            <w:tcW w:w="620" w:type="pct"/>
            <w:tcBorders>
              <w:tl2br w:val="nil"/>
              <w:tr2bl w:val="nil"/>
            </w:tcBorders>
            <w:shd w:val="clear" w:color="auto" w:fill="auto"/>
            <w:vAlign w:val="center"/>
          </w:tcPr>
          <w:p w14:paraId="30B7516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53.09%</w:t>
            </w:r>
          </w:p>
        </w:tc>
        <w:tc>
          <w:tcPr>
            <w:tcW w:w="735" w:type="pct"/>
            <w:tcBorders>
              <w:tl2br w:val="nil"/>
              <w:tr2bl w:val="nil"/>
            </w:tcBorders>
            <w:shd w:val="clear" w:color="auto" w:fill="auto"/>
            <w:vAlign w:val="center"/>
          </w:tcPr>
          <w:p w14:paraId="3A8537A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30011.37</w:t>
            </w:r>
          </w:p>
        </w:tc>
        <w:tc>
          <w:tcPr>
            <w:tcW w:w="537" w:type="pct"/>
            <w:tcBorders>
              <w:tl2br w:val="nil"/>
              <w:tr2bl w:val="nil"/>
            </w:tcBorders>
            <w:shd w:val="clear" w:color="auto" w:fill="auto"/>
            <w:vAlign w:val="center"/>
          </w:tcPr>
          <w:p w14:paraId="0AFD112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92.80%</w:t>
            </w:r>
          </w:p>
        </w:tc>
        <w:tc>
          <w:tcPr>
            <w:tcW w:w="796" w:type="pct"/>
            <w:tcBorders>
              <w:tl2br w:val="nil"/>
              <w:tr2bl w:val="nil"/>
            </w:tcBorders>
            <w:shd w:val="clear" w:color="auto" w:fill="auto"/>
            <w:vAlign w:val="center"/>
          </w:tcPr>
          <w:p w14:paraId="0A8A8F1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12843.49</w:t>
            </w:r>
          </w:p>
        </w:tc>
      </w:tr>
      <w:tr w14:paraId="42DBB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27343605">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847" w:type="pct"/>
            <w:tcBorders>
              <w:tl2br w:val="nil"/>
              <w:tr2bl w:val="nil"/>
            </w:tcBorders>
            <w:shd w:val="clear" w:color="auto" w:fill="auto"/>
            <w:vAlign w:val="center"/>
          </w:tcPr>
          <w:p w14:paraId="2941AD9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公共管理与公共服务用地</w:t>
            </w:r>
          </w:p>
        </w:tc>
        <w:tc>
          <w:tcPr>
            <w:tcW w:w="606" w:type="pct"/>
            <w:tcBorders>
              <w:tl2br w:val="nil"/>
              <w:tr2bl w:val="nil"/>
            </w:tcBorders>
            <w:shd w:val="clear" w:color="auto" w:fill="auto"/>
            <w:vAlign w:val="center"/>
          </w:tcPr>
          <w:p w14:paraId="1087218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49" w:type="pct"/>
            <w:tcBorders>
              <w:tl2br w:val="nil"/>
              <w:tr2bl w:val="nil"/>
            </w:tcBorders>
            <w:shd w:val="clear" w:color="auto" w:fill="auto"/>
            <w:vAlign w:val="center"/>
          </w:tcPr>
          <w:p w14:paraId="31339C1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4296.78 </w:t>
            </w:r>
          </w:p>
        </w:tc>
        <w:tc>
          <w:tcPr>
            <w:tcW w:w="620" w:type="pct"/>
            <w:tcBorders>
              <w:tl2br w:val="nil"/>
              <w:tr2bl w:val="nil"/>
            </w:tcBorders>
            <w:shd w:val="clear" w:color="auto" w:fill="auto"/>
            <w:vAlign w:val="center"/>
          </w:tcPr>
          <w:p w14:paraId="363345C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13.29%</w:t>
            </w:r>
          </w:p>
        </w:tc>
        <w:tc>
          <w:tcPr>
            <w:tcW w:w="735" w:type="pct"/>
            <w:tcBorders>
              <w:tl2br w:val="nil"/>
              <w:tr2bl w:val="nil"/>
            </w:tcBorders>
            <w:shd w:val="clear" w:color="auto" w:fill="auto"/>
            <w:vAlign w:val="center"/>
          </w:tcPr>
          <w:p w14:paraId="1A9F1BD5">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2328.61</w:t>
            </w:r>
          </w:p>
        </w:tc>
        <w:tc>
          <w:tcPr>
            <w:tcW w:w="537" w:type="pct"/>
            <w:tcBorders>
              <w:tl2br w:val="nil"/>
              <w:tr2bl w:val="nil"/>
            </w:tcBorders>
            <w:shd w:val="clear" w:color="auto" w:fill="auto"/>
            <w:vAlign w:val="center"/>
          </w:tcPr>
          <w:p w14:paraId="1D169084">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7.20%</w:t>
            </w:r>
          </w:p>
        </w:tc>
        <w:tc>
          <w:tcPr>
            <w:tcW w:w="796" w:type="pct"/>
            <w:tcBorders>
              <w:tl2br w:val="nil"/>
              <w:tr2bl w:val="nil"/>
            </w:tcBorders>
            <w:shd w:val="clear" w:color="auto" w:fill="auto"/>
            <w:vAlign w:val="center"/>
          </w:tcPr>
          <w:p w14:paraId="749463A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-1968.17</w:t>
            </w:r>
          </w:p>
        </w:tc>
      </w:tr>
      <w:tr w14:paraId="58E64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3EA98C0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847" w:type="pct"/>
            <w:tcBorders>
              <w:tl2br w:val="nil"/>
              <w:tr2bl w:val="nil"/>
            </w:tcBorders>
            <w:shd w:val="clear" w:color="auto" w:fill="auto"/>
            <w:vAlign w:val="center"/>
          </w:tcPr>
          <w:p w14:paraId="22B617EB">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商业服务业用地</w:t>
            </w:r>
          </w:p>
        </w:tc>
        <w:tc>
          <w:tcPr>
            <w:tcW w:w="606" w:type="pct"/>
            <w:tcBorders>
              <w:tl2br w:val="nil"/>
              <w:tr2bl w:val="nil"/>
            </w:tcBorders>
            <w:shd w:val="clear" w:color="auto" w:fill="auto"/>
            <w:vAlign w:val="center"/>
          </w:tcPr>
          <w:p w14:paraId="2722AC2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49" w:type="pct"/>
            <w:tcBorders>
              <w:tl2br w:val="nil"/>
              <w:tr2bl w:val="nil"/>
            </w:tcBorders>
            <w:shd w:val="clear" w:color="auto" w:fill="auto"/>
            <w:vAlign w:val="center"/>
          </w:tcPr>
          <w:p w14:paraId="77B009FF">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3434.86 </w:t>
            </w:r>
          </w:p>
        </w:tc>
        <w:tc>
          <w:tcPr>
            <w:tcW w:w="620" w:type="pct"/>
            <w:tcBorders>
              <w:tl2br w:val="nil"/>
              <w:tr2bl w:val="nil"/>
            </w:tcBorders>
            <w:shd w:val="clear" w:color="auto" w:fill="auto"/>
            <w:vAlign w:val="center"/>
          </w:tcPr>
          <w:p w14:paraId="2684AEF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10.62%</w:t>
            </w:r>
          </w:p>
        </w:tc>
        <w:tc>
          <w:tcPr>
            <w:tcW w:w="735" w:type="pct"/>
            <w:tcBorders>
              <w:tl2br w:val="nil"/>
              <w:tr2bl w:val="nil"/>
            </w:tcBorders>
            <w:shd w:val="clear" w:color="auto" w:fill="auto"/>
            <w:vAlign w:val="center"/>
          </w:tcPr>
          <w:p w14:paraId="5D89ABE5">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537" w:type="pct"/>
            <w:tcBorders>
              <w:tl2br w:val="nil"/>
              <w:tr2bl w:val="nil"/>
            </w:tcBorders>
            <w:shd w:val="clear" w:color="auto" w:fill="auto"/>
            <w:vAlign w:val="center"/>
          </w:tcPr>
          <w:p w14:paraId="51A18FF3">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796" w:type="pct"/>
            <w:tcBorders>
              <w:tl2br w:val="nil"/>
              <w:tr2bl w:val="nil"/>
            </w:tcBorders>
            <w:shd w:val="clear" w:color="auto" w:fill="auto"/>
            <w:vAlign w:val="center"/>
          </w:tcPr>
          <w:p w14:paraId="54910783">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-3434.86</w:t>
            </w:r>
          </w:p>
        </w:tc>
      </w:tr>
      <w:tr w14:paraId="3D836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4CADEB5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847" w:type="pct"/>
            <w:tcBorders>
              <w:tl2br w:val="nil"/>
              <w:tr2bl w:val="nil"/>
            </w:tcBorders>
            <w:shd w:val="clear" w:color="auto" w:fill="auto"/>
            <w:vAlign w:val="center"/>
          </w:tcPr>
          <w:p w14:paraId="084FE6A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工矿用地</w:t>
            </w:r>
          </w:p>
        </w:tc>
        <w:tc>
          <w:tcPr>
            <w:tcW w:w="606" w:type="pct"/>
            <w:tcBorders>
              <w:tl2br w:val="nil"/>
              <w:tr2bl w:val="nil"/>
            </w:tcBorders>
            <w:shd w:val="clear" w:color="auto" w:fill="auto"/>
            <w:vAlign w:val="center"/>
          </w:tcPr>
          <w:p w14:paraId="173CC9CD">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工业用地</w:t>
            </w:r>
          </w:p>
        </w:tc>
        <w:tc>
          <w:tcPr>
            <w:tcW w:w="649" w:type="pct"/>
            <w:tcBorders>
              <w:tl2br w:val="nil"/>
              <w:tr2bl w:val="nil"/>
            </w:tcBorders>
            <w:shd w:val="clear" w:color="auto" w:fill="auto"/>
            <w:vAlign w:val="center"/>
          </w:tcPr>
          <w:p w14:paraId="6CE067D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1468.30 </w:t>
            </w:r>
          </w:p>
        </w:tc>
        <w:tc>
          <w:tcPr>
            <w:tcW w:w="620" w:type="pct"/>
            <w:tcBorders>
              <w:tl2br w:val="nil"/>
              <w:tr2bl w:val="nil"/>
            </w:tcBorders>
            <w:shd w:val="clear" w:color="auto" w:fill="auto"/>
            <w:vAlign w:val="center"/>
          </w:tcPr>
          <w:p w14:paraId="1334474B">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4.54%</w:t>
            </w:r>
          </w:p>
        </w:tc>
        <w:tc>
          <w:tcPr>
            <w:tcW w:w="735" w:type="pct"/>
            <w:tcBorders>
              <w:tl2br w:val="nil"/>
              <w:tr2bl w:val="nil"/>
            </w:tcBorders>
            <w:shd w:val="clear" w:color="auto" w:fill="auto"/>
            <w:vAlign w:val="center"/>
          </w:tcPr>
          <w:p w14:paraId="1839784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537" w:type="pct"/>
            <w:tcBorders>
              <w:tl2br w:val="nil"/>
              <w:tr2bl w:val="nil"/>
            </w:tcBorders>
            <w:shd w:val="clear" w:color="auto" w:fill="auto"/>
            <w:vAlign w:val="center"/>
          </w:tcPr>
          <w:p w14:paraId="5AF582FE">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796" w:type="pct"/>
            <w:tcBorders>
              <w:tl2br w:val="nil"/>
              <w:tr2bl w:val="nil"/>
            </w:tcBorders>
            <w:shd w:val="clear" w:color="auto" w:fill="auto"/>
            <w:vAlign w:val="center"/>
          </w:tcPr>
          <w:p w14:paraId="30E91AF4">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-1468.3</w:t>
            </w:r>
          </w:p>
        </w:tc>
      </w:tr>
      <w:tr w14:paraId="44339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257AA01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847" w:type="pct"/>
            <w:tcBorders>
              <w:tl2br w:val="nil"/>
              <w:tr2bl w:val="nil"/>
            </w:tcBorders>
            <w:shd w:val="clear" w:color="auto" w:fill="auto"/>
            <w:vAlign w:val="center"/>
          </w:tcPr>
          <w:p w14:paraId="79D3500B">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仓储用地</w:t>
            </w:r>
          </w:p>
        </w:tc>
        <w:tc>
          <w:tcPr>
            <w:tcW w:w="606" w:type="pct"/>
            <w:tcBorders>
              <w:tl2br w:val="nil"/>
              <w:tr2bl w:val="nil"/>
            </w:tcBorders>
            <w:shd w:val="clear" w:color="auto" w:fill="auto"/>
            <w:vAlign w:val="center"/>
          </w:tcPr>
          <w:p w14:paraId="33705D4E">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49" w:type="pct"/>
            <w:tcBorders>
              <w:tl2br w:val="nil"/>
              <w:tr2bl w:val="nil"/>
            </w:tcBorders>
            <w:shd w:val="clear" w:color="auto" w:fill="auto"/>
            <w:vAlign w:val="center"/>
          </w:tcPr>
          <w:p w14:paraId="29861D2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3440.80 </w:t>
            </w:r>
          </w:p>
        </w:tc>
        <w:tc>
          <w:tcPr>
            <w:tcW w:w="620" w:type="pct"/>
            <w:tcBorders>
              <w:tl2br w:val="nil"/>
              <w:tr2bl w:val="nil"/>
            </w:tcBorders>
            <w:shd w:val="clear" w:color="auto" w:fill="auto"/>
            <w:vAlign w:val="center"/>
          </w:tcPr>
          <w:p w14:paraId="70D99805">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10.64%</w:t>
            </w:r>
          </w:p>
        </w:tc>
        <w:tc>
          <w:tcPr>
            <w:tcW w:w="735" w:type="pct"/>
            <w:tcBorders>
              <w:tl2br w:val="nil"/>
              <w:tr2bl w:val="nil"/>
            </w:tcBorders>
            <w:shd w:val="clear" w:color="auto" w:fill="auto"/>
            <w:vAlign w:val="center"/>
          </w:tcPr>
          <w:p w14:paraId="2B2571DA">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537" w:type="pct"/>
            <w:tcBorders>
              <w:tl2br w:val="nil"/>
              <w:tr2bl w:val="nil"/>
            </w:tcBorders>
            <w:shd w:val="clear" w:color="auto" w:fill="auto"/>
            <w:vAlign w:val="center"/>
          </w:tcPr>
          <w:p w14:paraId="2450DE89">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796" w:type="pct"/>
            <w:tcBorders>
              <w:tl2br w:val="nil"/>
              <w:tr2bl w:val="nil"/>
            </w:tcBorders>
            <w:shd w:val="clear" w:color="auto" w:fill="auto"/>
            <w:vAlign w:val="center"/>
          </w:tcPr>
          <w:p w14:paraId="4E6A2C20">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-3440.8</w:t>
            </w:r>
          </w:p>
        </w:tc>
      </w:tr>
      <w:tr w14:paraId="44614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5FD41AB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847" w:type="pct"/>
            <w:tcBorders>
              <w:tl2br w:val="nil"/>
              <w:tr2bl w:val="nil"/>
            </w:tcBorders>
            <w:shd w:val="clear" w:color="auto" w:fill="auto"/>
            <w:vAlign w:val="center"/>
          </w:tcPr>
          <w:p w14:paraId="5820008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交通运输用地</w:t>
            </w:r>
          </w:p>
        </w:tc>
        <w:tc>
          <w:tcPr>
            <w:tcW w:w="606" w:type="pct"/>
            <w:tcBorders>
              <w:tl2br w:val="nil"/>
              <w:tr2bl w:val="nil"/>
            </w:tcBorders>
            <w:shd w:val="clear" w:color="auto" w:fill="auto"/>
            <w:vAlign w:val="center"/>
          </w:tcPr>
          <w:p w14:paraId="27DA66D3">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城镇村道路用地</w:t>
            </w:r>
          </w:p>
        </w:tc>
        <w:tc>
          <w:tcPr>
            <w:tcW w:w="649" w:type="pct"/>
            <w:tcBorders>
              <w:tl2br w:val="nil"/>
              <w:tr2bl w:val="nil"/>
            </w:tcBorders>
            <w:shd w:val="clear" w:color="auto" w:fill="auto"/>
            <w:vAlign w:val="center"/>
          </w:tcPr>
          <w:p w14:paraId="575DE85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2439.37 </w:t>
            </w:r>
          </w:p>
        </w:tc>
        <w:tc>
          <w:tcPr>
            <w:tcW w:w="620" w:type="pct"/>
            <w:tcBorders>
              <w:tl2br w:val="nil"/>
              <w:tr2bl w:val="nil"/>
            </w:tcBorders>
            <w:shd w:val="clear" w:color="auto" w:fill="auto"/>
            <w:vAlign w:val="center"/>
          </w:tcPr>
          <w:p w14:paraId="5A89ADB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7.54%</w:t>
            </w:r>
          </w:p>
        </w:tc>
        <w:tc>
          <w:tcPr>
            <w:tcW w:w="735" w:type="pct"/>
            <w:tcBorders>
              <w:tl2br w:val="nil"/>
              <w:tr2bl w:val="nil"/>
            </w:tcBorders>
            <w:shd w:val="clear" w:color="auto" w:fill="auto"/>
            <w:vAlign w:val="center"/>
          </w:tcPr>
          <w:p w14:paraId="72D7D0F2">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537" w:type="pct"/>
            <w:tcBorders>
              <w:tl2br w:val="nil"/>
              <w:tr2bl w:val="nil"/>
            </w:tcBorders>
            <w:shd w:val="clear" w:color="auto" w:fill="auto"/>
            <w:vAlign w:val="center"/>
          </w:tcPr>
          <w:p w14:paraId="79F2531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796" w:type="pct"/>
            <w:tcBorders>
              <w:tl2br w:val="nil"/>
              <w:tr2bl w:val="nil"/>
            </w:tcBorders>
            <w:shd w:val="clear" w:color="auto" w:fill="auto"/>
            <w:vAlign w:val="center"/>
          </w:tcPr>
          <w:p w14:paraId="2B910AE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-2439.37</w:t>
            </w:r>
          </w:p>
        </w:tc>
      </w:tr>
      <w:tr w14:paraId="235E8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05" w:type="pct"/>
            <w:tcBorders>
              <w:tl2br w:val="nil"/>
              <w:tr2bl w:val="nil"/>
            </w:tcBorders>
            <w:shd w:val="clear" w:color="auto" w:fill="auto"/>
            <w:vAlign w:val="center"/>
          </w:tcPr>
          <w:p w14:paraId="459ADA1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847" w:type="pct"/>
            <w:tcBorders>
              <w:tl2br w:val="nil"/>
              <w:tr2bl w:val="nil"/>
            </w:tcBorders>
            <w:shd w:val="clear" w:color="auto" w:fill="auto"/>
            <w:vAlign w:val="center"/>
          </w:tcPr>
          <w:p w14:paraId="4D7764AA">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公用设施用地</w:t>
            </w:r>
          </w:p>
        </w:tc>
        <w:tc>
          <w:tcPr>
            <w:tcW w:w="606" w:type="pct"/>
            <w:tcBorders>
              <w:tl2br w:val="nil"/>
              <w:tr2bl w:val="nil"/>
            </w:tcBorders>
            <w:shd w:val="clear" w:color="auto" w:fill="auto"/>
            <w:vAlign w:val="center"/>
          </w:tcPr>
          <w:p w14:paraId="3D475B97">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49" w:type="pct"/>
            <w:tcBorders>
              <w:tl2br w:val="nil"/>
              <w:tr2bl w:val="nil"/>
            </w:tcBorders>
            <w:shd w:val="clear" w:color="auto" w:fill="auto"/>
            <w:vAlign w:val="center"/>
          </w:tcPr>
          <w:p w14:paraId="5FA31B8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91.99 </w:t>
            </w:r>
          </w:p>
        </w:tc>
        <w:tc>
          <w:tcPr>
            <w:tcW w:w="620" w:type="pct"/>
            <w:tcBorders>
              <w:tl2br w:val="nil"/>
              <w:tr2bl w:val="nil"/>
            </w:tcBorders>
            <w:shd w:val="clear" w:color="auto" w:fill="auto"/>
            <w:vAlign w:val="center"/>
          </w:tcPr>
          <w:p w14:paraId="43371AB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0.28%</w:t>
            </w:r>
          </w:p>
        </w:tc>
        <w:tc>
          <w:tcPr>
            <w:tcW w:w="735" w:type="pct"/>
            <w:tcBorders>
              <w:tl2br w:val="nil"/>
              <w:tr2bl w:val="nil"/>
            </w:tcBorders>
            <w:shd w:val="clear" w:color="auto" w:fill="auto"/>
            <w:vAlign w:val="center"/>
          </w:tcPr>
          <w:p w14:paraId="5164B53B">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537" w:type="pct"/>
            <w:tcBorders>
              <w:tl2br w:val="nil"/>
              <w:tr2bl w:val="nil"/>
            </w:tcBorders>
            <w:shd w:val="clear" w:color="auto" w:fill="auto"/>
            <w:vAlign w:val="center"/>
          </w:tcPr>
          <w:p w14:paraId="03C82304">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c>
          <w:tcPr>
            <w:tcW w:w="796" w:type="pct"/>
            <w:tcBorders>
              <w:tl2br w:val="nil"/>
              <w:tr2bl w:val="nil"/>
            </w:tcBorders>
            <w:shd w:val="clear" w:color="auto" w:fill="auto"/>
            <w:vAlign w:val="center"/>
          </w:tcPr>
          <w:p w14:paraId="46214023">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-91.99</w:t>
            </w:r>
          </w:p>
        </w:tc>
      </w:tr>
      <w:tr w14:paraId="20628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1660" w:type="pct"/>
            <w:gridSpan w:val="3"/>
            <w:tcBorders>
              <w:tl2br w:val="nil"/>
              <w:tr2bl w:val="nil"/>
            </w:tcBorders>
            <w:shd w:val="clear" w:color="auto" w:fill="auto"/>
            <w:vAlign w:val="center"/>
          </w:tcPr>
          <w:p w14:paraId="1F44D95A">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总计</w:t>
            </w:r>
          </w:p>
        </w:tc>
        <w:tc>
          <w:tcPr>
            <w:tcW w:w="649" w:type="pct"/>
            <w:tcBorders>
              <w:tl2br w:val="nil"/>
              <w:tr2bl w:val="nil"/>
            </w:tcBorders>
            <w:shd w:val="clear" w:color="auto" w:fill="auto"/>
            <w:vAlign w:val="bottom"/>
          </w:tcPr>
          <w:p w14:paraId="567D113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32339.98</w:t>
            </w:r>
          </w:p>
        </w:tc>
        <w:tc>
          <w:tcPr>
            <w:tcW w:w="620" w:type="pct"/>
            <w:tcBorders>
              <w:tl2br w:val="nil"/>
              <w:tr2bl w:val="nil"/>
            </w:tcBorders>
            <w:shd w:val="clear" w:color="auto" w:fill="auto"/>
            <w:vAlign w:val="bottom"/>
          </w:tcPr>
          <w:p w14:paraId="28DFEF8A">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100%</w:t>
            </w:r>
          </w:p>
        </w:tc>
        <w:tc>
          <w:tcPr>
            <w:tcW w:w="735" w:type="pct"/>
            <w:tcBorders>
              <w:tl2br w:val="nil"/>
              <w:tr2bl w:val="nil"/>
            </w:tcBorders>
            <w:shd w:val="clear" w:color="auto" w:fill="auto"/>
            <w:vAlign w:val="bottom"/>
          </w:tcPr>
          <w:p w14:paraId="4C129A4D">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32339.98</w:t>
            </w:r>
          </w:p>
        </w:tc>
        <w:tc>
          <w:tcPr>
            <w:tcW w:w="537" w:type="pct"/>
            <w:tcBorders>
              <w:tl2br w:val="nil"/>
              <w:tr2bl w:val="nil"/>
            </w:tcBorders>
            <w:shd w:val="clear" w:color="auto" w:fill="auto"/>
            <w:vAlign w:val="bottom"/>
          </w:tcPr>
          <w:p w14:paraId="78F3EF89">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100.00%</w:t>
            </w:r>
          </w:p>
        </w:tc>
        <w:tc>
          <w:tcPr>
            <w:tcW w:w="796" w:type="pct"/>
            <w:tcBorders>
              <w:tl2br w:val="nil"/>
              <w:tr2bl w:val="nil"/>
            </w:tcBorders>
            <w:shd w:val="clear" w:color="auto" w:fill="auto"/>
            <w:vAlign w:val="bottom"/>
          </w:tcPr>
          <w:p w14:paraId="31AD9FFC">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w:t>
            </w:r>
          </w:p>
        </w:tc>
      </w:tr>
    </w:tbl>
    <w:p w14:paraId="7AF10CD8">
      <w:pPr>
        <w:ind w:firstLine="640"/>
        <w:jc w:val="left"/>
        <w:rPr>
          <w:rFonts w:ascii="仿宋" w:hAnsi="仿宋" w:eastAsia="仿宋" w:cs="仿宋"/>
          <w:color w:val="auto"/>
          <w:szCs w:val="32"/>
        </w:rPr>
      </w:pPr>
    </w:p>
    <w:p w14:paraId="3F2E4491">
      <w:pPr>
        <w:spacing w:line="480" w:lineRule="auto"/>
        <w:ind w:firstLine="0" w:firstLineChars="0"/>
        <w:jc w:val="both"/>
        <w:rPr>
          <w:rFonts w:ascii="仿宋" w:hAnsi="仿宋" w:eastAsia="仿宋" w:cs="仿宋"/>
          <w:b/>
          <w:bCs/>
          <w:color w:val="auto"/>
          <w:sz w:val="52"/>
          <w:szCs w:val="52"/>
        </w:rPr>
      </w:pPr>
    </w:p>
    <w:sectPr>
      <w:pgSz w:w="23811" w:h="16838" w:orient="landscape"/>
      <w:pgMar w:top="1800" w:right="1440" w:bottom="1800" w:left="1440" w:header="851" w:footer="992" w:gutter="0"/>
      <w:pgBorders>
        <w:top w:val="none" w:sz="0" w:space="0"/>
        <w:left w:val="none" w:sz="0" w:space="0"/>
        <w:bottom w:val="none" w:sz="0" w:space="0"/>
        <w:right w:val="none" w:sz="0" w:space="0"/>
      </w:pgBorders>
      <w:cols w:equalWidth="0" w:num="2">
        <w:col w:w="10253" w:space="425"/>
        <w:col w:w="10253"/>
      </w:cols>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65DCC">
    <w:pPr>
      <w:pStyle w:val="7"/>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6867D">
    <w:pPr>
      <w:pStyle w:val="7"/>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F14B9">
    <w:pPr>
      <w:pStyle w:val="7"/>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F17F">
    <w:pPr>
      <w:pStyle w:val="7"/>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5AE97">
    <w:pPr>
      <w:pStyle w:val="7"/>
      <w:ind w:firstLine="0" w:firstLineChars="0"/>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15FF7D">
                          <w:pPr>
                            <w:pStyle w:val="7"/>
                            <w:ind w:firstLine="480"/>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715FF7D">
                    <w:pPr>
                      <w:pStyle w:val="7"/>
                      <w:ind w:firstLine="480"/>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C36F">
    <w:pPr>
      <w:pStyle w:val="7"/>
      <w:ind w:firstLine="0" w:firstLineChars="0"/>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FE525B">
                          <w:pPr>
                            <w:pStyle w:val="7"/>
                            <w:ind w:firstLine="480"/>
                            <w:rPr>
                              <w:rFonts w:eastAsia="宋体"/>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1CFE525B">
                    <w:pPr>
                      <w:pStyle w:val="7"/>
                      <w:ind w:firstLine="480"/>
                      <w:rPr>
                        <w:rFonts w:eastAsia="宋体"/>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98DEE">
    <w:pPr>
      <w:pStyle w:val="8"/>
      <w:ind w:firstLine="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2A12D">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48F4D">
    <w:pPr>
      <w:pStyle w:val="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374F7">
    <w:pPr>
      <w:pStyle w:val="8"/>
      <w:pBdr>
        <w:bottom w:val="single" w:color="auto" w:sz="4" w:space="1"/>
        <w:right w:val="none" w:color="auto" w:sz="0" w:space="0"/>
      </w:pBdr>
      <w:ind w:right="90" w:firstLine="360"/>
      <w:jc w:val="right"/>
    </w:pPr>
    <w:r>
      <w:rPr>
        <w:rFonts w:hint="eastAsia"/>
      </w:rPr>
      <w:t>沐川县中心城区老城详规单元511129-001-005街区00029,00030地块实施性详细规划文本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A12C62"/>
    <w:multiLevelType w:val="multilevel"/>
    <w:tmpl w:val="5AA12C62"/>
    <w:lvl w:ilvl="0" w:tentative="0">
      <w:start w:val="1"/>
      <w:numFmt w:val="decimal"/>
      <w:pStyle w:val="3"/>
      <w:lvlText w:val="第%1条"/>
      <w:lvlJc w:val="left"/>
      <w:pPr>
        <w:ind w:left="0" w:firstLine="600"/>
      </w:pPr>
      <w:rPr>
        <w:rFonts w:hint="default" w:ascii="仿宋" w:hAnsi="仿宋" w:eastAsia="仿宋" w:cs="宋体"/>
        <w:lang w:val="en-US"/>
      </w:rPr>
    </w:lvl>
    <w:lvl w:ilvl="1" w:tentative="0">
      <w:start w:val="1"/>
      <w:numFmt w:val="decimal"/>
      <w:lvlText w:val="%2、"/>
      <w:lvlJc w:val="left"/>
      <w:pPr>
        <w:tabs>
          <w:tab w:val="left" w:pos="1740"/>
        </w:tabs>
        <w:ind w:left="1740" w:hanging="720"/>
      </w:pPr>
      <w:rPr>
        <w:rFonts w:hint="eastAsia"/>
      </w:rPr>
    </w:lvl>
    <w:lvl w:ilvl="2" w:tentative="0">
      <w:start w:val="1"/>
      <w:numFmt w:val="lowerRoman"/>
      <w:lvlText w:val="%3."/>
      <w:lvlJc w:val="right"/>
      <w:pPr>
        <w:tabs>
          <w:tab w:val="left" w:pos="1860"/>
        </w:tabs>
        <w:ind w:left="1860" w:hanging="420"/>
      </w:pPr>
      <w:rPr>
        <w:rFonts w:hint="eastAsia"/>
      </w:rPr>
    </w:lvl>
    <w:lvl w:ilvl="3" w:tentative="0">
      <w:start w:val="1"/>
      <w:numFmt w:val="decimal"/>
      <w:lvlText w:val="%4."/>
      <w:lvlJc w:val="left"/>
      <w:pPr>
        <w:tabs>
          <w:tab w:val="left" w:pos="2280"/>
        </w:tabs>
        <w:ind w:left="2280" w:hanging="420"/>
      </w:pPr>
      <w:rPr>
        <w:rFonts w:hint="eastAsia"/>
      </w:rPr>
    </w:lvl>
    <w:lvl w:ilvl="4" w:tentative="0">
      <w:start w:val="1"/>
      <w:numFmt w:val="lowerLetter"/>
      <w:lvlText w:val="%5)"/>
      <w:lvlJc w:val="left"/>
      <w:pPr>
        <w:tabs>
          <w:tab w:val="left" w:pos="2700"/>
        </w:tabs>
        <w:ind w:left="2700" w:hanging="420"/>
      </w:pPr>
      <w:rPr>
        <w:rFonts w:hint="eastAsia"/>
      </w:rPr>
    </w:lvl>
    <w:lvl w:ilvl="5" w:tentative="0">
      <w:start w:val="1"/>
      <w:numFmt w:val="lowerRoman"/>
      <w:lvlText w:val="%6."/>
      <w:lvlJc w:val="right"/>
      <w:pPr>
        <w:tabs>
          <w:tab w:val="left" w:pos="3120"/>
        </w:tabs>
        <w:ind w:left="3120" w:hanging="420"/>
      </w:pPr>
      <w:rPr>
        <w:rFonts w:hint="eastAsia"/>
      </w:rPr>
    </w:lvl>
    <w:lvl w:ilvl="6" w:tentative="0">
      <w:start w:val="1"/>
      <w:numFmt w:val="decimal"/>
      <w:lvlText w:val="%7."/>
      <w:lvlJc w:val="left"/>
      <w:pPr>
        <w:tabs>
          <w:tab w:val="left" w:pos="3540"/>
        </w:tabs>
        <w:ind w:left="3540" w:hanging="420"/>
      </w:pPr>
      <w:rPr>
        <w:rFonts w:hint="eastAsia"/>
      </w:rPr>
    </w:lvl>
    <w:lvl w:ilvl="7" w:tentative="0">
      <w:start w:val="1"/>
      <w:numFmt w:val="lowerLetter"/>
      <w:lvlText w:val="%8)"/>
      <w:lvlJc w:val="left"/>
      <w:pPr>
        <w:tabs>
          <w:tab w:val="left" w:pos="3960"/>
        </w:tabs>
        <w:ind w:left="3960" w:hanging="420"/>
      </w:pPr>
      <w:rPr>
        <w:rFonts w:hint="eastAsia"/>
      </w:rPr>
    </w:lvl>
    <w:lvl w:ilvl="8" w:tentative="0">
      <w:start w:val="1"/>
      <w:numFmt w:val="lowerRoman"/>
      <w:lvlText w:val="%9."/>
      <w:lvlJc w:val="right"/>
      <w:pPr>
        <w:tabs>
          <w:tab w:val="left" w:pos="4380"/>
        </w:tabs>
        <w:ind w:left="43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xNGJiNjdlMzhlMjM2NjQ4YTI0YjBmNDU5YTc5N2IifQ=="/>
  </w:docVars>
  <w:rsids>
    <w:rsidRoot w:val="00172A27"/>
    <w:rsid w:val="00172A27"/>
    <w:rsid w:val="003069CC"/>
    <w:rsid w:val="004B21AF"/>
    <w:rsid w:val="00550937"/>
    <w:rsid w:val="00594981"/>
    <w:rsid w:val="00627CC6"/>
    <w:rsid w:val="006765BE"/>
    <w:rsid w:val="00972F9D"/>
    <w:rsid w:val="00DB20F7"/>
    <w:rsid w:val="00DE464E"/>
    <w:rsid w:val="010F5E2B"/>
    <w:rsid w:val="0117424B"/>
    <w:rsid w:val="01AC7479"/>
    <w:rsid w:val="01E96059"/>
    <w:rsid w:val="01EC3BA8"/>
    <w:rsid w:val="01FD2457"/>
    <w:rsid w:val="01FF1773"/>
    <w:rsid w:val="020945A1"/>
    <w:rsid w:val="027A3A8C"/>
    <w:rsid w:val="02C8111D"/>
    <w:rsid w:val="02F87454"/>
    <w:rsid w:val="030E1915"/>
    <w:rsid w:val="031A4D51"/>
    <w:rsid w:val="03B11A9D"/>
    <w:rsid w:val="04136A5A"/>
    <w:rsid w:val="04440696"/>
    <w:rsid w:val="04AD210A"/>
    <w:rsid w:val="04FA2F75"/>
    <w:rsid w:val="050C2D1D"/>
    <w:rsid w:val="0536769A"/>
    <w:rsid w:val="05A00AB1"/>
    <w:rsid w:val="05AD25EB"/>
    <w:rsid w:val="061F0CFB"/>
    <w:rsid w:val="06591694"/>
    <w:rsid w:val="06734B80"/>
    <w:rsid w:val="068F0796"/>
    <w:rsid w:val="069B4E93"/>
    <w:rsid w:val="06B2606C"/>
    <w:rsid w:val="06EE27F4"/>
    <w:rsid w:val="077F7784"/>
    <w:rsid w:val="083428A1"/>
    <w:rsid w:val="088C3CD7"/>
    <w:rsid w:val="08A118B5"/>
    <w:rsid w:val="08AE4799"/>
    <w:rsid w:val="08E54C52"/>
    <w:rsid w:val="08E97B55"/>
    <w:rsid w:val="08EE04EE"/>
    <w:rsid w:val="09622C8A"/>
    <w:rsid w:val="09D51230"/>
    <w:rsid w:val="09E65957"/>
    <w:rsid w:val="09FC1665"/>
    <w:rsid w:val="0A1F4460"/>
    <w:rsid w:val="0A5379E4"/>
    <w:rsid w:val="0A5952BD"/>
    <w:rsid w:val="0A8173FF"/>
    <w:rsid w:val="0AA87F4D"/>
    <w:rsid w:val="0AAF2502"/>
    <w:rsid w:val="0B457ECA"/>
    <w:rsid w:val="0B582596"/>
    <w:rsid w:val="0BB9605A"/>
    <w:rsid w:val="0BBB4E9F"/>
    <w:rsid w:val="0C502803"/>
    <w:rsid w:val="0C647536"/>
    <w:rsid w:val="0C6F1627"/>
    <w:rsid w:val="0CAB4505"/>
    <w:rsid w:val="0CE340E1"/>
    <w:rsid w:val="0D537AB7"/>
    <w:rsid w:val="0D5E6645"/>
    <w:rsid w:val="0D8415C1"/>
    <w:rsid w:val="0EC145B8"/>
    <w:rsid w:val="0F78497E"/>
    <w:rsid w:val="0FB75E77"/>
    <w:rsid w:val="0FEA17C1"/>
    <w:rsid w:val="0FEF1864"/>
    <w:rsid w:val="0FFF71EC"/>
    <w:rsid w:val="10357E2F"/>
    <w:rsid w:val="107E5055"/>
    <w:rsid w:val="11643AE7"/>
    <w:rsid w:val="119A312A"/>
    <w:rsid w:val="119B76A5"/>
    <w:rsid w:val="11AD7A73"/>
    <w:rsid w:val="11D471CF"/>
    <w:rsid w:val="12096398"/>
    <w:rsid w:val="122E60DF"/>
    <w:rsid w:val="123958CD"/>
    <w:rsid w:val="12A13108"/>
    <w:rsid w:val="130D690D"/>
    <w:rsid w:val="13567AD5"/>
    <w:rsid w:val="14145796"/>
    <w:rsid w:val="1421256B"/>
    <w:rsid w:val="14353183"/>
    <w:rsid w:val="147976DB"/>
    <w:rsid w:val="14E026D7"/>
    <w:rsid w:val="154F5125"/>
    <w:rsid w:val="15D820EB"/>
    <w:rsid w:val="163C139B"/>
    <w:rsid w:val="16575923"/>
    <w:rsid w:val="167F0628"/>
    <w:rsid w:val="16984502"/>
    <w:rsid w:val="16997795"/>
    <w:rsid w:val="16E70DD1"/>
    <w:rsid w:val="16F446F4"/>
    <w:rsid w:val="16F71FE9"/>
    <w:rsid w:val="176811F6"/>
    <w:rsid w:val="17A53290"/>
    <w:rsid w:val="18105CC0"/>
    <w:rsid w:val="181A6CAC"/>
    <w:rsid w:val="185D2BCD"/>
    <w:rsid w:val="188861CF"/>
    <w:rsid w:val="189744E0"/>
    <w:rsid w:val="18B55232"/>
    <w:rsid w:val="18C9192F"/>
    <w:rsid w:val="18CD24C1"/>
    <w:rsid w:val="192C2EEE"/>
    <w:rsid w:val="19793E03"/>
    <w:rsid w:val="1999410F"/>
    <w:rsid w:val="19AE0630"/>
    <w:rsid w:val="19E81A39"/>
    <w:rsid w:val="19F83EFC"/>
    <w:rsid w:val="1A881E68"/>
    <w:rsid w:val="1AA76CF8"/>
    <w:rsid w:val="1AAF7040"/>
    <w:rsid w:val="1AC83294"/>
    <w:rsid w:val="1B6A3D79"/>
    <w:rsid w:val="1B771F8A"/>
    <w:rsid w:val="1BD35218"/>
    <w:rsid w:val="1CE95744"/>
    <w:rsid w:val="1D3369BF"/>
    <w:rsid w:val="1D3C1D18"/>
    <w:rsid w:val="1D702560"/>
    <w:rsid w:val="1D752565"/>
    <w:rsid w:val="1D820DBF"/>
    <w:rsid w:val="1D8B3413"/>
    <w:rsid w:val="1DC255B6"/>
    <w:rsid w:val="1DC656CD"/>
    <w:rsid w:val="1DD764D6"/>
    <w:rsid w:val="1DE87688"/>
    <w:rsid w:val="1E4A6A10"/>
    <w:rsid w:val="1E871490"/>
    <w:rsid w:val="1EF34658"/>
    <w:rsid w:val="1F076FCB"/>
    <w:rsid w:val="202B099A"/>
    <w:rsid w:val="205376B5"/>
    <w:rsid w:val="20544CDE"/>
    <w:rsid w:val="2061149A"/>
    <w:rsid w:val="208014D4"/>
    <w:rsid w:val="20945FC6"/>
    <w:rsid w:val="213A28F7"/>
    <w:rsid w:val="21BA145D"/>
    <w:rsid w:val="222F1657"/>
    <w:rsid w:val="226A6480"/>
    <w:rsid w:val="22743D02"/>
    <w:rsid w:val="22C54AB1"/>
    <w:rsid w:val="233E53E6"/>
    <w:rsid w:val="2389748C"/>
    <w:rsid w:val="23A25835"/>
    <w:rsid w:val="23A27905"/>
    <w:rsid w:val="23C21E85"/>
    <w:rsid w:val="23E64799"/>
    <w:rsid w:val="241C3608"/>
    <w:rsid w:val="242D5F16"/>
    <w:rsid w:val="24A124EB"/>
    <w:rsid w:val="24AB0691"/>
    <w:rsid w:val="25193691"/>
    <w:rsid w:val="254E25E8"/>
    <w:rsid w:val="25830577"/>
    <w:rsid w:val="259334C9"/>
    <w:rsid w:val="25AC251A"/>
    <w:rsid w:val="25BD4E72"/>
    <w:rsid w:val="25C15F1D"/>
    <w:rsid w:val="25D83FDE"/>
    <w:rsid w:val="26143832"/>
    <w:rsid w:val="262F7009"/>
    <w:rsid w:val="26323B06"/>
    <w:rsid w:val="26BB1EFF"/>
    <w:rsid w:val="27172658"/>
    <w:rsid w:val="273A0E74"/>
    <w:rsid w:val="27830AA8"/>
    <w:rsid w:val="27B716E7"/>
    <w:rsid w:val="28306FBE"/>
    <w:rsid w:val="28760386"/>
    <w:rsid w:val="28855983"/>
    <w:rsid w:val="289F677D"/>
    <w:rsid w:val="28B735AE"/>
    <w:rsid w:val="29196166"/>
    <w:rsid w:val="294D28FF"/>
    <w:rsid w:val="29532346"/>
    <w:rsid w:val="29B913F9"/>
    <w:rsid w:val="29CF7B42"/>
    <w:rsid w:val="2A077209"/>
    <w:rsid w:val="2A2A5C2A"/>
    <w:rsid w:val="2A2F23AA"/>
    <w:rsid w:val="2AC0458B"/>
    <w:rsid w:val="2AF54989"/>
    <w:rsid w:val="2B4A4EAA"/>
    <w:rsid w:val="2B811C25"/>
    <w:rsid w:val="2B9D3D2E"/>
    <w:rsid w:val="2BDE7950"/>
    <w:rsid w:val="2C3D700C"/>
    <w:rsid w:val="2C9F3729"/>
    <w:rsid w:val="2CAD7613"/>
    <w:rsid w:val="2CC71611"/>
    <w:rsid w:val="2CF16D23"/>
    <w:rsid w:val="2D001E4F"/>
    <w:rsid w:val="2D1B1871"/>
    <w:rsid w:val="2D250DD6"/>
    <w:rsid w:val="2D572346"/>
    <w:rsid w:val="2D667EA6"/>
    <w:rsid w:val="2D9D35E3"/>
    <w:rsid w:val="2DDC3B25"/>
    <w:rsid w:val="2DDD7D54"/>
    <w:rsid w:val="2E1F4F9B"/>
    <w:rsid w:val="2E26728F"/>
    <w:rsid w:val="2EDC77E4"/>
    <w:rsid w:val="2EFB4F01"/>
    <w:rsid w:val="2F1722E1"/>
    <w:rsid w:val="2F36429E"/>
    <w:rsid w:val="2F760460"/>
    <w:rsid w:val="2FA16CAC"/>
    <w:rsid w:val="2FAD6651"/>
    <w:rsid w:val="2FD7142C"/>
    <w:rsid w:val="300C62D4"/>
    <w:rsid w:val="30790BF3"/>
    <w:rsid w:val="30F52D4C"/>
    <w:rsid w:val="319477FE"/>
    <w:rsid w:val="31AD7A1F"/>
    <w:rsid w:val="31C91DDA"/>
    <w:rsid w:val="32043799"/>
    <w:rsid w:val="32080B48"/>
    <w:rsid w:val="32D12B11"/>
    <w:rsid w:val="32EF4D00"/>
    <w:rsid w:val="33257593"/>
    <w:rsid w:val="33274478"/>
    <w:rsid w:val="33A20189"/>
    <w:rsid w:val="33B56D70"/>
    <w:rsid w:val="33F14584"/>
    <w:rsid w:val="340C2E93"/>
    <w:rsid w:val="342E0004"/>
    <w:rsid w:val="34440157"/>
    <w:rsid w:val="34585F22"/>
    <w:rsid w:val="348B40EB"/>
    <w:rsid w:val="348C2DAD"/>
    <w:rsid w:val="35346412"/>
    <w:rsid w:val="35415975"/>
    <w:rsid w:val="35480F1D"/>
    <w:rsid w:val="35986160"/>
    <w:rsid w:val="35C4158F"/>
    <w:rsid w:val="35CD0E34"/>
    <w:rsid w:val="35DD75B5"/>
    <w:rsid w:val="361807E1"/>
    <w:rsid w:val="367319A8"/>
    <w:rsid w:val="368F5F30"/>
    <w:rsid w:val="36EB58C3"/>
    <w:rsid w:val="36ED40EC"/>
    <w:rsid w:val="36FF04D3"/>
    <w:rsid w:val="371F3DE4"/>
    <w:rsid w:val="374A2A26"/>
    <w:rsid w:val="375752FB"/>
    <w:rsid w:val="37E738B1"/>
    <w:rsid w:val="37FE5888"/>
    <w:rsid w:val="38282957"/>
    <w:rsid w:val="382C2E04"/>
    <w:rsid w:val="385B5CDC"/>
    <w:rsid w:val="386B2F0E"/>
    <w:rsid w:val="387A0F38"/>
    <w:rsid w:val="38837AE5"/>
    <w:rsid w:val="3889703C"/>
    <w:rsid w:val="393D600B"/>
    <w:rsid w:val="39565AB7"/>
    <w:rsid w:val="3A875D65"/>
    <w:rsid w:val="3A962E51"/>
    <w:rsid w:val="3AC245CD"/>
    <w:rsid w:val="3AD62DAE"/>
    <w:rsid w:val="3B3F5AAB"/>
    <w:rsid w:val="3B476F8C"/>
    <w:rsid w:val="3B78529C"/>
    <w:rsid w:val="3BBB5D31"/>
    <w:rsid w:val="3BBC099F"/>
    <w:rsid w:val="3BCC47FD"/>
    <w:rsid w:val="3C3D6D89"/>
    <w:rsid w:val="3C6049D8"/>
    <w:rsid w:val="3C797AF3"/>
    <w:rsid w:val="3C7F70D3"/>
    <w:rsid w:val="3CB364DE"/>
    <w:rsid w:val="3CE43A2A"/>
    <w:rsid w:val="3CE52721"/>
    <w:rsid w:val="3D1E4631"/>
    <w:rsid w:val="3D206CD9"/>
    <w:rsid w:val="3D7A4093"/>
    <w:rsid w:val="3E2278D9"/>
    <w:rsid w:val="3E245392"/>
    <w:rsid w:val="3EA31402"/>
    <w:rsid w:val="3F4015DA"/>
    <w:rsid w:val="3F474725"/>
    <w:rsid w:val="3F6A5B63"/>
    <w:rsid w:val="3FAF0D30"/>
    <w:rsid w:val="3FE416C5"/>
    <w:rsid w:val="3FFA3DFE"/>
    <w:rsid w:val="40A44326"/>
    <w:rsid w:val="40A75C9F"/>
    <w:rsid w:val="41051A2A"/>
    <w:rsid w:val="413879C7"/>
    <w:rsid w:val="413B7672"/>
    <w:rsid w:val="4165713D"/>
    <w:rsid w:val="41A47204"/>
    <w:rsid w:val="41DD4F15"/>
    <w:rsid w:val="421303F5"/>
    <w:rsid w:val="424E1E36"/>
    <w:rsid w:val="4253221C"/>
    <w:rsid w:val="42644992"/>
    <w:rsid w:val="42791BB8"/>
    <w:rsid w:val="42817701"/>
    <w:rsid w:val="429363E9"/>
    <w:rsid w:val="42F12EC4"/>
    <w:rsid w:val="433819F2"/>
    <w:rsid w:val="4345114B"/>
    <w:rsid w:val="43DA4770"/>
    <w:rsid w:val="43E31E10"/>
    <w:rsid w:val="43F41C9C"/>
    <w:rsid w:val="444012C4"/>
    <w:rsid w:val="44A75419"/>
    <w:rsid w:val="44AE7317"/>
    <w:rsid w:val="44EE129A"/>
    <w:rsid w:val="44FC64E2"/>
    <w:rsid w:val="452D4A23"/>
    <w:rsid w:val="45AD2F03"/>
    <w:rsid w:val="45C54E61"/>
    <w:rsid w:val="45DE351C"/>
    <w:rsid w:val="46113D93"/>
    <w:rsid w:val="46C35225"/>
    <w:rsid w:val="46F336A8"/>
    <w:rsid w:val="47404168"/>
    <w:rsid w:val="474856B0"/>
    <w:rsid w:val="474F4AEE"/>
    <w:rsid w:val="47B756D2"/>
    <w:rsid w:val="47D80651"/>
    <w:rsid w:val="48045EEA"/>
    <w:rsid w:val="48443F2F"/>
    <w:rsid w:val="48F45F26"/>
    <w:rsid w:val="4915561E"/>
    <w:rsid w:val="49994D4E"/>
    <w:rsid w:val="49AD6EB4"/>
    <w:rsid w:val="49C569A6"/>
    <w:rsid w:val="49EA64D4"/>
    <w:rsid w:val="4A2A1126"/>
    <w:rsid w:val="4A986E4A"/>
    <w:rsid w:val="4AB50143"/>
    <w:rsid w:val="4AFE7241"/>
    <w:rsid w:val="4B0C5FD6"/>
    <w:rsid w:val="4B203FD5"/>
    <w:rsid w:val="4BAC2F0B"/>
    <w:rsid w:val="4C167605"/>
    <w:rsid w:val="4C1E2465"/>
    <w:rsid w:val="4C423098"/>
    <w:rsid w:val="4C77262B"/>
    <w:rsid w:val="4C7E2F03"/>
    <w:rsid w:val="4CA134EA"/>
    <w:rsid w:val="4CA36015"/>
    <w:rsid w:val="4CB45979"/>
    <w:rsid w:val="4CD47E8A"/>
    <w:rsid w:val="4CD528FF"/>
    <w:rsid w:val="4CE971A3"/>
    <w:rsid w:val="4D110109"/>
    <w:rsid w:val="4D1C3AC2"/>
    <w:rsid w:val="4D403B2C"/>
    <w:rsid w:val="4D7D1D71"/>
    <w:rsid w:val="4E174D79"/>
    <w:rsid w:val="4E452353"/>
    <w:rsid w:val="4E48180D"/>
    <w:rsid w:val="4E520BBA"/>
    <w:rsid w:val="4E5E123E"/>
    <w:rsid w:val="4E867EF7"/>
    <w:rsid w:val="4E967E33"/>
    <w:rsid w:val="4EDC0C29"/>
    <w:rsid w:val="4EDE4116"/>
    <w:rsid w:val="4EE076EF"/>
    <w:rsid w:val="4EFA15E0"/>
    <w:rsid w:val="4F0A5FD9"/>
    <w:rsid w:val="4F844DC2"/>
    <w:rsid w:val="4FA93CA0"/>
    <w:rsid w:val="4FFE6835"/>
    <w:rsid w:val="50836453"/>
    <w:rsid w:val="50872548"/>
    <w:rsid w:val="50DE01A0"/>
    <w:rsid w:val="51291102"/>
    <w:rsid w:val="51EC0232"/>
    <w:rsid w:val="521F28F3"/>
    <w:rsid w:val="525766D1"/>
    <w:rsid w:val="525F5CAC"/>
    <w:rsid w:val="52F63937"/>
    <w:rsid w:val="531D5787"/>
    <w:rsid w:val="53735DE7"/>
    <w:rsid w:val="53A612D2"/>
    <w:rsid w:val="53DA7CDB"/>
    <w:rsid w:val="53FC24E5"/>
    <w:rsid w:val="541939A9"/>
    <w:rsid w:val="5425663D"/>
    <w:rsid w:val="543E21F2"/>
    <w:rsid w:val="546C2248"/>
    <w:rsid w:val="548412D3"/>
    <w:rsid w:val="54AD3F9B"/>
    <w:rsid w:val="54B665E2"/>
    <w:rsid w:val="54DF5047"/>
    <w:rsid w:val="54ED7056"/>
    <w:rsid w:val="54F46E8F"/>
    <w:rsid w:val="55121CCF"/>
    <w:rsid w:val="558E065B"/>
    <w:rsid w:val="55BD21AE"/>
    <w:rsid w:val="55D7325F"/>
    <w:rsid w:val="56232717"/>
    <w:rsid w:val="56630021"/>
    <w:rsid w:val="56B266C2"/>
    <w:rsid w:val="56C506B6"/>
    <w:rsid w:val="56DE56E9"/>
    <w:rsid w:val="56F51403"/>
    <w:rsid w:val="574D68CB"/>
    <w:rsid w:val="576C0528"/>
    <w:rsid w:val="576E7B5B"/>
    <w:rsid w:val="57757642"/>
    <w:rsid w:val="57DB34CB"/>
    <w:rsid w:val="57DC0E00"/>
    <w:rsid w:val="57E03700"/>
    <w:rsid w:val="57E56558"/>
    <w:rsid w:val="58040BF9"/>
    <w:rsid w:val="58242BB1"/>
    <w:rsid w:val="584667E3"/>
    <w:rsid w:val="58DD285C"/>
    <w:rsid w:val="59563470"/>
    <w:rsid w:val="59DE35A5"/>
    <w:rsid w:val="59E146C5"/>
    <w:rsid w:val="5A417F0A"/>
    <w:rsid w:val="5A5D07CE"/>
    <w:rsid w:val="5AA35AEB"/>
    <w:rsid w:val="5AE5644C"/>
    <w:rsid w:val="5AF67D74"/>
    <w:rsid w:val="5B7C6351"/>
    <w:rsid w:val="5B7D02D4"/>
    <w:rsid w:val="5C0D42A1"/>
    <w:rsid w:val="5C5033F3"/>
    <w:rsid w:val="5C98097F"/>
    <w:rsid w:val="5C9E7D87"/>
    <w:rsid w:val="5CC52804"/>
    <w:rsid w:val="5CD6136D"/>
    <w:rsid w:val="5D006E44"/>
    <w:rsid w:val="5D6B6538"/>
    <w:rsid w:val="5D7E4889"/>
    <w:rsid w:val="5DA06B6B"/>
    <w:rsid w:val="5DF70D68"/>
    <w:rsid w:val="5E772BAE"/>
    <w:rsid w:val="5E856318"/>
    <w:rsid w:val="5EB86C54"/>
    <w:rsid w:val="5ED07A47"/>
    <w:rsid w:val="5F0A4868"/>
    <w:rsid w:val="5F1D7246"/>
    <w:rsid w:val="5F4F0E5B"/>
    <w:rsid w:val="5FC03B07"/>
    <w:rsid w:val="600D59EF"/>
    <w:rsid w:val="60BB4090"/>
    <w:rsid w:val="60BB6235"/>
    <w:rsid w:val="60F56B91"/>
    <w:rsid w:val="61BF394A"/>
    <w:rsid w:val="6223037D"/>
    <w:rsid w:val="622F2F91"/>
    <w:rsid w:val="6250220C"/>
    <w:rsid w:val="62675B17"/>
    <w:rsid w:val="629012CE"/>
    <w:rsid w:val="62E14139"/>
    <w:rsid w:val="62E737DB"/>
    <w:rsid w:val="6315435F"/>
    <w:rsid w:val="631B2E02"/>
    <w:rsid w:val="632067CB"/>
    <w:rsid w:val="632F75C7"/>
    <w:rsid w:val="637A089E"/>
    <w:rsid w:val="63BA5B8B"/>
    <w:rsid w:val="63D83BE0"/>
    <w:rsid w:val="63F91396"/>
    <w:rsid w:val="64166B8B"/>
    <w:rsid w:val="642937CA"/>
    <w:rsid w:val="645010F5"/>
    <w:rsid w:val="647A3869"/>
    <w:rsid w:val="64B914E7"/>
    <w:rsid w:val="65062265"/>
    <w:rsid w:val="653518AD"/>
    <w:rsid w:val="655512DA"/>
    <w:rsid w:val="656E7A21"/>
    <w:rsid w:val="65C84E08"/>
    <w:rsid w:val="65DC5ED9"/>
    <w:rsid w:val="66183681"/>
    <w:rsid w:val="661B78FF"/>
    <w:rsid w:val="66545D08"/>
    <w:rsid w:val="66B02DF5"/>
    <w:rsid w:val="66D93700"/>
    <w:rsid w:val="67236BC5"/>
    <w:rsid w:val="67DB2DA4"/>
    <w:rsid w:val="68490BA5"/>
    <w:rsid w:val="68752C1C"/>
    <w:rsid w:val="68CF6C5C"/>
    <w:rsid w:val="68F264E9"/>
    <w:rsid w:val="69243C2F"/>
    <w:rsid w:val="692F4C1F"/>
    <w:rsid w:val="6942558D"/>
    <w:rsid w:val="6A863E93"/>
    <w:rsid w:val="6A965E15"/>
    <w:rsid w:val="6ABB2E14"/>
    <w:rsid w:val="6AC07253"/>
    <w:rsid w:val="6B176FF1"/>
    <w:rsid w:val="6B1C1256"/>
    <w:rsid w:val="6B2F0F25"/>
    <w:rsid w:val="6B401FE4"/>
    <w:rsid w:val="6B6D6F59"/>
    <w:rsid w:val="6B840A56"/>
    <w:rsid w:val="6BAA0F42"/>
    <w:rsid w:val="6C5034A3"/>
    <w:rsid w:val="6C5A27AC"/>
    <w:rsid w:val="6C6D45C3"/>
    <w:rsid w:val="6CB54176"/>
    <w:rsid w:val="6CD3438A"/>
    <w:rsid w:val="6CEF02D9"/>
    <w:rsid w:val="6D435878"/>
    <w:rsid w:val="6D8D0DA1"/>
    <w:rsid w:val="6D8D43D8"/>
    <w:rsid w:val="6DEB71AF"/>
    <w:rsid w:val="6DFE0DBF"/>
    <w:rsid w:val="6E1C5DFB"/>
    <w:rsid w:val="6E2A3F0D"/>
    <w:rsid w:val="6E364F94"/>
    <w:rsid w:val="6EEB2476"/>
    <w:rsid w:val="6F357D91"/>
    <w:rsid w:val="6F4760D3"/>
    <w:rsid w:val="6F6C33E0"/>
    <w:rsid w:val="6F79430C"/>
    <w:rsid w:val="6F9C0BA7"/>
    <w:rsid w:val="6FA4432F"/>
    <w:rsid w:val="6FD43B34"/>
    <w:rsid w:val="70862967"/>
    <w:rsid w:val="70CA5E00"/>
    <w:rsid w:val="70EC7889"/>
    <w:rsid w:val="71184E25"/>
    <w:rsid w:val="715753A0"/>
    <w:rsid w:val="71992D43"/>
    <w:rsid w:val="71BA2F54"/>
    <w:rsid w:val="71F072E4"/>
    <w:rsid w:val="724834E8"/>
    <w:rsid w:val="72B95CA2"/>
    <w:rsid w:val="72E022A0"/>
    <w:rsid w:val="731F25E1"/>
    <w:rsid w:val="73BC3FF2"/>
    <w:rsid w:val="73BE3DBE"/>
    <w:rsid w:val="743F0CE6"/>
    <w:rsid w:val="74DB4783"/>
    <w:rsid w:val="75443C70"/>
    <w:rsid w:val="754A3E8F"/>
    <w:rsid w:val="75513663"/>
    <w:rsid w:val="755A3C5E"/>
    <w:rsid w:val="75863743"/>
    <w:rsid w:val="75B07D22"/>
    <w:rsid w:val="763B3A90"/>
    <w:rsid w:val="763E7A90"/>
    <w:rsid w:val="768213ED"/>
    <w:rsid w:val="768932CC"/>
    <w:rsid w:val="76974E99"/>
    <w:rsid w:val="76C0640E"/>
    <w:rsid w:val="76D9077B"/>
    <w:rsid w:val="77064E5C"/>
    <w:rsid w:val="778F1E3E"/>
    <w:rsid w:val="77D61BEB"/>
    <w:rsid w:val="790A1401"/>
    <w:rsid w:val="791B575A"/>
    <w:rsid w:val="79D26FB4"/>
    <w:rsid w:val="7A0C2D3F"/>
    <w:rsid w:val="7A7C4677"/>
    <w:rsid w:val="7B7A60D1"/>
    <w:rsid w:val="7B872A40"/>
    <w:rsid w:val="7B97570C"/>
    <w:rsid w:val="7BCF6FDB"/>
    <w:rsid w:val="7BF42130"/>
    <w:rsid w:val="7C173540"/>
    <w:rsid w:val="7C3228D0"/>
    <w:rsid w:val="7C373372"/>
    <w:rsid w:val="7CC0692C"/>
    <w:rsid w:val="7CD25682"/>
    <w:rsid w:val="7CED206E"/>
    <w:rsid w:val="7D866A8C"/>
    <w:rsid w:val="7D885D68"/>
    <w:rsid w:val="7D946377"/>
    <w:rsid w:val="7DC8349B"/>
    <w:rsid w:val="7E493264"/>
    <w:rsid w:val="7E5F433D"/>
    <w:rsid w:val="7E8D57F2"/>
    <w:rsid w:val="7E9D126B"/>
    <w:rsid w:val="7EA63F77"/>
    <w:rsid w:val="7ED93F70"/>
    <w:rsid w:val="7F1B5C73"/>
    <w:rsid w:val="7F2652AA"/>
    <w:rsid w:val="7F465586"/>
    <w:rsid w:val="7F4F291E"/>
    <w:rsid w:val="7F51507B"/>
    <w:rsid w:val="7F962596"/>
    <w:rsid w:val="7FAC01A6"/>
    <w:rsid w:val="7FB623D9"/>
    <w:rsid w:val="7FC26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1440" w:firstLineChars="200"/>
    </w:pPr>
    <w:rPr>
      <w:rFonts w:ascii="Times New Roman" w:hAnsi="Times New Roman" w:eastAsia="仿宋_GB2312" w:cstheme="minorBidi"/>
      <w:kern w:val="2"/>
      <w:sz w:val="32"/>
      <w:szCs w:val="24"/>
      <w:lang w:val="en-US" w:eastAsia="zh-CN" w:bidi="ar-SA"/>
    </w:rPr>
  </w:style>
  <w:style w:type="paragraph" w:styleId="2">
    <w:name w:val="heading 1"/>
    <w:basedOn w:val="1"/>
    <w:next w:val="1"/>
    <w:link w:val="15"/>
    <w:qFormat/>
    <w:uiPriority w:val="0"/>
    <w:pPr>
      <w:keepNext/>
      <w:keepLines/>
      <w:spacing w:beforeLines="50" w:afterLines="50" w:line="240" w:lineRule="auto"/>
      <w:ind w:firstLine="0" w:firstLineChars="0"/>
      <w:jc w:val="center"/>
      <w:outlineLvl w:val="0"/>
    </w:pPr>
    <w:rPr>
      <w:rFonts w:eastAsia="黑体"/>
      <w:kern w:val="44"/>
    </w:rPr>
  </w:style>
  <w:style w:type="paragraph" w:styleId="3">
    <w:name w:val="heading 2"/>
    <w:basedOn w:val="1"/>
    <w:next w:val="1"/>
    <w:link w:val="16"/>
    <w:qFormat/>
    <w:uiPriority w:val="0"/>
    <w:pPr>
      <w:keepNext/>
      <w:keepLines/>
      <w:numPr>
        <w:ilvl w:val="0"/>
        <w:numId w:val="1"/>
      </w:numPr>
      <w:ind w:firstLine="0"/>
      <w:outlineLvl w:val="1"/>
    </w:pPr>
    <w:rPr>
      <w:b/>
    </w:rPr>
  </w:style>
  <w:style w:type="paragraph" w:styleId="4">
    <w:name w:val="heading 3"/>
    <w:basedOn w:val="1"/>
    <w:next w:val="1"/>
    <w:link w:val="17"/>
    <w:unhideWhenUsed/>
    <w:qFormat/>
    <w:uiPriority w:val="0"/>
    <w:pPr>
      <w:keepNext/>
      <w:keepLines/>
      <w:spacing w:line="413" w:lineRule="auto"/>
      <w:outlineLvl w:val="2"/>
    </w:pPr>
    <w:rPr>
      <w:b/>
    </w:rPr>
  </w:style>
  <w:style w:type="paragraph" w:styleId="5">
    <w:name w:val="heading 4"/>
    <w:basedOn w:val="1"/>
    <w:next w:val="1"/>
    <w:semiHidden/>
    <w:unhideWhenUsed/>
    <w:qFormat/>
    <w:uiPriority w:val="0"/>
    <w:pPr>
      <w:keepNext/>
      <w:keepLines/>
      <w:spacing w:line="372" w:lineRule="auto"/>
      <w:outlineLvl w:val="3"/>
    </w:pPr>
    <w:rPr>
      <w:rFonts w:ascii="Arial" w:hAnsi="Arial"/>
      <w:b/>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8"/>
    <w:unhideWhenUsed/>
    <w:qFormat/>
    <w:uiPriority w:val="99"/>
    <w:pPr>
      <w:autoSpaceDE w:val="0"/>
      <w:autoSpaceDN w:val="0"/>
      <w:adjustRightInd w:val="0"/>
      <w:spacing w:before="100" w:beforeAutospacing="1" w:after="100" w:afterAutospacing="1" w:line="240" w:lineRule="auto"/>
      <w:ind w:left="360" w:firstLine="0" w:firstLineChars="0"/>
    </w:pPr>
    <w:rPr>
      <w:rFonts w:ascii="仿宋_GB2312" w:cs="宋体"/>
      <w:kern w:val="0"/>
      <w:szCs w:val="32"/>
    </w:rPr>
  </w:style>
  <w:style w:type="paragraph" w:styleId="7">
    <w:name w:val="footer"/>
    <w:basedOn w:val="1"/>
    <w:qFormat/>
    <w:uiPriority w:val="0"/>
    <w:pPr>
      <w:tabs>
        <w:tab w:val="center" w:pos="4153"/>
        <w:tab w:val="right" w:pos="8306"/>
      </w:tabs>
      <w:snapToGrid w:val="0"/>
    </w:pPr>
    <w:rPr>
      <w:sz w:val="24"/>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9">
    <w:name w:val="toc 1"/>
    <w:basedOn w:val="1"/>
    <w:next w:val="1"/>
    <w:qFormat/>
    <w:uiPriority w:val="39"/>
    <w:rPr>
      <w:rFonts w:eastAsia="黑体"/>
    </w:rPr>
  </w:style>
  <w:style w:type="paragraph" w:styleId="10">
    <w:name w:val="toc 2"/>
    <w:basedOn w:val="1"/>
    <w:next w:val="1"/>
    <w:qFormat/>
    <w:uiPriority w:val="39"/>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customStyle="1" w:styleId="15">
    <w:name w:val="标题 1 Char"/>
    <w:link w:val="2"/>
    <w:qFormat/>
    <w:uiPriority w:val="0"/>
    <w:rPr>
      <w:rFonts w:eastAsia="黑体" w:asciiTheme="minorHAnsi" w:hAnsiTheme="minorHAnsi"/>
      <w:kern w:val="44"/>
      <w:sz w:val="32"/>
    </w:rPr>
  </w:style>
  <w:style w:type="character" w:customStyle="1" w:styleId="16">
    <w:name w:val="标题 2 Char"/>
    <w:link w:val="3"/>
    <w:qFormat/>
    <w:uiPriority w:val="0"/>
    <w:rPr>
      <w:rFonts w:ascii="Times New Roman" w:hAnsi="Times New Roman" w:eastAsia="仿宋_GB2312"/>
      <w:b/>
    </w:rPr>
  </w:style>
  <w:style w:type="character" w:customStyle="1" w:styleId="17">
    <w:name w:val="标题 3 Char"/>
    <w:link w:val="4"/>
    <w:qFormat/>
    <w:uiPriority w:val="0"/>
    <w:rPr>
      <w:b/>
      <w:sz w:val="32"/>
    </w:rPr>
  </w:style>
  <w:style w:type="character" w:customStyle="1" w:styleId="18">
    <w:name w:val="正文文本 Char"/>
    <w:basedOn w:val="13"/>
    <w:link w:val="6"/>
    <w:qFormat/>
    <w:uiPriority w:val="99"/>
    <w:rPr>
      <w:rFonts w:ascii="仿宋_GB2312" w:eastAsia="仿宋_GB2312" w:cs="宋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967f81bb-a230-4464-849e-a86049b3b003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3FD078E</paraID>
      <start>17</start>
      <end>18</end>
      <status>ignored</status>
      <modifiedWord/>
      <trackRevisions>false</trackRevisions>
    </reviewItem>
    <reviewItem>
      <errorID>22440a96-e874-4a3d-8698-39cea6cc8c46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3FD078E</paraID>
      <start>22</start>
      <end>23</end>
      <status>modified</status>
      <modifiedWord>—</modifiedWord>
      <trackRevisions>false</trackRevisions>
    </reviewItem>
    <reviewItem>
      <errorID>4e2add6f-5468-4a8c-8209-29a5a23ae9dc</errorID>
      <errorWord>其它</errorWord>
      <group>L1_Word</group>
      <groupName>字词问题</groupName>
      <ability>L2_Alias</ability>
      <abilityName>也作/曾用词</abilityName>
      <candidateList>
        <item>其他</item>
      </candidateList>
      <explain>词汇[其它]为不规范表述或旧称，其规范书面表述为[其他]。</explain>
      <paraID>62159B45</paraID>
      <start>13</start>
      <end>15</end>
      <status>modified</status>
      <modifiedWord>其他</modifiedWord>
      <trackRevisions>false</trackRevisions>
    </reviewItem>
    <reviewItem>
      <errorID>910847e4-a660-4506-997c-0615d0250c60</errorID>
      <errorWord>》</errorWord>
      <group>L1_Word</group>
      <groupName>字词问题</groupName>
      <ability>L2_Typo</ability>
      <abilityName>字词错误</abilityName>
      <candidateList>
        <item>》等</item>
      </candidateList>
      <explain/>
      <paraID> 1B33C70</paraID>
      <start>52</start>
      <end>54</end>
      <status>modified</status>
      <modifiedWord>》等</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d332aa-0e4e-47fc-8473-a27c1bc53ae3}">
  <ds:schemaRefs/>
</ds:datastoreItem>
</file>

<file path=docProps/app.xml><?xml version="1.0" encoding="utf-8"?>
<Properties xmlns="http://schemas.openxmlformats.org/officeDocument/2006/extended-properties" xmlns:vt="http://schemas.openxmlformats.org/officeDocument/2006/docPropsVTypes">
  <Template>Normal</Template>
  <Pages>7</Pages>
  <Words>53</Words>
  <Characters>79</Characters>
  <Lines>41</Lines>
  <Paragraphs>11</Paragraphs>
  <TotalTime>6</TotalTime>
  <ScaleCrop>false</ScaleCrop>
  <LinksUpToDate>false</LinksUpToDate>
  <CharactersWithSpaces>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2023-07-03T01:12:00Z</dcterms:created>
  <dc:creator>Administrator</dc:creator>
  <cp:lastModifiedBy>旺旺旺</cp:lastModifiedBy>
  <dcterms:modified xsi:type="dcterms:W3CDTF">2026-09-23T07:30:37Z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F005F5A2CADA4AC9B925AC3487DC961F_13</vt:lpwstr>
  </property>
  <property fmtid="{D5CDD505-2E9C-101B-9397-08002B2CF9AE}" pid="4" name="KSOTemplateDocerSaveRecord">
    <vt:lpwstr>eyJoZGlkIjoiOTFiOTY1YWFlMWVkZmE4ZDRmNDJlM2VjNjNiZTZhNjUiLCJ1c2VySWQiOiI1NjA3MzU2ODQifQ==</vt:lpwstr>
  </property>
</Properties>
</file>