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2405C9">
      <w:pPr>
        <w:pStyle w:val="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方正小标宋简体" w:hAnsi="方正小标宋简体" w:eastAsia="方正小标宋简体" w:cs="方正小标宋简体"/>
          <w:sz w:val="52"/>
          <w:szCs w:val="52"/>
          <w:lang w:val="en-US" w:eastAsia="zh-CN"/>
        </w:rPr>
      </w:pPr>
      <w:bookmarkStart w:id="0" w:name="_Toc223187424"/>
      <w:bookmarkStart w:id="1" w:name="_Toc223120989"/>
    </w:p>
    <w:p w14:paraId="499CC548">
      <w:pPr>
        <w:pStyle w:val="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方正小标宋简体" w:hAnsi="方正小标宋简体" w:eastAsia="方正小标宋简体" w:cs="方正小标宋简体"/>
          <w:sz w:val="52"/>
          <w:szCs w:val="52"/>
          <w:lang w:val="en-US" w:eastAsia="zh-CN"/>
        </w:rPr>
      </w:pPr>
    </w:p>
    <w:p w14:paraId="5D3069FD">
      <w:pPr>
        <w:pStyle w:val="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方正小标宋简体" w:hAnsi="方正小标宋简体" w:eastAsia="方正小标宋简体" w:cs="方正小标宋简体"/>
          <w:sz w:val="52"/>
          <w:szCs w:val="52"/>
          <w:lang w:val="en-US" w:eastAsia="zh-CN"/>
        </w:rPr>
      </w:pPr>
    </w:p>
    <w:p w14:paraId="24DE69AF">
      <w:pPr>
        <w:pStyle w:val="8"/>
        <w:keepNext w:val="0"/>
        <w:keepLines w:val="0"/>
        <w:pageBreakBefore w:val="0"/>
        <w:widowControl w:val="0"/>
        <w:kinsoku w:val="0"/>
        <w:wordWrap/>
        <w:overflowPunct w:val="0"/>
        <w:topLinePunct w:val="0"/>
        <w:autoSpaceDE w:val="0"/>
        <w:autoSpaceDN w:val="0"/>
        <w:bidi w:val="0"/>
        <w:adjustRightInd w:val="0"/>
        <w:snapToGrid w:val="0"/>
        <w:spacing w:line="240" w:lineRule="atLeast"/>
        <w:ind w:firstLine="0" w:firstLineChars="0"/>
        <w:jc w:val="center"/>
        <w:textAlignment w:val="auto"/>
        <w:outlineLvl w:val="9"/>
        <w:rPr>
          <w:rFonts w:hint="eastAsia" w:ascii="方正小标宋简体" w:hAnsi="方正小标宋简体" w:eastAsia="方正小标宋简体" w:cs="方正小标宋简体"/>
          <w:sz w:val="52"/>
          <w:szCs w:val="52"/>
          <w:shd w:val="clear" w:color="auto" w:fill="auto"/>
          <w:lang w:val="en-US" w:eastAsia="zh-CN"/>
        </w:rPr>
      </w:pPr>
      <w:bookmarkStart w:id="9" w:name="_GoBack"/>
      <w:r>
        <w:rPr>
          <w:rFonts w:hint="eastAsia" w:ascii="方正小标宋简体" w:hAnsi="方正小标宋简体" w:eastAsia="方正小标宋简体" w:cs="方正小标宋简体"/>
          <w:sz w:val="52"/>
          <w:szCs w:val="52"/>
          <w:shd w:val="clear" w:color="auto" w:fill="auto"/>
          <w:lang w:val="en-US" w:eastAsia="zh-CN"/>
        </w:rPr>
        <w:t>乐山市沐川县国土空间总体规划</w:t>
      </w:r>
      <w:bookmarkStart w:id="2" w:name="_Toc219379977"/>
      <w:bookmarkStart w:id="3" w:name="_Toc219456188"/>
      <w:bookmarkStart w:id="4" w:name="_Toc219383754"/>
    </w:p>
    <w:p w14:paraId="75C506EE">
      <w:pPr>
        <w:pStyle w:val="8"/>
        <w:keepNext w:val="0"/>
        <w:keepLines w:val="0"/>
        <w:pageBreakBefore w:val="0"/>
        <w:widowControl w:val="0"/>
        <w:kinsoku w:val="0"/>
        <w:wordWrap/>
        <w:overflowPunct w:val="0"/>
        <w:topLinePunct w:val="0"/>
        <w:autoSpaceDE w:val="0"/>
        <w:autoSpaceDN w:val="0"/>
        <w:bidi w:val="0"/>
        <w:adjustRightInd w:val="0"/>
        <w:snapToGrid w:val="0"/>
        <w:spacing w:line="240" w:lineRule="atLeast"/>
        <w:ind w:firstLine="0" w:firstLineChars="0"/>
        <w:jc w:val="center"/>
        <w:textAlignment w:val="auto"/>
        <w:outlineLvl w:val="9"/>
        <w:rPr>
          <w:rFonts w:hint="eastAsia" w:ascii="方正小标宋简体" w:hAnsi="方正小标宋简体" w:eastAsia="方正小标宋简体" w:cs="方正小标宋简体"/>
          <w:sz w:val="52"/>
          <w:szCs w:val="52"/>
          <w:shd w:val="clear" w:color="auto" w:fill="auto"/>
          <w:lang w:val="en-US" w:eastAsia="zh-CN"/>
        </w:rPr>
      </w:pPr>
      <w:r>
        <w:rPr>
          <w:rFonts w:hint="eastAsia" w:ascii="方正小标宋简体" w:hAnsi="方正小标宋简体" w:eastAsia="方正小标宋简体" w:cs="方正小标宋简体"/>
          <w:sz w:val="52"/>
          <w:szCs w:val="52"/>
          <w:shd w:val="clear" w:color="auto" w:fill="auto"/>
          <w:lang w:val="en-US" w:eastAsia="zh-CN"/>
        </w:rPr>
        <w:t>（2021—2035年）</w:t>
      </w:r>
      <w:bookmarkEnd w:id="2"/>
      <w:bookmarkEnd w:id="3"/>
      <w:bookmarkEnd w:id="4"/>
      <w:bookmarkStart w:id="5" w:name="_Toc219379978"/>
      <w:bookmarkStart w:id="6" w:name="_Toc219383755"/>
      <w:bookmarkStart w:id="7" w:name="_Toc219456189"/>
      <w:bookmarkStart w:id="8" w:name="_Toc219461144"/>
    </w:p>
    <w:p w14:paraId="603DD59A">
      <w:pPr>
        <w:pStyle w:val="8"/>
        <w:keepNext w:val="0"/>
        <w:keepLines w:val="0"/>
        <w:pageBreakBefore w:val="0"/>
        <w:widowControl w:val="0"/>
        <w:kinsoku w:val="0"/>
        <w:wordWrap/>
        <w:overflowPunct w:val="0"/>
        <w:topLinePunct w:val="0"/>
        <w:autoSpaceDE w:val="0"/>
        <w:autoSpaceDN w:val="0"/>
        <w:bidi w:val="0"/>
        <w:adjustRightInd w:val="0"/>
        <w:snapToGrid w:val="0"/>
        <w:spacing w:line="240" w:lineRule="atLeast"/>
        <w:ind w:firstLine="0" w:firstLineChars="0"/>
        <w:jc w:val="center"/>
        <w:textAlignment w:val="auto"/>
        <w:outlineLvl w:val="9"/>
        <w:rPr>
          <w:rFonts w:hint="eastAsia" w:ascii="方正小标宋简体" w:hAnsi="方正小标宋简体" w:eastAsia="方正小标宋简体" w:cs="方正小标宋简体"/>
          <w:sz w:val="52"/>
          <w:szCs w:val="52"/>
          <w:shd w:val="clear" w:color="auto" w:fill="auto"/>
          <w:lang w:val="en-US" w:eastAsia="zh-CN"/>
        </w:rPr>
      </w:pPr>
      <w:r>
        <w:rPr>
          <w:rFonts w:hint="eastAsia" w:ascii="方正小标宋简体" w:hAnsi="方正小标宋简体" w:eastAsia="方正小标宋简体" w:cs="方正小标宋简体"/>
          <w:sz w:val="52"/>
          <w:szCs w:val="52"/>
          <w:shd w:val="clear" w:color="auto" w:fill="auto"/>
          <w:lang w:val="en-US" w:eastAsia="zh-CN"/>
        </w:rPr>
        <w:t>动态维护方案</w:t>
      </w:r>
      <w:bookmarkEnd w:id="0"/>
      <w:bookmarkEnd w:id="1"/>
      <w:bookmarkEnd w:id="5"/>
      <w:bookmarkEnd w:id="6"/>
      <w:bookmarkEnd w:id="7"/>
      <w:bookmarkEnd w:id="8"/>
    </w:p>
    <w:p w14:paraId="0D8A292D">
      <w:pPr>
        <w:pStyle w:val="8"/>
        <w:keepNext w:val="0"/>
        <w:keepLines w:val="0"/>
        <w:pageBreakBefore w:val="0"/>
        <w:widowControl w:val="0"/>
        <w:kinsoku w:val="0"/>
        <w:wordWrap/>
        <w:overflowPunct w:val="0"/>
        <w:topLinePunct w:val="0"/>
        <w:autoSpaceDE w:val="0"/>
        <w:autoSpaceDN w:val="0"/>
        <w:bidi w:val="0"/>
        <w:adjustRightInd w:val="0"/>
        <w:snapToGrid w:val="0"/>
        <w:spacing w:line="240" w:lineRule="atLeast"/>
        <w:ind w:firstLine="0" w:firstLineChars="0"/>
        <w:jc w:val="center"/>
        <w:textAlignment w:val="auto"/>
        <w:outlineLvl w:val="9"/>
        <w:rPr>
          <w:rFonts w:hint="eastAsia" w:ascii="方正小标宋简体" w:hAnsi="方正小标宋简体" w:eastAsia="方正小标宋简体" w:cs="方正小标宋简体"/>
          <w:sz w:val="52"/>
          <w:szCs w:val="52"/>
          <w:shd w:val="clear" w:color="auto" w:fill="auto"/>
          <w:lang w:val="en-US" w:eastAsia="zh-CN"/>
        </w:rPr>
      </w:pPr>
    </w:p>
    <w:p w14:paraId="52B3F88D">
      <w:pPr>
        <w:pStyle w:val="8"/>
        <w:keepNext w:val="0"/>
        <w:keepLines w:val="0"/>
        <w:pageBreakBefore w:val="0"/>
        <w:widowControl w:val="0"/>
        <w:kinsoku w:val="0"/>
        <w:wordWrap/>
        <w:overflowPunct w:val="0"/>
        <w:topLinePunct w:val="0"/>
        <w:autoSpaceDE w:val="0"/>
        <w:autoSpaceDN w:val="0"/>
        <w:bidi w:val="0"/>
        <w:adjustRightInd w:val="0"/>
        <w:snapToGrid w:val="0"/>
        <w:spacing w:line="240" w:lineRule="atLeast"/>
        <w:ind w:firstLine="0" w:firstLineChars="0"/>
        <w:jc w:val="center"/>
        <w:textAlignment w:val="auto"/>
        <w:outlineLvl w:val="9"/>
        <w:rPr>
          <w:rFonts w:hint="eastAsia" w:ascii="方正小标宋简体" w:hAnsi="方正小标宋简体" w:eastAsia="方正小标宋简体" w:cs="方正小标宋简体"/>
          <w:sz w:val="52"/>
          <w:szCs w:val="52"/>
          <w:shd w:val="clear" w:color="auto" w:fill="auto"/>
          <w:lang w:val="en-US" w:eastAsia="zh-CN"/>
        </w:rPr>
      </w:pPr>
      <w:r>
        <w:rPr>
          <w:rFonts w:hint="eastAsia" w:ascii="方正小标宋简体" w:hAnsi="方正小标宋简体" w:eastAsia="方正小标宋简体" w:cs="方正小标宋简体"/>
          <w:sz w:val="48"/>
          <w:szCs w:val="48"/>
          <w:shd w:val="clear" w:color="auto" w:fill="auto"/>
          <w:lang w:val="en-US" w:eastAsia="zh-CN"/>
        </w:rPr>
        <w:t>（草案公示稿）</w:t>
      </w:r>
    </w:p>
    <w:bookmarkEnd w:id="9"/>
    <w:p w14:paraId="238FCC2A">
      <w:pPr>
        <w:pStyle w:val="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方正小标宋简体" w:hAnsi="方正小标宋简体" w:eastAsia="方正小标宋简体" w:cs="方正小标宋简体"/>
          <w:sz w:val="52"/>
          <w:szCs w:val="52"/>
          <w:lang w:val="en-US" w:eastAsia="zh-CN"/>
        </w:rPr>
      </w:pPr>
    </w:p>
    <w:p w14:paraId="5C6A7980">
      <w:pPr>
        <w:pStyle w:val="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方正小标宋简体" w:hAnsi="方正小标宋简体" w:eastAsia="方正小标宋简体" w:cs="方正小标宋简体"/>
          <w:sz w:val="52"/>
          <w:szCs w:val="52"/>
          <w:lang w:val="en-US" w:eastAsia="zh-CN"/>
        </w:rPr>
      </w:pPr>
    </w:p>
    <w:p w14:paraId="75AEE4E5">
      <w:pPr>
        <w:pStyle w:val="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方正小标宋简体" w:hAnsi="方正小标宋简体" w:eastAsia="方正小标宋简体" w:cs="方正小标宋简体"/>
          <w:sz w:val="52"/>
          <w:szCs w:val="52"/>
          <w:lang w:val="en-US" w:eastAsia="zh-CN"/>
        </w:rPr>
      </w:pPr>
    </w:p>
    <w:p w14:paraId="4C06C800">
      <w:pPr>
        <w:pStyle w:val="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方正小标宋简体" w:hAnsi="方正小标宋简体" w:eastAsia="方正小标宋简体" w:cs="方正小标宋简体"/>
          <w:sz w:val="52"/>
          <w:szCs w:val="52"/>
          <w:lang w:val="en-US" w:eastAsia="zh-CN"/>
        </w:rPr>
      </w:pPr>
    </w:p>
    <w:p w14:paraId="78651CC5">
      <w:pPr>
        <w:pStyle w:val="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楷体_GB2312" w:hAnsi="楷体_GB2312" w:eastAsia="楷体_GB2312" w:cs="楷体_GB2312"/>
          <w:sz w:val="36"/>
          <w:szCs w:val="36"/>
          <w:lang w:val="en-US" w:eastAsia="zh-CN"/>
        </w:rPr>
      </w:pPr>
      <w:r>
        <w:rPr>
          <w:rFonts w:hint="eastAsia" w:ascii="楷体_GB2312" w:hAnsi="楷体_GB2312" w:eastAsia="楷体_GB2312" w:cs="楷体_GB2312"/>
          <w:sz w:val="36"/>
          <w:szCs w:val="36"/>
          <w:lang w:val="en-US" w:eastAsia="zh-CN"/>
        </w:rPr>
        <w:t>沐川县人民政府</w:t>
      </w:r>
    </w:p>
    <w:p w14:paraId="23B2F920">
      <w:pPr>
        <w:pStyle w:val="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楷体_GB2312" w:hAnsi="楷体_GB2312" w:eastAsia="楷体_GB2312" w:cs="楷体_GB2312"/>
          <w:sz w:val="36"/>
          <w:szCs w:val="36"/>
          <w:lang w:val="en-US" w:eastAsia="zh-CN"/>
        </w:rPr>
      </w:pPr>
      <w:r>
        <w:rPr>
          <w:rFonts w:hint="eastAsia" w:ascii="楷体_GB2312" w:hAnsi="楷体_GB2312" w:eastAsia="楷体_GB2312" w:cs="楷体_GB2312"/>
          <w:sz w:val="36"/>
          <w:szCs w:val="36"/>
          <w:lang w:val="en-US" w:eastAsia="zh-CN"/>
        </w:rPr>
        <w:t>2026年4月</w:t>
      </w:r>
    </w:p>
    <w:p w14:paraId="160FB9BC">
      <w:pPr>
        <w:pStyle w:val="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楷体_GB2312" w:hAnsi="楷体_GB2312" w:eastAsia="楷体_GB2312" w:cs="楷体_GB2312"/>
          <w:sz w:val="36"/>
          <w:szCs w:val="36"/>
          <w:lang w:val="en-US" w:eastAsia="zh-CN"/>
        </w:rPr>
      </w:pPr>
    </w:p>
    <w:p w14:paraId="01E685E2">
      <w:pPr>
        <w:bidi w:val="0"/>
        <w:rPr>
          <w:rFonts w:hint="eastAsia" w:ascii="楷体_GB2312" w:hAnsi="楷体_GB2312" w:eastAsia="楷体_GB2312" w:cs="楷体_GB2312"/>
          <w:szCs w:val="28"/>
          <w:lang w:val="en-US" w:eastAsia="zh-CN"/>
        </w:rPr>
        <w:sectPr>
          <w:pgSz w:w="11906" w:h="16838"/>
          <w:pgMar w:top="1440" w:right="1800" w:bottom="1440" w:left="1800" w:header="851" w:footer="992" w:gutter="0"/>
          <w:pgNumType w:fmt="decimal" w:start="1"/>
          <w:cols w:space="425" w:num="1"/>
          <w:docGrid w:type="lines" w:linePitch="312" w:charSpace="0"/>
        </w:sectPr>
      </w:pPr>
      <w:r>
        <w:rPr>
          <w:rFonts w:hint="eastAsia"/>
          <w:sz w:val="28"/>
          <w:szCs w:val="28"/>
          <w:lang w:val="en-US" w:eastAsia="zh-CN"/>
        </w:rPr>
        <w:t>本次公示内容为维护方案草案，最终以审批成果为准</w:t>
      </w:r>
    </w:p>
    <w:p w14:paraId="63DBC79A">
      <w:pPr>
        <w:pStyle w:val="2"/>
        <w:keepNext/>
        <w:keepLines/>
        <w:pageBreakBefore w:val="0"/>
        <w:widowControl w:val="0"/>
        <w:kinsoku/>
        <w:wordWrap/>
        <w:overflowPunct/>
        <w:topLinePunct w:val="0"/>
        <w:autoSpaceDE/>
        <w:autoSpaceDN/>
        <w:bidi w:val="0"/>
        <w:adjustRightInd/>
        <w:snapToGrid/>
        <w:spacing w:before="300" w:after="100" w:line="360" w:lineRule="auto"/>
        <w:ind w:left="0" w:leftChars="0"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一、规划总则</w:t>
      </w:r>
    </w:p>
    <w:p w14:paraId="7309A6B6">
      <w:pPr>
        <w:pStyle w:val="3"/>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eastAsia" w:ascii="楷体_GB2312" w:hAnsi="楷体_GB2312" w:eastAsia="楷体_GB2312" w:cs="楷体_GB2312"/>
          <w:b w:val="0"/>
          <w:bCs/>
          <w:lang w:val="en-US" w:eastAsia="zh-CN"/>
        </w:rPr>
      </w:pPr>
      <w:r>
        <w:rPr>
          <w:rFonts w:hint="eastAsia" w:ascii="楷体_GB2312" w:hAnsi="楷体_GB2312" w:eastAsia="楷体_GB2312" w:cs="楷体_GB2312"/>
          <w:b w:val="0"/>
          <w:bCs/>
          <w:lang w:val="en-US" w:eastAsia="zh-CN"/>
        </w:rPr>
        <w:t>（一）工作背景</w:t>
      </w:r>
    </w:p>
    <w:p w14:paraId="223AAF8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为深入贯彻落实国家发展规划法及四川省关于国土空间规划动态维护与实施监督的最新部署，支撑“十五五”时期经济社会高质量发展，保障国省重大战略和重点项目落地实施，有效解决规划实施过程中出现的空间矛盾与现实问题，根据国家和省统一部署，组织开展《沐川县国土空间总体规划（2021—2035年）》动态维护工作。本次工作紧扣沐川县“一地一县一城”发展定位，强化规划的战略引领和刚性管控作用，优化国土空间开发保护格局，提升空间治理能力现代化水平，切实保障近期重大战略项目、民生工程与基础设施建设的空间需求，推动规划从静态蓝图向动态实施转变，为全县经济社会持续健康发展和国土空间高效、公平、可持续利用提供坚实可靠的规划依据与空间支撑。</w:t>
      </w:r>
    </w:p>
    <w:p w14:paraId="743127BB">
      <w:pPr>
        <w:pStyle w:val="3"/>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default" w:ascii="楷体_GB2312" w:hAnsi="楷体_GB2312" w:eastAsia="楷体_GB2312" w:cs="楷体_GB2312"/>
          <w:b w:val="0"/>
          <w:bCs/>
          <w:lang w:val="en-US" w:eastAsia="zh-CN"/>
        </w:rPr>
      </w:pPr>
      <w:r>
        <w:rPr>
          <w:rFonts w:hint="eastAsia" w:ascii="楷体_GB2312" w:hAnsi="楷体_GB2312" w:eastAsia="楷体_GB2312" w:cs="楷体_GB2312"/>
          <w:b w:val="0"/>
          <w:bCs/>
          <w:lang w:val="en-US" w:eastAsia="zh-CN"/>
        </w:rPr>
        <w:t>（二）编制原则</w:t>
      </w:r>
    </w:p>
    <w:p w14:paraId="1913E8C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_GB2312" w:hAnsi="仿宋_GB2312" w:eastAsia="仿宋_GB2312" w:cs="仿宋_GB2312"/>
          <w:lang w:val="en-US" w:eastAsia="zh-CN"/>
        </w:rPr>
      </w:pPr>
      <w:r>
        <w:rPr>
          <w:rFonts w:hint="default" w:ascii="仿宋_GB2312" w:hAnsi="仿宋_GB2312" w:eastAsia="仿宋_GB2312" w:cs="仿宋_GB2312"/>
          <w:lang w:val="en-US" w:eastAsia="zh-CN"/>
        </w:rPr>
        <w:t>1.总体稳定</w:t>
      </w:r>
      <w:r>
        <w:rPr>
          <w:rFonts w:hint="eastAsia" w:ascii="仿宋_GB2312" w:hAnsi="仿宋_GB2312" w:cs="仿宋_GB2312"/>
          <w:lang w:val="en-US" w:eastAsia="zh-CN"/>
        </w:rPr>
        <w:t>、</w:t>
      </w:r>
      <w:r>
        <w:rPr>
          <w:rFonts w:hint="default" w:ascii="仿宋_GB2312" w:hAnsi="仿宋_GB2312" w:eastAsia="仿宋_GB2312" w:cs="仿宋_GB2312"/>
          <w:lang w:val="en-US" w:eastAsia="zh-CN"/>
        </w:rPr>
        <w:t>局部微调</w:t>
      </w:r>
    </w:p>
    <w:p w14:paraId="59BA577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_GB2312" w:hAnsi="仿宋_GB2312" w:eastAsia="仿宋_GB2312" w:cs="仿宋_GB2312"/>
          <w:lang w:val="en-US" w:eastAsia="zh-CN"/>
        </w:rPr>
      </w:pPr>
      <w:r>
        <w:rPr>
          <w:rFonts w:hint="default" w:ascii="仿宋_GB2312" w:hAnsi="仿宋_GB2312" w:eastAsia="仿宋_GB2312" w:cs="仿宋_GB2312"/>
          <w:lang w:val="en-US" w:eastAsia="zh-CN"/>
        </w:rPr>
        <w:t>坚决维护规划的权威性、严肃性，不随意调整和违规变更，保持“三区三线”布局及国土空间开发保护格局总体稳定。结合发展新情况、新需求，对局部地区进行小范围优化调整，重点解决规划实施中存在的衔接不畅、精准性不足等问题，确保调整不突破核心管控要求，不改变规划总体方向，筑牢规划实施的基础。</w:t>
      </w:r>
    </w:p>
    <w:p w14:paraId="7C67E16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_GB2312" w:hAnsi="仿宋_GB2312" w:eastAsia="仿宋_GB2312" w:cs="仿宋_GB2312"/>
          <w:lang w:val="en-US" w:eastAsia="zh-CN"/>
        </w:rPr>
      </w:pPr>
      <w:r>
        <w:rPr>
          <w:rFonts w:hint="default" w:ascii="仿宋_GB2312" w:hAnsi="仿宋_GB2312" w:eastAsia="仿宋_GB2312" w:cs="仿宋_GB2312"/>
          <w:lang w:val="en-US" w:eastAsia="zh-CN"/>
        </w:rPr>
        <w:t>2.严守底线、节约集约</w:t>
      </w:r>
    </w:p>
    <w:p w14:paraId="0072AB7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_GB2312" w:hAnsi="仿宋_GB2312" w:eastAsia="仿宋_GB2312" w:cs="仿宋_GB2312"/>
          <w:lang w:val="en-US" w:eastAsia="zh-CN"/>
        </w:rPr>
      </w:pPr>
      <w:r>
        <w:rPr>
          <w:rFonts w:hint="default" w:ascii="仿宋_GB2312" w:hAnsi="仿宋_GB2312" w:eastAsia="仿宋_GB2312" w:cs="仿宋_GB2312"/>
          <w:lang w:val="en-US" w:eastAsia="zh-CN"/>
        </w:rPr>
        <w:t>严守耕地保护、生态安全、防灾减灾等空间安全底线，不突破省政府审批的市级、县级国土空间总体规划确定的保护目标。坚持节约集约用地导向，优先盘活存量建设用地，严控新增低效用地，推动国土空间开发利用从规模扩张向质量提升转变，守住资源安全底线。</w:t>
      </w:r>
    </w:p>
    <w:p w14:paraId="37F21B7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_GB2312" w:hAnsi="仿宋_GB2312" w:eastAsia="仿宋_GB2312" w:cs="仿宋_GB2312"/>
          <w:lang w:val="en-US" w:eastAsia="zh-CN"/>
        </w:rPr>
      </w:pPr>
      <w:r>
        <w:rPr>
          <w:rFonts w:hint="default" w:ascii="仿宋_GB2312" w:hAnsi="仿宋_GB2312" w:eastAsia="仿宋_GB2312" w:cs="仿宋_GB2312"/>
          <w:lang w:val="en-US" w:eastAsia="zh-CN"/>
        </w:rPr>
        <w:t>3.布局优化、配置高效</w:t>
      </w:r>
    </w:p>
    <w:p w14:paraId="7448DC3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_GB2312" w:hAnsi="仿宋_GB2312" w:eastAsia="仿宋_GB2312" w:cs="仿宋_GB2312"/>
          <w:lang w:val="en-US" w:eastAsia="zh-CN"/>
        </w:rPr>
      </w:pPr>
      <w:r>
        <w:rPr>
          <w:rFonts w:hint="default" w:ascii="仿宋_GB2312" w:hAnsi="仿宋_GB2312" w:eastAsia="仿宋_GB2312" w:cs="仿宋_GB2312"/>
          <w:lang w:val="en-US" w:eastAsia="zh-CN"/>
        </w:rPr>
        <w:t>聚焦国土空间功能提升，优化城镇空间结构和用地布局，推动空间要素向新产业新业态等重点区域、关键领域集聚。落实完整社区设施、“一老一小”服务设施建设等相关国省要求，提升公共服务设施布局均衡性与基础设施系统性，提升城市品质，通过空间优化组织，实现资源配置精准高效。</w:t>
      </w:r>
    </w:p>
    <w:p w14:paraId="3494F6B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_GB2312" w:hAnsi="仿宋_GB2312" w:eastAsia="仿宋_GB2312" w:cs="仿宋_GB2312"/>
          <w:lang w:val="en-US" w:eastAsia="zh-CN"/>
        </w:rPr>
      </w:pPr>
      <w:r>
        <w:rPr>
          <w:rFonts w:hint="default" w:ascii="仿宋_GB2312" w:hAnsi="仿宋_GB2312" w:eastAsia="仿宋_GB2312" w:cs="仿宋_GB2312"/>
          <w:lang w:val="en-US" w:eastAsia="zh-CN"/>
        </w:rPr>
        <w:t>4.充分衔接、服务保障</w:t>
      </w:r>
    </w:p>
    <w:p w14:paraId="12001C3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_GB2312" w:hAnsi="仿宋_GB2312" w:eastAsia="仿宋_GB2312" w:cs="仿宋_GB2312"/>
          <w:lang w:val="en-US" w:eastAsia="zh-CN"/>
        </w:rPr>
      </w:pPr>
      <w:r>
        <w:rPr>
          <w:rFonts w:hint="default" w:ascii="仿宋_GB2312" w:hAnsi="仿宋_GB2312" w:eastAsia="仿宋_GB2312" w:cs="仿宋_GB2312"/>
          <w:lang w:val="en-US" w:eastAsia="zh-CN"/>
        </w:rPr>
        <w:t>建立与相关专项规划上下联动、左右协同的衔接机制，全面对接“十五五”规划和其他相关专项规划，统筹协调相关部门空间需求，主动服务区域协作、产业升级、民生改善等发展任务，确保规划动态维护与各类发展需求精准匹配，强化规划对经济社会高质量发展的空间保障作用。</w:t>
      </w:r>
    </w:p>
    <w:p w14:paraId="4CDE0BB4">
      <w:pPr>
        <w:pStyle w:val="3"/>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default" w:ascii="楷体_GB2312" w:hAnsi="楷体_GB2312" w:eastAsia="楷体_GB2312" w:cs="楷体_GB2312"/>
          <w:b w:val="0"/>
          <w:bCs/>
          <w:lang w:val="en-US" w:eastAsia="zh-CN"/>
        </w:rPr>
      </w:pPr>
      <w:r>
        <w:rPr>
          <w:rFonts w:hint="eastAsia" w:ascii="楷体_GB2312" w:hAnsi="楷体_GB2312" w:eastAsia="楷体_GB2312" w:cs="楷体_GB2312"/>
          <w:b w:val="0"/>
          <w:bCs/>
          <w:lang w:val="en-US" w:eastAsia="zh-CN"/>
        </w:rPr>
        <w:t>（三）规划范围</w:t>
      </w:r>
    </w:p>
    <w:p w14:paraId="0449E93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本次总体规划动态维护范围与已批复的《沐川县国土空间总体规划（2021—2035年）》规划范围保持一致。</w:t>
      </w:r>
    </w:p>
    <w:p w14:paraId="584DAFE5">
      <w:pPr>
        <w:pStyle w:val="2"/>
        <w:keepNext/>
        <w:keepLines/>
        <w:pageBreakBefore w:val="0"/>
        <w:widowControl w:val="0"/>
        <w:kinsoku/>
        <w:wordWrap/>
        <w:overflowPunct/>
        <w:topLinePunct w:val="0"/>
        <w:autoSpaceDE/>
        <w:autoSpaceDN/>
        <w:bidi w:val="0"/>
        <w:adjustRightInd/>
        <w:snapToGrid/>
        <w:spacing w:before="300" w:after="100" w:line="360" w:lineRule="auto"/>
        <w:ind w:left="0" w:leftChars="0"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二、动态维护重点内容</w:t>
      </w:r>
    </w:p>
    <w:p w14:paraId="0AD57FA0">
      <w:pPr>
        <w:pStyle w:val="3"/>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eastAsia" w:ascii="楷体_GB2312" w:hAnsi="楷体_GB2312" w:eastAsia="楷体_GB2312" w:cs="楷体_GB2312"/>
          <w:b w:val="0"/>
          <w:bCs/>
          <w:lang w:val="en-US" w:eastAsia="zh-CN"/>
        </w:rPr>
      </w:pPr>
      <w:r>
        <w:rPr>
          <w:rFonts w:hint="eastAsia" w:ascii="楷体_GB2312" w:hAnsi="楷体_GB2312" w:eastAsia="楷体_GB2312" w:cs="楷体_GB2312"/>
          <w:b w:val="0"/>
          <w:bCs/>
          <w:lang w:val="en-US" w:eastAsia="zh-CN"/>
        </w:rPr>
        <w:t>（一）三条控制线正向优化</w:t>
      </w:r>
    </w:p>
    <w:p w14:paraId="3F85475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cs="仿宋_GB2312"/>
          <w:lang w:val="en-US" w:eastAsia="zh-CN"/>
        </w:rPr>
      </w:pPr>
      <w:r>
        <w:rPr>
          <w:rFonts w:hint="eastAsia" w:ascii="仿宋_GB2312" w:hAnsi="仿宋_GB2312" w:cs="仿宋_GB2312"/>
          <w:lang w:val="en-US" w:eastAsia="zh-CN"/>
        </w:rPr>
        <w:t>1.耕地和永久基本农田</w:t>
      </w:r>
    </w:p>
    <w:p w14:paraId="2BE3511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_GB2312" w:hAnsi="仿宋_GB2312" w:cs="仿宋_GB2312"/>
          <w:color w:val="auto"/>
          <w:lang w:val="en-US" w:eastAsia="zh-CN"/>
        </w:rPr>
      </w:pPr>
      <w:r>
        <w:rPr>
          <w:rFonts w:hint="eastAsia" w:ascii="仿宋_GB2312" w:hAnsi="仿宋_GB2312" w:cs="仿宋_GB2312"/>
          <w:color w:val="auto"/>
          <w:lang w:val="en-US" w:eastAsia="zh-CN"/>
        </w:rPr>
        <w:t>沐川县</w:t>
      </w:r>
      <w:r>
        <w:rPr>
          <w:rFonts w:hint="default" w:ascii="仿宋_GB2312" w:hAnsi="仿宋_GB2312" w:cs="仿宋_GB2312"/>
          <w:color w:val="auto"/>
          <w:lang w:val="en-US" w:eastAsia="zh-CN"/>
        </w:rPr>
        <w:t>永久基本农田保护目标</w:t>
      </w:r>
      <w:r>
        <w:rPr>
          <w:rFonts w:hint="eastAsia" w:ascii="仿宋_GB2312" w:hAnsi="仿宋_GB2312" w:cs="仿宋_GB2312"/>
          <w:color w:val="auto"/>
          <w:lang w:val="en-US" w:eastAsia="zh-CN"/>
        </w:rPr>
        <w:t>120286</w:t>
      </w:r>
      <w:r>
        <w:rPr>
          <w:rFonts w:hint="default" w:ascii="仿宋_GB2312" w:hAnsi="仿宋_GB2312" w:cs="仿宋_GB2312"/>
          <w:color w:val="auto"/>
          <w:lang w:val="en-US" w:eastAsia="zh-CN"/>
        </w:rPr>
        <w:t>亩</w:t>
      </w:r>
      <w:r>
        <w:rPr>
          <w:rFonts w:hint="eastAsia" w:ascii="仿宋_GB2312" w:hAnsi="仿宋_GB2312" w:cs="仿宋_GB2312"/>
          <w:color w:val="auto"/>
          <w:lang w:val="en-US" w:eastAsia="zh-CN"/>
        </w:rPr>
        <w:t>。</w:t>
      </w:r>
    </w:p>
    <w:p w14:paraId="3CE02C4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_GB2312" w:hAnsi="仿宋_GB2312" w:cs="仿宋_GB2312"/>
          <w:color w:val="auto"/>
          <w:lang w:val="en-US" w:eastAsia="zh-CN"/>
        </w:rPr>
      </w:pPr>
      <w:r>
        <w:rPr>
          <w:rFonts w:hint="eastAsia" w:ascii="仿宋_GB2312" w:hAnsi="仿宋_GB2312" w:cs="仿宋_GB2312"/>
          <w:color w:val="auto"/>
          <w:lang w:val="en-US" w:eastAsia="zh-CN"/>
        </w:rPr>
        <w:t>本次动态维护</w:t>
      </w:r>
      <w:r>
        <w:rPr>
          <w:rFonts w:hint="default" w:ascii="仿宋_GB2312" w:hAnsi="仿宋_GB2312" w:cs="仿宋_GB2312"/>
          <w:color w:val="auto"/>
          <w:lang w:val="en-US" w:eastAsia="zh-CN"/>
        </w:rPr>
        <w:t>永久基本农田从误划入、非耕地、15度以上、零星破碎、移民搬迁不适宜耕种等其他难以长期稳定利用耕地、有明确选址的能源、交通、水利等基础设施项目等区域拟调出</w:t>
      </w:r>
      <w:r>
        <w:rPr>
          <w:rFonts w:hint="eastAsia" w:ascii="仿宋_GB2312" w:hAnsi="仿宋_GB2312" w:cs="仿宋_GB2312"/>
          <w:color w:val="auto"/>
          <w:lang w:val="en-US" w:eastAsia="zh-CN"/>
        </w:rPr>
        <w:t>7995.6</w:t>
      </w:r>
      <w:r>
        <w:rPr>
          <w:rFonts w:hint="default" w:ascii="仿宋_GB2312" w:hAnsi="仿宋_GB2312" w:cs="仿宋_GB2312"/>
          <w:color w:val="auto"/>
          <w:lang w:val="en-US" w:eastAsia="zh-CN"/>
        </w:rPr>
        <w:t>亩，并</w:t>
      </w:r>
      <w:r>
        <w:rPr>
          <w:rFonts w:hint="eastAsia" w:ascii="仿宋_GB2312" w:hAnsi="仿宋_GB2312" w:cs="仿宋_GB2312"/>
          <w:color w:val="auto"/>
          <w:lang w:val="en-US" w:eastAsia="zh-CN"/>
        </w:rPr>
        <w:t>从</w:t>
      </w:r>
      <w:r>
        <w:rPr>
          <w:rFonts w:hint="default" w:ascii="仿宋_GB2312" w:hAnsi="仿宋_GB2312" w:cs="仿宋_GB2312"/>
          <w:color w:val="auto"/>
          <w:lang w:val="en-US" w:eastAsia="zh-CN"/>
        </w:rPr>
        <w:t>永久基本农田储备区和长稳耕地内的高标准农田拟调入</w:t>
      </w:r>
      <w:r>
        <w:rPr>
          <w:rFonts w:hint="eastAsia" w:ascii="仿宋_GB2312" w:hAnsi="仿宋_GB2312" w:cs="仿宋_GB2312"/>
          <w:color w:val="auto"/>
          <w:lang w:val="en-US" w:eastAsia="zh-CN"/>
        </w:rPr>
        <w:t>1410.9</w:t>
      </w:r>
      <w:r>
        <w:rPr>
          <w:rFonts w:hint="default" w:ascii="仿宋_GB2312" w:hAnsi="仿宋_GB2312" w:cs="仿宋_GB2312"/>
          <w:color w:val="auto"/>
          <w:lang w:val="en-US" w:eastAsia="zh-CN"/>
        </w:rPr>
        <w:t>亩。优化后永久基本农田面积</w:t>
      </w:r>
      <w:r>
        <w:rPr>
          <w:rFonts w:hint="eastAsia" w:ascii="仿宋_GB2312" w:hAnsi="仿宋_GB2312" w:cs="仿宋_GB2312"/>
          <w:color w:val="auto"/>
          <w:lang w:val="en-US" w:eastAsia="zh-CN"/>
        </w:rPr>
        <w:t>120596.9</w:t>
      </w:r>
      <w:r>
        <w:rPr>
          <w:rFonts w:hint="default" w:ascii="仿宋_GB2312" w:hAnsi="仿宋_GB2312" w:cs="仿宋_GB2312"/>
          <w:color w:val="auto"/>
          <w:lang w:val="en-US" w:eastAsia="zh-CN"/>
        </w:rPr>
        <w:t>亩，有效落实永久基本农田保护任务，优化后永久基本农田数量不减少、质量有提升、布局更优化、生态有改善。</w:t>
      </w:r>
    </w:p>
    <w:p w14:paraId="1F2AF26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_GB2312" w:hAnsi="仿宋_GB2312" w:cs="仿宋_GB2312"/>
          <w:lang w:val="en-US" w:eastAsia="zh-CN"/>
        </w:rPr>
      </w:pPr>
      <w:r>
        <w:rPr>
          <w:rFonts w:hint="eastAsia" w:ascii="仿宋_GB2312" w:hAnsi="仿宋_GB2312" w:cs="仿宋_GB2312"/>
          <w:lang w:val="en-US" w:eastAsia="zh-CN"/>
        </w:rPr>
        <w:t>2.生态保护红线</w:t>
      </w:r>
    </w:p>
    <w:p w14:paraId="6D00003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_GB2312" w:hAnsi="仿宋_GB2312" w:cs="仿宋_GB2312"/>
          <w:lang w:val="en-US" w:eastAsia="zh-CN"/>
        </w:rPr>
      </w:pPr>
      <w:r>
        <w:rPr>
          <w:rFonts w:hint="eastAsia" w:ascii="仿宋_GB2312" w:hAnsi="仿宋_GB2312" w:cs="仿宋_GB2312"/>
          <w:lang w:val="en-US" w:eastAsia="zh-CN"/>
        </w:rPr>
        <w:t>目前，《全国自然保护地整合优化方案》尚未全部完成最终批复，本次总体规划动态维护暂不对生态保护红线进行调整。</w:t>
      </w:r>
    </w:p>
    <w:p w14:paraId="4C13ABB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_GB2312" w:hAnsi="仿宋_GB2312" w:cs="仿宋_GB2312"/>
          <w:lang w:val="en-US" w:eastAsia="zh-CN"/>
        </w:rPr>
      </w:pPr>
      <w:r>
        <w:rPr>
          <w:rFonts w:hint="eastAsia" w:ascii="仿宋_GB2312" w:hAnsi="仿宋_GB2312" w:cs="仿宋_GB2312"/>
          <w:lang w:val="en-US" w:eastAsia="zh-CN"/>
        </w:rPr>
        <w:t>3.城镇开发边界</w:t>
      </w:r>
    </w:p>
    <w:p w14:paraId="52F419A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_GB2312" w:hAnsi="仿宋_GB2312" w:cs="仿宋_GB2312"/>
          <w:color w:val="auto"/>
          <w:lang w:val="en-US" w:eastAsia="zh-CN"/>
        </w:rPr>
      </w:pPr>
      <w:r>
        <w:rPr>
          <w:rFonts w:hint="eastAsia" w:ascii="仿宋_GB2312" w:hAnsi="仿宋_GB2312" w:cs="仿宋_GB2312"/>
          <w:color w:val="auto"/>
          <w:lang w:val="en-US" w:eastAsia="zh-CN"/>
        </w:rPr>
        <w:t>沐川县维护前城镇开发边界规模957.3500公顷，维护后城镇开发边界规模1112.3227公顷，城镇开发边界扩展倍数1.26，与维护前一致。调入167.8584公顷（含不计入扩展倍数的情形153.6811公顷，涉及城镇开发边界外“三区三线”划定成果启用之前在自然资源部监管系统备案的已批准未建设土地151.4518公顷、已批准现状建设用地1.3562公顷、技术勘误0.8731</w:t>
      </w:r>
      <w:r>
        <w:rPr>
          <w:rFonts w:hint="eastAsia" w:ascii="仿宋_GB2312" w:hAnsi="仿宋_GB2312" w:cs="仿宋_GB2312"/>
          <w:color w:val="auto"/>
          <w:highlight w:val="none"/>
          <w:lang w:val="en-US" w:eastAsia="zh-CN"/>
        </w:rPr>
        <w:t>公顷，另含计入扩展倍数情形14.1773公顷）；调出计入扩展倍数的情形12.8857公顷（其中使用撤乡并镇</w:t>
      </w:r>
      <w:r>
        <w:rPr>
          <w:rFonts w:hint="eastAsia" w:ascii="仿宋_GB2312" w:hAnsi="仿宋_GB2312" w:cs="仿宋_GB2312"/>
          <w:color w:val="auto"/>
          <w:lang w:val="en-US" w:eastAsia="zh-CN"/>
        </w:rPr>
        <w:t>和避险搬迁指标抵消调出用地1.2916公顷），用于平衡县域自身指标需求。</w:t>
      </w:r>
    </w:p>
    <w:p w14:paraId="608F88F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cs="仿宋_GB2312"/>
          <w:color w:val="auto"/>
          <w:lang w:val="en-US" w:eastAsia="zh-CN"/>
        </w:rPr>
      </w:pPr>
      <w:r>
        <w:rPr>
          <w:rFonts w:hint="eastAsia" w:ascii="仿宋_GB2312" w:hAnsi="仿宋_GB2312" w:cs="仿宋_GB2312"/>
          <w:color w:val="auto"/>
          <w:lang w:val="en-US" w:eastAsia="zh-CN"/>
        </w:rPr>
        <w:t>维护后，城镇开发边界布局更集聚、城镇功能品质有提高有提升。</w:t>
      </w:r>
    </w:p>
    <w:p w14:paraId="10A9A530">
      <w:pPr>
        <w:pStyle w:val="3"/>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default" w:ascii="楷体_GB2312" w:hAnsi="楷体_GB2312" w:eastAsia="楷体_GB2312" w:cs="楷体_GB2312"/>
          <w:b w:val="0"/>
          <w:bCs/>
          <w:lang w:val="en-US" w:eastAsia="zh-CN"/>
        </w:rPr>
      </w:pPr>
      <w:r>
        <w:rPr>
          <w:rFonts w:hint="eastAsia" w:ascii="楷体_GB2312" w:hAnsi="楷体_GB2312" w:eastAsia="楷体_GB2312" w:cs="楷体_GB2312"/>
          <w:b w:val="0"/>
          <w:bCs/>
          <w:lang w:val="en-US" w:eastAsia="zh-CN"/>
        </w:rPr>
        <w:t>（二）优化规划分区</w:t>
      </w:r>
    </w:p>
    <w:p w14:paraId="3C485A0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_GB2312" w:hAnsi="仿宋_GB2312" w:cs="仿宋_GB2312"/>
          <w:lang w:val="en-US" w:eastAsia="zh-CN"/>
        </w:rPr>
      </w:pPr>
      <w:r>
        <w:rPr>
          <w:rFonts w:hint="default" w:ascii="仿宋_GB2312" w:hAnsi="仿宋_GB2312" w:cs="仿宋_GB2312"/>
          <w:lang w:val="en-US" w:eastAsia="zh-CN"/>
        </w:rPr>
        <w:t>本次调整</w:t>
      </w:r>
      <w:r>
        <w:rPr>
          <w:rFonts w:hint="eastAsia" w:ascii="仿宋_GB2312" w:hAnsi="仿宋_GB2312" w:cs="仿宋_GB2312"/>
          <w:lang w:val="en-US" w:eastAsia="zh-CN"/>
        </w:rPr>
        <w:t>旨在</w:t>
      </w:r>
      <w:r>
        <w:rPr>
          <w:rFonts w:hint="default" w:ascii="仿宋_GB2312" w:hAnsi="仿宋_GB2312" w:cs="仿宋_GB2312"/>
          <w:lang w:val="en-US" w:eastAsia="zh-CN"/>
        </w:rPr>
        <w:t>确保规划分区主导功能总体稳定，结合规划实施、三条控制线调整、</w:t>
      </w:r>
      <w:r>
        <w:rPr>
          <w:rFonts w:hint="eastAsia" w:ascii="仿宋_GB2312" w:hAnsi="仿宋_GB2312" w:cs="仿宋_GB2312"/>
          <w:lang w:val="en-US" w:eastAsia="zh-CN"/>
        </w:rPr>
        <w:t>第五轮矿产资源总体规划</w:t>
      </w:r>
      <w:r>
        <w:rPr>
          <w:rFonts w:hint="default" w:ascii="仿宋_GB2312" w:hAnsi="仿宋_GB2312" w:cs="仿宋_GB2312"/>
          <w:lang w:val="en-US" w:eastAsia="zh-CN"/>
        </w:rPr>
        <w:t>衔接等，对规划分区布局进行局部优化调整。</w:t>
      </w:r>
    </w:p>
    <w:p w14:paraId="6ADCE02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_GB2312" w:hAnsi="仿宋_GB2312" w:cs="仿宋_GB2312"/>
          <w:lang w:val="en-US" w:eastAsia="zh-CN"/>
        </w:rPr>
      </w:pPr>
      <w:r>
        <w:rPr>
          <w:rFonts w:hint="default" w:ascii="仿宋_GB2312" w:hAnsi="仿宋_GB2312" w:cs="仿宋_GB2312"/>
          <w:lang w:val="en-US" w:eastAsia="zh-CN"/>
        </w:rPr>
        <w:t>根据维护后的永久基本农田、生态保护红线、城镇开发边界，对生态保护区、农田保护区、城镇发展区进行相应调整，并联动调整乡村发展区，同时强化保障矿产能源区。维护后，生态保护区与生态保护红线范围保持一致，农田保护区与永久基本农田保护范围保持一致，规划分区主导功能未改变。</w:t>
      </w:r>
    </w:p>
    <w:p w14:paraId="3E1DF72C">
      <w:pPr>
        <w:pStyle w:val="3"/>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default" w:ascii="楷体_GB2312" w:hAnsi="楷体_GB2312" w:eastAsia="楷体_GB2312" w:cs="楷体_GB2312"/>
          <w:b w:val="0"/>
          <w:bCs/>
          <w:lang w:val="en-US" w:eastAsia="zh-CN"/>
        </w:rPr>
      </w:pPr>
      <w:r>
        <w:rPr>
          <w:rFonts w:hint="default" w:ascii="楷体_GB2312" w:hAnsi="楷体_GB2312" w:eastAsia="楷体_GB2312" w:cs="楷体_GB2312"/>
          <w:b w:val="0"/>
          <w:bCs/>
          <w:lang w:val="en-US" w:eastAsia="zh-CN"/>
        </w:rPr>
        <w:t>（三）完善规划用地布局</w:t>
      </w:r>
    </w:p>
    <w:p w14:paraId="5298AA2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_GB2312" w:hAnsi="仿宋_GB2312" w:cs="仿宋_GB2312"/>
          <w:lang w:val="en-US" w:eastAsia="zh-CN"/>
        </w:rPr>
      </w:pPr>
      <w:r>
        <w:rPr>
          <w:rFonts w:hint="default" w:ascii="仿宋_GB2312" w:hAnsi="仿宋_GB2312" w:cs="仿宋_GB2312"/>
          <w:lang w:val="en-US" w:eastAsia="zh-CN"/>
        </w:rPr>
        <w:t>1.县域用地布局</w:t>
      </w:r>
    </w:p>
    <w:p w14:paraId="5D70085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_GB2312" w:hAnsi="仿宋_GB2312" w:cs="仿宋_GB2312"/>
          <w:lang w:val="en-US" w:eastAsia="zh-CN"/>
        </w:rPr>
      </w:pPr>
      <w:r>
        <w:rPr>
          <w:rFonts w:hint="default" w:ascii="仿宋_GB2312" w:hAnsi="仿宋_GB2312" w:cs="仿宋_GB2312"/>
          <w:lang w:val="en-US" w:eastAsia="zh-CN"/>
        </w:rPr>
        <w:t>落实三条控制线布局优化成果，优化全域用地规划布局。一是依据中心城区维护后的城镇开发边界，全面结合详细规划成果、新增建设项目、现状建设情况及已取得合法手续的土地用途，进一步明确规划用途，同时调整城镇开发边界内部分地块规划用途。二是将已划定城镇开发边界的各乡镇中心镇区用地布局纳入县级维护方案。三是城镇开发边界外独立选址的建设用地规划布局（例如采矿用地等），保障其合理空间需求。</w:t>
      </w:r>
    </w:p>
    <w:p w14:paraId="79E9DF6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cs="仿宋_GB2312"/>
          <w:lang w:val="en-US" w:eastAsia="zh-CN"/>
        </w:rPr>
      </w:pPr>
      <w:r>
        <w:rPr>
          <w:rFonts w:hint="eastAsia" w:ascii="仿宋_GB2312" w:hAnsi="仿宋_GB2312" w:cs="仿宋_GB2312"/>
          <w:lang w:val="en-US" w:eastAsia="zh-CN"/>
        </w:rPr>
        <w:t>2.中心城区用地布局</w:t>
      </w:r>
    </w:p>
    <w:p w14:paraId="6F23FC5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cs="仿宋_GB2312"/>
          <w:color w:val="auto"/>
          <w:lang w:val="en-US" w:eastAsia="zh-CN"/>
        </w:rPr>
      </w:pPr>
      <w:r>
        <w:rPr>
          <w:rFonts w:hint="eastAsia" w:ascii="仿宋_GB2312" w:hAnsi="仿宋_GB2312" w:cs="仿宋_GB2312"/>
          <w:color w:val="auto"/>
          <w:lang w:val="en-US" w:eastAsia="zh-CN"/>
        </w:rPr>
        <w:t>以“严守底线、优化布局、保障发展、提升品质”为导向，衔接已批详细规划对中心城区用地布局进行优化，重点落实2025年调入用地，增强规划对近期发展需求的适应性和可实施性。优化后，中心城区公共设施与基础设施服务功能进一步增强，道路网络密度在12.85千米/平方千米的基础上有提高，公园绿地、广场步行5分钟覆盖率在60.87%的基础上有提升。</w:t>
      </w:r>
    </w:p>
    <w:p w14:paraId="72D0424B">
      <w:pPr>
        <w:pStyle w:val="3"/>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default" w:ascii="楷体_GB2312" w:hAnsi="楷体_GB2312" w:eastAsia="楷体_GB2312" w:cs="楷体_GB2312"/>
          <w:b w:val="0"/>
          <w:bCs/>
          <w:lang w:val="en-US" w:eastAsia="zh-CN"/>
        </w:rPr>
      </w:pPr>
      <w:r>
        <w:rPr>
          <w:rFonts w:hint="default" w:ascii="楷体_GB2312" w:hAnsi="楷体_GB2312" w:eastAsia="楷体_GB2312" w:cs="楷体_GB2312"/>
          <w:b w:val="0"/>
          <w:bCs/>
          <w:lang w:val="en-US" w:eastAsia="zh-CN"/>
        </w:rPr>
        <w:t>（四）局部优化城市重要控制线</w:t>
      </w:r>
    </w:p>
    <w:p w14:paraId="60FE73C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_GB2312" w:hAnsi="仿宋_GB2312" w:cs="仿宋_GB2312"/>
          <w:color w:val="auto"/>
          <w:lang w:val="en-US" w:eastAsia="zh-CN"/>
        </w:rPr>
      </w:pPr>
      <w:r>
        <w:rPr>
          <w:rFonts w:hint="default" w:ascii="仿宋_GB2312" w:hAnsi="仿宋_GB2312" w:cs="仿宋_GB2312"/>
          <w:color w:val="auto"/>
          <w:lang w:val="en-US" w:eastAsia="zh-CN"/>
        </w:rPr>
        <w:t>在确保总体结构不发生较大变化、功能不降低、规模不减少、服务范围不改变的前提下，对城市四线进行局部优化：城市蓝线调出与现状用地不符的区域0.29公顷，实现正向优化；城市绿线调出与现状不符区域0.83公顷，同时调入巡查整改图斑（新城区绿化用地）0.83公顷予以补充，确保绿线总量不减少；城市黄线和城市紫线不</w:t>
      </w:r>
      <w:r>
        <w:rPr>
          <w:rFonts w:hint="eastAsia" w:ascii="仿宋_GB2312" w:hAnsi="仿宋_GB2312" w:cs="仿宋_GB2312"/>
          <w:color w:val="auto"/>
          <w:lang w:val="en-US" w:eastAsia="zh-CN"/>
        </w:rPr>
        <w:t>作</w:t>
      </w:r>
      <w:r>
        <w:rPr>
          <w:rFonts w:hint="default" w:ascii="仿宋_GB2312" w:hAnsi="仿宋_GB2312" w:cs="仿宋_GB2312"/>
          <w:color w:val="auto"/>
          <w:lang w:val="en-US" w:eastAsia="zh-CN"/>
        </w:rPr>
        <w:t>调整。</w:t>
      </w:r>
    </w:p>
    <w:p w14:paraId="668B177E">
      <w:pPr>
        <w:pStyle w:val="3"/>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default" w:ascii="楷体_GB2312" w:hAnsi="楷体_GB2312" w:eastAsia="楷体_GB2312" w:cs="楷体_GB2312"/>
          <w:b w:val="0"/>
          <w:bCs/>
          <w:color w:val="auto"/>
          <w:lang w:val="en-US" w:eastAsia="zh-CN"/>
        </w:rPr>
      </w:pPr>
      <w:r>
        <w:rPr>
          <w:rFonts w:hint="default" w:ascii="楷体_GB2312" w:hAnsi="楷体_GB2312" w:eastAsia="楷体_GB2312" w:cs="楷体_GB2312"/>
          <w:b w:val="0"/>
          <w:bCs/>
          <w:color w:val="auto"/>
          <w:lang w:val="en-US" w:eastAsia="zh-CN"/>
        </w:rPr>
        <w:t>（五）局部优化其他重要控制线</w:t>
      </w:r>
    </w:p>
    <w:p w14:paraId="04D2896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_GB2312" w:hAnsi="仿宋_GB2312" w:cs="仿宋_GB2312"/>
          <w:color w:val="auto"/>
          <w:lang w:val="en-US" w:eastAsia="zh-CN"/>
        </w:rPr>
      </w:pPr>
      <w:r>
        <w:rPr>
          <w:rFonts w:hint="eastAsia" w:ascii="仿宋_GB2312" w:hAnsi="仿宋_GB2312" w:cs="仿宋_GB2312"/>
          <w:color w:val="auto"/>
          <w:lang w:val="en-US" w:eastAsia="zh-CN"/>
        </w:rPr>
        <w:t>本次</w:t>
      </w:r>
      <w:r>
        <w:rPr>
          <w:rFonts w:hint="default" w:ascii="仿宋_GB2312" w:hAnsi="仿宋_GB2312" w:cs="仿宋_GB2312"/>
          <w:lang w:val="en-US" w:eastAsia="zh-CN"/>
        </w:rPr>
        <w:t>动态维护</w:t>
      </w:r>
      <w:r>
        <w:rPr>
          <w:rFonts w:hint="eastAsia" w:ascii="仿宋_GB2312" w:hAnsi="仿宋_GB2312" w:cs="仿宋_GB2312"/>
          <w:color w:val="auto"/>
          <w:lang w:val="en-US" w:eastAsia="zh-CN"/>
        </w:rPr>
        <w:t>未</w:t>
      </w:r>
      <w:r>
        <w:rPr>
          <w:rFonts w:hint="default" w:ascii="仿宋_GB2312" w:hAnsi="仿宋_GB2312" w:cs="仿宋_GB2312"/>
          <w:color w:val="auto"/>
          <w:lang w:val="en-US" w:eastAsia="zh-CN"/>
        </w:rPr>
        <w:t>涉及历史文化保护线等其他控制线调整。</w:t>
      </w:r>
    </w:p>
    <w:p w14:paraId="20416397">
      <w:pPr>
        <w:pStyle w:val="3"/>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default" w:ascii="楷体_GB2312" w:hAnsi="楷体_GB2312" w:eastAsia="楷体_GB2312" w:cs="楷体_GB2312"/>
          <w:b w:val="0"/>
          <w:bCs/>
          <w:lang w:val="en-US" w:eastAsia="zh-CN"/>
        </w:rPr>
      </w:pPr>
      <w:r>
        <w:rPr>
          <w:rFonts w:hint="default" w:ascii="楷体_GB2312" w:hAnsi="楷体_GB2312" w:eastAsia="楷体_GB2312" w:cs="楷体_GB2312"/>
          <w:b w:val="0"/>
          <w:bCs/>
          <w:lang w:val="en-US" w:eastAsia="zh-CN"/>
        </w:rPr>
        <w:t>（六）重点建设项目清单</w:t>
      </w:r>
    </w:p>
    <w:p w14:paraId="31E6A25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_GB2312" w:hAnsi="仿宋_GB2312" w:cs="仿宋_GB2312"/>
          <w:lang w:val="en-US" w:eastAsia="zh-CN"/>
        </w:rPr>
      </w:pPr>
      <w:r>
        <w:rPr>
          <w:rFonts w:hint="eastAsia" w:ascii="仿宋_GB2312" w:hAnsi="仿宋_GB2312" w:cs="仿宋_GB2312"/>
          <w:lang w:val="en-US" w:eastAsia="zh-CN"/>
        </w:rPr>
        <w:t>沐川县</w:t>
      </w:r>
      <w:r>
        <w:rPr>
          <w:rFonts w:hint="default" w:ascii="仿宋_GB2312" w:hAnsi="仿宋_GB2312" w:cs="仿宋_GB2312"/>
          <w:lang w:val="en-US" w:eastAsia="zh-CN"/>
        </w:rPr>
        <w:t>本次</w:t>
      </w:r>
      <w:r>
        <w:rPr>
          <w:rFonts w:hint="eastAsia" w:ascii="仿宋_GB2312" w:hAnsi="仿宋_GB2312" w:cs="仿宋_GB2312"/>
          <w:lang w:val="en-US" w:eastAsia="zh-CN"/>
        </w:rPr>
        <w:t>共</w:t>
      </w:r>
      <w:r>
        <w:rPr>
          <w:rFonts w:hint="default" w:ascii="仿宋_GB2312" w:hAnsi="仿宋_GB2312" w:cs="仿宋_GB2312"/>
          <w:lang w:val="en-US" w:eastAsia="zh-CN"/>
        </w:rPr>
        <w:t>增补项目</w:t>
      </w:r>
      <w:r>
        <w:rPr>
          <w:rFonts w:hint="eastAsia" w:ascii="仿宋_GB2312" w:hAnsi="仿宋_GB2312" w:cs="仿宋_GB2312"/>
          <w:lang w:val="en-US" w:eastAsia="zh-CN"/>
        </w:rPr>
        <w:t>269</w:t>
      </w:r>
      <w:r>
        <w:rPr>
          <w:rFonts w:hint="default" w:ascii="仿宋_GB2312" w:hAnsi="仿宋_GB2312" w:cs="仿宋_GB2312"/>
          <w:lang w:val="en-US" w:eastAsia="zh-CN"/>
        </w:rPr>
        <w:t>个</w:t>
      </w:r>
      <w:r>
        <w:rPr>
          <w:rFonts w:hint="eastAsia" w:ascii="仿宋_GB2312" w:hAnsi="仿宋_GB2312" w:cs="仿宋_GB2312"/>
          <w:lang w:val="en-US" w:eastAsia="zh-CN"/>
        </w:rPr>
        <w:t>，</w:t>
      </w:r>
      <w:r>
        <w:rPr>
          <w:rFonts w:hint="default" w:ascii="仿宋_GB2312" w:hAnsi="仿宋_GB2312" w:cs="仿宋_GB2312"/>
          <w:lang w:val="en-US" w:eastAsia="zh-CN"/>
        </w:rPr>
        <w:t>涉及能源类18个</w:t>
      </w:r>
      <w:r>
        <w:rPr>
          <w:rFonts w:hint="eastAsia" w:ascii="仿宋_GB2312" w:hAnsi="仿宋_GB2312" w:cs="仿宋_GB2312"/>
          <w:lang w:val="en-US" w:eastAsia="zh-CN"/>
        </w:rPr>
        <w:t>、</w:t>
      </w:r>
      <w:r>
        <w:rPr>
          <w:rFonts w:hint="default" w:ascii="仿宋_GB2312" w:hAnsi="仿宋_GB2312" w:cs="仿宋_GB2312"/>
          <w:lang w:val="en-US" w:eastAsia="zh-CN"/>
        </w:rPr>
        <w:t>交通类32个</w:t>
      </w:r>
      <w:r>
        <w:rPr>
          <w:rFonts w:hint="eastAsia" w:ascii="仿宋_GB2312" w:hAnsi="仿宋_GB2312" w:cs="仿宋_GB2312"/>
          <w:lang w:val="en-US" w:eastAsia="zh-CN"/>
        </w:rPr>
        <w:t>、</w:t>
      </w:r>
      <w:r>
        <w:rPr>
          <w:rFonts w:hint="default" w:ascii="仿宋_GB2312" w:hAnsi="仿宋_GB2312" w:cs="仿宋_GB2312"/>
          <w:lang w:val="en-US" w:eastAsia="zh-CN"/>
        </w:rPr>
        <w:t>水利类13个</w:t>
      </w:r>
      <w:r>
        <w:rPr>
          <w:rFonts w:hint="eastAsia" w:ascii="仿宋_GB2312" w:hAnsi="仿宋_GB2312" w:cs="仿宋_GB2312"/>
          <w:lang w:val="en-US" w:eastAsia="zh-CN"/>
        </w:rPr>
        <w:t>、</w:t>
      </w:r>
      <w:r>
        <w:rPr>
          <w:rFonts w:hint="default" w:ascii="仿宋_GB2312" w:hAnsi="仿宋_GB2312" w:cs="仿宋_GB2312"/>
          <w:lang w:val="en-US" w:eastAsia="zh-CN"/>
        </w:rPr>
        <w:t>市政公用设施10个</w:t>
      </w:r>
      <w:r>
        <w:rPr>
          <w:rFonts w:hint="eastAsia" w:ascii="仿宋_GB2312" w:hAnsi="仿宋_GB2312" w:cs="仿宋_GB2312"/>
          <w:lang w:val="en-US" w:eastAsia="zh-CN"/>
        </w:rPr>
        <w:t>、</w:t>
      </w:r>
      <w:r>
        <w:rPr>
          <w:rFonts w:hint="default" w:ascii="仿宋_GB2312" w:hAnsi="仿宋_GB2312" w:cs="仿宋_GB2312"/>
          <w:lang w:val="en-US" w:eastAsia="zh-CN"/>
        </w:rPr>
        <w:t>市政公服设施9个</w:t>
      </w:r>
      <w:r>
        <w:rPr>
          <w:rFonts w:hint="eastAsia" w:ascii="仿宋_GB2312" w:hAnsi="仿宋_GB2312" w:cs="仿宋_GB2312"/>
          <w:lang w:val="en-US" w:eastAsia="zh-CN"/>
        </w:rPr>
        <w:t>、</w:t>
      </w:r>
      <w:r>
        <w:rPr>
          <w:rFonts w:hint="default" w:ascii="仿宋_GB2312" w:hAnsi="仿宋_GB2312" w:cs="仿宋_GB2312"/>
          <w:lang w:val="en-US" w:eastAsia="zh-CN"/>
        </w:rPr>
        <w:t>公共服务设施52个</w:t>
      </w:r>
      <w:r>
        <w:rPr>
          <w:rFonts w:hint="eastAsia" w:ascii="仿宋_GB2312" w:hAnsi="仿宋_GB2312" w:cs="仿宋_GB2312"/>
          <w:lang w:val="en-US" w:eastAsia="zh-CN"/>
        </w:rPr>
        <w:t>、</w:t>
      </w:r>
      <w:r>
        <w:rPr>
          <w:rFonts w:hint="default" w:ascii="仿宋_GB2312" w:hAnsi="仿宋_GB2312" w:cs="仿宋_GB2312"/>
          <w:lang w:val="en-US" w:eastAsia="zh-CN"/>
        </w:rPr>
        <w:t>文旅设施5个</w:t>
      </w:r>
      <w:r>
        <w:rPr>
          <w:rFonts w:hint="eastAsia" w:ascii="仿宋_GB2312" w:hAnsi="仿宋_GB2312" w:cs="仿宋_GB2312"/>
          <w:lang w:val="en-US" w:eastAsia="zh-CN"/>
        </w:rPr>
        <w:t>、</w:t>
      </w:r>
      <w:r>
        <w:rPr>
          <w:rFonts w:hint="default" w:ascii="仿宋_GB2312" w:hAnsi="仿宋_GB2312" w:cs="仿宋_GB2312"/>
          <w:lang w:val="en-US" w:eastAsia="zh-CN"/>
        </w:rPr>
        <w:t>产业发展类4</w:t>
      </w:r>
      <w:r>
        <w:rPr>
          <w:rFonts w:hint="eastAsia" w:ascii="仿宋_GB2312" w:hAnsi="仿宋_GB2312" w:cs="仿宋_GB2312"/>
          <w:lang w:val="en-US" w:eastAsia="zh-CN"/>
        </w:rPr>
        <w:t>5</w:t>
      </w:r>
      <w:r>
        <w:rPr>
          <w:rFonts w:hint="default" w:ascii="仿宋_GB2312" w:hAnsi="仿宋_GB2312" w:cs="仿宋_GB2312"/>
          <w:lang w:val="en-US" w:eastAsia="zh-CN"/>
        </w:rPr>
        <w:t>个</w:t>
      </w:r>
      <w:r>
        <w:rPr>
          <w:rFonts w:hint="eastAsia" w:ascii="仿宋_GB2312" w:hAnsi="仿宋_GB2312" w:cs="仿宋_GB2312"/>
          <w:lang w:val="en-US" w:eastAsia="zh-CN"/>
        </w:rPr>
        <w:t>、</w:t>
      </w:r>
      <w:r>
        <w:rPr>
          <w:rFonts w:hint="default" w:ascii="仿宋_GB2312" w:hAnsi="仿宋_GB2312" w:cs="仿宋_GB2312"/>
          <w:lang w:val="en-US" w:eastAsia="zh-CN"/>
        </w:rPr>
        <w:t>其他类型85个。</w:t>
      </w:r>
    </w:p>
    <w:p w14:paraId="1F504AB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_GB2312" w:hAnsi="仿宋_GB2312" w:cs="仿宋_GB2312"/>
          <w:color w:val="auto"/>
          <w:lang w:val="en-US" w:eastAsia="zh-CN"/>
        </w:rPr>
      </w:pPr>
      <w:r>
        <w:rPr>
          <w:rFonts w:hint="default" w:ascii="仿宋_GB2312" w:hAnsi="仿宋_GB2312" w:cs="仿宋_GB2312"/>
          <w:color w:val="auto"/>
          <w:lang w:val="en-US" w:eastAsia="zh-CN"/>
        </w:rPr>
        <w:t>重点保障了沐川县现代物流枢纽中心项目</w:t>
      </w:r>
      <w:r>
        <w:rPr>
          <w:rFonts w:hint="eastAsia" w:ascii="仿宋_GB2312" w:hAnsi="仿宋_GB2312" w:cs="仿宋_GB2312"/>
          <w:color w:val="auto"/>
          <w:lang w:val="en-US" w:eastAsia="zh-CN"/>
        </w:rPr>
        <w:t>、四川永丰纸业股份有限公司20万吨文化用纸扩能技改项目、县级农资集采集配中心、乐山港罗家坝作业区多式联运中心及配套设施、仁沐新高速公路出口连接线、沐川县Y022茨干路茨竹五四村至寺坪村尾水沟农村公路提档升级工程、乌蒙片区再生资源回收利用体系全产业链项目、医共体沐川县人民医院大楠院区建设项目</w:t>
      </w:r>
      <w:r>
        <w:rPr>
          <w:rFonts w:hint="default" w:ascii="仿宋_GB2312" w:hAnsi="仿宋_GB2312" w:cs="仿宋_GB2312"/>
          <w:color w:val="auto"/>
          <w:lang w:val="en-US" w:eastAsia="zh-CN"/>
        </w:rPr>
        <w:t>等重点建设项目。</w:t>
      </w:r>
    </w:p>
    <w:p w14:paraId="3E12C94F">
      <w:pPr>
        <w:pStyle w:val="2"/>
        <w:keepNext/>
        <w:keepLines/>
        <w:pageBreakBefore w:val="0"/>
        <w:widowControl w:val="0"/>
        <w:kinsoku/>
        <w:wordWrap/>
        <w:overflowPunct/>
        <w:topLinePunct w:val="0"/>
        <w:autoSpaceDE/>
        <w:autoSpaceDN/>
        <w:bidi w:val="0"/>
        <w:adjustRightInd/>
        <w:snapToGrid/>
        <w:spacing w:before="300" w:after="100" w:line="360" w:lineRule="auto"/>
        <w:ind w:left="0" w:leftChars="0" w:firstLine="640" w:firstLineChars="200"/>
        <w:textAlignment w:val="auto"/>
        <w:rPr>
          <w:rFonts w:hint="default"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三、动态维护方案可行性</w:t>
      </w:r>
    </w:p>
    <w:p w14:paraId="33E2F1DE">
      <w:pPr>
        <w:pStyle w:val="3"/>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default" w:ascii="楷体_GB2312" w:hAnsi="楷体_GB2312" w:eastAsia="楷体_GB2312" w:cs="楷体_GB2312"/>
          <w:b w:val="0"/>
          <w:bCs/>
          <w:lang w:val="en-US" w:eastAsia="zh-CN"/>
        </w:rPr>
      </w:pPr>
      <w:r>
        <w:rPr>
          <w:rFonts w:hint="default" w:ascii="楷体_GB2312" w:hAnsi="楷体_GB2312" w:eastAsia="楷体_GB2312" w:cs="楷体_GB2312"/>
          <w:b w:val="0"/>
          <w:bCs/>
          <w:lang w:val="en-US" w:eastAsia="zh-CN"/>
        </w:rPr>
        <w:t>（一）符合法律法规</w:t>
      </w:r>
    </w:p>
    <w:p w14:paraId="45F048D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_GB2312" w:hAnsi="仿宋_GB2312" w:cs="仿宋_GB2312"/>
          <w:lang w:val="en-US" w:eastAsia="zh-CN"/>
        </w:rPr>
      </w:pPr>
      <w:r>
        <w:rPr>
          <w:rFonts w:hint="default" w:ascii="仿宋_GB2312" w:hAnsi="仿宋_GB2312" w:cs="仿宋_GB2312"/>
          <w:lang w:val="en-US" w:eastAsia="zh-CN"/>
        </w:rPr>
        <w:t>本次动态维护严格遵循《土地管理法》《城乡规划法》《永久基本农田保护红线管理办法》等法律法规及省级规范性文件，严守空间安全底线，不突破约束性指标和总体格局，确保于法有据、程序合规。</w:t>
      </w:r>
    </w:p>
    <w:p w14:paraId="5FB4456E">
      <w:pPr>
        <w:pStyle w:val="3"/>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default" w:ascii="楷体_GB2312" w:hAnsi="楷体_GB2312" w:eastAsia="楷体_GB2312" w:cs="楷体_GB2312"/>
          <w:b w:val="0"/>
          <w:bCs/>
          <w:lang w:val="en-US" w:eastAsia="zh-CN"/>
        </w:rPr>
      </w:pPr>
      <w:r>
        <w:rPr>
          <w:rFonts w:hint="default" w:ascii="楷体_GB2312" w:hAnsi="楷体_GB2312" w:eastAsia="楷体_GB2312" w:cs="楷体_GB2312"/>
          <w:b w:val="0"/>
          <w:bCs/>
          <w:lang w:val="en-US" w:eastAsia="zh-CN"/>
        </w:rPr>
        <w:t>（二）符合技术标准</w:t>
      </w:r>
    </w:p>
    <w:p w14:paraId="2504C65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_GB2312" w:hAnsi="仿宋_GB2312" w:cs="仿宋_GB2312"/>
          <w:lang w:val="en-US" w:eastAsia="zh-CN"/>
        </w:rPr>
      </w:pPr>
      <w:r>
        <w:rPr>
          <w:rFonts w:hint="default" w:ascii="仿宋_GB2312" w:hAnsi="仿宋_GB2312" w:cs="仿宋_GB2312"/>
          <w:lang w:val="en-US" w:eastAsia="zh-CN"/>
        </w:rPr>
        <w:t>严格依据国家和省技术标准与指南，按省级技术方案规定的“一个方案、一张对照表、一个数据库”成果要求，规范开展现状调查、数据库建设与方案编制，成果全面符合部省技术审查要求。</w:t>
      </w:r>
    </w:p>
    <w:p w14:paraId="5BF70BF9">
      <w:pPr>
        <w:pStyle w:val="3"/>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default" w:ascii="楷体_GB2312" w:hAnsi="楷体_GB2312" w:eastAsia="楷体_GB2312" w:cs="楷体_GB2312"/>
          <w:b w:val="0"/>
          <w:bCs/>
          <w:lang w:val="en-US" w:eastAsia="zh-CN"/>
        </w:rPr>
      </w:pPr>
      <w:r>
        <w:rPr>
          <w:rFonts w:hint="default" w:ascii="楷体_GB2312" w:hAnsi="楷体_GB2312" w:eastAsia="楷体_GB2312" w:cs="楷体_GB2312"/>
          <w:b w:val="0"/>
          <w:bCs/>
          <w:lang w:val="en-US" w:eastAsia="zh-CN"/>
        </w:rPr>
        <w:t>（三）符合正向优化</w:t>
      </w:r>
    </w:p>
    <w:p w14:paraId="13B5058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_GB2312" w:hAnsi="仿宋_GB2312" w:cs="仿宋_GB2312"/>
          <w:lang w:val="en-US" w:eastAsia="zh-CN"/>
        </w:rPr>
      </w:pPr>
      <w:r>
        <w:rPr>
          <w:rFonts w:hint="default" w:ascii="仿宋_GB2312" w:hAnsi="仿宋_GB2312" w:cs="仿宋_GB2312"/>
          <w:lang w:val="en-US" w:eastAsia="zh-CN"/>
        </w:rPr>
        <w:t>全面落实国家和省三条控制线正向优化政策。耕地和永久基本农田优化遵循“数量不减少、质量不降低、布局有优化”及“优进劣出”原则；城镇开发边界优化遵循“总体稳定、局部微调、节约集约”原则，推动空间结构持续改善。</w:t>
      </w:r>
    </w:p>
    <w:p w14:paraId="78193450">
      <w:pPr>
        <w:pStyle w:val="3"/>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default" w:ascii="楷体_GB2312" w:hAnsi="楷体_GB2312" w:eastAsia="楷体_GB2312" w:cs="楷体_GB2312"/>
          <w:b w:val="0"/>
          <w:bCs/>
          <w:lang w:val="en-US" w:eastAsia="zh-CN"/>
        </w:rPr>
      </w:pPr>
      <w:r>
        <w:rPr>
          <w:rFonts w:hint="default" w:ascii="楷体_GB2312" w:hAnsi="楷体_GB2312" w:eastAsia="楷体_GB2312" w:cs="楷体_GB2312"/>
          <w:b w:val="0"/>
          <w:bCs/>
          <w:lang w:val="en-US" w:eastAsia="zh-CN"/>
        </w:rPr>
        <w:t>（四）契合经济社会发展需求</w:t>
      </w:r>
    </w:p>
    <w:p w14:paraId="1E602BE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_GB2312" w:hAnsi="仿宋_GB2312" w:cs="仿宋_GB2312"/>
          <w:lang w:val="en-US" w:eastAsia="zh-CN"/>
        </w:rPr>
      </w:pPr>
      <w:r>
        <w:rPr>
          <w:rFonts w:hint="default" w:ascii="仿宋_GB2312" w:hAnsi="仿宋_GB2312" w:cs="仿宋_GB2312"/>
          <w:lang w:val="en-US" w:eastAsia="zh-CN"/>
        </w:rPr>
        <w:t>紧密结合沐川县“十五五”发展目标和重大项目布局，依据省级技术方案“充分衔接、服务保障”原则，对接相关专项规划，统筹各部门、各乡镇空间诉求，统筹三大空间，强化规划的空间保障作用和发展引领性。</w:t>
      </w:r>
    </w:p>
    <w:p w14:paraId="4BB7409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_GB2312" w:hAnsi="仿宋_GB2312" w:cs="仿宋_GB2312"/>
          <w:lang w:val="en-US" w:eastAsia="zh-CN"/>
        </w:rPr>
      </w:pPr>
    </w:p>
    <w:p w14:paraId="00C1347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_GB2312" w:hAnsi="仿宋_GB2312" w:cs="仿宋_GB2312"/>
          <w:lang w:val="en-US" w:eastAsia="zh-CN"/>
        </w:rPr>
      </w:pPr>
    </w:p>
    <w:p w14:paraId="300EA2D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_GB2312" w:hAnsi="仿宋_GB2312" w:cs="仿宋_GB2312"/>
          <w:lang w:val="en-US" w:eastAsia="zh-CN"/>
        </w:rPr>
      </w:pPr>
    </w:p>
    <w:p w14:paraId="52BCECA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_GB2312" w:hAnsi="仿宋_GB2312" w:cs="仿宋_GB2312"/>
          <w:lang w:val="en-US" w:eastAsia="zh-CN"/>
        </w:rPr>
      </w:pPr>
    </w:p>
    <w:p w14:paraId="5F15C08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_GB2312" w:hAnsi="仿宋_GB2312" w:cs="仿宋_GB2312"/>
          <w:lang w:val="en-US" w:eastAsia="zh-CN"/>
        </w:rPr>
      </w:pPr>
    </w:p>
    <w:p w14:paraId="4C43682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_GB2312" w:hAnsi="仿宋_GB2312" w:cs="仿宋_GB2312"/>
          <w:lang w:val="en-US" w:eastAsia="zh-CN"/>
        </w:rPr>
      </w:pPr>
    </w:p>
    <w:p w14:paraId="6C2BB59D">
      <w:pPr>
        <w:pStyle w:val="2"/>
        <w:keepNext/>
        <w:keepLines/>
        <w:pageBreakBefore w:val="0"/>
        <w:widowControl w:val="0"/>
        <w:kinsoku/>
        <w:wordWrap/>
        <w:overflowPunct/>
        <w:topLinePunct w:val="0"/>
        <w:autoSpaceDE/>
        <w:autoSpaceDN/>
        <w:bidi w:val="0"/>
        <w:adjustRightInd/>
        <w:snapToGrid/>
        <w:spacing w:before="300" w:after="100" w:line="360" w:lineRule="auto"/>
        <w:ind w:left="0" w:leftChars="0"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附图</w:t>
      </w:r>
    </w:p>
    <w:p w14:paraId="0062747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cs="仿宋_GB2312"/>
          <w:lang w:val="en-US" w:eastAsia="zh-CN"/>
        </w:rPr>
      </w:pPr>
      <w:r>
        <w:rPr>
          <w:rFonts w:hint="eastAsia" w:ascii="仿宋_GB2312" w:hAnsi="仿宋_GB2312" w:cs="仿宋_GB2312"/>
          <w:lang w:val="en-US" w:eastAsia="zh-CN"/>
        </w:rPr>
        <w:t>图1 维护前县域国土空间控制线规划图</w:t>
      </w:r>
    </w:p>
    <w:p w14:paraId="6CA593A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cs="仿宋_GB2312"/>
          <w:lang w:val="en-US" w:eastAsia="zh-CN"/>
        </w:rPr>
      </w:pPr>
      <w:r>
        <w:rPr>
          <w:rFonts w:hint="eastAsia" w:ascii="仿宋_GB2312" w:hAnsi="仿宋_GB2312" w:cs="仿宋_GB2312"/>
          <w:lang w:val="en-US" w:eastAsia="zh-CN"/>
        </w:rPr>
        <w:t>图2 维护后县域国土空间控制线规划图</w:t>
      </w:r>
    </w:p>
    <w:p w14:paraId="1D7654D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cs="仿宋_GB2312"/>
          <w:lang w:val="en-US" w:eastAsia="zh-CN"/>
        </w:rPr>
      </w:pPr>
      <w:r>
        <w:rPr>
          <w:rFonts w:hint="eastAsia" w:ascii="仿宋_GB2312" w:hAnsi="仿宋_GB2312" w:cs="仿宋_GB2312"/>
          <w:lang w:val="en-US" w:eastAsia="zh-CN"/>
        </w:rPr>
        <w:t>图3 维护后县域永久基本农田规划图</w:t>
      </w:r>
    </w:p>
    <w:p w14:paraId="2B04EAD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_GB2312" w:hAnsi="仿宋_GB2312" w:cs="仿宋_GB2312"/>
          <w:lang w:val="en-US" w:eastAsia="zh-CN"/>
        </w:rPr>
      </w:pPr>
      <w:r>
        <w:rPr>
          <w:rFonts w:hint="eastAsia" w:ascii="仿宋_GB2312" w:hAnsi="仿宋_GB2312" w:cs="仿宋_GB2312"/>
          <w:lang w:val="en-US" w:eastAsia="zh-CN"/>
        </w:rPr>
        <w:t>图4 维护后县域生态保护红线规划图</w:t>
      </w:r>
    </w:p>
    <w:p w14:paraId="62EAE6A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cs="仿宋_GB2312"/>
          <w:lang w:val="en-US" w:eastAsia="zh-CN"/>
        </w:rPr>
      </w:pPr>
      <w:r>
        <w:rPr>
          <w:rFonts w:hint="eastAsia" w:ascii="仿宋_GB2312" w:hAnsi="仿宋_GB2312" w:cs="仿宋_GB2312"/>
          <w:lang w:val="en-US" w:eastAsia="zh-CN"/>
        </w:rPr>
        <w:t>图5 维护后县域城镇开发边界规划图</w:t>
      </w:r>
    </w:p>
    <w:p w14:paraId="337C363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cs="仿宋_GB2312"/>
          <w:lang w:val="en-US" w:eastAsia="zh-CN"/>
        </w:rPr>
      </w:pPr>
      <w:r>
        <w:rPr>
          <w:rFonts w:hint="eastAsia" w:ascii="仿宋_GB2312" w:hAnsi="仿宋_GB2312" w:cs="仿宋_GB2312"/>
          <w:lang w:val="en-US" w:eastAsia="zh-CN"/>
        </w:rPr>
        <w:t>图6 维护前县域国土空间规划分区图</w:t>
      </w:r>
    </w:p>
    <w:p w14:paraId="0D348B7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cs="仿宋_GB2312"/>
          <w:lang w:val="en-US" w:eastAsia="zh-CN"/>
        </w:rPr>
      </w:pPr>
      <w:r>
        <w:rPr>
          <w:rFonts w:hint="eastAsia" w:ascii="仿宋_GB2312" w:hAnsi="仿宋_GB2312" w:cs="仿宋_GB2312"/>
          <w:lang w:val="en-US" w:eastAsia="zh-CN"/>
        </w:rPr>
        <w:t>图7 维护后县域国土空间规划分区图</w:t>
      </w:r>
    </w:p>
    <w:p w14:paraId="1C716DC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cs="仿宋_GB2312"/>
          <w:lang w:val="en-US" w:eastAsia="zh-CN"/>
        </w:rPr>
      </w:pPr>
      <w:r>
        <w:rPr>
          <w:rFonts w:hint="eastAsia" w:ascii="仿宋_GB2312" w:hAnsi="仿宋_GB2312" w:cs="仿宋_GB2312"/>
          <w:lang w:val="en-US" w:eastAsia="zh-CN"/>
        </w:rPr>
        <w:t>图8 维护前中心城区土地使用规划图</w:t>
      </w:r>
    </w:p>
    <w:p w14:paraId="0614129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_GB2312" w:hAnsi="仿宋_GB2312" w:cs="仿宋_GB2312"/>
          <w:lang w:val="en-US" w:eastAsia="zh-CN"/>
        </w:rPr>
      </w:pPr>
      <w:r>
        <w:rPr>
          <w:rFonts w:hint="eastAsia" w:ascii="仿宋_GB2312" w:hAnsi="仿宋_GB2312" w:cs="仿宋_GB2312"/>
          <w:lang w:val="en-US" w:eastAsia="zh-CN"/>
        </w:rPr>
        <w:t>图9 维护后中心城区土地使用规划图</w:t>
      </w:r>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1BF2C">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1437D6">
                          <w:pPr>
                            <w:pStyle w:val="4"/>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C1437D6">
                    <w:pPr>
                      <w:pStyle w:val="4"/>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E76210"/>
    <w:rsid w:val="054315EC"/>
    <w:rsid w:val="1051273E"/>
    <w:rsid w:val="1D685470"/>
    <w:rsid w:val="1E1265D5"/>
    <w:rsid w:val="1FA86FC8"/>
    <w:rsid w:val="26282E39"/>
    <w:rsid w:val="26827229"/>
    <w:rsid w:val="27832252"/>
    <w:rsid w:val="27E10A4A"/>
    <w:rsid w:val="2DB32928"/>
    <w:rsid w:val="2EBC3A3B"/>
    <w:rsid w:val="32AE54CE"/>
    <w:rsid w:val="3AB923EB"/>
    <w:rsid w:val="3FE76210"/>
    <w:rsid w:val="45107D8F"/>
    <w:rsid w:val="45F21808"/>
    <w:rsid w:val="48F37D26"/>
    <w:rsid w:val="4A984296"/>
    <w:rsid w:val="4DF55CC5"/>
    <w:rsid w:val="4FF3042E"/>
    <w:rsid w:val="50BE0265"/>
    <w:rsid w:val="53E43472"/>
    <w:rsid w:val="568D04F2"/>
    <w:rsid w:val="58806311"/>
    <w:rsid w:val="5AB67D0C"/>
    <w:rsid w:val="5AB835FF"/>
    <w:rsid w:val="6E0100E9"/>
    <w:rsid w:val="70B20461"/>
    <w:rsid w:val="735D4E1D"/>
    <w:rsid w:val="76FB3CBF"/>
    <w:rsid w:val="7BF564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200" w:firstLineChars="200"/>
      <w:jc w:val="both"/>
    </w:pPr>
    <w:rPr>
      <w:rFonts w:ascii="Times New Roman" w:hAnsi="Times New Roman" w:eastAsia="仿宋_GB2312" w:cstheme="minorBidi"/>
      <w:kern w:val="2"/>
      <w:sz w:val="32"/>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3123</Words>
  <Characters>3276</Characters>
  <Lines>0</Lines>
  <Paragraphs>0</Paragraphs>
  <TotalTime>40</TotalTime>
  <ScaleCrop>false</ScaleCrop>
  <LinksUpToDate>false</LinksUpToDate>
  <CharactersWithSpaces>3285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2026-04-28T05:56:00Z</dcterms:created>
  <dc:creator>峰</dc:creator>
  <cp:lastModifiedBy>虞圆</cp:lastModifiedBy>
  <dcterms:modified xsi:type="dcterms:W3CDTF">2026-04-30T01:30:35Z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6A055816FDD6417D9F8B652C63E428BD_13</vt:lpwstr>
  </property>
  <property fmtid="{D5CDD505-2E9C-101B-9397-08002B2CF9AE}" pid="4" name="KSOTemplateDocerSaveRecord">
    <vt:lpwstr>eyJoZGlkIjoiNTFhZDcwNTJhMzk0YzRmODQ3NGQwMjljNDI4YzAwMzUiLCJ1c2VySWQiOiIxNjE3MTA2ODA3In0=</vt:lpwstr>
  </property>
</Properties>
</file>