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12181">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52"/>
          <w:szCs w:val="52"/>
          <w:lang w:val="en-US" w:eastAsia="zh-CN"/>
        </w:rPr>
      </w:pPr>
    </w:p>
    <w:p w14:paraId="6CFC20CF">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52"/>
          <w:szCs w:val="52"/>
          <w:lang w:val="en-US" w:eastAsia="zh-CN"/>
        </w:rPr>
      </w:pPr>
    </w:p>
    <w:p w14:paraId="12D984F7">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52"/>
          <w:szCs w:val="52"/>
          <w:lang w:val="en-US" w:eastAsia="zh-CN"/>
        </w:rPr>
      </w:pPr>
    </w:p>
    <w:p w14:paraId="4FCE824B">
      <w:pPr>
        <w:keepNext w:val="0"/>
        <w:keepLines w:val="0"/>
        <w:pageBreakBefore w:val="0"/>
        <w:kinsoku/>
        <w:wordWrap/>
        <w:overflowPunct/>
        <w:topLinePunct w:val="0"/>
        <w:autoSpaceDE/>
        <w:autoSpaceDN/>
        <w:bidi w:val="0"/>
        <w:adjustRightInd/>
        <w:snapToGrid/>
        <w:ind w:firstLine="0" w:firstLineChars="0"/>
        <w:jc w:val="center"/>
        <w:textAlignment w:val="auto"/>
        <w:rPr>
          <w:rFonts w:ascii="方正小标宋简体" w:hAnsi="Times New Roman" w:eastAsia="方正小标宋简体" w:cs="Times New Roman"/>
          <w:color w:val="000000"/>
          <w:kern w:val="0"/>
          <w:sz w:val="52"/>
          <w:szCs w:val="52"/>
        </w:rPr>
      </w:pPr>
      <w:r>
        <w:rPr>
          <w:rFonts w:hint="eastAsia" w:ascii="方正小标宋简体" w:hAnsi="Times New Roman" w:eastAsia="方正小标宋简体" w:cs="Times New Roman"/>
          <w:color w:val="000000"/>
          <w:kern w:val="0"/>
          <w:sz w:val="52"/>
          <w:szCs w:val="52"/>
          <w:lang w:val="en-US" w:eastAsia="zh-CN"/>
        </w:rPr>
        <w:t>四川</w:t>
      </w:r>
      <w:r>
        <w:rPr>
          <w:rFonts w:hint="eastAsia" w:ascii="方正小标宋简体" w:hAnsi="Times New Roman" w:eastAsia="方正小标宋简体" w:cs="Times New Roman"/>
          <w:color w:val="000000"/>
          <w:kern w:val="0"/>
          <w:sz w:val="52"/>
          <w:szCs w:val="52"/>
        </w:rPr>
        <w:t>沐川</w:t>
      </w:r>
      <w:r>
        <w:rPr>
          <w:rFonts w:hint="eastAsia" w:ascii="方正小标宋简体" w:hAnsi="Times New Roman" w:eastAsia="方正小标宋简体" w:cs="Times New Roman"/>
          <w:color w:val="000000"/>
          <w:kern w:val="0"/>
          <w:sz w:val="52"/>
          <w:szCs w:val="52"/>
          <w:lang w:val="en-US" w:eastAsia="zh-CN"/>
        </w:rPr>
        <w:t>经济开发区</w:t>
      </w:r>
      <w:r>
        <w:rPr>
          <w:rFonts w:hint="eastAsia" w:ascii="方正小标宋简体" w:hAnsi="Times New Roman" w:eastAsia="方正小标宋简体" w:cs="Times New Roman"/>
          <w:color w:val="000000"/>
          <w:kern w:val="0"/>
          <w:sz w:val="52"/>
          <w:szCs w:val="52"/>
        </w:rPr>
        <w:t>总体规划（202</w:t>
      </w:r>
      <w:r>
        <w:rPr>
          <w:rFonts w:hint="eastAsia" w:ascii="方正小标宋简体" w:hAnsi="Times New Roman" w:eastAsia="方正小标宋简体" w:cs="Times New Roman"/>
          <w:color w:val="000000"/>
          <w:kern w:val="0"/>
          <w:sz w:val="52"/>
          <w:szCs w:val="52"/>
          <w:lang w:val="en-US" w:eastAsia="zh-CN"/>
        </w:rPr>
        <w:t>5</w:t>
      </w:r>
      <w:r>
        <w:rPr>
          <w:rFonts w:hint="eastAsia" w:ascii="方正小标宋简体" w:hAnsi="Times New Roman" w:eastAsia="方正小标宋简体" w:cs="Times New Roman"/>
          <w:color w:val="000000"/>
          <w:kern w:val="0"/>
          <w:sz w:val="52"/>
          <w:szCs w:val="52"/>
        </w:rPr>
        <w:t>-2035年）</w:t>
      </w:r>
    </w:p>
    <w:p w14:paraId="4069464C">
      <w:pPr>
        <w:keepNext w:val="0"/>
        <w:keepLines w:val="0"/>
        <w:pageBreakBefore w:val="0"/>
        <w:kinsoku/>
        <w:wordWrap/>
        <w:overflowPunct/>
        <w:topLinePunct w:val="0"/>
        <w:autoSpaceDE/>
        <w:autoSpaceDN/>
        <w:bidi w:val="0"/>
        <w:adjustRightInd/>
        <w:snapToGrid/>
        <w:ind w:firstLine="0" w:firstLineChars="0"/>
        <w:jc w:val="center"/>
        <w:textAlignment w:val="auto"/>
        <w:rPr>
          <w:rFonts w:ascii="方正小标宋简体" w:hAnsi="Times New Roman" w:eastAsia="方正小标宋简体" w:cs="Times New Roman"/>
          <w:color w:val="000000"/>
          <w:kern w:val="0"/>
          <w:sz w:val="52"/>
          <w:szCs w:val="52"/>
        </w:rPr>
      </w:pPr>
    </w:p>
    <w:p w14:paraId="21BA9D4A">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rPr>
      </w:pPr>
    </w:p>
    <w:p w14:paraId="279E8CC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r>
        <w:rPr>
          <w:rFonts w:hint="eastAsia" w:ascii="方正小标宋简体" w:hAnsi="Times New Roman" w:eastAsia="方正小标宋简体" w:cs="Times New Roman"/>
          <w:color w:val="000000"/>
          <w:kern w:val="0"/>
          <w:sz w:val="40"/>
          <w:szCs w:val="40"/>
          <w:lang w:val="en-US" w:eastAsia="zh-CN"/>
        </w:rPr>
        <w:t>公示简本</w:t>
      </w:r>
    </w:p>
    <w:p w14:paraId="0F4B5858">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1760F23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355732B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2558A61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7665D51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0151D42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6709C0E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672F7D3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6053C5A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方正小标宋简体" w:hAnsi="Times New Roman" w:eastAsia="方正小标宋简体" w:cs="Times New Roman"/>
          <w:color w:val="000000"/>
          <w:kern w:val="0"/>
          <w:sz w:val="40"/>
          <w:szCs w:val="40"/>
          <w:lang w:val="en-US" w:eastAsia="zh-CN"/>
        </w:rPr>
      </w:pPr>
    </w:p>
    <w:p w14:paraId="2413D39E">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b/>
          <w:bCs/>
          <w:color w:val="000000"/>
          <w:sz w:val="28"/>
          <w:szCs w:val="32"/>
        </w:rPr>
      </w:pPr>
      <w:r>
        <w:rPr>
          <w:rFonts w:hint="eastAsia" w:ascii="黑体" w:hAnsi="黑体" w:eastAsia="黑体" w:cs="黑体"/>
          <w:b/>
          <w:bCs/>
          <w:color w:val="000000"/>
          <w:sz w:val="28"/>
          <w:szCs w:val="32"/>
        </w:rPr>
        <w:t>202</w:t>
      </w:r>
      <w:r>
        <w:rPr>
          <w:rFonts w:hint="eastAsia" w:ascii="黑体" w:hAnsi="黑体" w:eastAsia="黑体" w:cs="黑体"/>
          <w:b/>
          <w:bCs/>
          <w:color w:val="000000"/>
          <w:sz w:val="28"/>
          <w:szCs w:val="32"/>
          <w:lang w:val="en-US" w:eastAsia="zh-CN"/>
        </w:rPr>
        <w:t>5</w:t>
      </w:r>
      <w:r>
        <w:rPr>
          <w:rFonts w:hint="eastAsia" w:ascii="黑体" w:hAnsi="黑体" w:eastAsia="黑体" w:cs="黑体"/>
          <w:b/>
          <w:bCs/>
          <w:color w:val="000000"/>
          <w:sz w:val="28"/>
          <w:szCs w:val="32"/>
        </w:rPr>
        <w:t>年</w:t>
      </w:r>
      <w:r>
        <w:rPr>
          <w:rFonts w:hint="eastAsia" w:ascii="黑体" w:hAnsi="黑体" w:eastAsia="黑体" w:cs="黑体"/>
          <w:b/>
          <w:bCs/>
          <w:color w:val="000000"/>
          <w:sz w:val="28"/>
          <w:szCs w:val="32"/>
          <w:lang w:val="en-US" w:eastAsia="zh-CN"/>
        </w:rPr>
        <w:t>12</w:t>
      </w:r>
      <w:r>
        <w:rPr>
          <w:rFonts w:hint="eastAsia" w:ascii="黑体" w:hAnsi="黑体" w:eastAsia="黑体" w:cs="黑体"/>
          <w:b/>
          <w:bCs/>
          <w:color w:val="000000"/>
          <w:sz w:val="28"/>
          <w:szCs w:val="32"/>
        </w:rPr>
        <w:t>月</w:t>
      </w:r>
    </w:p>
    <w:p w14:paraId="2868449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方正小标宋简体" w:hAnsi="Times New Roman" w:eastAsia="方正小标宋简体" w:cs="Times New Roman"/>
          <w:color w:val="000000"/>
          <w:kern w:val="0"/>
          <w:sz w:val="40"/>
          <w:szCs w:val="40"/>
          <w:lang w:val="en-US" w:eastAsia="zh-CN"/>
        </w:rPr>
      </w:pPr>
    </w:p>
    <w:p w14:paraId="16B017BB">
      <w:pPr>
        <w:keepNext w:val="0"/>
        <w:keepLines w:val="0"/>
        <w:pageBreakBefore w:val="0"/>
        <w:widowControl/>
        <w:kinsoku/>
        <w:wordWrap/>
        <w:overflowPunct/>
        <w:topLinePunct w:val="0"/>
        <w:autoSpaceDE/>
        <w:autoSpaceDN/>
        <w:bidi w:val="0"/>
        <w:adjustRightInd/>
        <w:snapToGrid/>
        <w:spacing w:before="157" w:beforeLines="50" w:line="360" w:lineRule="auto"/>
        <w:ind w:firstLine="0"/>
        <w:jc w:val="center"/>
        <w:textAlignment w:val="auto"/>
        <w:outlineLvl w:val="0"/>
        <w:rPr>
          <w:rFonts w:hint="eastAsia" w:ascii="黑体" w:hAnsi="黑体" w:eastAsia="黑体" w:cs="宋体"/>
          <w:b/>
          <w:bCs/>
          <w:color w:val="000000"/>
          <w:kern w:val="0"/>
          <w:sz w:val="40"/>
          <w:szCs w:val="40"/>
        </w:rPr>
      </w:pPr>
      <w:bookmarkStart w:id="4" w:name="_GoBack"/>
      <w:bookmarkEnd w:id="4"/>
      <w:bookmarkStart w:id="0" w:name="_Toc28931"/>
      <w:bookmarkStart w:id="1" w:name="_Toc108090310"/>
      <w:bookmarkStart w:id="2" w:name="_Toc30904"/>
      <w:r>
        <w:rPr>
          <w:rFonts w:hint="eastAsia" w:ascii="黑体" w:hAnsi="黑体" w:eastAsia="黑体" w:cs="宋体"/>
          <w:b w:val="0"/>
          <w:bCs w:val="0"/>
          <w:color w:val="000000"/>
          <w:kern w:val="0"/>
          <w:sz w:val="40"/>
          <w:szCs w:val="40"/>
          <w:lang w:val="en-US" w:eastAsia="zh-CN"/>
        </w:rPr>
        <w:t>规划</w:t>
      </w:r>
      <w:bookmarkEnd w:id="0"/>
      <w:r>
        <w:rPr>
          <w:rFonts w:hint="eastAsia" w:ascii="黑体" w:hAnsi="黑体" w:eastAsia="黑体" w:cs="宋体"/>
          <w:b w:val="0"/>
          <w:bCs w:val="0"/>
          <w:color w:val="000000"/>
          <w:kern w:val="0"/>
          <w:sz w:val="40"/>
          <w:szCs w:val="40"/>
          <w:lang w:val="en-US" w:eastAsia="zh-CN"/>
        </w:rPr>
        <w:t>概述</w:t>
      </w:r>
    </w:p>
    <w:p w14:paraId="33845E4F">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lang w:val="en-US" w:eastAsia="zh-CN"/>
        </w:rPr>
        <w:t>一</w:t>
      </w:r>
      <w:r>
        <w:rPr>
          <w:rFonts w:hint="eastAsia" w:ascii="黑体" w:hAnsi="黑体" w:eastAsia="黑体" w:cs="黑体"/>
          <w:b w:val="0"/>
          <w:bCs w:val="0"/>
          <w:color w:val="000000"/>
          <w:kern w:val="0"/>
          <w:sz w:val="32"/>
          <w:szCs w:val="32"/>
        </w:rPr>
        <w:t>、指导思想</w:t>
      </w:r>
      <w:bookmarkEnd w:id="1"/>
      <w:bookmarkEnd w:id="2"/>
    </w:p>
    <w:p w14:paraId="195CFDEB">
      <w:pPr>
        <w:widowControl/>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仿宋_GB2312" w:eastAsia="仿宋_GB2312" w:cs="仿宋_GB2312"/>
          <w:color w:val="000000"/>
          <w:sz w:val="32"/>
          <w:szCs w:val="32"/>
        </w:rPr>
        <w:t>高举中国特色社会主义伟大旗帜，坚持以习近平新时代中国特色社会主义思想为指导，深入</w:t>
      </w:r>
      <w:r>
        <w:rPr>
          <w:rFonts w:hint="eastAsia" w:ascii="仿宋_GB2312" w:hAnsi="仿宋_GB2312" w:eastAsia="仿宋_GB2312" w:cs="仿宋_GB2312"/>
          <w:color w:val="000000"/>
          <w:sz w:val="32"/>
          <w:szCs w:val="32"/>
          <w:lang w:val="en-US" w:eastAsia="zh-CN"/>
        </w:rPr>
        <w:t>学习</w:t>
      </w:r>
      <w:r>
        <w:rPr>
          <w:rFonts w:hint="eastAsia" w:ascii="仿宋_GB2312" w:hAnsi="仿宋_GB2312" w:eastAsia="仿宋_GB2312" w:cs="仿宋_GB2312"/>
          <w:color w:val="000000"/>
          <w:sz w:val="32"/>
          <w:szCs w:val="32"/>
        </w:rPr>
        <w:t>贯彻党的二十大和二十届二中、三中全会精神</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以及</w:t>
      </w:r>
      <w:r>
        <w:rPr>
          <w:rFonts w:hint="eastAsia" w:ascii="仿宋_GB2312" w:hAnsi="仿宋_GB2312" w:eastAsia="仿宋_GB2312" w:cs="仿宋_GB2312"/>
          <w:color w:val="000000"/>
          <w:sz w:val="32"/>
          <w:szCs w:val="32"/>
        </w:rPr>
        <w:t>习近平总书记重要讲话精神和习近平总书记对四川工作系列重要指示精神，统筹推进“五位一体”总体布局，协调推进“四个全面”战略布局，立足新发展阶段、贯彻新发展理念、构建新发展格局、推动高质量发展</w:t>
      </w:r>
      <w:r>
        <w:rPr>
          <w:rFonts w:hint="eastAsia" w:ascii="仿宋_GB2312" w:hAnsi="宋体" w:eastAsia="仿宋_GB2312" w:cs="宋体"/>
          <w:color w:val="000000"/>
          <w:kern w:val="0"/>
          <w:sz w:val="32"/>
          <w:szCs w:val="32"/>
        </w:rPr>
        <w:t>。</w:t>
      </w:r>
    </w:p>
    <w:p w14:paraId="656E79E1">
      <w:pPr>
        <w:widowControl/>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highlight w:val="none"/>
        </w:rPr>
        <w:t>全面落实省委十二届二次、三次、四次全会和市委八届六次、七次、八次全会以及县委十五届六次、七次全会部署，</w:t>
      </w:r>
      <w:r>
        <w:rPr>
          <w:rFonts w:hint="eastAsia" w:ascii="仿宋_GB2312" w:hAnsi="宋体" w:eastAsia="仿宋_GB2312" w:cs="宋体"/>
          <w:color w:val="000000"/>
          <w:kern w:val="0"/>
          <w:sz w:val="32"/>
          <w:szCs w:val="32"/>
        </w:rPr>
        <w:t>以中国式现代化引领沐川县现代化建设，坚持稳中求进工作总基调，完整、准确、全面贯彻新发展理念，积极服务和融入新发展格局，深入推进“新型工业化”，加快建设现代化产业体系。</w:t>
      </w:r>
    </w:p>
    <w:p w14:paraId="0B5304F3">
      <w:pPr>
        <w:widowControl/>
        <w:spacing w:line="56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rPr>
        <w:t>坚持“</w:t>
      </w:r>
      <w:r>
        <w:rPr>
          <w:rFonts w:hint="eastAsia" w:ascii="仿宋_GB2312" w:hAnsi="宋体" w:eastAsia="仿宋_GB2312" w:cs="宋体"/>
          <w:color w:val="000000"/>
          <w:kern w:val="0"/>
          <w:sz w:val="32"/>
          <w:szCs w:val="32"/>
          <w:highlight w:val="none"/>
          <w:lang w:val="en-US" w:eastAsia="zh-CN"/>
        </w:rPr>
        <w:t>工业</w:t>
      </w:r>
      <w:r>
        <w:rPr>
          <w:rFonts w:hint="eastAsia" w:ascii="仿宋_GB2312" w:hAnsi="宋体" w:eastAsia="仿宋_GB2312" w:cs="宋体"/>
          <w:color w:val="000000"/>
          <w:kern w:val="0"/>
          <w:sz w:val="32"/>
          <w:szCs w:val="32"/>
          <w:highlight w:val="none"/>
        </w:rPr>
        <w:t>强县、</w:t>
      </w:r>
      <w:r>
        <w:rPr>
          <w:rFonts w:hint="eastAsia" w:ascii="仿宋_GB2312" w:hAnsi="宋体" w:eastAsia="仿宋_GB2312" w:cs="宋体"/>
          <w:color w:val="000000"/>
          <w:kern w:val="0"/>
          <w:sz w:val="32"/>
          <w:szCs w:val="32"/>
          <w:highlight w:val="none"/>
          <w:lang w:val="en-US" w:eastAsia="zh-CN"/>
        </w:rPr>
        <w:t>文旅</w:t>
      </w:r>
      <w:r>
        <w:rPr>
          <w:rFonts w:hint="eastAsia" w:ascii="仿宋_GB2312" w:hAnsi="宋体" w:eastAsia="仿宋_GB2312" w:cs="宋体"/>
          <w:color w:val="000000"/>
          <w:kern w:val="0"/>
          <w:sz w:val="32"/>
          <w:szCs w:val="32"/>
          <w:highlight w:val="none"/>
        </w:rPr>
        <w:t>兴县”总</w:t>
      </w:r>
      <w:r>
        <w:rPr>
          <w:rFonts w:hint="eastAsia" w:ascii="仿宋_GB2312" w:hAnsi="宋体" w:eastAsia="仿宋_GB2312" w:cs="宋体"/>
          <w:color w:val="000000"/>
          <w:kern w:val="0"/>
          <w:sz w:val="32"/>
          <w:szCs w:val="32"/>
          <w:highlight w:val="none"/>
          <w:lang w:val="en-US" w:eastAsia="zh-CN"/>
        </w:rPr>
        <w:t>定位，构建“131”现代产业体系，即一个主导产业（竹产业）、三个特色产业（绿色食品、新能源新材料和文旅产业）、一批未来新兴产业，突出竹产业地位，加强科技创新能力的培育，推动新质生产力加速发展。</w:t>
      </w:r>
    </w:p>
    <w:p w14:paraId="7872C888">
      <w:pPr>
        <w:widowControl/>
        <w:spacing w:before="156" w:beforeLines="50" w:line="360" w:lineRule="auto"/>
        <w:jc w:val="left"/>
        <w:outlineLvl w:val="1"/>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val="en-US" w:eastAsia="zh-CN"/>
        </w:rPr>
        <w:t>二</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规划原则</w:t>
      </w:r>
    </w:p>
    <w:p w14:paraId="103A6A3E">
      <w:pPr>
        <w:widowControl/>
        <w:spacing w:line="560" w:lineRule="exact"/>
        <w:ind w:firstLine="640" w:firstLineChars="200"/>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rPr>
        <w:t>1.坚持科学规划与合理布局相结合</w:t>
      </w:r>
      <w:r>
        <w:rPr>
          <w:rFonts w:hint="eastAsia" w:ascii="仿宋_GB2312" w:hAnsi="宋体" w:eastAsia="仿宋_GB2312" w:cs="宋体"/>
          <w:color w:val="000000"/>
          <w:kern w:val="0"/>
          <w:sz w:val="32"/>
          <w:szCs w:val="32"/>
          <w:highlight w:val="none"/>
          <w:lang w:eastAsia="zh-CN"/>
        </w:rPr>
        <w:t>。</w:t>
      </w:r>
    </w:p>
    <w:p w14:paraId="282E2513">
      <w:pPr>
        <w:widowControl/>
        <w:spacing w:line="560" w:lineRule="exact"/>
        <w:ind w:firstLine="640" w:firstLineChars="200"/>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rPr>
        <w:t>2.坚持新型工业化与</w:t>
      </w:r>
      <w:r>
        <w:rPr>
          <w:rFonts w:hint="eastAsia" w:ascii="仿宋_GB2312" w:hAnsi="宋体" w:eastAsia="仿宋_GB2312" w:cs="宋体"/>
          <w:color w:val="000000"/>
          <w:kern w:val="0"/>
          <w:sz w:val="32"/>
          <w:szCs w:val="32"/>
          <w:highlight w:val="none"/>
          <w:lang w:val="en-US" w:eastAsia="zh-CN"/>
        </w:rPr>
        <w:t>经开区</w:t>
      </w:r>
      <w:r>
        <w:rPr>
          <w:rFonts w:hint="eastAsia" w:ascii="仿宋_GB2312" w:hAnsi="宋体" w:eastAsia="仿宋_GB2312" w:cs="宋体"/>
          <w:color w:val="000000"/>
          <w:kern w:val="0"/>
          <w:sz w:val="32"/>
          <w:szCs w:val="32"/>
          <w:highlight w:val="none"/>
        </w:rPr>
        <w:t>特色化相结合</w:t>
      </w:r>
      <w:r>
        <w:rPr>
          <w:rFonts w:hint="eastAsia" w:ascii="仿宋_GB2312" w:hAnsi="宋体" w:eastAsia="仿宋_GB2312" w:cs="宋体"/>
          <w:color w:val="000000"/>
          <w:kern w:val="0"/>
          <w:sz w:val="32"/>
          <w:szCs w:val="32"/>
          <w:highlight w:val="none"/>
          <w:lang w:eastAsia="zh-CN"/>
        </w:rPr>
        <w:t>。</w:t>
      </w:r>
    </w:p>
    <w:p w14:paraId="77AABD2F">
      <w:pPr>
        <w:widowControl/>
        <w:spacing w:line="560" w:lineRule="exact"/>
        <w:ind w:firstLine="640" w:firstLineChars="200"/>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rPr>
        <w:t>3.坚持循环发展与绿色发展相结合</w:t>
      </w:r>
      <w:r>
        <w:rPr>
          <w:rFonts w:hint="eastAsia" w:ascii="仿宋_GB2312" w:hAnsi="宋体" w:eastAsia="仿宋_GB2312" w:cs="宋体"/>
          <w:color w:val="000000"/>
          <w:kern w:val="0"/>
          <w:sz w:val="32"/>
          <w:szCs w:val="32"/>
          <w:highlight w:val="none"/>
          <w:lang w:eastAsia="zh-CN"/>
        </w:rPr>
        <w:t>。</w:t>
      </w:r>
    </w:p>
    <w:p w14:paraId="6D29411C">
      <w:pPr>
        <w:widowControl/>
        <w:spacing w:line="560" w:lineRule="exact"/>
        <w:ind w:firstLine="640" w:firstLineChars="200"/>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rPr>
        <w:t>4.坚持产业布局与城镇发展相结合</w:t>
      </w:r>
      <w:r>
        <w:rPr>
          <w:rFonts w:hint="eastAsia" w:ascii="仿宋_GB2312" w:hAnsi="宋体" w:eastAsia="仿宋_GB2312" w:cs="宋体"/>
          <w:color w:val="000000"/>
          <w:kern w:val="0"/>
          <w:sz w:val="32"/>
          <w:szCs w:val="32"/>
          <w:highlight w:val="none"/>
          <w:lang w:eastAsia="zh-CN"/>
        </w:rPr>
        <w:t>。</w:t>
      </w:r>
    </w:p>
    <w:p w14:paraId="35C35DC4">
      <w:pPr>
        <w:widowControl/>
        <w:spacing w:before="156" w:beforeLines="50" w:line="360" w:lineRule="auto"/>
        <w:jc w:val="left"/>
        <w:outlineLvl w:val="1"/>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三</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规划范围</w:t>
      </w:r>
    </w:p>
    <w:p w14:paraId="2A0A0B67">
      <w:pPr>
        <w:widowControl/>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宋体" w:eastAsia="仿宋_GB2312" w:cs="宋体"/>
          <w:color w:val="000000"/>
          <w:kern w:val="0"/>
          <w:sz w:val="32"/>
          <w:szCs w:val="32"/>
          <w:lang w:val="en-US" w:eastAsia="zh-CN"/>
        </w:rPr>
        <w:t>根据省厅多部门及相关领域专家对经开区申报数据的联合审查</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最终</w:t>
      </w:r>
      <w:r>
        <w:rPr>
          <w:rFonts w:hint="eastAsia" w:ascii="仿宋_GB2312" w:hAnsi="宋体" w:eastAsia="仿宋_GB2312" w:cs="宋体"/>
          <w:color w:val="000000"/>
          <w:kern w:val="0"/>
          <w:sz w:val="32"/>
          <w:szCs w:val="32"/>
        </w:rPr>
        <w:t>确定本次</w:t>
      </w:r>
      <w:r>
        <w:rPr>
          <w:rFonts w:hint="eastAsia" w:ascii="仿宋_GB2312" w:hAnsi="宋体" w:eastAsia="仿宋_GB2312" w:cs="宋体"/>
          <w:color w:val="000000"/>
          <w:kern w:val="0"/>
          <w:sz w:val="32"/>
          <w:szCs w:val="32"/>
          <w:lang w:val="en-US" w:eastAsia="zh-CN"/>
        </w:rPr>
        <w:t>经开区优化整合后面积</w:t>
      </w:r>
      <w:r>
        <w:rPr>
          <w:rFonts w:hint="eastAsia" w:ascii="仿宋_GB2312" w:hAnsi="宋体" w:eastAsia="仿宋_GB2312" w:cs="宋体"/>
          <w:color w:val="000000"/>
          <w:kern w:val="0"/>
          <w:sz w:val="32"/>
          <w:szCs w:val="32"/>
        </w:rPr>
        <w:t>为</w:t>
      </w:r>
      <w:r>
        <w:rPr>
          <w:rFonts w:hint="eastAsia"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lang w:val="en-US" w:eastAsia="zh-CN"/>
        </w:rPr>
        <w:t>1.2118</w:t>
      </w:r>
      <w:r>
        <w:rPr>
          <w:rFonts w:hint="eastAsia" w:ascii="仿宋_GB2312" w:hAnsi="仿宋_GB2312" w:eastAsia="仿宋_GB2312" w:cs="仿宋_GB2312"/>
          <w:color w:val="000000"/>
          <w:sz w:val="32"/>
          <w:szCs w:val="32"/>
        </w:rPr>
        <w:t>公顷，</w:t>
      </w:r>
      <w:r>
        <w:rPr>
          <w:rFonts w:hint="eastAsia" w:ascii="仿宋_GB2312" w:hAnsi="仿宋_GB2312" w:eastAsia="仿宋_GB2312" w:cs="仿宋_GB2312"/>
          <w:color w:val="000000"/>
          <w:sz w:val="32"/>
          <w:szCs w:val="32"/>
          <w:lang w:val="en-US" w:eastAsia="zh-CN"/>
        </w:rPr>
        <w:t>共6个区块，</w:t>
      </w:r>
      <w:r>
        <w:rPr>
          <w:rFonts w:hint="eastAsia" w:ascii="仿宋_GB2312" w:hAnsi="仿宋_GB2312" w:eastAsia="仿宋_GB2312" w:cs="仿宋_GB2312"/>
          <w:color w:val="000000"/>
          <w:sz w:val="32"/>
          <w:szCs w:val="32"/>
        </w:rPr>
        <w:t>均位于城镇开发边界内。</w:t>
      </w:r>
      <w:r>
        <w:rPr>
          <w:rFonts w:hint="eastAsia" w:ascii="仿宋_GB2312" w:hAnsi="仿宋_GB2312" w:eastAsia="仿宋_GB2312" w:cs="仿宋_GB2312"/>
          <w:color w:val="000000"/>
          <w:sz w:val="32"/>
          <w:szCs w:val="32"/>
          <w:lang w:val="en-US" w:eastAsia="zh-CN"/>
        </w:rPr>
        <w:t>根据区块分布位置，本次规划又将经开区划为4个片区，分别为县城片区、舟坝片区、永福片区和炭库片区，其中县城片区再次划分为3个组团，分别为茨梨坝组团、龙船坝组团、建和组团。</w:t>
      </w:r>
    </w:p>
    <w:p w14:paraId="201F79B5">
      <w:pPr>
        <w:widowControl/>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仿宋_GB2312" w:eastAsia="仿宋_GB2312" w:cs="仿宋_GB2312"/>
          <w:color w:val="000000"/>
          <w:sz w:val="32"/>
          <w:szCs w:val="32"/>
          <w:lang w:val="en-US" w:eastAsia="zh-CN"/>
        </w:rPr>
        <w:t>规划范围内各区块用地面积如下：永福片区（区块1）22.9509公顷、建和组团（区块2）28.2027公顷、龙船坝组团（区块3）71.1535公顷、茨梨坝组团（区块4）52.3073公顷、炭库片区（区块5）26.6761公顷、舟坝片区（区块6）99.9213公顷</w:t>
      </w:r>
      <w:r>
        <w:rPr>
          <w:rFonts w:hint="eastAsia" w:ascii="仿宋_GB2312" w:hAnsi="宋体" w:eastAsia="仿宋_GB2312" w:cs="宋体"/>
          <w:color w:val="000000"/>
          <w:kern w:val="0"/>
          <w:sz w:val="32"/>
          <w:szCs w:val="32"/>
        </w:rPr>
        <w:t>。</w:t>
      </w:r>
    </w:p>
    <w:p w14:paraId="14CCAB89">
      <w:pPr>
        <w:keepNext w:val="0"/>
        <w:keepLines w:val="0"/>
        <w:pageBreakBefore w:val="0"/>
        <w:widowControl/>
        <w:kinsoku/>
        <w:wordWrap/>
        <w:overflowPunct/>
        <w:topLinePunct w:val="0"/>
        <w:autoSpaceDE/>
        <w:autoSpaceDN/>
        <w:bidi w:val="0"/>
        <w:adjustRightInd/>
        <w:snapToGrid/>
        <w:spacing w:before="157" w:beforeLines="50" w:line="360" w:lineRule="auto"/>
        <w:ind w:firstLine="0"/>
        <w:jc w:val="center"/>
        <w:textAlignment w:val="auto"/>
        <w:outlineLvl w:val="0"/>
        <w:rPr>
          <w:rFonts w:hint="eastAsia" w:ascii="黑体" w:hAnsi="黑体" w:eastAsia="黑体" w:cs="宋体"/>
          <w:color w:val="000000"/>
          <w:kern w:val="0"/>
          <w:sz w:val="40"/>
          <w:szCs w:val="40"/>
        </w:rPr>
      </w:pPr>
      <w:r>
        <w:rPr>
          <w:rFonts w:hint="eastAsia" w:ascii="黑体" w:hAnsi="黑体" w:eastAsia="黑体" w:cs="宋体"/>
          <w:color w:val="000000"/>
          <w:kern w:val="0"/>
          <w:sz w:val="40"/>
          <w:szCs w:val="40"/>
        </w:rPr>
        <w:t>发展定位</w:t>
      </w:r>
      <w:r>
        <w:rPr>
          <w:rFonts w:hint="eastAsia" w:ascii="黑体" w:hAnsi="黑体" w:eastAsia="黑体" w:cs="宋体"/>
          <w:color w:val="000000"/>
          <w:kern w:val="0"/>
          <w:sz w:val="40"/>
          <w:szCs w:val="40"/>
          <w:lang w:val="en-US" w:eastAsia="zh-CN"/>
        </w:rPr>
        <w:t>与</w:t>
      </w:r>
      <w:r>
        <w:rPr>
          <w:rFonts w:hint="eastAsia" w:ascii="黑体" w:hAnsi="黑体" w:eastAsia="黑体" w:cs="宋体"/>
          <w:color w:val="000000"/>
          <w:kern w:val="0"/>
          <w:sz w:val="40"/>
          <w:szCs w:val="40"/>
        </w:rPr>
        <w:t>目标</w:t>
      </w:r>
    </w:p>
    <w:p w14:paraId="49C8E00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四</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发展定位</w:t>
      </w:r>
    </w:p>
    <w:p w14:paraId="74A3E830">
      <w:pPr>
        <w:widowControl/>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综合</w:t>
      </w:r>
      <w:r>
        <w:rPr>
          <w:rFonts w:hint="eastAsia" w:ascii="仿宋_GB2312" w:hAnsi="仿宋_GB2312" w:eastAsia="仿宋_GB2312" w:cs="仿宋_GB2312"/>
          <w:color w:val="000000"/>
          <w:sz w:val="32"/>
          <w:szCs w:val="32"/>
          <w:lang w:val="en-US" w:eastAsia="zh-CN"/>
        </w:rPr>
        <w:t>沐川县</w:t>
      </w:r>
      <w:r>
        <w:rPr>
          <w:rFonts w:hint="eastAsia" w:ascii="仿宋_GB2312" w:hAnsi="仿宋_GB2312" w:eastAsia="仿宋_GB2312" w:cs="仿宋_GB2312"/>
          <w:color w:val="000000"/>
          <w:sz w:val="32"/>
          <w:szCs w:val="32"/>
        </w:rPr>
        <w:t>发展条件分析，规划明确</w:t>
      </w:r>
      <w:r>
        <w:rPr>
          <w:rFonts w:hint="eastAsia" w:ascii="仿宋_GB2312" w:hAnsi="仿宋_GB2312" w:eastAsia="仿宋_GB2312" w:cs="仿宋_GB2312"/>
          <w:color w:val="000000"/>
          <w:sz w:val="32"/>
          <w:szCs w:val="32"/>
          <w:lang w:val="en-US" w:eastAsia="zh-CN"/>
        </w:rPr>
        <w:t>四川沐川经济开发区</w:t>
      </w:r>
      <w:r>
        <w:rPr>
          <w:rFonts w:hint="eastAsia" w:ascii="仿宋_GB2312" w:hAnsi="仿宋_GB2312" w:eastAsia="仿宋_GB2312" w:cs="仿宋_GB2312"/>
          <w:color w:val="000000"/>
          <w:sz w:val="32"/>
          <w:szCs w:val="32"/>
        </w:rPr>
        <w:t>围绕全县</w:t>
      </w:r>
      <w:r>
        <w:rPr>
          <w:rFonts w:hint="eastAsia" w:ascii="仿宋_GB2312" w:hAnsi="宋体" w:eastAsia="仿宋_GB2312" w:cs="宋体"/>
          <w:color w:val="000000"/>
          <w:kern w:val="0"/>
          <w:sz w:val="32"/>
          <w:szCs w:val="32"/>
          <w:lang w:val="en-US" w:eastAsia="zh-CN"/>
        </w:rPr>
        <w:t>构建“131”现代产业体系</w:t>
      </w:r>
      <w:r>
        <w:rPr>
          <w:rFonts w:hint="eastAsia" w:ascii="仿宋_GB2312" w:hAnsi="仿宋_GB2312" w:eastAsia="仿宋_GB2312" w:cs="仿宋_GB2312"/>
          <w:color w:val="000000"/>
          <w:sz w:val="32"/>
          <w:szCs w:val="32"/>
        </w:rPr>
        <w:t>的目标任务，以新型生态工业为主线，以工业生产为核心功能，以林竹资源综合利用为特色，将</w:t>
      </w:r>
      <w:r>
        <w:rPr>
          <w:rFonts w:hint="eastAsia" w:ascii="仿宋_GB2312" w:hAnsi="仿宋_GB2312" w:eastAsia="仿宋_GB2312" w:cs="仿宋_GB2312"/>
          <w:color w:val="000000"/>
          <w:sz w:val="32"/>
          <w:szCs w:val="32"/>
          <w:lang w:val="en-US" w:eastAsia="zh-CN"/>
        </w:rPr>
        <w:t>经开区</w:t>
      </w:r>
      <w:r>
        <w:rPr>
          <w:rFonts w:hint="eastAsia" w:ascii="仿宋_GB2312" w:hAnsi="仿宋_GB2312" w:eastAsia="仿宋_GB2312" w:cs="仿宋_GB2312"/>
          <w:color w:val="000000"/>
          <w:sz w:val="32"/>
          <w:szCs w:val="32"/>
        </w:rPr>
        <w:t>打造为</w:t>
      </w:r>
      <w:r>
        <w:rPr>
          <w:rFonts w:hint="eastAsia" w:ascii="仿宋_GB2312" w:hAnsi="仿宋_GB2312" w:eastAsia="仿宋_GB2312" w:cs="仿宋_GB2312"/>
          <w:color w:val="000000"/>
          <w:sz w:val="32"/>
          <w:szCs w:val="32"/>
          <w:lang w:eastAsia="zh-CN"/>
        </w:rPr>
        <w:t>四川省特色农产品精深加工示范园区</w:t>
      </w:r>
      <w:r>
        <w:rPr>
          <w:rFonts w:hint="eastAsia" w:ascii="仿宋_GB2312" w:hAnsi="仿宋_GB2312" w:eastAsia="仿宋_GB2312" w:cs="仿宋_GB2312"/>
          <w:color w:val="000000"/>
          <w:sz w:val="32"/>
          <w:szCs w:val="32"/>
        </w:rPr>
        <w:t>，四川省绿色园区示范区</w:t>
      </w:r>
      <w:r>
        <w:rPr>
          <w:rFonts w:hint="eastAsia" w:ascii="仿宋_GB2312" w:hAnsi="仿宋_GB2312" w:eastAsia="仿宋_GB2312" w:cs="仿宋_GB2312"/>
          <w:color w:val="000000"/>
          <w:sz w:val="32"/>
          <w:szCs w:val="32"/>
          <w:lang w:val="en-US" w:eastAsia="zh-CN"/>
        </w:rPr>
        <w:t>。</w:t>
      </w:r>
    </w:p>
    <w:p w14:paraId="097F7F8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五</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发展目标</w:t>
      </w:r>
    </w:p>
    <w:p w14:paraId="143EC5CE">
      <w:pPr>
        <w:widowControl/>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全面落实省委省政府推进“治蜀兴川”重大部署、“一干多支”发展布局和市委市政府“</w:t>
      </w:r>
      <w:r>
        <w:rPr>
          <w:rFonts w:hint="eastAsia" w:ascii="仿宋_GB2312" w:hAnsi="仿宋_GB2312" w:eastAsia="仿宋_GB2312" w:cs="仿宋_GB2312"/>
          <w:color w:val="000000"/>
          <w:sz w:val="32"/>
          <w:szCs w:val="32"/>
          <w:lang w:val="en-US" w:eastAsia="zh-CN"/>
        </w:rPr>
        <w:t>工业</w:t>
      </w:r>
      <w:r>
        <w:rPr>
          <w:rFonts w:hint="eastAsia" w:ascii="仿宋_GB2312" w:hAnsi="仿宋_GB2312" w:eastAsia="仿宋_GB2312" w:cs="仿宋_GB2312"/>
          <w:color w:val="000000"/>
          <w:sz w:val="32"/>
          <w:szCs w:val="32"/>
        </w:rPr>
        <w:t>强市”各项工作部署，规划将</w:t>
      </w:r>
      <w:r>
        <w:rPr>
          <w:rFonts w:hint="eastAsia" w:ascii="仿宋_GB2312" w:hAnsi="仿宋_GB2312" w:eastAsia="仿宋_GB2312" w:cs="仿宋_GB2312"/>
          <w:color w:val="000000"/>
          <w:sz w:val="32"/>
          <w:szCs w:val="32"/>
          <w:lang w:val="en-US" w:eastAsia="zh-CN"/>
        </w:rPr>
        <w:t>经开区</w:t>
      </w:r>
      <w:r>
        <w:rPr>
          <w:rFonts w:hint="eastAsia" w:ascii="仿宋_GB2312" w:hAnsi="仿宋_GB2312" w:eastAsia="仿宋_GB2312" w:cs="仿宋_GB2312"/>
          <w:color w:val="000000"/>
          <w:sz w:val="32"/>
          <w:szCs w:val="32"/>
        </w:rPr>
        <w:t>建设成为规模合理、用地集约、定位明确、产业特色鲜明、循环联动、产业链完整、基础设施配套完善的绿色生态工业园区，将其培养成为沐川县经济发展的重要支撑点；</w:t>
      </w:r>
      <w:r>
        <w:rPr>
          <w:rFonts w:ascii="仿宋_GB2312" w:hAnsi="仿宋_GB2312" w:eastAsia="仿宋_GB2312" w:cs="仿宋_GB2312"/>
          <w:color w:val="000000"/>
          <w:sz w:val="32"/>
          <w:szCs w:val="32"/>
        </w:rPr>
        <w:t>构建绿色工业体系，形成具有沐川特色的新型工业化格局</w:t>
      </w:r>
      <w:r>
        <w:rPr>
          <w:rFonts w:hint="eastAsia" w:ascii="仿宋_GB2312" w:hAnsi="仿宋_GB2312" w:eastAsia="仿宋_GB2312" w:cs="仿宋_GB2312"/>
          <w:color w:val="000000"/>
          <w:sz w:val="32"/>
          <w:szCs w:val="32"/>
          <w:lang w:val="en-US" w:eastAsia="zh-CN"/>
        </w:rPr>
        <w:t>。</w:t>
      </w:r>
    </w:p>
    <w:p w14:paraId="2A4D42DA">
      <w:pPr>
        <w:keepNext w:val="0"/>
        <w:keepLines w:val="0"/>
        <w:pageBreakBefore w:val="0"/>
        <w:widowControl/>
        <w:kinsoku/>
        <w:wordWrap/>
        <w:overflowPunct/>
        <w:topLinePunct w:val="0"/>
        <w:autoSpaceDE/>
        <w:autoSpaceDN/>
        <w:bidi w:val="0"/>
        <w:adjustRightInd/>
        <w:snapToGrid/>
        <w:spacing w:before="157" w:beforeLines="50" w:line="360" w:lineRule="auto"/>
        <w:ind w:firstLine="0"/>
        <w:jc w:val="center"/>
        <w:textAlignment w:val="auto"/>
        <w:outlineLvl w:val="0"/>
        <w:rPr>
          <w:rFonts w:hint="eastAsia" w:ascii="黑体" w:hAnsi="黑体" w:eastAsia="黑体" w:cs="宋体"/>
          <w:color w:val="000000"/>
          <w:kern w:val="0"/>
          <w:sz w:val="40"/>
          <w:szCs w:val="40"/>
        </w:rPr>
      </w:pPr>
      <w:r>
        <w:rPr>
          <w:rFonts w:hint="eastAsia" w:ascii="黑体" w:hAnsi="黑体" w:eastAsia="黑体" w:cs="宋体"/>
          <w:color w:val="000000"/>
          <w:kern w:val="0"/>
          <w:sz w:val="40"/>
          <w:szCs w:val="40"/>
          <w:lang w:val="en-US" w:eastAsia="zh-CN"/>
        </w:rPr>
        <w:t>产业发展规划</w:t>
      </w:r>
    </w:p>
    <w:p w14:paraId="6ED81C3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六</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产业定位</w:t>
      </w:r>
    </w:p>
    <w:p w14:paraId="340F8429">
      <w:pPr>
        <w:spacing w:line="560" w:lineRule="exact"/>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color w:val="000000"/>
          <w:sz w:val="32"/>
          <w:szCs w:val="32"/>
        </w:rPr>
        <w:t>以工业生产为核心功能，</w:t>
      </w:r>
      <w:r>
        <w:rPr>
          <w:rFonts w:hint="default" w:ascii="Times New Roman" w:hAnsi="Times New Roman" w:eastAsia="仿宋_GB2312" w:cs="Times New Roman"/>
          <w:color w:val="auto"/>
          <w:kern w:val="2"/>
          <w:sz w:val="32"/>
          <w:szCs w:val="32"/>
          <w:lang w:val="en-US" w:eastAsia="zh-CN" w:bidi="ar-SA"/>
        </w:rPr>
        <w:t>依托沐川产业基础和资源优势</w:t>
      </w:r>
      <w:r>
        <w:rPr>
          <w:rFonts w:hint="eastAsia" w:ascii="仿宋_GB2312" w:hAnsi="仿宋_GB2312" w:eastAsia="仿宋_GB2312" w:cs="仿宋_GB2312"/>
          <w:color w:val="000000"/>
          <w:sz w:val="32"/>
          <w:szCs w:val="32"/>
        </w:rPr>
        <w:t>，</w:t>
      </w:r>
      <w:r>
        <w:rPr>
          <w:rFonts w:hint="default" w:ascii="Times New Roman" w:hAnsi="Times New Roman" w:eastAsia="仿宋_GB2312" w:cs="Times New Roman"/>
          <w:color w:val="auto"/>
          <w:kern w:val="2"/>
          <w:sz w:val="32"/>
          <w:szCs w:val="32"/>
          <w:lang w:val="en-US" w:eastAsia="zh-CN" w:bidi="ar-SA"/>
        </w:rPr>
        <w:t>做强做大制浆</w:t>
      </w:r>
      <w:r>
        <w:rPr>
          <w:rFonts w:hint="eastAsia" w:ascii="Times New Roman" w:hAnsi="Times New Roman" w:eastAsia="仿宋_GB2312" w:cs="Times New Roman"/>
          <w:color w:val="auto"/>
          <w:kern w:val="2"/>
          <w:sz w:val="32"/>
          <w:szCs w:val="32"/>
          <w:lang w:val="en-US" w:eastAsia="zh-CN" w:bidi="ar-SA"/>
        </w:rPr>
        <w:t>造纸</w:t>
      </w:r>
      <w:r>
        <w:rPr>
          <w:rFonts w:hint="default" w:ascii="Times New Roman" w:hAnsi="Times New Roman" w:eastAsia="仿宋_GB2312" w:cs="Times New Roman"/>
          <w:color w:val="auto"/>
          <w:kern w:val="2"/>
          <w:sz w:val="32"/>
          <w:szCs w:val="32"/>
          <w:lang w:val="en-US" w:eastAsia="zh-CN" w:bidi="ar-SA"/>
        </w:rPr>
        <w:t>和纸制品业，做强做精以林竹、茶、魔芋为重点的特色农产品精深加工业</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改造提升矿产资源产业，培育发展清洁能源产业，将</w:t>
      </w:r>
      <w:r>
        <w:rPr>
          <w:rFonts w:hint="eastAsia" w:ascii="Times New Roman" w:hAnsi="Times New Roman" w:eastAsia="仿宋_GB2312" w:cs="Times New Roman"/>
          <w:color w:val="auto"/>
          <w:kern w:val="2"/>
          <w:sz w:val="32"/>
          <w:szCs w:val="32"/>
          <w:lang w:val="en-US" w:eastAsia="zh-CN" w:bidi="ar-SA"/>
        </w:rPr>
        <w:t>经开区</w:t>
      </w:r>
      <w:r>
        <w:rPr>
          <w:rFonts w:hint="default" w:ascii="Times New Roman" w:hAnsi="Times New Roman" w:eastAsia="仿宋_GB2312" w:cs="Times New Roman"/>
          <w:color w:val="auto"/>
          <w:kern w:val="2"/>
          <w:sz w:val="32"/>
          <w:szCs w:val="32"/>
          <w:lang w:val="en-US" w:eastAsia="zh-CN" w:bidi="ar-SA"/>
        </w:rPr>
        <w:t>打造为</w:t>
      </w:r>
      <w:r>
        <w:rPr>
          <w:rFonts w:hint="eastAsia" w:ascii="仿宋_GB2312" w:hAnsi="仿宋_GB2312" w:eastAsia="仿宋_GB2312" w:cs="仿宋_GB2312"/>
          <w:color w:val="000000"/>
          <w:sz w:val="32"/>
          <w:szCs w:val="32"/>
          <w:lang w:eastAsia="zh-CN"/>
        </w:rPr>
        <w:t>四川省特色农产品精深加工示范园区</w:t>
      </w:r>
      <w:r>
        <w:rPr>
          <w:rFonts w:hint="default" w:ascii="Times New Roman" w:hAnsi="Times New Roman" w:eastAsia="仿宋_GB2312" w:cs="Times New Roman"/>
          <w:color w:val="auto"/>
          <w:kern w:val="2"/>
          <w:sz w:val="32"/>
          <w:szCs w:val="32"/>
          <w:lang w:val="en-US" w:eastAsia="zh-CN" w:bidi="ar-SA"/>
        </w:rPr>
        <w:t>，四川省绿色园区示范区</w:t>
      </w:r>
      <w:r>
        <w:rPr>
          <w:rFonts w:hint="eastAsia" w:ascii="Times New Roman" w:hAnsi="Times New Roman" w:eastAsia="仿宋_GB2312" w:cs="Times New Roman"/>
          <w:color w:val="auto"/>
          <w:kern w:val="2"/>
          <w:sz w:val="32"/>
          <w:szCs w:val="32"/>
          <w:lang w:val="en-US" w:eastAsia="zh-CN" w:bidi="ar-SA"/>
        </w:rPr>
        <w:t>。</w:t>
      </w:r>
    </w:p>
    <w:p w14:paraId="15936F9A">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000000"/>
          <w:sz w:val="32"/>
          <w:szCs w:val="32"/>
          <w:lang w:val="en-US" w:eastAsia="zh-CN"/>
        </w:rPr>
        <w:t>四川省特色农产品精深加工示范园区：</w:t>
      </w:r>
      <w:r>
        <w:rPr>
          <w:rFonts w:hint="eastAsia" w:ascii="仿宋_GB2312" w:hAnsi="仿宋_GB2312" w:eastAsia="仿宋_GB2312" w:cs="仿宋_GB2312"/>
          <w:color w:val="auto"/>
          <w:kern w:val="2"/>
          <w:sz w:val="32"/>
          <w:szCs w:val="32"/>
          <w:highlight w:val="none"/>
          <w:u w:val="none"/>
          <w:lang w:val="en-US" w:eastAsia="zh-CN" w:bidi="ar-SA"/>
        </w:rPr>
        <w:t>沐川县现已形成以林竹为主导，优质茶叶、优质猕猴桃、林下养殖、林下种植、生态水产养殖为重点的“一主两优三特色”特色现代农业产业，农产品丰富，是四川省竹产业高质量发展县、中国竹子之乡、中国紫茶之乡，中国魔芋之乡。立足</w:t>
      </w:r>
      <w:r>
        <w:rPr>
          <w:rFonts w:hint="default" w:ascii="仿宋_GB2312" w:hAnsi="仿宋_GB2312" w:eastAsia="仿宋_GB2312" w:cs="仿宋_GB2312"/>
          <w:color w:val="auto"/>
          <w:kern w:val="2"/>
          <w:sz w:val="32"/>
          <w:szCs w:val="32"/>
          <w:highlight w:val="none"/>
          <w:u w:val="none"/>
          <w:lang w:val="en-US" w:eastAsia="zh-CN" w:bidi="ar-SA"/>
        </w:rPr>
        <w:t>农副食品加工业和造纸与纸制品业</w:t>
      </w:r>
      <w:r>
        <w:rPr>
          <w:rFonts w:hint="eastAsia" w:ascii="仿宋_GB2312" w:hAnsi="仿宋_GB2312" w:eastAsia="仿宋_GB2312" w:cs="仿宋_GB2312"/>
          <w:color w:val="auto"/>
          <w:kern w:val="2"/>
          <w:sz w:val="32"/>
          <w:szCs w:val="32"/>
          <w:highlight w:val="none"/>
          <w:u w:val="none"/>
          <w:lang w:val="en-US" w:eastAsia="zh-CN" w:bidi="ar-SA"/>
        </w:rPr>
        <w:t>两个</w:t>
      </w:r>
      <w:r>
        <w:rPr>
          <w:rFonts w:hint="default" w:ascii="仿宋_GB2312" w:hAnsi="仿宋_GB2312" w:eastAsia="仿宋_GB2312" w:cs="仿宋_GB2312"/>
          <w:color w:val="auto"/>
          <w:kern w:val="2"/>
          <w:sz w:val="32"/>
          <w:szCs w:val="32"/>
          <w:highlight w:val="none"/>
          <w:u w:val="none"/>
          <w:lang w:val="en-US" w:eastAsia="zh-CN" w:bidi="ar-SA"/>
        </w:rPr>
        <w:t>主导产业，</w:t>
      </w:r>
      <w:r>
        <w:rPr>
          <w:rFonts w:hint="eastAsia" w:ascii="仿宋_GB2312" w:hAnsi="仿宋_GB2312" w:eastAsia="仿宋_GB2312" w:cs="仿宋_GB2312"/>
          <w:color w:val="auto"/>
          <w:kern w:val="2"/>
          <w:sz w:val="32"/>
          <w:szCs w:val="32"/>
          <w:highlight w:val="none"/>
          <w:u w:val="none"/>
          <w:lang w:val="en-US" w:eastAsia="zh-CN" w:bidi="ar-SA"/>
        </w:rPr>
        <w:t>不断强圈强链，全力将开发区建成以竹、魔芋产品精深加工为优势特色的四川省特色农产品精深加工示范园区。</w:t>
      </w:r>
    </w:p>
    <w:p w14:paraId="501159BE">
      <w:pPr>
        <w:widowControl/>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val="0"/>
          <w:color w:val="auto"/>
          <w:kern w:val="2"/>
          <w:sz w:val="32"/>
          <w:szCs w:val="32"/>
          <w:highlight w:val="none"/>
          <w:u w:val="none"/>
          <w:lang w:val="en-US" w:eastAsia="zh-CN" w:bidi="ar-SA"/>
        </w:rPr>
        <w:t>四川省绿色园区示范区：</w:t>
      </w:r>
      <w:r>
        <w:rPr>
          <w:rFonts w:hint="eastAsia" w:ascii="仿宋_GB2312" w:hAnsi="仿宋_GB2312" w:eastAsia="仿宋_GB2312" w:cs="仿宋_GB2312"/>
          <w:color w:val="auto"/>
          <w:kern w:val="2"/>
          <w:sz w:val="32"/>
          <w:szCs w:val="32"/>
          <w:highlight w:val="none"/>
          <w:u w:val="none"/>
          <w:lang w:val="en-US" w:eastAsia="zh-CN" w:bidi="ar-SA"/>
        </w:rPr>
        <w:t>突出生态建设和环境保护，把好入区“关”，引进高质量绿色企业和项目，实施尾气综合利用、废竹资源综合利用、玄武岩纤维项目、“以竹代塑”项目等，着力提高资源综合利用水平。加强节能降耗和清洁生产，实施一批节能降碳减排技改项目，实现园区企业绿色清洁生产。实现开发区产业绿色化、企业绿色化，全力将开发区建成四川省绿色园区示范区</w:t>
      </w:r>
      <w:r>
        <w:rPr>
          <w:rFonts w:hint="eastAsia" w:ascii="仿宋_GB2312" w:hAnsi="仿宋_GB2312" w:eastAsia="仿宋_GB2312" w:cs="仿宋_GB2312"/>
          <w:color w:val="000000"/>
          <w:sz w:val="32"/>
          <w:szCs w:val="32"/>
          <w:lang w:val="en-US" w:eastAsia="zh-CN"/>
        </w:rPr>
        <w:t>。</w:t>
      </w:r>
    </w:p>
    <w:p w14:paraId="3BEA9069">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default" w:ascii="黑体" w:hAnsi="黑体" w:eastAsia="黑体" w:cs="黑体"/>
          <w:color w:val="000000"/>
          <w:kern w:val="0"/>
          <w:sz w:val="32"/>
          <w:szCs w:val="32"/>
          <w:lang w:val="en-US"/>
        </w:rPr>
      </w:pPr>
      <w:r>
        <w:rPr>
          <w:rFonts w:hint="eastAsia" w:ascii="黑体" w:hAnsi="黑体" w:eastAsia="黑体" w:cs="黑体"/>
          <w:color w:val="000000"/>
          <w:kern w:val="0"/>
          <w:sz w:val="32"/>
          <w:szCs w:val="32"/>
          <w:lang w:val="en-US" w:eastAsia="zh-CN"/>
        </w:rPr>
        <w:t>七</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产业体系</w:t>
      </w:r>
    </w:p>
    <w:p w14:paraId="77F17244">
      <w:pPr>
        <w:spacing w:line="560" w:lineRule="exact"/>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四川</w:t>
      </w:r>
      <w:r>
        <w:rPr>
          <w:rFonts w:hint="default" w:ascii="Times New Roman" w:hAnsi="Times New Roman" w:eastAsia="仿宋_GB2312" w:cs="Times New Roman"/>
          <w:color w:val="auto"/>
          <w:kern w:val="2"/>
          <w:sz w:val="32"/>
          <w:szCs w:val="32"/>
          <w:lang w:val="en-US" w:eastAsia="zh-CN" w:bidi="ar-SA"/>
        </w:rPr>
        <w:t>沐川</w:t>
      </w:r>
      <w:r>
        <w:rPr>
          <w:rFonts w:hint="eastAsia" w:ascii="Times New Roman" w:hAnsi="Times New Roman" w:eastAsia="仿宋_GB2312" w:cs="Times New Roman"/>
          <w:color w:val="auto"/>
          <w:kern w:val="2"/>
          <w:sz w:val="32"/>
          <w:szCs w:val="32"/>
          <w:lang w:val="en-US" w:eastAsia="zh-CN" w:bidi="ar-SA"/>
        </w:rPr>
        <w:t>经济开发区以</w:t>
      </w:r>
      <w:r>
        <w:rPr>
          <w:rFonts w:hint="default" w:ascii="Times New Roman" w:hAnsi="Times New Roman" w:eastAsia="仿宋_GB2312" w:cs="Times New Roman"/>
          <w:color w:val="auto"/>
          <w:kern w:val="2"/>
          <w:sz w:val="32"/>
          <w:szCs w:val="32"/>
          <w:lang w:val="en-US" w:eastAsia="zh-CN" w:bidi="ar-SA"/>
        </w:rPr>
        <w:t>农副食品加工</w:t>
      </w:r>
      <w:r>
        <w:rPr>
          <w:rFonts w:hint="eastAsia" w:ascii="Times New Roman" w:hAnsi="Times New Roman" w:eastAsia="仿宋_GB2312" w:cs="Times New Roman"/>
          <w:color w:val="auto"/>
          <w:kern w:val="2"/>
          <w:sz w:val="32"/>
          <w:szCs w:val="32"/>
          <w:lang w:val="en-US" w:eastAsia="zh-CN" w:bidi="ar-SA"/>
        </w:rPr>
        <w:t>业</w:t>
      </w:r>
      <w:r>
        <w:rPr>
          <w:rFonts w:hint="default" w:ascii="Times New Roman" w:hAnsi="Times New Roman" w:eastAsia="仿宋_GB2312" w:cs="Times New Roman"/>
          <w:color w:val="auto"/>
          <w:kern w:val="2"/>
          <w:sz w:val="32"/>
          <w:szCs w:val="32"/>
          <w:lang w:val="en-US" w:eastAsia="zh-CN" w:bidi="ar-SA"/>
        </w:rPr>
        <w:t>，造纸和纸制品</w:t>
      </w:r>
      <w:r>
        <w:rPr>
          <w:rFonts w:hint="eastAsia" w:ascii="Times New Roman" w:hAnsi="Times New Roman" w:eastAsia="仿宋_GB2312" w:cs="Times New Roman"/>
          <w:color w:val="auto"/>
          <w:kern w:val="2"/>
          <w:sz w:val="32"/>
          <w:szCs w:val="32"/>
          <w:lang w:val="en-US" w:eastAsia="zh-CN" w:bidi="ar-SA"/>
        </w:rPr>
        <w:t>业为</w:t>
      </w:r>
      <w:r>
        <w:rPr>
          <w:rFonts w:hint="default" w:ascii="Times New Roman" w:hAnsi="Times New Roman" w:eastAsia="仿宋_GB2312" w:cs="Times New Roman"/>
          <w:color w:val="auto"/>
          <w:kern w:val="2"/>
          <w:sz w:val="32"/>
          <w:szCs w:val="32"/>
          <w:lang w:val="en-US" w:eastAsia="zh-CN" w:bidi="ar-SA"/>
        </w:rPr>
        <w:t>主导产业，辅助提升</w:t>
      </w:r>
      <w:r>
        <w:rPr>
          <w:rFonts w:hint="eastAsia" w:ascii="Times New Roman" w:hAnsi="Times New Roman" w:eastAsia="仿宋_GB2312" w:cs="Times New Roman"/>
          <w:color w:val="auto"/>
          <w:kern w:val="2"/>
          <w:sz w:val="32"/>
          <w:szCs w:val="32"/>
          <w:lang w:val="en-US" w:eastAsia="zh-CN" w:bidi="ar-SA"/>
        </w:rPr>
        <w:t>清洁</w:t>
      </w:r>
      <w:r>
        <w:rPr>
          <w:rFonts w:hint="default" w:ascii="Times New Roman" w:hAnsi="Times New Roman" w:eastAsia="仿宋_GB2312" w:cs="Times New Roman"/>
          <w:color w:val="auto"/>
          <w:kern w:val="2"/>
          <w:sz w:val="32"/>
          <w:szCs w:val="32"/>
          <w:lang w:val="en-US" w:eastAsia="zh-CN" w:bidi="ar-SA"/>
        </w:rPr>
        <w:t>能源新材料产业</w:t>
      </w:r>
      <w:r>
        <w:rPr>
          <w:rFonts w:hint="eastAsia" w:ascii="Times New Roman" w:hAnsi="Times New Roman" w:eastAsia="仿宋_GB2312" w:cs="Times New Roman"/>
          <w:color w:val="auto"/>
          <w:kern w:val="2"/>
          <w:sz w:val="32"/>
          <w:szCs w:val="32"/>
          <w:lang w:val="en-US" w:eastAsia="zh-CN" w:bidi="ar-SA"/>
        </w:rPr>
        <w:t>。</w:t>
      </w:r>
    </w:p>
    <w:p w14:paraId="62B3D105">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auto"/>
          <w:kern w:val="2"/>
          <w:sz w:val="32"/>
          <w:szCs w:val="32"/>
          <w:lang w:val="en-US" w:eastAsia="zh-CN" w:bidi="ar-SA"/>
        </w:rPr>
        <w:t>1.农副食品加工业</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突出发展林竹、茶叶、魔芋三大特色优势产业，做强做精以林竹、茶、魔芋为重点的特色农产品精深加工业。</w:t>
      </w:r>
    </w:p>
    <w:p w14:paraId="243132CD">
      <w:pPr>
        <w:widowControl/>
        <w:spacing w:line="56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2.造纸和纸制品业</w:t>
      </w:r>
      <w:r>
        <w:rPr>
          <w:rFonts w:hint="eastAsia" w:ascii="仿宋_GB2312" w:hAnsi="仿宋_GB2312" w:eastAsia="仿宋_GB2312" w:cs="仿宋_GB2312"/>
          <w:b w:val="0"/>
          <w:bCs w:val="0"/>
          <w:color w:val="000000"/>
          <w:sz w:val="32"/>
          <w:szCs w:val="32"/>
        </w:rPr>
        <w:t>。</w:t>
      </w:r>
      <w:r>
        <w:rPr>
          <w:rFonts w:hint="eastAsia" w:ascii="Times New Roman" w:hAnsi="Times New Roman" w:eastAsia="仿宋_GB2312" w:cs="Times New Roman"/>
          <w:b w:val="0"/>
          <w:bCs w:val="0"/>
          <w:color w:val="auto"/>
          <w:kern w:val="2"/>
          <w:sz w:val="32"/>
          <w:szCs w:val="32"/>
          <w:lang w:val="en-US" w:eastAsia="zh-CN" w:bidi="ar-SA"/>
        </w:rPr>
        <w:t>重点做强竹浆纸，做实以竹代塑，做优竹文旅，建成国家林竹产业示范园区，推动建设成为全国竹产业高质量发展百亿强县。推进开展竹原料基地建设与加工企业配套布局，建立竹产品综合产业集聚区，提升原料的综合利用水平，实现竹加工产业的集群化发展</w:t>
      </w:r>
      <w:r>
        <w:rPr>
          <w:rFonts w:hint="eastAsia" w:ascii="仿宋_GB2312" w:hAnsi="宋体" w:eastAsia="仿宋_GB2312" w:cs="宋体"/>
          <w:color w:val="000000"/>
          <w:kern w:val="0"/>
          <w:sz w:val="32"/>
          <w:szCs w:val="32"/>
          <w:highlight w:val="none"/>
        </w:rPr>
        <w:t>。</w:t>
      </w:r>
    </w:p>
    <w:p w14:paraId="29F8F895">
      <w:pPr>
        <w:widowControl/>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3.清洁能源新材料产业</w:t>
      </w:r>
      <w:r>
        <w:rPr>
          <w:rFonts w:hint="eastAsia" w:ascii="仿宋_GB2312" w:hAnsi="仿宋_GB2312" w:eastAsia="仿宋_GB2312" w:cs="仿宋_GB2312"/>
          <w:b w:val="0"/>
          <w:bCs w:val="0"/>
          <w:color w:val="000000"/>
          <w:sz w:val="32"/>
          <w:szCs w:val="32"/>
        </w:rPr>
        <w:t>。</w:t>
      </w:r>
      <w:r>
        <w:rPr>
          <w:rFonts w:hint="eastAsia" w:ascii="Times New Roman" w:hAnsi="Times New Roman" w:eastAsia="仿宋_GB2312" w:cs="Times New Roman"/>
          <w:b w:val="0"/>
          <w:bCs w:val="0"/>
          <w:color w:val="auto"/>
          <w:kern w:val="2"/>
          <w:sz w:val="32"/>
          <w:szCs w:val="32"/>
          <w:lang w:val="en-US" w:eastAsia="zh-CN" w:bidi="ar-SA"/>
        </w:rPr>
        <w:t>积极培育新兴产业，加快产业结构转型升级，严格控制高耗能、高排放项目建设。推动舟坝产业转型为绿色清洁能源新材料产业园，创建玄武岩产业园。</w:t>
      </w:r>
    </w:p>
    <w:p w14:paraId="2F93B27C">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default" w:ascii="黑体" w:hAnsi="黑体" w:eastAsia="黑体" w:cs="黑体"/>
          <w:color w:val="000000"/>
          <w:kern w:val="0"/>
          <w:sz w:val="32"/>
          <w:szCs w:val="32"/>
          <w:lang w:val="en-US"/>
        </w:rPr>
      </w:pPr>
      <w:r>
        <w:rPr>
          <w:rFonts w:hint="eastAsia" w:ascii="黑体" w:hAnsi="黑体" w:eastAsia="黑体" w:cs="黑体"/>
          <w:color w:val="000000"/>
          <w:kern w:val="0"/>
          <w:sz w:val="32"/>
          <w:szCs w:val="32"/>
          <w:lang w:val="en-US" w:eastAsia="zh-CN"/>
        </w:rPr>
        <w:t>八</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产业空间布局</w:t>
      </w:r>
    </w:p>
    <w:p w14:paraId="009C72BB">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园区产业结构为“一</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rPr>
        <w:t>三片”，“一</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val="en-US" w:eastAsia="zh-CN"/>
        </w:rPr>
        <w:t>四川沐川经济开发区</w:t>
      </w:r>
      <w:r>
        <w:rPr>
          <w:rFonts w:hint="eastAsia" w:ascii="仿宋_GB2312" w:hAnsi="仿宋_GB2312" w:eastAsia="仿宋_GB2312" w:cs="仿宋_GB2312"/>
          <w:color w:val="000000"/>
          <w:sz w:val="32"/>
          <w:szCs w:val="32"/>
        </w:rPr>
        <w:t>，“三片”分别为浆纸纤维产业片区、</w:t>
      </w:r>
      <w:r>
        <w:rPr>
          <w:rFonts w:hint="eastAsia" w:ascii="仿宋_GB2312" w:hAnsi="仿宋_GB2312" w:eastAsia="仿宋_GB2312" w:cs="仿宋_GB2312"/>
          <w:color w:val="000000"/>
          <w:sz w:val="32"/>
          <w:szCs w:val="32"/>
          <w:lang w:val="en-US" w:eastAsia="zh-CN"/>
        </w:rPr>
        <w:t>绿色制品产业片区和清洁</w:t>
      </w:r>
      <w:r>
        <w:rPr>
          <w:rFonts w:hint="eastAsia" w:ascii="仿宋_GB2312" w:hAnsi="仿宋_GB2312" w:eastAsia="仿宋_GB2312" w:cs="仿宋_GB2312"/>
          <w:color w:val="000000"/>
          <w:sz w:val="32"/>
          <w:szCs w:val="32"/>
        </w:rPr>
        <w:t>能源新材料产业片区。</w:t>
      </w:r>
    </w:p>
    <w:p w14:paraId="5DE91544">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经开区</w:t>
      </w:r>
      <w:r>
        <w:rPr>
          <w:rFonts w:hint="eastAsia" w:ascii="仿宋_GB2312" w:hAnsi="仿宋_GB2312" w:eastAsia="仿宋_GB2312" w:cs="仿宋_GB2312"/>
          <w:color w:val="000000"/>
          <w:sz w:val="32"/>
          <w:szCs w:val="32"/>
        </w:rPr>
        <w:t>产业按照各产业片区定位进行布局：</w:t>
      </w:r>
    </w:p>
    <w:p w14:paraId="0FF1C99D">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1.浆纸纤维产业片区由县城片区（龙船坝组团</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建和组团</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永福片区</w:t>
      </w:r>
      <w:r>
        <w:rPr>
          <w:rFonts w:hint="eastAsia" w:ascii="仿宋_GB2312" w:hAnsi="仿宋_GB2312" w:eastAsia="仿宋_GB2312" w:cs="仿宋_GB2312"/>
          <w:color w:val="000000"/>
          <w:sz w:val="32"/>
          <w:szCs w:val="32"/>
          <w:lang w:val="en-US" w:eastAsia="zh-CN"/>
        </w:rPr>
        <w:t>和炭库片区</w:t>
      </w:r>
      <w:r>
        <w:rPr>
          <w:rFonts w:hint="eastAsia" w:ascii="仿宋_GB2312" w:hAnsi="仿宋_GB2312" w:eastAsia="仿宋_GB2312" w:cs="仿宋_GB2312"/>
          <w:color w:val="000000"/>
          <w:sz w:val="32"/>
          <w:szCs w:val="32"/>
        </w:rPr>
        <w:t>组成，</w:t>
      </w:r>
      <w:r>
        <w:rPr>
          <w:rFonts w:hint="eastAsia" w:ascii="仿宋_GB2312" w:hAnsi="仿宋_GB2312" w:eastAsia="仿宋_GB2312" w:cs="仿宋_GB2312"/>
          <w:color w:val="000000"/>
          <w:sz w:val="32"/>
          <w:szCs w:val="32"/>
          <w:lang w:val="en-US" w:eastAsia="zh-CN"/>
        </w:rPr>
        <w:t>以发展造纸与纸制品业为主导产业，</w:t>
      </w:r>
      <w:r>
        <w:rPr>
          <w:rFonts w:hint="eastAsia" w:ascii="仿宋_GB2312" w:hAnsi="仿宋_GB2312" w:eastAsia="仿宋_GB2312" w:cs="仿宋_GB2312"/>
          <w:color w:val="000000"/>
          <w:sz w:val="32"/>
          <w:szCs w:val="32"/>
        </w:rPr>
        <w:t>打造建成以竹纤维、竹食品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制浆、造纸</w:t>
      </w:r>
      <w:r>
        <w:rPr>
          <w:rFonts w:hint="eastAsia" w:ascii="仿宋_GB2312" w:hAnsi="仿宋_GB2312" w:eastAsia="仿宋_GB2312" w:cs="仿宋_GB2312"/>
          <w:color w:val="000000"/>
          <w:sz w:val="32"/>
          <w:szCs w:val="32"/>
        </w:rPr>
        <w:t>等为特色的竹浆纸一体化产业片区，重点发展制浆造纸及生物基材料制造产业；</w:t>
      </w:r>
    </w:p>
    <w:p w14:paraId="2D9E4078">
      <w:pPr>
        <w:spacing w:line="560" w:lineRule="exact"/>
        <w:ind w:firstLine="640" w:firstLineChars="200"/>
        <w:rPr>
          <w:rFonts w:hint="eastAsia" w:ascii="仿宋_GB2312" w:hAnsi="仿宋_GB2312" w:eastAsia="仿宋_GB2312" w:cs="仿宋_GB2312"/>
          <w:color w:val="000000"/>
          <w:sz w:val="32"/>
          <w:szCs w:val="32"/>
        </w:rPr>
      </w:pPr>
      <w:bookmarkStart w:id="3" w:name="_Hlk161963481"/>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绿色制品</w:t>
      </w:r>
      <w:r>
        <w:rPr>
          <w:rFonts w:hint="eastAsia" w:ascii="仿宋_GB2312" w:hAnsi="仿宋_GB2312" w:eastAsia="仿宋_GB2312" w:cs="仿宋_GB2312"/>
          <w:color w:val="000000"/>
          <w:sz w:val="32"/>
          <w:szCs w:val="32"/>
        </w:rPr>
        <w:t>产业片区由县城片区（茨梨坝组团）组成，</w:t>
      </w:r>
      <w:r>
        <w:rPr>
          <w:rFonts w:hint="eastAsia" w:ascii="仿宋_GB2312" w:hAnsi="仿宋_GB2312" w:eastAsia="仿宋_GB2312" w:cs="仿宋_GB2312"/>
          <w:color w:val="000000"/>
          <w:sz w:val="32"/>
          <w:szCs w:val="32"/>
          <w:lang w:val="en-US" w:eastAsia="zh-CN"/>
        </w:rPr>
        <w:t>以发展农副食品加工业为主导产业，</w:t>
      </w:r>
      <w:r>
        <w:rPr>
          <w:rFonts w:hint="eastAsia" w:ascii="仿宋_GB2312" w:hAnsi="仿宋_GB2312" w:eastAsia="仿宋_GB2312" w:cs="仿宋_GB2312"/>
          <w:color w:val="000000"/>
          <w:sz w:val="32"/>
          <w:szCs w:val="32"/>
        </w:rPr>
        <w:t>主要</w:t>
      </w:r>
      <w:r>
        <w:rPr>
          <w:rFonts w:hint="eastAsia" w:ascii="仿宋_GB2312" w:hAnsi="仿宋_GB2312" w:eastAsia="仿宋_GB2312" w:cs="仿宋_GB2312"/>
          <w:color w:val="000000"/>
          <w:sz w:val="32"/>
          <w:szCs w:val="32"/>
          <w:lang w:val="en-US" w:eastAsia="zh-CN"/>
        </w:rPr>
        <w:t>布局</w:t>
      </w:r>
      <w:r>
        <w:rPr>
          <w:rFonts w:hint="eastAsia" w:ascii="仿宋_GB2312" w:hAnsi="仿宋_GB2312" w:eastAsia="仿宋_GB2312" w:cs="仿宋_GB2312"/>
          <w:color w:val="000000"/>
          <w:sz w:val="32"/>
          <w:szCs w:val="32"/>
        </w:rPr>
        <w:t>绿色食品加工业（</w:t>
      </w:r>
      <w:r>
        <w:rPr>
          <w:rFonts w:hint="eastAsia" w:ascii="仿宋_GB2312" w:hAnsi="仿宋_GB2312" w:eastAsia="仿宋_GB2312" w:cs="仿宋_GB2312"/>
          <w:color w:val="000000"/>
          <w:sz w:val="32"/>
          <w:szCs w:val="32"/>
          <w:lang w:val="en-US" w:eastAsia="zh-CN"/>
        </w:rPr>
        <w:t>如</w:t>
      </w:r>
      <w:r>
        <w:rPr>
          <w:rFonts w:hint="eastAsia" w:ascii="仿宋_GB2312" w:hAnsi="仿宋_GB2312" w:eastAsia="仿宋_GB2312" w:cs="仿宋_GB2312"/>
          <w:color w:val="000000"/>
          <w:sz w:val="32"/>
          <w:szCs w:val="32"/>
        </w:rPr>
        <w:t>粮油食品加工产业、竹食品加工产业、高质量畜禽产品加工产业、酱腌菜加工产业等）、木材加工产业、木质制品制造产业、木质家具制造产业等</w:t>
      </w:r>
      <w:r>
        <w:rPr>
          <w:rFonts w:hint="eastAsia" w:ascii="仿宋_GB2312" w:hAnsi="仿宋_GB2312" w:eastAsia="仿宋_GB2312" w:cs="仿宋_GB2312"/>
          <w:color w:val="000000"/>
          <w:sz w:val="32"/>
          <w:szCs w:val="32"/>
          <w:lang w:val="en-US" w:eastAsia="zh-CN"/>
        </w:rPr>
        <w:t>低污染产业；</w:t>
      </w:r>
    </w:p>
    <w:p w14:paraId="14AD08FA">
      <w:pPr>
        <w:spacing w:line="560" w:lineRule="exact"/>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清洁</w:t>
      </w:r>
      <w:r>
        <w:rPr>
          <w:rFonts w:hint="eastAsia" w:ascii="仿宋_GB2312" w:hAnsi="仿宋_GB2312" w:eastAsia="仿宋_GB2312" w:cs="仿宋_GB2312"/>
          <w:color w:val="000000"/>
          <w:sz w:val="32"/>
          <w:szCs w:val="32"/>
        </w:rPr>
        <w:t>能源新材料产业</w:t>
      </w:r>
      <w:bookmarkEnd w:id="3"/>
      <w:r>
        <w:rPr>
          <w:rFonts w:hint="eastAsia" w:ascii="仿宋_GB2312" w:hAnsi="仿宋_GB2312" w:eastAsia="仿宋_GB2312" w:cs="仿宋_GB2312"/>
          <w:color w:val="000000"/>
          <w:sz w:val="32"/>
          <w:szCs w:val="32"/>
        </w:rPr>
        <w:t>片区由舟坝片区组成，主要布局炼焦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现状金石焦化公司</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重点</w:t>
      </w:r>
      <w:r>
        <w:rPr>
          <w:rFonts w:hint="eastAsia" w:ascii="仿宋_GB2312" w:hAnsi="仿宋_GB2312" w:eastAsia="仿宋_GB2312" w:cs="仿宋_GB2312"/>
          <w:color w:val="000000"/>
          <w:sz w:val="32"/>
          <w:szCs w:val="32"/>
        </w:rPr>
        <w:t>积极培育</w:t>
      </w:r>
      <w:r>
        <w:rPr>
          <w:rFonts w:hint="eastAsia" w:ascii="仿宋_GB2312" w:hAnsi="仿宋_GB2312" w:eastAsia="仿宋_GB2312" w:cs="仿宋_GB2312"/>
          <w:color w:val="000000"/>
          <w:sz w:val="32"/>
          <w:szCs w:val="32"/>
          <w:lang w:val="en-US" w:eastAsia="zh-CN"/>
        </w:rPr>
        <w:t>清洁</w:t>
      </w:r>
      <w:r>
        <w:rPr>
          <w:rFonts w:hint="eastAsia" w:ascii="仿宋_GB2312" w:hAnsi="仿宋_GB2312" w:eastAsia="仿宋_GB2312" w:cs="仿宋_GB2312"/>
          <w:color w:val="000000"/>
          <w:sz w:val="32"/>
          <w:szCs w:val="32"/>
        </w:rPr>
        <w:t>能源</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新材料</w:t>
      </w:r>
      <w:r>
        <w:rPr>
          <w:rFonts w:hint="eastAsia" w:ascii="仿宋_GB2312" w:hAnsi="仿宋_GB2312" w:eastAsia="仿宋_GB2312" w:cs="仿宋_GB2312"/>
          <w:color w:val="000000"/>
          <w:sz w:val="32"/>
          <w:szCs w:val="32"/>
        </w:rPr>
        <w:t>、节能环保等产业</w:t>
      </w:r>
      <w:r>
        <w:rPr>
          <w:rFonts w:hint="eastAsia" w:ascii="Times New Roman" w:hAnsi="Times New Roman" w:eastAsia="仿宋_GB2312" w:cs="Times New Roman"/>
          <w:color w:val="auto"/>
          <w:kern w:val="2"/>
          <w:sz w:val="32"/>
          <w:szCs w:val="32"/>
          <w:lang w:val="en-US" w:eastAsia="zh-CN" w:bidi="ar-SA"/>
        </w:rPr>
        <w:t>。</w:t>
      </w:r>
    </w:p>
    <w:p w14:paraId="76629F3C">
      <w:pPr>
        <w:keepNext w:val="0"/>
        <w:keepLines w:val="0"/>
        <w:pageBreakBefore w:val="0"/>
        <w:widowControl/>
        <w:kinsoku/>
        <w:wordWrap/>
        <w:overflowPunct/>
        <w:topLinePunct w:val="0"/>
        <w:autoSpaceDE/>
        <w:autoSpaceDN/>
        <w:bidi w:val="0"/>
        <w:adjustRightInd/>
        <w:snapToGrid/>
        <w:spacing w:before="157" w:beforeLines="50" w:line="360" w:lineRule="auto"/>
        <w:ind w:firstLine="0"/>
        <w:jc w:val="center"/>
        <w:textAlignment w:val="auto"/>
        <w:outlineLvl w:val="0"/>
        <w:rPr>
          <w:rFonts w:hint="eastAsia" w:ascii="黑体" w:hAnsi="黑体" w:eastAsia="黑体" w:cs="宋体"/>
          <w:color w:val="000000"/>
          <w:kern w:val="0"/>
          <w:sz w:val="40"/>
          <w:szCs w:val="40"/>
        </w:rPr>
      </w:pPr>
      <w:r>
        <w:rPr>
          <w:rFonts w:hint="eastAsia" w:ascii="黑体" w:hAnsi="黑体" w:eastAsia="黑体" w:cs="宋体"/>
          <w:color w:val="000000"/>
          <w:kern w:val="0"/>
          <w:sz w:val="40"/>
          <w:szCs w:val="40"/>
          <w:lang w:val="en-US" w:eastAsia="zh-CN"/>
        </w:rPr>
        <w:t>空间布局规划</w:t>
      </w:r>
    </w:p>
    <w:p w14:paraId="3A8489C5">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九</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空间结构</w:t>
      </w:r>
    </w:p>
    <w:p w14:paraId="06547157">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规划形成“一</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rPr>
        <w:t>、四片、三组团”的总体空间结构。</w:t>
      </w:r>
    </w:p>
    <w:p w14:paraId="7D9CAC90">
      <w:pPr>
        <w:spacing w:line="560" w:lineRule="exact"/>
        <w:ind w:firstLine="640" w:firstLineChars="200"/>
        <w:rPr>
          <w:rFonts w:hint="eastAsia" w:ascii="楷体_GB2312" w:hAnsi="楷体_GB2312" w:eastAsia="楷体_GB2312" w:cs="楷体_GB2312"/>
          <w:b w:val="0"/>
          <w:bCs w:val="0"/>
          <w:color w:val="000000"/>
          <w:sz w:val="32"/>
          <w:szCs w:val="32"/>
          <w:lang w:eastAsia="zh-CN"/>
        </w:rPr>
      </w:pPr>
      <w:r>
        <w:rPr>
          <w:rFonts w:hint="eastAsia" w:ascii="楷体_GB2312" w:hAnsi="楷体_GB2312" w:eastAsia="楷体_GB2312" w:cs="楷体_GB2312"/>
          <w:b w:val="0"/>
          <w:bCs w:val="0"/>
          <w:color w:val="000000"/>
          <w:sz w:val="32"/>
          <w:szCs w:val="32"/>
        </w:rPr>
        <w:t>1.一</w:t>
      </w:r>
      <w:r>
        <w:rPr>
          <w:rFonts w:hint="eastAsia" w:ascii="楷体_GB2312" w:hAnsi="楷体_GB2312" w:eastAsia="楷体_GB2312" w:cs="楷体_GB2312"/>
          <w:b w:val="0"/>
          <w:bCs w:val="0"/>
          <w:color w:val="000000"/>
          <w:sz w:val="32"/>
          <w:szCs w:val="32"/>
          <w:lang w:val="en-US" w:eastAsia="zh-CN"/>
        </w:rPr>
        <w:t>区</w:t>
      </w:r>
    </w:p>
    <w:p w14:paraId="101D3383">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四川沐川经济开发区</w:t>
      </w:r>
      <w:r>
        <w:rPr>
          <w:rFonts w:hint="eastAsia" w:ascii="仿宋_GB2312" w:hAnsi="仿宋_GB2312" w:eastAsia="仿宋_GB2312" w:cs="仿宋_GB2312"/>
          <w:color w:val="000000"/>
          <w:sz w:val="32"/>
          <w:szCs w:val="32"/>
        </w:rPr>
        <w:t>：总用地面积30</w:t>
      </w:r>
      <w:r>
        <w:rPr>
          <w:rFonts w:hint="eastAsia" w:ascii="仿宋_GB2312" w:hAnsi="仿宋_GB2312" w:eastAsia="仿宋_GB2312" w:cs="仿宋_GB2312"/>
          <w:color w:val="000000"/>
          <w:sz w:val="32"/>
          <w:szCs w:val="32"/>
          <w:lang w:val="en-US" w:eastAsia="zh-CN"/>
        </w:rPr>
        <w:t>1.2118</w:t>
      </w:r>
      <w:r>
        <w:rPr>
          <w:rFonts w:hint="eastAsia" w:ascii="仿宋_GB2312" w:hAnsi="仿宋_GB2312" w:eastAsia="仿宋_GB2312" w:cs="仿宋_GB2312"/>
          <w:color w:val="000000"/>
          <w:sz w:val="32"/>
          <w:szCs w:val="32"/>
        </w:rPr>
        <w:t>公顷，建设为</w:t>
      </w:r>
      <w:r>
        <w:rPr>
          <w:rFonts w:hint="eastAsia" w:ascii="仿宋_GB2312" w:hAnsi="仿宋_GB2312" w:eastAsia="仿宋_GB2312" w:cs="仿宋_GB2312"/>
          <w:color w:val="000000"/>
          <w:sz w:val="32"/>
          <w:szCs w:val="32"/>
          <w:lang w:eastAsia="zh-CN"/>
        </w:rPr>
        <w:t>四川省特色农产品精深加工示范园区</w:t>
      </w:r>
      <w:r>
        <w:rPr>
          <w:rFonts w:hint="eastAsia" w:ascii="仿宋_GB2312" w:hAnsi="仿宋_GB2312" w:eastAsia="仿宋_GB2312" w:cs="仿宋_GB2312"/>
          <w:color w:val="000000"/>
          <w:sz w:val="32"/>
          <w:szCs w:val="32"/>
        </w:rPr>
        <w:t>，四川省绿色园区示范区。</w:t>
      </w:r>
    </w:p>
    <w:p w14:paraId="552E95E7">
      <w:pPr>
        <w:spacing w:line="560" w:lineRule="exact"/>
        <w:ind w:firstLine="640" w:firstLineChars="200"/>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2.四片</w:t>
      </w:r>
    </w:p>
    <w:p w14:paraId="3A50D206">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县城片区：综合产业发展片区，重点发展制浆</w:t>
      </w:r>
      <w:r>
        <w:rPr>
          <w:rFonts w:hint="eastAsia" w:ascii="仿宋_GB2312" w:hAnsi="仿宋_GB2312" w:eastAsia="仿宋_GB2312" w:cs="仿宋_GB2312"/>
          <w:color w:val="000000"/>
          <w:sz w:val="32"/>
          <w:szCs w:val="32"/>
          <w:lang w:val="en-US" w:eastAsia="zh-CN"/>
        </w:rPr>
        <w:t>造纸</w:t>
      </w:r>
      <w:r>
        <w:rPr>
          <w:rFonts w:hint="eastAsia" w:ascii="仿宋_GB2312" w:hAnsi="仿宋_GB2312" w:eastAsia="仿宋_GB2312" w:cs="仿宋_GB2312"/>
          <w:color w:val="000000"/>
          <w:sz w:val="32"/>
          <w:szCs w:val="32"/>
        </w:rPr>
        <w:t>与成品纸加工产业，协同发展绿色食品加工、竹木制品加工产业；</w:t>
      </w:r>
    </w:p>
    <w:p w14:paraId="45DA6FCC">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舟坝片区：布局炼焦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现状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重点发展清洁</w:t>
      </w:r>
      <w:r>
        <w:rPr>
          <w:rFonts w:hint="eastAsia" w:ascii="仿宋_GB2312" w:hAnsi="仿宋_GB2312" w:eastAsia="仿宋_GB2312" w:cs="仿宋_GB2312"/>
          <w:color w:val="000000"/>
          <w:sz w:val="32"/>
          <w:szCs w:val="32"/>
        </w:rPr>
        <w:t>能源</w:t>
      </w:r>
      <w:r>
        <w:rPr>
          <w:rFonts w:hint="eastAsia" w:ascii="仿宋_GB2312" w:hAnsi="仿宋_GB2312" w:eastAsia="仿宋_GB2312" w:cs="仿宋_GB2312"/>
          <w:color w:val="000000"/>
          <w:sz w:val="32"/>
          <w:szCs w:val="32"/>
          <w:lang w:val="en-US" w:eastAsia="zh-CN"/>
        </w:rPr>
        <w:t>新材料</w:t>
      </w:r>
      <w:r>
        <w:rPr>
          <w:rFonts w:hint="eastAsia" w:ascii="仿宋_GB2312" w:hAnsi="仿宋_GB2312" w:eastAsia="仿宋_GB2312" w:cs="仿宋_GB2312"/>
          <w:color w:val="000000"/>
          <w:sz w:val="32"/>
          <w:szCs w:val="32"/>
        </w:rPr>
        <w:t>产业；</w:t>
      </w:r>
    </w:p>
    <w:p w14:paraId="5DD651DA">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永福片区：发展浆、纸及生物基材料制造产业；</w:t>
      </w:r>
    </w:p>
    <w:p w14:paraId="60FF1C75">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炭库片区：</w:t>
      </w:r>
      <w:r>
        <w:rPr>
          <w:rFonts w:hint="eastAsia" w:ascii="仿宋_GB2312" w:hAnsi="仿宋_GB2312" w:eastAsia="仿宋_GB2312" w:cs="仿宋_GB2312"/>
          <w:color w:val="000000"/>
          <w:sz w:val="32"/>
          <w:szCs w:val="32"/>
          <w:lang w:val="en-US" w:eastAsia="zh-CN"/>
        </w:rPr>
        <w:t>主要发展纸制品后加工产业，同时结合乐山港罗家坝作业区，辅助发展商贸物流业</w:t>
      </w:r>
      <w:r>
        <w:rPr>
          <w:rFonts w:hint="eastAsia" w:ascii="仿宋_GB2312" w:hAnsi="仿宋_GB2312" w:eastAsia="仿宋_GB2312" w:cs="仿宋_GB2312"/>
          <w:color w:val="000000"/>
          <w:sz w:val="32"/>
          <w:szCs w:val="32"/>
        </w:rPr>
        <w:t>。</w:t>
      </w:r>
    </w:p>
    <w:p w14:paraId="545511E1">
      <w:pPr>
        <w:spacing w:line="560" w:lineRule="exact"/>
        <w:ind w:firstLine="640" w:firstLineChars="200"/>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3.三组团</w:t>
      </w:r>
    </w:p>
    <w:p w14:paraId="76FB19CB">
      <w:pPr>
        <w:spacing w:line="560" w:lineRule="exact"/>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color w:val="000000"/>
          <w:sz w:val="32"/>
          <w:szCs w:val="32"/>
        </w:rPr>
        <w:t>继续围绕“竹浆纸”一体化产业做大做强的龙船坝组团</w:t>
      </w:r>
      <w:r>
        <w:rPr>
          <w:rFonts w:hint="eastAsia" w:ascii="仿宋_GB2312" w:hAnsi="仿宋_GB2312" w:eastAsia="仿宋_GB2312" w:cs="仿宋_GB2312"/>
          <w:color w:val="000000"/>
          <w:sz w:val="32"/>
          <w:szCs w:val="32"/>
          <w:lang w:val="en-US" w:eastAsia="zh-CN"/>
        </w:rPr>
        <w:t>与建和组团</w:t>
      </w:r>
      <w:r>
        <w:rPr>
          <w:rFonts w:hint="eastAsia" w:ascii="仿宋_GB2312" w:hAnsi="仿宋_GB2312" w:eastAsia="仿宋_GB2312" w:cs="仿宋_GB2312"/>
          <w:color w:val="000000"/>
          <w:sz w:val="32"/>
          <w:szCs w:val="32"/>
        </w:rPr>
        <w:t>；重点布局绿色食品加工和竹木加工的茨梨坝组团</w:t>
      </w:r>
      <w:r>
        <w:rPr>
          <w:rFonts w:hint="eastAsia" w:ascii="Times New Roman" w:hAnsi="Times New Roman" w:eastAsia="仿宋_GB2312" w:cs="Times New Roman"/>
          <w:color w:val="auto"/>
          <w:kern w:val="2"/>
          <w:sz w:val="32"/>
          <w:szCs w:val="32"/>
          <w:lang w:val="en-US" w:eastAsia="zh-CN" w:bidi="ar-SA"/>
        </w:rPr>
        <w:t>。</w:t>
      </w:r>
    </w:p>
    <w:p w14:paraId="4C714172">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十</w:t>
      </w:r>
      <w:r>
        <w:rPr>
          <w:rFonts w:hint="eastAsia" w:ascii="黑体" w:hAnsi="黑体" w:eastAsia="黑体" w:cs="黑体"/>
          <w:color w:val="000000"/>
          <w:kern w:val="0"/>
          <w:sz w:val="32"/>
          <w:szCs w:val="32"/>
        </w:rPr>
        <w:t>、</w:t>
      </w:r>
      <w:r>
        <w:rPr>
          <w:rFonts w:hint="eastAsia" w:ascii="黑体" w:hAnsi="黑体" w:eastAsia="黑体" w:cs="黑体"/>
          <w:color w:val="000000"/>
          <w:kern w:val="0"/>
          <w:sz w:val="32"/>
          <w:szCs w:val="32"/>
          <w:lang w:val="en-US" w:eastAsia="zh-CN"/>
        </w:rPr>
        <w:t>用地布局</w:t>
      </w:r>
    </w:p>
    <w:p w14:paraId="06A4AF02">
      <w:pPr>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rPr>
        <w:t>规划经开区总用地面积301.2118公顷。其中：</w:t>
      </w:r>
      <w:r>
        <w:rPr>
          <w:rFonts w:hint="eastAsia" w:ascii="仿宋_GB2312" w:hAnsi="仿宋_GB2312" w:eastAsia="仿宋_GB2312" w:cs="仿宋_GB2312"/>
          <w:color w:val="000000"/>
          <w:sz w:val="32"/>
          <w:szCs w:val="32"/>
          <w:lang w:val="en-US" w:eastAsia="zh-CN"/>
        </w:rPr>
        <w:t>居住用地面积9.0938公顷，占规划总面积3.02%；</w:t>
      </w:r>
      <w:r>
        <w:rPr>
          <w:rFonts w:hint="eastAsia" w:ascii="仿宋_GB2312" w:hAnsi="仿宋_GB2312" w:eastAsia="仿宋_GB2312" w:cs="仿宋_GB2312"/>
          <w:color w:val="000000"/>
          <w:sz w:val="32"/>
          <w:szCs w:val="32"/>
        </w:rPr>
        <w:t>公共管理与公共服务用地面积</w:t>
      </w:r>
      <w:r>
        <w:rPr>
          <w:rFonts w:hint="eastAsia" w:ascii="仿宋_GB2312" w:hAnsi="仿宋_GB2312" w:eastAsia="仿宋_GB2312" w:cs="仿宋_GB2312"/>
          <w:color w:val="000000"/>
          <w:sz w:val="32"/>
          <w:szCs w:val="32"/>
          <w:lang w:val="en-US" w:eastAsia="zh-CN"/>
        </w:rPr>
        <w:t>0.9559</w:t>
      </w:r>
      <w:r>
        <w:rPr>
          <w:rFonts w:hint="eastAsia" w:ascii="仿宋_GB2312" w:hAnsi="仿宋_GB2312" w:eastAsia="仿宋_GB2312" w:cs="仿宋_GB2312"/>
          <w:color w:val="000000"/>
          <w:sz w:val="32"/>
          <w:szCs w:val="32"/>
        </w:rPr>
        <w:t>公顷，占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0.32</w:t>
      </w:r>
      <w:r>
        <w:rPr>
          <w:rFonts w:hint="eastAsia" w:ascii="仿宋_GB2312" w:hAnsi="仿宋_GB2312" w:eastAsia="仿宋_GB2312" w:cs="仿宋_GB2312"/>
          <w:color w:val="000000"/>
          <w:sz w:val="32"/>
          <w:szCs w:val="32"/>
        </w:rPr>
        <w:t>%；商业服务业用地面积</w:t>
      </w:r>
      <w:r>
        <w:rPr>
          <w:rFonts w:hint="eastAsia" w:ascii="仿宋_GB2312" w:hAnsi="仿宋_GB2312" w:eastAsia="仿宋_GB2312" w:cs="仿宋_GB2312"/>
          <w:color w:val="000000"/>
          <w:sz w:val="32"/>
          <w:szCs w:val="32"/>
          <w:lang w:val="en-US" w:eastAsia="zh-CN"/>
        </w:rPr>
        <w:t>27.1744</w:t>
      </w:r>
      <w:r>
        <w:rPr>
          <w:rFonts w:hint="eastAsia" w:ascii="仿宋_GB2312" w:hAnsi="仿宋_GB2312" w:eastAsia="仿宋_GB2312" w:cs="仿宋_GB2312"/>
          <w:color w:val="000000"/>
          <w:sz w:val="32"/>
          <w:szCs w:val="32"/>
        </w:rPr>
        <w:t>公顷，占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9.02%</w:t>
      </w:r>
      <w:r>
        <w:rPr>
          <w:rFonts w:hint="eastAsia" w:ascii="仿宋_GB2312" w:hAnsi="仿宋_GB2312" w:eastAsia="仿宋_GB2312" w:cs="仿宋_GB2312"/>
          <w:color w:val="000000"/>
          <w:sz w:val="32"/>
          <w:szCs w:val="32"/>
        </w:rPr>
        <w:t>；工矿用地面积</w:t>
      </w:r>
      <w:r>
        <w:rPr>
          <w:rFonts w:hint="eastAsia" w:ascii="仿宋_GB2312" w:hAnsi="仿宋_GB2312" w:eastAsia="仿宋_GB2312" w:cs="仿宋_GB2312"/>
          <w:color w:val="000000"/>
          <w:sz w:val="32"/>
          <w:szCs w:val="32"/>
          <w:lang w:val="en-US" w:eastAsia="zh-CN"/>
        </w:rPr>
        <w:t>237.4665</w:t>
      </w:r>
      <w:r>
        <w:rPr>
          <w:rFonts w:hint="eastAsia" w:ascii="仿宋_GB2312" w:hAnsi="仿宋_GB2312" w:eastAsia="仿宋_GB2312" w:cs="仿宋_GB2312"/>
          <w:color w:val="000000"/>
          <w:sz w:val="32"/>
          <w:szCs w:val="32"/>
        </w:rPr>
        <w:t>公顷，占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78.84%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物流仓储用地4.2413公顷，</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1.40%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交通运输用地面积</w:t>
      </w:r>
      <w:r>
        <w:rPr>
          <w:rFonts w:hint="eastAsia" w:ascii="仿宋_GB2312" w:hAnsi="仿宋_GB2312" w:eastAsia="仿宋_GB2312" w:cs="仿宋_GB2312"/>
          <w:color w:val="000000"/>
          <w:sz w:val="32"/>
          <w:szCs w:val="32"/>
          <w:lang w:val="en-US" w:eastAsia="zh-CN"/>
        </w:rPr>
        <w:t>9.2903</w:t>
      </w:r>
      <w:r>
        <w:rPr>
          <w:rFonts w:hint="eastAsia" w:ascii="仿宋_GB2312" w:hAnsi="仿宋_GB2312" w:eastAsia="仿宋_GB2312" w:cs="仿宋_GB2312"/>
          <w:color w:val="000000"/>
          <w:sz w:val="32"/>
          <w:szCs w:val="32"/>
        </w:rPr>
        <w:t>公顷，占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3.09%</w:t>
      </w:r>
      <w:r>
        <w:rPr>
          <w:rFonts w:hint="eastAsia" w:ascii="仿宋_GB2312" w:hAnsi="仿宋_GB2312" w:eastAsia="仿宋_GB2312" w:cs="仿宋_GB2312"/>
          <w:color w:val="000000"/>
          <w:sz w:val="32"/>
          <w:szCs w:val="32"/>
        </w:rPr>
        <w:t>；公用设施用地面积</w:t>
      </w:r>
      <w:r>
        <w:rPr>
          <w:rFonts w:hint="eastAsia" w:ascii="仿宋_GB2312" w:hAnsi="仿宋_GB2312" w:eastAsia="仿宋_GB2312" w:cs="仿宋_GB2312"/>
          <w:color w:val="000000"/>
          <w:sz w:val="32"/>
          <w:szCs w:val="32"/>
          <w:lang w:val="en-US" w:eastAsia="zh-CN"/>
        </w:rPr>
        <w:t>5.4138</w:t>
      </w:r>
      <w:r>
        <w:rPr>
          <w:rFonts w:hint="eastAsia" w:ascii="仿宋_GB2312" w:hAnsi="仿宋_GB2312" w:eastAsia="仿宋_GB2312" w:cs="仿宋_GB2312"/>
          <w:color w:val="000000"/>
          <w:sz w:val="32"/>
          <w:szCs w:val="32"/>
        </w:rPr>
        <w:t>公顷，占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1.80</w:t>
      </w:r>
      <w:r>
        <w:rPr>
          <w:rFonts w:hint="eastAsia" w:ascii="仿宋_GB2312" w:hAnsi="仿宋_GB2312" w:eastAsia="仿宋_GB2312" w:cs="仿宋_GB2312"/>
          <w:color w:val="000000"/>
          <w:sz w:val="32"/>
          <w:szCs w:val="32"/>
        </w:rPr>
        <w:t>%；绿地与开敞空间用地面积</w:t>
      </w:r>
      <w:r>
        <w:rPr>
          <w:rFonts w:hint="eastAsia" w:ascii="仿宋_GB2312" w:hAnsi="仿宋_GB2312" w:eastAsia="仿宋_GB2312" w:cs="仿宋_GB2312"/>
          <w:color w:val="000000"/>
          <w:sz w:val="32"/>
          <w:szCs w:val="32"/>
          <w:lang w:val="en-US" w:eastAsia="zh-CN"/>
        </w:rPr>
        <w:t>7.5758</w:t>
      </w:r>
      <w:r>
        <w:rPr>
          <w:rFonts w:hint="eastAsia" w:ascii="仿宋_GB2312" w:hAnsi="仿宋_GB2312" w:eastAsia="仿宋_GB2312" w:cs="仿宋_GB2312"/>
          <w:color w:val="000000"/>
          <w:sz w:val="32"/>
          <w:szCs w:val="32"/>
        </w:rPr>
        <w:t>公顷，占</w:t>
      </w:r>
      <w:r>
        <w:rPr>
          <w:rFonts w:hint="eastAsia" w:ascii="仿宋_GB2312" w:hAnsi="仿宋_GB2312" w:eastAsia="仿宋_GB2312" w:cs="仿宋_GB2312"/>
          <w:color w:val="000000"/>
          <w:sz w:val="32"/>
          <w:szCs w:val="32"/>
          <w:lang w:val="en-US" w:eastAsia="zh-CN"/>
        </w:rPr>
        <w:t>规划总</w:t>
      </w:r>
      <w:r>
        <w:rPr>
          <w:rFonts w:hint="eastAsia" w:ascii="仿宋_GB2312" w:hAnsi="仿宋_GB2312" w:eastAsia="仿宋_GB2312" w:cs="仿宋_GB2312"/>
          <w:color w:val="000000"/>
          <w:sz w:val="32"/>
          <w:szCs w:val="32"/>
        </w:rPr>
        <w:t>面积</w:t>
      </w:r>
      <w:r>
        <w:rPr>
          <w:rFonts w:hint="eastAsia" w:ascii="仿宋_GB2312" w:hAnsi="仿宋_GB2312" w:eastAsia="仿宋_GB2312" w:cs="仿宋_GB2312"/>
          <w:color w:val="000000"/>
          <w:sz w:val="32"/>
          <w:szCs w:val="32"/>
          <w:lang w:val="en-US" w:eastAsia="zh-CN"/>
        </w:rPr>
        <w:t>2.51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14:paraId="7E82A33C">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outlineLvl w:val="3"/>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en-US" w:eastAsia="zh-CN"/>
        </w:rPr>
        <w:t>经开区</w:t>
      </w:r>
      <w:r>
        <w:rPr>
          <w:rFonts w:hint="eastAsia" w:ascii="黑体" w:hAnsi="黑体" w:eastAsia="黑体" w:cs="黑体"/>
          <w:kern w:val="0"/>
          <w:sz w:val="28"/>
          <w:szCs w:val="28"/>
          <w:highlight w:val="none"/>
        </w:rPr>
        <w:t>城镇建设用地结构规划表</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4"/>
        <w:gridCol w:w="959"/>
        <w:gridCol w:w="958"/>
        <w:gridCol w:w="1205"/>
        <w:gridCol w:w="958"/>
        <w:gridCol w:w="963"/>
        <w:gridCol w:w="1176"/>
        <w:gridCol w:w="1346"/>
      </w:tblGrid>
      <w:tr w14:paraId="06EF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112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228F1">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一级类</w:t>
            </w:r>
          </w:p>
        </w:tc>
        <w:tc>
          <w:tcPr>
            <w:tcW w:w="126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1C987">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二级类</w:t>
            </w:r>
          </w:p>
        </w:tc>
        <w:tc>
          <w:tcPr>
            <w:tcW w:w="112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FA0B2">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三级类</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39039">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面积</w:t>
            </w:r>
            <w:r>
              <w:rPr>
                <w:rFonts w:hint="eastAsia" w:ascii="仿宋_GB2312" w:hAnsi="宋体" w:eastAsia="仿宋_GB2312" w:cs="仿宋_GB2312"/>
                <w:b/>
                <w:bCs/>
                <w:i w:val="0"/>
                <w:iCs w:val="0"/>
                <w:color w:val="000000"/>
                <w:kern w:val="0"/>
                <w:sz w:val="24"/>
                <w:szCs w:val="24"/>
                <w:u w:val="none"/>
                <w:lang w:val="en-US" w:eastAsia="zh-CN"/>
              </w:rPr>
              <w:br w:type="textWrapping"/>
            </w:r>
            <w:r>
              <w:rPr>
                <w:rFonts w:hint="eastAsia" w:ascii="仿宋_GB2312" w:hAnsi="宋体" w:eastAsia="仿宋_GB2312" w:cs="仿宋_GB2312"/>
                <w:b/>
                <w:bCs/>
                <w:i w:val="0"/>
                <w:iCs w:val="0"/>
                <w:color w:val="000000"/>
                <w:kern w:val="0"/>
                <w:sz w:val="24"/>
                <w:szCs w:val="24"/>
                <w:u w:val="none"/>
                <w:lang w:val="en-US" w:eastAsia="zh-CN"/>
              </w:rPr>
              <w:t>（公顷）</w:t>
            </w:r>
          </w:p>
        </w:tc>
        <w:tc>
          <w:tcPr>
            <w:tcW w:w="7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51009">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占比（%）</w:t>
            </w:r>
          </w:p>
        </w:tc>
      </w:tr>
      <w:tr w14:paraId="33CB7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112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A81FB">
            <w:pPr>
              <w:jc w:val="center"/>
              <w:rPr>
                <w:rFonts w:hint="eastAsia" w:ascii="仿宋_GB2312" w:hAnsi="宋体" w:eastAsia="仿宋_GB2312" w:cs="仿宋_GB2312"/>
                <w:b/>
                <w:bCs/>
                <w:i w:val="0"/>
                <w:iCs w:val="0"/>
                <w:color w:val="000000"/>
                <w:sz w:val="24"/>
                <w:szCs w:val="24"/>
                <w:u w:val="none"/>
              </w:rPr>
            </w:pPr>
          </w:p>
        </w:tc>
        <w:tc>
          <w:tcPr>
            <w:tcW w:w="126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6BDF7">
            <w:pPr>
              <w:jc w:val="center"/>
              <w:rPr>
                <w:rFonts w:hint="eastAsia" w:ascii="仿宋_GB2312" w:hAnsi="宋体" w:eastAsia="仿宋_GB2312" w:cs="仿宋_GB2312"/>
                <w:b/>
                <w:bCs/>
                <w:i w:val="0"/>
                <w:iCs w:val="0"/>
                <w:color w:val="000000"/>
                <w:sz w:val="24"/>
                <w:szCs w:val="24"/>
                <w:u w:val="none"/>
              </w:rPr>
            </w:pPr>
          </w:p>
        </w:tc>
        <w:tc>
          <w:tcPr>
            <w:tcW w:w="11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0E062">
            <w:pPr>
              <w:jc w:val="center"/>
              <w:rPr>
                <w:rFonts w:hint="eastAsia" w:ascii="仿宋_GB2312" w:hAnsi="宋体" w:eastAsia="仿宋_GB2312" w:cs="仿宋_GB2312"/>
                <w:b/>
                <w:bCs/>
                <w:i w:val="0"/>
                <w:iCs w:val="0"/>
                <w:color w:val="000000"/>
                <w:sz w:val="24"/>
                <w:szCs w:val="24"/>
                <w:u w:val="none"/>
              </w:rPr>
            </w:pP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0E6E3">
            <w:pPr>
              <w:jc w:val="center"/>
              <w:rPr>
                <w:rFonts w:hint="eastAsia" w:ascii="仿宋_GB2312" w:hAnsi="宋体" w:eastAsia="仿宋_GB2312" w:cs="仿宋_GB2312"/>
                <w:b/>
                <w:bCs/>
                <w:i w:val="0"/>
                <w:iCs w:val="0"/>
                <w:color w:val="000000"/>
                <w:sz w:val="24"/>
                <w:szCs w:val="24"/>
                <w:u w:val="none"/>
              </w:rPr>
            </w:pPr>
          </w:p>
        </w:tc>
        <w:tc>
          <w:tcPr>
            <w:tcW w:w="7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57F02">
            <w:pPr>
              <w:jc w:val="center"/>
              <w:rPr>
                <w:rFonts w:hint="eastAsia" w:ascii="仿宋_GB2312" w:hAnsi="宋体" w:eastAsia="仿宋_GB2312" w:cs="仿宋_GB2312"/>
                <w:b/>
                <w:bCs/>
                <w:i w:val="0"/>
                <w:iCs w:val="0"/>
                <w:color w:val="000000"/>
                <w:sz w:val="24"/>
                <w:szCs w:val="24"/>
                <w:u w:val="none"/>
              </w:rPr>
            </w:pPr>
          </w:p>
        </w:tc>
      </w:tr>
      <w:tr w14:paraId="0EE3F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blHeader/>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0467">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编码</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DEF8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名称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5C712">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编码</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A8F7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名称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018AF">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编码</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24D6">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rPr>
              <w:t>名称</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01819">
            <w:pPr>
              <w:jc w:val="center"/>
              <w:rPr>
                <w:rFonts w:hint="eastAsia" w:ascii="仿宋_GB2312" w:hAnsi="宋体" w:eastAsia="仿宋_GB2312" w:cs="仿宋_GB2312"/>
                <w:b/>
                <w:bCs/>
                <w:i w:val="0"/>
                <w:iCs w:val="0"/>
                <w:color w:val="000000"/>
                <w:sz w:val="24"/>
                <w:szCs w:val="24"/>
                <w:u w:val="none"/>
              </w:rPr>
            </w:pPr>
          </w:p>
        </w:tc>
        <w:tc>
          <w:tcPr>
            <w:tcW w:w="7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2C98C">
            <w:pPr>
              <w:jc w:val="center"/>
              <w:rPr>
                <w:rFonts w:hint="eastAsia" w:ascii="仿宋_GB2312" w:hAnsi="宋体" w:eastAsia="仿宋_GB2312" w:cs="仿宋_GB2312"/>
                <w:b/>
                <w:bCs/>
                <w:i w:val="0"/>
                <w:iCs w:val="0"/>
                <w:color w:val="000000"/>
                <w:sz w:val="24"/>
                <w:szCs w:val="24"/>
                <w:u w:val="none"/>
              </w:rPr>
            </w:pPr>
          </w:p>
        </w:tc>
      </w:tr>
      <w:tr w14:paraId="4A869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B9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07</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73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居住用地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B9C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0701</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DAE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城镇住宅用地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5C446">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A5E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9.0938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50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3.02%</w:t>
            </w:r>
          </w:p>
        </w:tc>
      </w:tr>
      <w:tr w14:paraId="2068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655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08</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A532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公共管理与公共服务用地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AC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0804</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1F9D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教育用地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31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080404</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08CB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幼儿园用地</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7F2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0.9559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77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0.32%</w:t>
            </w:r>
          </w:p>
        </w:tc>
      </w:tr>
      <w:tr w14:paraId="5C52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C2D7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09</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BE4A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商业服务业用地</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0D09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0901</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185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商业用地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065B9">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B5C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24.6780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A0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8.19%</w:t>
            </w:r>
          </w:p>
        </w:tc>
      </w:tr>
      <w:tr w14:paraId="6CED4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CCA02">
            <w:pPr>
              <w:jc w:val="center"/>
              <w:rPr>
                <w:rFonts w:hint="eastAsia" w:ascii="仿宋_GB2312" w:hAnsi="宋体" w:eastAsia="仿宋_GB2312" w:cs="仿宋_GB2312"/>
                <w:i w:val="0"/>
                <w:iCs w:val="0"/>
                <w:color w:val="000000"/>
                <w:sz w:val="24"/>
                <w:szCs w:val="24"/>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6A847">
            <w:pPr>
              <w:jc w:val="center"/>
              <w:rPr>
                <w:rFonts w:hint="eastAsia" w:ascii="仿宋_GB2312" w:hAnsi="宋体" w:eastAsia="仿宋_GB2312" w:cs="仿宋_GB2312"/>
                <w:i w:val="0"/>
                <w:iCs w:val="0"/>
                <w:color w:val="000000"/>
                <w:sz w:val="24"/>
                <w:szCs w:val="24"/>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C3AA">
            <w:pPr>
              <w:jc w:val="center"/>
              <w:rPr>
                <w:rFonts w:hint="eastAsia" w:ascii="仿宋_GB2312" w:hAnsi="宋体" w:eastAsia="仿宋_GB2312" w:cs="仿宋_GB2312"/>
                <w:i w:val="0"/>
                <w:iCs w:val="0"/>
                <w:color w:val="000000"/>
                <w:sz w:val="24"/>
                <w:szCs w:val="24"/>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59E5F">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E7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090105</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123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公用设施营业网点用地</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197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2.4964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A0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0.83%</w:t>
            </w:r>
          </w:p>
        </w:tc>
      </w:tr>
      <w:tr w14:paraId="26088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9989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10</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47E3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工矿用地</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321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1001</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494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工业用地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5C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100101</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E9D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一类工业用地</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8C6B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15.3502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BB0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5.10%</w:t>
            </w:r>
          </w:p>
        </w:tc>
      </w:tr>
      <w:tr w14:paraId="339EB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1BBF7">
            <w:pPr>
              <w:jc w:val="center"/>
              <w:rPr>
                <w:rFonts w:hint="eastAsia" w:ascii="仿宋_GB2312" w:hAnsi="宋体" w:eastAsia="仿宋_GB2312" w:cs="仿宋_GB2312"/>
                <w:i w:val="0"/>
                <w:iCs w:val="0"/>
                <w:color w:val="000000"/>
                <w:sz w:val="24"/>
                <w:szCs w:val="24"/>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2E282">
            <w:pPr>
              <w:jc w:val="center"/>
              <w:rPr>
                <w:rFonts w:hint="eastAsia" w:ascii="仿宋_GB2312" w:hAnsi="宋体" w:eastAsia="仿宋_GB2312" w:cs="仿宋_GB2312"/>
                <w:i w:val="0"/>
                <w:iCs w:val="0"/>
                <w:color w:val="000000"/>
                <w:sz w:val="24"/>
                <w:szCs w:val="24"/>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BBBA">
            <w:pPr>
              <w:jc w:val="center"/>
              <w:rPr>
                <w:rFonts w:hint="eastAsia" w:ascii="仿宋_GB2312" w:hAnsi="宋体" w:eastAsia="仿宋_GB2312" w:cs="仿宋_GB2312"/>
                <w:i w:val="0"/>
                <w:iCs w:val="0"/>
                <w:color w:val="000000"/>
                <w:sz w:val="24"/>
                <w:szCs w:val="24"/>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FA28E">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517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100102</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1C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二类工业用地</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3BD1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76.1245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62A8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25.27%</w:t>
            </w:r>
          </w:p>
        </w:tc>
      </w:tr>
      <w:tr w14:paraId="45D2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D907E">
            <w:pPr>
              <w:jc w:val="center"/>
              <w:rPr>
                <w:rFonts w:hint="eastAsia" w:ascii="仿宋_GB2312" w:hAnsi="宋体" w:eastAsia="仿宋_GB2312" w:cs="仿宋_GB2312"/>
                <w:i w:val="0"/>
                <w:iCs w:val="0"/>
                <w:color w:val="000000"/>
                <w:sz w:val="24"/>
                <w:szCs w:val="24"/>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62323">
            <w:pPr>
              <w:jc w:val="center"/>
              <w:rPr>
                <w:rFonts w:hint="eastAsia" w:ascii="仿宋_GB2312" w:hAnsi="宋体" w:eastAsia="仿宋_GB2312" w:cs="仿宋_GB2312"/>
                <w:i w:val="0"/>
                <w:iCs w:val="0"/>
                <w:color w:val="000000"/>
                <w:sz w:val="24"/>
                <w:szCs w:val="24"/>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577D5">
            <w:pPr>
              <w:jc w:val="center"/>
              <w:rPr>
                <w:rFonts w:hint="eastAsia" w:ascii="仿宋_GB2312" w:hAnsi="宋体" w:eastAsia="仿宋_GB2312" w:cs="仿宋_GB2312"/>
                <w:i w:val="0"/>
                <w:iCs w:val="0"/>
                <w:color w:val="000000"/>
                <w:sz w:val="24"/>
                <w:szCs w:val="24"/>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EB3E3">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68A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100103</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29C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三类工业用地</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C5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rPr>
              <w:t xml:space="preserve">145.9918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F6D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rPr>
              <w:t>48.47%</w:t>
            </w:r>
          </w:p>
        </w:tc>
      </w:tr>
      <w:tr w14:paraId="5FA7D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643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11</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577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仓储用地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677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1101</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D876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物流仓储用地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3E8D5">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644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rPr>
              <w:t>4.2413</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AFE0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rPr>
              <w:t>1.40%</w:t>
            </w:r>
          </w:p>
        </w:tc>
      </w:tr>
      <w:tr w14:paraId="265C0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C53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12</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8F1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交通运输用地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E38E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1207</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7D5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城镇村道路用地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3C5C6">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886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5.6585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2BF2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1.88%</w:t>
            </w:r>
          </w:p>
        </w:tc>
      </w:tr>
      <w:tr w14:paraId="49D3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6EACE">
            <w:pPr>
              <w:jc w:val="center"/>
              <w:rPr>
                <w:rFonts w:hint="eastAsia" w:ascii="仿宋_GB2312" w:hAnsi="宋体" w:eastAsia="仿宋_GB2312" w:cs="仿宋_GB2312"/>
                <w:i w:val="0"/>
                <w:iCs w:val="0"/>
                <w:color w:val="000000"/>
                <w:sz w:val="24"/>
                <w:szCs w:val="24"/>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46103">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B629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1208</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70E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交通场站用地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69EA4">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CA80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3.6318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3A7A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1.21%</w:t>
            </w:r>
          </w:p>
        </w:tc>
      </w:tr>
      <w:tr w14:paraId="68365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34C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13</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60CA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公用设施用地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289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1302</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7EC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排水用地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1857A">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2531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4.4445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3D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1.47%</w:t>
            </w:r>
          </w:p>
        </w:tc>
      </w:tr>
      <w:tr w14:paraId="2869B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9C62A">
            <w:pPr>
              <w:jc w:val="center"/>
              <w:rPr>
                <w:rFonts w:hint="eastAsia" w:ascii="仿宋_GB2312" w:hAnsi="宋体" w:eastAsia="仿宋_GB2312" w:cs="仿宋_GB2312"/>
                <w:i w:val="0"/>
                <w:iCs w:val="0"/>
                <w:color w:val="000000"/>
                <w:sz w:val="24"/>
                <w:szCs w:val="24"/>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5CE34">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114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1303</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F22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供电用地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02B0B">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42FB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0.7210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65F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0.24%</w:t>
            </w:r>
          </w:p>
        </w:tc>
      </w:tr>
      <w:tr w14:paraId="45FD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D9A29">
            <w:pPr>
              <w:jc w:val="center"/>
              <w:rPr>
                <w:rFonts w:hint="eastAsia" w:ascii="仿宋_GB2312" w:hAnsi="宋体" w:eastAsia="仿宋_GB2312" w:cs="仿宋_GB2312"/>
                <w:i w:val="0"/>
                <w:iCs w:val="0"/>
                <w:color w:val="000000"/>
                <w:sz w:val="24"/>
                <w:szCs w:val="24"/>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733A0">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A55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1304</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C44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供燃气用地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9F19A">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CCA3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0.2483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55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0.09%</w:t>
            </w:r>
          </w:p>
        </w:tc>
      </w:tr>
      <w:tr w14:paraId="137D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705E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14</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85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绿地与开敞空间用地</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D13F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1401</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EDF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公园绿地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19A74">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DED8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4.7709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017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1.58%</w:t>
            </w:r>
          </w:p>
        </w:tc>
      </w:tr>
      <w:tr w14:paraId="706C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4132E">
            <w:pPr>
              <w:jc w:val="center"/>
              <w:rPr>
                <w:rFonts w:hint="eastAsia" w:ascii="仿宋_GB2312" w:hAnsi="宋体" w:eastAsia="仿宋_GB2312" w:cs="仿宋_GB2312"/>
                <w:i w:val="0"/>
                <w:iCs w:val="0"/>
                <w:color w:val="000000"/>
                <w:sz w:val="24"/>
                <w:szCs w:val="24"/>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FFE1">
            <w:pPr>
              <w:jc w:val="center"/>
              <w:rPr>
                <w:rFonts w:hint="eastAsia" w:ascii="仿宋_GB2312" w:hAnsi="宋体" w:eastAsia="仿宋_GB2312" w:cs="仿宋_GB2312"/>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026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1402</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93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防护绿地</w:t>
            </w:r>
          </w:p>
        </w:tc>
        <w:tc>
          <w:tcPr>
            <w:tcW w:w="11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DFB6D">
            <w:pPr>
              <w:jc w:val="center"/>
              <w:rPr>
                <w:rFonts w:hint="eastAsia" w:ascii="仿宋_GB2312" w:hAnsi="宋体" w:eastAsia="仿宋_GB2312" w:cs="仿宋_GB2312"/>
                <w:i w:val="0"/>
                <w:iCs w:val="0"/>
                <w:color w:val="000000"/>
                <w:sz w:val="24"/>
                <w:szCs w:val="24"/>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8623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2.8049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F3F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0.93%</w:t>
            </w:r>
          </w:p>
        </w:tc>
      </w:tr>
      <w:tr w14:paraId="352B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1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560E2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总计</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80AD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 xml:space="preserve">301.2118 </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B76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100.00%</w:t>
            </w:r>
          </w:p>
        </w:tc>
      </w:tr>
    </w:tbl>
    <w:p w14:paraId="1F64A6FC">
      <w:pPr>
        <w:widowControl/>
        <w:spacing w:line="560" w:lineRule="exact"/>
        <w:ind w:firstLine="640" w:firstLineChars="200"/>
        <w:rPr>
          <w:rFonts w:hint="default" w:ascii="仿宋_GB2312" w:hAnsi="宋体" w:eastAsia="仿宋_GB2312" w:cs="宋体"/>
          <w:color w:val="000000"/>
          <w:kern w:val="0"/>
          <w:sz w:val="32"/>
          <w:szCs w:val="32"/>
          <w:highlight w:val="none"/>
          <w:lang w:val="en-US" w:eastAsia="zh-CN"/>
        </w:rPr>
        <w:sectPr>
          <w:pgSz w:w="11906" w:h="16838"/>
          <w:pgMar w:top="1440" w:right="1800" w:bottom="1440" w:left="1800" w:header="851" w:footer="992" w:gutter="0"/>
          <w:cols w:space="425" w:num="1"/>
          <w:docGrid w:type="lines" w:linePitch="312" w:charSpace="0"/>
        </w:sectPr>
      </w:pPr>
    </w:p>
    <w:p w14:paraId="211EAD74">
      <w:pPr>
        <w:widowControl/>
        <w:spacing w:line="240" w:lineRule="auto"/>
        <w:jc w:val="center"/>
        <w:rPr>
          <w:rFonts w:hint="default" w:ascii="仿宋_GB2312" w:hAnsi="宋体" w:eastAsia="仿宋_GB2312" w:cs="宋体"/>
          <w:color w:val="000000"/>
          <w:kern w:val="0"/>
          <w:sz w:val="32"/>
          <w:szCs w:val="32"/>
          <w:highlight w:val="none"/>
          <w:lang w:val="en-US" w:eastAsia="zh-CN"/>
        </w:rPr>
      </w:pPr>
      <w:r>
        <w:rPr>
          <w:rFonts w:hint="default" w:ascii="仿宋_GB2312" w:hAnsi="宋体" w:eastAsia="仿宋_GB2312" w:cs="宋体"/>
          <w:color w:val="000000"/>
          <w:kern w:val="0"/>
          <w:sz w:val="32"/>
          <w:szCs w:val="32"/>
          <w:highlight w:val="none"/>
          <w:lang w:val="en-US" w:eastAsia="zh-CN"/>
        </w:rPr>
        <w:drawing>
          <wp:inline distT="0" distB="0" distL="0" distR="0">
            <wp:extent cx="9286875" cy="6567805"/>
            <wp:effectExtent l="9525" t="9525" r="19050" b="13970"/>
            <wp:docPr id="1026" name="图片 1" descr="1区位分析图"/>
            <wp:cNvGraphicFramePr/>
            <a:graphic xmlns:a="http://schemas.openxmlformats.org/drawingml/2006/main">
              <a:graphicData uri="http://schemas.openxmlformats.org/drawingml/2006/picture">
                <pic:pic xmlns:pic="http://schemas.openxmlformats.org/drawingml/2006/picture">
                  <pic:nvPicPr>
                    <pic:cNvPr id="1026" name="图片 1" descr="1区位分析图"/>
                    <pic:cNvPicPr/>
                  </pic:nvPicPr>
                  <pic:blipFill>
                    <a:blip r:embed="rId4" cstate="print"/>
                    <a:srcRect/>
                    <a:stretch>
                      <a:fillRect/>
                    </a:stretch>
                  </pic:blipFill>
                  <pic:spPr>
                    <a:xfrm>
                      <a:off x="0" y="0"/>
                      <a:ext cx="9286875" cy="6567805"/>
                    </a:xfrm>
                    <a:prstGeom prst="rect">
                      <a:avLst/>
                    </a:prstGeom>
                    <a:ln w="9525" cap="flat" cmpd="sng">
                      <a:solidFill>
                        <a:srgbClr val="000000"/>
                      </a:solidFill>
                      <a:prstDash val="solid"/>
                      <a:round/>
                    </a:ln>
                  </pic:spPr>
                </pic:pic>
              </a:graphicData>
            </a:graphic>
          </wp:inline>
        </w:drawing>
      </w:r>
    </w:p>
    <w:p w14:paraId="322A0734">
      <w:pPr>
        <w:widowControl/>
        <w:spacing w:line="240" w:lineRule="auto"/>
        <w:jc w:val="center"/>
        <w:rPr>
          <w:rFonts w:hint="default" w:ascii="仿宋_GB2312" w:hAnsi="宋体" w:eastAsia="仿宋_GB2312" w:cs="宋体"/>
          <w:color w:val="000000"/>
          <w:kern w:val="0"/>
          <w:sz w:val="32"/>
          <w:szCs w:val="32"/>
          <w:highlight w:val="none"/>
          <w:lang w:val="en-US" w:eastAsia="zh-CN"/>
        </w:rPr>
      </w:pPr>
      <w:r>
        <w:rPr>
          <w:rFonts w:hint="default" w:ascii="仿宋_GB2312" w:hAnsi="宋体" w:eastAsia="仿宋_GB2312" w:cs="宋体"/>
          <w:color w:val="000000"/>
          <w:kern w:val="0"/>
          <w:sz w:val="32"/>
          <w:szCs w:val="32"/>
          <w:highlight w:val="none"/>
          <w:lang w:val="en-US" w:eastAsia="zh-CN"/>
        </w:rPr>
        <w:drawing>
          <wp:inline distT="0" distB="0" distL="0" distR="0">
            <wp:extent cx="9286875" cy="6567805"/>
            <wp:effectExtent l="9525" t="9525" r="19050" b="13970"/>
            <wp:docPr id="1027" name="图片 2" descr="G:/2024年/01沐川县产业园区规划/编制过程/2025年修改/规委会送审图集/5产业功能布局图.jpg5产业功能布局图"/>
            <wp:cNvGraphicFramePr/>
            <a:graphic xmlns:a="http://schemas.openxmlformats.org/drawingml/2006/main">
              <a:graphicData uri="http://schemas.openxmlformats.org/drawingml/2006/picture">
                <pic:pic xmlns:pic="http://schemas.openxmlformats.org/drawingml/2006/picture">
                  <pic:nvPicPr>
                    <pic:cNvPr id="1027" name="图片 2" descr="G:/2024年/01沐川县产业园区规划/编制过程/2025年修改/规委会送审图集/5产业功能布局图.jpg5产业功能布局图"/>
                    <pic:cNvPicPr/>
                  </pic:nvPicPr>
                  <pic:blipFill>
                    <a:blip r:embed="rId5" cstate="print"/>
                    <a:srcRect t="10" b="10"/>
                    <a:stretch>
                      <a:fillRect/>
                    </a:stretch>
                  </pic:blipFill>
                  <pic:spPr>
                    <a:xfrm>
                      <a:off x="0" y="0"/>
                      <a:ext cx="9286875" cy="6567805"/>
                    </a:xfrm>
                    <a:prstGeom prst="rect">
                      <a:avLst/>
                    </a:prstGeom>
                    <a:ln w="9525" cap="flat" cmpd="sng">
                      <a:solidFill>
                        <a:srgbClr val="000000"/>
                      </a:solidFill>
                      <a:prstDash val="solid"/>
                      <a:round/>
                    </a:ln>
                  </pic:spPr>
                </pic:pic>
              </a:graphicData>
            </a:graphic>
          </wp:inline>
        </w:drawing>
      </w:r>
    </w:p>
    <w:p w14:paraId="53E6BFC3">
      <w:pPr>
        <w:widowControl/>
        <w:spacing w:line="240" w:lineRule="auto"/>
        <w:jc w:val="center"/>
        <w:rPr>
          <w:rFonts w:hint="default" w:ascii="仿宋_GB2312" w:hAnsi="宋体" w:eastAsia="仿宋_GB2312" w:cs="宋体"/>
          <w:color w:val="000000"/>
          <w:kern w:val="0"/>
          <w:sz w:val="32"/>
          <w:szCs w:val="32"/>
          <w:highlight w:val="none"/>
          <w:lang w:val="en-US" w:eastAsia="zh-CN"/>
        </w:rPr>
      </w:pPr>
      <w:r>
        <w:rPr>
          <w:rFonts w:hint="default" w:ascii="仿宋_GB2312" w:hAnsi="宋体" w:eastAsia="仿宋_GB2312" w:cs="宋体"/>
          <w:color w:val="000000"/>
          <w:kern w:val="0"/>
          <w:sz w:val="32"/>
          <w:szCs w:val="32"/>
          <w:highlight w:val="none"/>
          <w:lang w:val="en-US" w:eastAsia="zh-CN"/>
        </w:rPr>
        <w:drawing>
          <wp:inline distT="0" distB="0" distL="0" distR="0">
            <wp:extent cx="9286875" cy="6567805"/>
            <wp:effectExtent l="9525" t="9525" r="19050" b="13970"/>
            <wp:docPr id="1028" name="图片 3" descr="G:/2024年/01沐川县产业园区规划/编制过程/2025年修改/规委会送审图集/6空间结构图.jpg6空间结构图"/>
            <wp:cNvGraphicFramePr/>
            <a:graphic xmlns:a="http://schemas.openxmlformats.org/drawingml/2006/main">
              <a:graphicData uri="http://schemas.openxmlformats.org/drawingml/2006/picture">
                <pic:pic xmlns:pic="http://schemas.openxmlformats.org/drawingml/2006/picture">
                  <pic:nvPicPr>
                    <pic:cNvPr id="1028" name="图片 3" descr="G:/2024年/01沐川县产业园区规划/编制过程/2025年修改/规委会送审图集/6空间结构图.jpg6空间结构图"/>
                    <pic:cNvPicPr/>
                  </pic:nvPicPr>
                  <pic:blipFill>
                    <a:blip r:embed="rId6" cstate="print"/>
                    <a:srcRect t="10" b="10"/>
                    <a:stretch>
                      <a:fillRect/>
                    </a:stretch>
                  </pic:blipFill>
                  <pic:spPr>
                    <a:xfrm>
                      <a:off x="0" y="0"/>
                      <a:ext cx="9286875" cy="6567805"/>
                    </a:xfrm>
                    <a:prstGeom prst="rect">
                      <a:avLst/>
                    </a:prstGeom>
                    <a:ln w="9525" cap="flat" cmpd="sng">
                      <a:solidFill>
                        <a:srgbClr val="000000"/>
                      </a:solidFill>
                      <a:prstDash val="solid"/>
                      <a:round/>
                    </a:ln>
                  </pic:spPr>
                </pic:pic>
              </a:graphicData>
            </a:graphic>
          </wp:inline>
        </w:drawing>
      </w:r>
    </w:p>
    <w:p w14:paraId="09FAAAA6">
      <w:pPr>
        <w:widowControl/>
        <w:spacing w:line="240" w:lineRule="auto"/>
        <w:jc w:val="center"/>
        <w:rPr>
          <w:rFonts w:hint="default" w:ascii="仿宋_GB2312" w:hAnsi="宋体" w:eastAsia="仿宋_GB2312" w:cs="宋体"/>
          <w:color w:val="000000"/>
          <w:kern w:val="0"/>
          <w:sz w:val="32"/>
          <w:szCs w:val="32"/>
          <w:highlight w:val="none"/>
          <w:lang w:val="en-US" w:eastAsia="zh-CN"/>
        </w:rPr>
        <w:sectPr>
          <w:pgSz w:w="16838" w:h="11906" w:orient="landscape"/>
          <w:pgMar w:top="720" w:right="720" w:bottom="720" w:left="720" w:header="851" w:footer="992" w:gutter="0"/>
          <w:cols w:space="425" w:num="1"/>
          <w:docGrid w:type="lines" w:linePitch="312" w:charSpace="0"/>
        </w:sectPr>
      </w:pPr>
      <w:r>
        <w:rPr>
          <w:rFonts w:hint="default" w:ascii="仿宋_GB2312" w:hAnsi="宋体" w:eastAsia="仿宋_GB2312" w:cs="宋体"/>
          <w:color w:val="000000"/>
          <w:kern w:val="0"/>
          <w:sz w:val="32"/>
          <w:szCs w:val="32"/>
          <w:highlight w:val="none"/>
          <w:lang w:val="en-US" w:eastAsia="zh-CN"/>
        </w:rPr>
        <w:drawing>
          <wp:inline distT="0" distB="0" distL="0" distR="0">
            <wp:extent cx="9286875" cy="6567805"/>
            <wp:effectExtent l="9525" t="9525" r="19050" b="13970"/>
            <wp:docPr id="1029" name="图片 4" descr="G:/2024年/01沐川县产业园区规划/编制过程/2025年修改/规委会送审图集/7-1茨梨坝组团用地布局规划图.jpg7-1茨梨坝组团用地布局规划图"/>
            <wp:cNvGraphicFramePr/>
            <a:graphic xmlns:a="http://schemas.openxmlformats.org/drawingml/2006/main">
              <a:graphicData uri="http://schemas.openxmlformats.org/drawingml/2006/picture">
                <pic:pic xmlns:pic="http://schemas.openxmlformats.org/drawingml/2006/picture">
                  <pic:nvPicPr>
                    <pic:cNvPr id="1029" name="图片 4" descr="G:/2024年/01沐川县产业园区规划/编制过程/2025年修改/规委会送审图集/7-1茨梨坝组团用地布局规划图.jpg7-1茨梨坝组团用地布局规划图"/>
                    <pic:cNvPicPr/>
                  </pic:nvPicPr>
                  <pic:blipFill>
                    <a:blip r:embed="rId7" cstate="print"/>
                    <a:srcRect t="10" b="10"/>
                    <a:stretch>
                      <a:fillRect/>
                    </a:stretch>
                  </pic:blipFill>
                  <pic:spPr>
                    <a:xfrm>
                      <a:off x="0" y="0"/>
                      <a:ext cx="9286875" cy="6567805"/>
                    </a:xfrm>
                    <a:prstGeom prst="rect">
                      <a:avLst/>
                    </a:prstGeom>
                    <a:ln w="9525" cap="flat" cmpd="sng">
                      <a:solidFill>
                        <a:srgbClr val="000000"/>
                      </a:solidFill>
                      <a:prstDash val="solid"/>
                      <a:round/>
                    </a:ln>
                  </pic:spPr>
                </pic:pic>
              </a:graphicData>
            </a:graphic>
          </wp:inline>
        </w:drawing>
      </w:r>
    </w:p>
    <w:p w14:paraId="57CBF36E">
      <w:pPr>
        <w:widowControl/>
        <w:spacing w:line="240" w:lineRule="auto"/>
        <w:jc w:val="center"/>
        <w:rPr>
          <w:rFonts w:hint="default" w:ascii="仿宋_GB2312" w:hAnsi="宋体" w:eastAsia="仿宋_GB2312" w:cs="宋体"/>
          <w:color w:val="000000"/>
          <w:kern w:val="0"/>
          <w:sz w:val="32"/>
          <w:szCs w:val="32"/>
          <w:highlight w:val="none"/>
          <w:lang w:val="en-US" w:eastAsia="zh-CN"/>
        </w:rPr>
      </w:pPr>
      <w:r>
        <w:rPr>
          <w:rFonts w:hint="default" w:ascii="仿宋_GB2312" w:hAnsi="宋体" w:eastAsia="仿宋_GB2312" w:cs="宋体"/>
          <w:color w:val="000000"/>
          <w:kern w:val="0"/>
          <w:sz w:val="32"/>
          <w:szCs w:val="32"/>
          <w:highlight w:val="none"/>
          <w:lang w:val="en-US" w:eastAsia="zh-CN"/>
        </w:rPr>
        <w:drawing>
          <wp:inline distT="0" distB="0" distL="0" distR="0">
            <wp:extent cx="6638925" cy="9386570"/>
            <wp:effectExtent l="9525" t="9525" r="19050" b="14605"/>
            <wp:docPr id="1030" name="图片 5" descr="7-2龙船坝组团用地布局规划图"/>
            <wp:cNvGraphicFramePr/>
            <a:graphic xmlns:a="http://schemas.openxmlformats.org/drawingml/2006/main">
              <a:graphicData uri="http://schemas.openxmlformats.org/drawingml/2006/picture">
                <pic:pic xmlns:pic="http://schemas.openxmlformats.org/drawingml/2006/picture">
                  <pic:nvPicPr>
                    <pic:cNvPr id="1030" name="图片 5" descr="7-2龙船坝组团用地布局规划图"/>
                    <pic:cNvPicPr/>
                  </pic:nvPicPr>
                  <pic:blipFill>
                    <a:blip r:embed="rId8" cstate="print"/>
                    <a:srcRect/>
                    <a:stretch>
                      <a:fillRect/>
                    </a:stretch>
                  </pic:blipFill>
                  <pic:spPr>
                    <a:xfrm>
                      <a:off x="0" y="0"/>
                      <a:ext cx="6638925" cy="9386570"/>
                    </a:xfrm>
                    <a:prstGeom prst="rect">
                      <a:avLst/>
                    </a:prstGeom>
                    <a:ln w="9525" cap="flat" cmpd="sng">
                      <a:solidFill>
                        <a:srgbClr val="000000"/>
                      </a:solidFill>
                      <a:prstDash val="solid"/>
                      <a:round/>
                    </a:ln>
                  </pic:spPr>
                </pic:pic>
              </a:graphicData>
            </a:graphic>
          </wp:inline>
        </w:drawing>
      </w:r>
    </w:p>
    <w:p w14:paraId="46E94C92">
      <w:pPr>
        <w:widowControl/>
        <w:spacing w:line="240" w:lineRule="auto"/>
        <w:jc w:val="center"/>
        <w:rPr>
          <w:rFonts w:hint="default" w:ascii="仿宋_GB2312" w:hAnsi="宋体" w:eastAsia="仿宋_GB2312" w:cs="宋体"/>
          <w:color w:val="000000"/>
          <w:kern w:val="0"/>
          <w:sz w:val="32"/>
          <w:szCs w:val="32"/>
          <w:highlight w:val="none"/>
          <w:lang w:val="en-US" w:eastAsia="zh-CN"/>
        </w:rPr>
        <w:sectPr>
          <w:pgSz w:w="11906" w:h="16838"/>
          <w:pgMar w:top="720" w:right="720" w:bottom="720" w:left="720" w:header="851" w:footer="992" w:gutter="0"/>
          <w:cols w:space="425" w:num="1"/>
          <w:docGrid w:type="lines" w:linePitch="312" w:charSpace="0"/>
        </w:sectPr>
      </w:pPr>
      <w:r>
        <w:rPr>
          <w:rFonts w:hint="default" w:ascii="仿宋_GB2312" w:hAnsi="宋体" w:eastAsia="仿宋_GB2312" w:cs="宋体"/>
          <w:color w:val="000000"/>
          <w:kern w:val="0"/>
          <w:sz w:val="32"/>
          <w:szCs w:val="32"/>
          <w:highlight w:val="none"/>
          <w:lang w:val="en-US" w:eastAsia="zh-CN"/>
        </w:rPr>
        <w:drawing>
          <wp:inline distT="0" distB="0" distL="0" distR="0">
            <wp:extent cx="6638925" cy="9386570"/>
            <wp:effectExtent l="9525" t="9525" r="19050" b="14605"/>
            <wp:docPr id="1031" name="图片 6" descr="7-3建和组团用地布局规划图"/>
            <wp:cNvGraphicFramePr/>
            <a:graphic xmlns:a="http://schemas.openxmlformats.org/drawingml/2006/main">
              <a:graphicData uri="http://schemas.openxmlformats.org/drawingml/2006/picture">
                <pic:pic xmlns:pic="http://schemas.openxmlformats.org/drawingml/2006/picture">
                  <pic:nvPicPr>
                    <pic:cNvPr id="1031" name="图片 6" descr="7-3建和组团用地布局规划图"/>
                    <pic:cNvPicPr/>
                  </pic:nvPicPr>
                  <pic:blipFill>
                    <a:blip r:embed="rId9" cstate="print"/>
                    <a:srcRect/>
                    <a:stretch>
                      <a:fillRect/>
                    </a:stretch>
                  </pic:blipFill>
                  <pic:spPr>
                    <a:xfrm>
                      <a:off x="0" y="0"/>
                      <a:ext cx="6638925" cy="9386570"/>
                    </a:xfrm>
                    <a:prstGeom prst="rect">
                      <a:avLst/>
                    </a:prstGeom>
                    <a:ln w="9525" cap="flat" cmpd="sng">
                      <a:solidFill>
                        <a:srgbClr val="000000"/>
                      </a:solidFill>
                      <a:prstDash val="solid"/>
                      <a:round/>
                    </a:ln>
                  </pic:spPr>
                </pic:pic>
              </a:graphicData>
            </a:graphic>
          </wp:inline>
        </w:drawing>
      </w:r>
    </w:p>
    <w:p w14:paraId="333326E9">
      <w:pPr>
        <w:widowControl/>
        <w:spacing w:line="240" w:lineRule="auto"/>
        <w:jc w:val="center"/>
        <w:rPr>
          <w:rFonts w:hint="default" w:ascii="仿宋_GB2312" w:hAnsi="宋体" w:eastAsia="仿宋_GB2312" w:cs="宋体"/>
          <w:color w:val="000000"/>
          <w:kern w:val="0"/>
          <w:sz w:val="32"/>
          <w:szCs w:val="32"/>
          <w:highlight w:val="none"/>
          <w:lang w:val="en-US" w:eastAsia="zh-CN"/>
        </w:rPr>
      </w:pPr>
      <w:r>
        <w:rPr>
          <w:rFonts w:hint="default" w:ascii="仿宋_GB2312" w:hAnsi="宋体" w:eastAsia="仿宋_GB2312" w:cs="宋体"/>
          <w:color w:val="000000"/>
          <w:kern w:val="0"/>
          <w:sz w:val="32"/>
          <w:szCs w:val="32"/>
          <w:highlight w:val="none"/>
          <w:lang w:val="en-US" w:eastAsia="zh-CN"/>
        </w:rPr>
        <w:drawing>
          <wp:inline distT="0" distB="0" distL="0" distR="0">
            <wp:extent cx="9386570" cy="6638925"/>
            <wp:effectExtent l="9525" t="9525" r="14605" b="19050"/>
            <wp:docPr id="1032" name="图片 7" descr="7-4舟坝片区用地布局规划图"/>
            <wp:cNvGraphicFramePr/>
            <a:graphic xmlns:a="http://schemas.openxmlformats.org/drawingml/2006/main">
              <a:graphicData uri="http://schemas.openxmlformats.org/drawingml/2006/picture">
                <pic:pic xmlns:pic="http://schemas.openxmlformats.org/drawingml/2006/picture">
                  <pic:nvPicPr>
                    <pic:cNvPr id="1032" name="图片 7" descr="7-4舟坝片区用地布局规划图"/>
                    <pic:cNvPicPr/>
                  </pic:nvPicPr>
                  <pic:blipFill>
                    <a:blip r:embed="rId10" cstate="print"/>
                    <a:srcRect/>
                    <a:stretch>
                      <a:fillRect/>
                    </a:stretch>
                  </pic:blipFill>
                  <pic:spPr>
                    <a:xfrm>
                      <a:off x="0" y="0"/>
                      <a:ext cx="9386570" cy="6638925"/>
                    </a:xfrm>
                    <a:prstGeom prst="rect">
                      <a:avLst/>
                    </a:prstGeom>
                    <a:ln w="9525" cap="flat" cmpd="sng">
                      <a:solidFill>
                        <a:srgbClr val="000000"/>
                      </a:solidFill>
                      <a:prstDash val="solid"/>
                      <a:round/>
                    </a:ln>
                  </pic:spPr>
                </pic:pic>
              </a:graphicData>
            </a:graphic>
          </wp:inline>
        </w:drawing>
      </w:r>
    </w:p>
    <w:p w14:paraId="428BB953">
      <w:pPr>
        <w:widowControl/>
        <w:spacing w:line="240" w:lineRule="auto"/>
        <w:jc w:val="center"/>
        <w:rPr>
          <w:rFonts w:hint="default" w:ascii="仿宋_GB2312" w:hAnsi="宋体" w:eastAsia="仿宋_GB2312" w:cs="宋体"/>
          <w:color w:val="000000"/>
          <w:kern w:val="0"/>
          <w:sz w:val="32"/>
          <w:szCs w:val="32"/>
          <w:highlight w:val="none"/>
          <w:lang w:val="en-US" w:eastAsia="zh-CN"/>
        </w:rPr>
        <w:sectPr>
          <w:pgSz w:w="16838" w:h="11906" w:orient="landscape"/>
          <w:pgMar w:top="720" w:right="720" w:bottom="720" w:left="720" w:header="851" w:footer="992" w:gutter="0"/>
          <w:cols w:space="425" w:num="1"/>
          <w:docGrid w:type="lines" w:linePitch="312" w:charSpace="0"/>
        </w:sectPr>
      </w:pPr>
      <w:r>
        <w:rPr>
          <w:rFonts w:hint="default" w:ascii="仿宋_GB2312" w:hAnsi="宋体" w:eastAsia="仿宋_GB2312" w:cs="宋体"/>
          <w:color w:val="000000"/>
          <w:kern w:val="0"/>
          <w:sz w:val="32"/>
          <w:szCs w:val="32"/>
          <w:highlight w:val="none"/>
          <w:lang w:val="en-US" w:eastAsia="zh-CN"/>
        </w:rPr>
        <w:drawing>
          <wp:inline distT="0" distB="0" distL="0" distR="0">
            <wp:extent cx="9386570" cy="6638925"/>
            <wp:effectExtent l="9525" t="9525" r="14605" b="19050"/>
            <wp:docPr id="1033" name="图片 8" descr="7-5永福片区用地布局规划图（1）"/>
            <wp:cNvGraphicFramePr/>
            <a:graphic xmlns:a="http://schemas.openxmlformats.org/drawingml/2006/main">
              <a:graphicData uri="http://schemas.openxmlformats.org/drawingml/2006/picture">
                <pic:pic xmlns:pic="http://schemas.openxmlformats.org/drawingml/2006/picture">
                  <pic:nvPicPr>
                    <pic:cNvPr id="1033" name="图片 8" descr="7-5永福片区用地布局规划图（1）"/>
                    <pic:cNvPicPr/>
                  </pic:nvPicPr>
                  <pic:blipFill>
                    <a:blip r:embed="rId11" cstate="print"/>
                    <a:srcRect/>
                    <a:stretch>
                      <a:fillRect/>
                    </a:stretch>
                  </pic:blipFill>
                  <pic:spPr>
                    <a:xfrm>
                      <a:off x="0" y="0"/>
                      <a:ext cx="9386570" cy="6638925"/>
                    </a:xfrm>
                    <a:prstGeom prst="rect">
                      <a:avLst/>
                    </a:prstGeom>
                    <a:ln w="9525" cap="flat" cmpd="sng">
                      <a:solidFill>
                        <a:srgbClr val="000000"/>
                      </a:solidFill>
                      <a:prstDash val="solid"/>
                      <a:round/>
                    </a:ln>
                  </pic:spPr>
                </pic:pic>
              </a:graphicData>
            </a:graphic>
          </wp:inline>
        </w:drawing>
      </w:r>
    </w:p>
    <w:p w14:paraId="2EB77447">
      <w:pPr>
        <w:widowControl/>
        <w:spacing w:line="240" w:lineRule="auto"/>
        <w:jc w:val="center"/>
        <w:rPr>
          <w:rFonts w:hint="default" w:ascii="仿宋_GB2312" w:hAnsi="宋体" w:eastAsia="仿宋_GB2312" w:cs="宋体"/>
          <w:color w:val="000000"/>
          <w:kern w:val="0"/>
          <w:sz w:val="32"/>
          <w:szCs w:val="32"/>
          <w:highlight w:val="none"/>
          <w:lang w:val="en-US" w:eastAsia="zh-CN"/>
        </w:rPr>
      </w:pPr>
      <w:r>
        <w:rPr>
          <w:rFonts w:hint="default" w:ascii="仿宋_GB2312" w:hAnsi="宋体" w:eastAsia="仿宋_GB2312" w:cs="宋体"/>
          <w:color w:val="000000"/>
          <w:kern w:val="0"/>
          <w:sz w:val="32"/>
          <w:szCs w:val="32"/>
          <w:highlight w:val="none"/>
          <w:lang w:val="en-US" w:eastAsia="zh-CN"/>
        </w:rPr>
        <w:drawing>
          <wp:inline distT="0" distB="0" distL="0" distR="0">
            <wp:extent cx="6638925" cy="9386570"/>
            <wp:effectExtent l="9525" t="9525" r="19050" b="14605"/>
            <wp:docPr id="1034" name="图片 9" descr="7-6炭库片区用地布局规划图"/>
            <wp:cNvGraphicFramePr/>
            <a:graphic xmlns:a="http://schemas.openxmlformats.org/drawingml/2006/main">
              <a:graphicData uri="http://schemas.openxmlformats.org/drawingml/2006/picture">
                <pic:pic xmlns:pic="http://schemas.openxmlformats.org/drawingml/2006/picture">
                  <pic:nvPicPr>
                    <pic:cNvPr id="1034" name="图片 9" descr="7-6炭库片区用地布局规划图"/>
                    <pic:cNvPicPr/>
                  </pic:nvPicPr>
                  <pic:blipFill>
                    <a:blip r:embed="rId12" cstate="print"/>
                    <a:srcRect/>
                    <a:stretch>
                      <a:fillRect/>
                    </a:stretch>
                  </pic:blipFill>
                  <pic:spPr>
                    <a:xfrm>
                      <a:off x="0" y="0"/>
                      <a:ext cx="6638925" cy="9386570"/>
                    </a:xfrm>
                    <a:prstGeom prst="rect">
                      <a:avLst/>
                    </a:prstGeom>
                    <a:ln w="9525" cap="flat" cmpd="sng">
                      <a:solidFill>
                        <a:srgbClr val="000000"/>
                      </a:solidFill>
                      <a:prstDash val="solid"/>
                      <a:round/>
                    </a:ln>
                  </pic:spPr>
                </pic:pic>
              </a:graphicData>
            </a:graphic>
          </wp:inline>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71D1B"/>
    <w:rsid w:val="07C54C87"/>
    <w:rsid w:val="0AA277E2"/>
    <w:rsid w:val="12135469"/>
    <w:rsid w:val="1E3429EF"/>
    <w:rsid w:val="3CF33D49"/>
    <w:rsid w:val="4032245D"/>
    <w:rsid w:val="45BE0C6C"/>
    <w:rsid w:val="49520049"/>
    <w:rsid w:val="57825F9E"/>
    <w:rsid w:val="587C0C3F"/>
    <w:rsid w:val="5B215ACE"/>
    <w:rsid w:val="6E2A4841"/>
    <w:rsid w:val="75E1612D"/>
    <w:rsid w:val="77764291"/>
    <w:rsid w:val="78CC6C21"/>
    <w:rsid w:val="7B007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paragraph" w:customStyle="1" w:styleId="4">
    <w:name w:val="图表目录1"/>
    <w:basedOn w:val="5"/>
    <w:next w:val="5"/>
    <w:qFormat/>
    <w:uiPriority w:val="0"/>
    <w:pPr>
      <w:ind w:left="200" w:leftChars="200" w:hanging="200" w:hangingChars="200"/>
    </w:pPr>
  </w:style>
  <w:style w:type="paragraph" w:customStyle="1" w:styleId="5">
    <w:name w:val="正文 New"/>
    <w:next w:val="4"/>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3429</Words>
  <Characters>3879</Characters>
  <Paragraphs>258</Paragraphs>
  <TotalTime>56</TotalTime>
  <ScaleCrop>false</ScaleCrop>
  <LinksUpToDate>false</LinksUpToDate>
  <CharactersWithSpaces>3895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2023-05-17T02:29:00Z</dcterms:created>
  <dc:creator>Administrator</dc:creator>
  <cp:lastModifiedBy>吴晓芳</cp:lastModifiedBy>
  <cp:lastPrinted>2023-06-16T09:59:00Z</cp:lastPrinted>
  <dcterms:modified xsi:type="dcterms:W3CDTF">2025-12-17T03:28:13Z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4CBEC4B16D69460AA71A848EB8598391_13</vt:lpwstr>
  </property>
  <property fmtid="{D5CDD505-2E9C-101B-9397-08002B2CF9AE}" pid="4" name="KSOTemplateDocerSaveRecord">
    <vt:lpwstr>eyJoZGlkIjoiNjcwOWUyNzBiYmE0ZTJmZDI4MTllYWRiMzA2YzkxNWIiLCJ1c2VySWQiOiIxNDg0NTcyMjU1In0=</vt:lpwstr>
  </property>
</Properties>
</file>