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2319B">
      <w:pPr>
        <w:spacing w:line="600" w:lineRule="exact"/>
        <w:jc w:val="center"/>
        <w:outlineLvl w:val="0"/>
        <w:rPr>
          <w:rFonts w:ascii="方正小标宋简体" w:hAnsi="宋体" w:eastAsia="方正小标宋简体"/>
          <w:color w:val="auto"/>
          <w:sz w:val="72"/>
          <w:szCs w:val="72"/>
          <w:highlight w:val="none"/>
        </w:rPr>
      </w:pPr>
      <w:bookmarkStart w:id="0" w:name="_Toc15378441"/>
      <w:bookmarkStart w:id="1" w:name="_Toc15377425"/>
      <w:bookmarkStart w:id="2" w:name="_Toc15377193"/>
      <w:bookmarkStart w:id="3" w:name="_Toc15396475"/>
      <w:bookmarkStart w:id="4" w:name="_Toc15396597"/>
      <w:bookmarkStart w:id="5" w:name="_Toc15306267"/>
    </w:p>
    <w:p w14:paraId="2BC6C690">
      <w:pPr>
        <w:spacing w:line="600" w:lineRule="exact"/>
        <w:jc w:val="center"/>
        <w:outlineLvl w:val="0"/>
        <w:rPr>
          <w:rFonts w:ascii="方正小标宋简体" w:hAnsi="宋体" w:eastAsia="方正小标宋简体"/>
          <w:color w:val="auto"/>
          <w:sz w:val="72"/>
          <w:szCs w:val="72"/>
          <w:highlight w:val="none"/>
        </w:rPr>
      </w:pPr>
    </w:p>
    <w:p w14:paraId="313E6C15">
      <w:pPr>
        <w:spacing w:line="600" w:lineRule="exact"/>
        <w:jc w:val="center"/>
        <w:outlineLvl w:val="0"/>
        <w:rPr>
          <w:rFonts w:ascii="方正小标宋简体" w:hAnsi="宋体" w:eastAsia="方正小标宋简体"/>
          <w:color w:val="auto"/>
          <w:sz w:val="72"/>
          <w:szCs w:val="72"/>
          <w:highlight w:val="none"/>
        </w:rPr>
      </w:pPr>
    </w:p>
    <w:p w14:paraId="7F21F862">
      <w:pPr>
        <w:adjustRightInd w:val="0"/>
        <w:snapToGrid w:val="0"/>
        <w:spacing w:line="360" w:lineRule="auto"/>
        <w:jc w:val="both"/>
        <w:outlineLvl w:val="0"/>
        <w:rPr>
          <w:rFonts w:hint="eastAsia" w:ascii="方正小标宋简体" w:hAnsi="方正小标宋简体" w:eastAsia="方正小标宋简体" w:cs="方正小标宋简体"/>
          <w:color w:val="auto"/>
          <w:sz w:val="72"/>
          <w:szCs w:val="72"/>
          <w:highlight w:val="none"/>
        </w:rPr>
      </w:pPr>
    </w:p>
    <w:p w14:paraId="40772EC9">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p w14:paraId="11983984">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eastAsia="zh-CN"/>
        </w:rPr>
      </w:pPr>
      <w:bookmarkStart w:id="6" w:name="_Toc15378442"/>
      <w:bookmarkStart w:id="7" w:name="_Toc15377194"/>
      <w:bookmarkStart w:id="8" w:name="_Toc15396476"/>
      <w:bookmarkStart w:id="9" w:name="_Toc15396598"/>
      <w:bookmarkStart w:id="10" w:name="_Toc15377426"/>
      <w:r>
        <w:rPr>
          <w:rFonts w:hint="eastAsia" w:ascii="方正小标宋简体" w:hAnsi="方正小标宋简体" w:eastAsia="方正小标宋简体" w:cs="方正小标宋简体"/>
          <w:color w:val="auto"/>
          <w:sz w:val="72"/>
          <w:szCs w:val="72"/>
          <w:highlight w:val="none"/>
        </w:rPr>
        <w:t>四川省</w:t>
      </w:r>
      <w:bookmarkEnd w:id="5"/>
      <w:bookmarkStart w:id="11" w:name="_Toc15306268"/>
      <w:r>
        <w:rPr>
          <w:rFonts w:hint="eastAsia" w:ascii="方正小标宋简体" w:hAnsi="方正小标宋简体" w:eastAsia="方正小标宋简体" w:cs="方正小标宋简体"/>
          <w:color w:val="auto"/>
          <w:sz w:val="72"/>
          <w:szCs w:val="72"/>
          <w:highlight w:val="none"/>
          <w:lang w:eastAsia="zh-CN"/>
        </w:rPr>
        <w:t>沐川县水务局</w:t>
      </w:r>
    </w:p>
    <w:p w14:paraId="2F4B9FC9">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部门决算</w:t>
      </w:r>
      <w:bookmarkEnd w:id="6"/>
      <w:bookmarkEnd w:id="7"/>
      <w:bookmarkEnd w:id="8"/>
      <w:bookmarkEnd w:id="9"/>
      <w:bookmarkEnd w:id="10"/>
      <w:bookmarkEnd w:id="11"/>
    </w:p>
    <w:p w14:paraId="1822EC7D">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3721AAE9">
      <w:pPr>
        <w:widowControl/>
        <w:jc w:val="center"/>
        <w:rPr>
          <w:rFonts w:ascii="黑体" w:hAnsi="黑体" w:eastAsia="黑体" w:cstheme="minorBidi"/>
          <w:color w:val="auto"/>
          <w:sz w:val="28"/>
          <w:szCs w:val="28"/>
          <w:highlight w:val="none"/>
        </w:rPr>
      </w:pPr>
    </w:p>
    <w:p w14:paraId="0F0E050B">
      <w:pPr>
        <w:pStyle w:val="10"/>
        <w:rPr>
          <w:rFonts w:hint="eastAsia"/>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26</w:t>
      </w:r>
      <w:r>
        <w:rPr>
          <w:rFonts w:hint="eastAsia"/>
          <w:color w:val="auto"/>
          <w:highlight w:val="none"/>
        </w:rPr>
        <w:t>日</w:t>
      </w:r>
    </w:p>
    <w:p w14:paraId="5FFD9644">
      <w:pPr>
        <w:jc w:val="center"/>
        <w:rPr>
          <w:rFonts w:hint="eastAsia" w:eastAsia="宋体"/>
          <w:sz w:val="24"/>
          <w:szCs w:val="32"/>
          <w:highlight w:val="yellow"/>
          <w:lang w:eastAsia="zh-CN"/>
        </w:rPr>
      </w:pPr>
    </w:p>
    <w:p w14:paraId="60E24A68">
      <w:pPr>
        <w:rPr>
          <w:color w:val="auto"/>
          <w:highlight w:val="none"/>
        </w:rPr>
      </w:pPr>
    </w:p>
    <w:p w14:paraId="2E3B3CE8">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r>
        <w:rPr>
          <w:rFonts w:hint="eastAsia"/>
          <w:color w:val="auto"/>
          <w:sz w:val="24"/>
          <w:highlight w:val="none"/>
          <w:lang w:val="en-US" w:eastAsia="zh-CN"/>
        </w:rPr>
        <w:t>.................................................4</w:t>
      </w:r>
    </w:p>
    <w:p w14:paraId="327EED6C">
      <w:pPr>
        <w:pStyle w:val="12"/>
        <w:adjustRightInd w:val="0"/>
        <w:snapToGrid w:val="0"/>
        <w:spacing w:line="440" w:lineRule="exact"/>
        <w:jc w:val="left"/>
        <w:rPr>
          <w:rFonts w:hint="default" w:ascii="仿宋" w:hAnsi="仿宋" w:eastAsia="宋体"/>
          <w:color w:val="auto"/>
          <w:sz w:val="24"/>
          <w:highlight w:val="none"/>
          <w:lang w:val="en-US" w:eastAsia="zh-CN"/>
        </w:rPr>
      </w:pPr>
      <w:r>
        <w:rPr>
          <w:rFonts w:hint="eastAsia"/>
          <w:color w:val="auto"/>
          <w:sz w:val="24"/>
          <w:highlight w:val="none"/>
        </w:rPr>
        <w:t>一、基本职能及主要工作</w:t>
      </w:r>
      <w:r>
        <w:rPr>
          <w:rFonts w:hint="eastAsia"/>
          <w:color w:val="auto"/>
          <w:sz w:val="24"/>
          <w:highlight w:val="none"/>
          <w:lang w:val="en-US" w:eastAsia="zh-CN"/>
        </w:rPr>
        <w:t>..................................................................................4</w:t>
      </w:r>
    </w:p>
    <w:p w14:paraId="3B7AD117">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二、机构设置</w:t>
      </w:r>
      <w:r>
        <w:rPr>
          <w:rFonts w:hint="eastAsia"/>
          <w:color w:val="auto"/>
          <w:sz w:val="24"/>
          <w:highlight w:val="none"/>
          <w:lang w:val="en-US" w:eastAsia="zh-CN"/>
        </w:rPr>
        <w:t>......................................................................................................9</w:t>
      </w:r>
    </w:p>
    <w:p w14:paraId="4B19B741">
      <w:pPr>
        <w:pStyle w:val="10"/>
        <w:adjustRightInd w:val="0"/>
        <w:snapToGrid w:val="0"/>
        <w:spacing w:before="0" w:line="440" w:lineRule="exact"/>
        <w:jc w:val="left"/>
        <w:rPr>
          <w:rFonts w:hint="default" w:eastAsia="仿宋"/>
          <w:color w:val="auto"/>
          <w:sz w:val="24"/>
          <w:szCs w:val="24"/>
          <w:highlight w:val="none"/>
          <w:lang w:val="en-US" w:eastAsia="zh-CN"/>
        </w:rPr>
      </w:pPr>
      <w:r>
        <w:rPr>
          <w:rFonts w:hint="eastAsia"/>
          <w:color w:val="auto"/>
          <w:sz w:val="24"/>
          <w:highlight w:val="none"/>
        </w:rPr>
        <w:t>第二部分</w:t>
      </w:r>
      <w:r>
        <w:rPr>
          <w:rFonts w:hint="eastAsia"/>
          <w:color w:val="auto"/>
          <w:sz w:val="24"/>
          <w:highlight w:val="none"/>
          <w:lang w:val="en-US" w:eastAsia="zh-CN"/>
        </w:rPr>
        <w:t xml:space="preserve"> 2021年度</w:t>
      </w:r>
      <w:r>
        <w:rPr>
          <w:rFonts w:hint="eastAsia"/>
          <w:color w:val="auto"/>
          <w:sz w:val="24"/>
          <w:highlight w:val="none"/>
        </w:rPr>
        <w:t>部门决算情况说明</w:t>
      </w:r>
      <w:r>
        <w:rPr>
          <w:rFonts w:hint="eastAsia"/>
          <w:color w:val="auto"/>
          <w:sz w:val="24"/>
          <w:highlight w:val="none"/>
          <w:lang w:val="en-US" w:eastAsia="zh-CN"/>
        </w:rPr>
        <w:t>................................10</w:t>
      </w:r>
    </w:p>
    <w:p w14:paraId="7C865920">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一、收入支出决算总体情况说明</w:t>
      </w:r>
      <w:r>
        <w:rPr>
          <w:rFonts w:hint="eastAsia"/>
          <w:color w:val="auto"/>
          <w:sz w:val="24"/>
          <w:highlight w:val="none"/>
          <w:lang w:val="en-US" w:eastAsia="zh-CN"/>
        </w:rPr>
        <w:t>.....................................................................10</w:t>
      </w:r>
    </w:p>
    <w:p w14:paraId="0A87ED31">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二、收入决算情况说明</w:t>
      </w:r>
      <w:r>
        <w:rPr>
          <w:rFonts w:hint="eastAsia"/>
          <w:color w:val="auto"/>
          <w:sz w:val="24"/>
          <w:highlight w:val="none"/>
          <w:lang w:val="en-US" w:eastAsia="zh-CN"/>
        </w:rPr>
        <w:t>.....................................................................................10</w:t>
      </w:r>
    </w:p>
    <w:p w14:paraId="4FB469C7">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三、支出决算情况说明</w:t>
      </w:r>
      <w:r>
        <w:rPr>
          <w:rFonts w:hint="eastAsia"/>
          <w:color w:val="auto"/>
          <w:sz w:val="24"/>
          <w:highlight w:val="none"/>
          <w:lang w:val="en-US" w:eastAsia="zh-CN"/>
        </w:rPr>
        <w:t>.....................................................................................11</w:t>
      </w:r>
    </w:p>
    <w:p w14:paraId="56CCFF9F">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四、财政拨款收入支出决算总体情况说明</w:t>
      </w:r>
      <w:r>
        <w:rPr>
          <w:rFonts w:hint="eastAsia"/>
          <w:color w:val="auto"/>
          <w:sz w:val="24"/>
          <w:highlight w:val="none"/>
          <w:lang w:val="en-US" w:eastAsia="zh-CN"/>
        </w:rPr>
        <w:t>.....................................................12</w:t>
      </w:r>
    </w:p>
    <w:p w14:paraId="3333876F">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五、一般公共预算财政拨款支出决算情况说明</w:t>
      </w:r>
      <w:r>
        <w:rPr>
          <w:rFonts w:hint="eastAsia"/>
          <w:color w:val="auto"/>
          <w:sz w:val="24"/>
          <w:highlight w:val="none"/>
          <w:lang w:val="en-US" w:eastAsia="zh-CN"/>
        </w:rPr>
        <w:t>.............................................13</w:t>
      </w:r>
    </w:p>
    <w:p w14:paraId="7687A72D">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六、一般公共预算财政拨款基本支出决算情况说明</w:t>
      </w:r>
      <w:r>
        <w:rPr>
          <w:rFonts w:hint="eastAsia"/>
          <w:color w:val="auto"/>
          <w:sz w:val="24"/>
          <w:highlight w:val="none"/>
          <w:lang w:val="en-US" w:eastAsia="zh-CN"/>
        </w:rPr>
        <w:t>.....................................18</w:t>
      </w:r>
    </w:p>
    <w:p w14:paraId="7A402201">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七、</w:t>
      </w:r>
      <w:r>
        <w:rPr>
          <w:rFonts w:hint="eastAsia"/>
          <w:color w:val="auto"/>
          <w:sz w:val="24"/>
          <w:highlight w:val="none"/>
          <w:lang w:eastAsia="zh-CN"/>
        </w:rPr>
        <w:t>“</w:t>
      </w:r>
      <w:r>
        <w:rPr>
          <w:rFonts w:hint="eastAsia"/>
          <w:color w:val="auto"/>
          <w:sz w:val="24"/>
          <w:highlight w:val="none"/>
        </w:rPr>
        <w:t>三公”经费财政拨款支出决算情况说明</w:t>
      </w:r>
      <w:r>
        <w:rPr>
          <w:rFonts w:hint="eastAsia"/>
          <w:color w:val="auto"/>
          <w:sz w:val="24"/>
          <w:highlight w:val="none"/>
          <w:lang w:val="en-US" w:eastAsia="zh-CN"/>
        </w:rPr>
        <w:t>...............................................18</w:t>
      </w:r>
    </w:p>
    <w:p w14:paraId="38FE254D">
      <w:pPr>
        <w:pStyle w:val="12"/>
        <w:adjustRightInd w:val="0"/>
        <w:snapToGrid w:val="0"/>
        <w:spacing w:line="440" w:lineRule="exact"/>
        <w:jc w:val="left"/>
        <w:rPr>
          <w:rFonts w:hint="default" w:ascii="仿宋" w:hAnsi="仿宋" w:eastAsia="宋体" w:cstheme="minorBidi"/>
          <w:color w:val="auto"/>
          <w:sz w:val="24"/>
          <w:highlight w:val="none"/>
          <w:lang w:val="en-US" w:eastAsia="zh-CN"/>
        </w:rPr>
      </w:pPr>
      <w:r>
        <w:rPr>
          <w:rFonts w:hint="eastAsia"/>
          <w:color w:val="auto"/>
          <w:sz w:val="24"/>
          <w:highlight w:val="none"/>
        </w:rPr>
        <w:t>八、政府性基金预算支出决算情况说明</w:t>
      </w:r>
      <w:r>
        <w:rPr>
          <w:rFonts w:hint="eastAsia"/>
          <w:color w:val="auto"/>
          <w:sz w:val="24"/>
          <w:highlight w:val="none"/>
          <w:lang w:val="en-US" w:eastAsia="zh-CN"/>
        </w:rPr>
        <w:t>..........................................................21</w:t>
      </w:r>
    </w:p>
    <w:p w14:paraId="63A9ED2F">
      <w:pPr>
        <w:pStyle w:val="12"/>
        <w:adjustRightInd w:val="0"/>
        <w:snapToGrid w:val="0"/>
        <w:spacing w:line="440" w:lineRule="exact"/>
        <w:jc w:val="left"/>
        <w:rPr>
          <w:rFonts w:hint="default" w:ascii="Times New Roman" w:hAnsi="Times New Roman" w:cs="Times New Roman"/>
          <w:color w:val="auto"/>
          <w:sz w:val="24"/>
          <w:highlight w:val="none"/>
          <w:lang w:val="en-US" w:eastAsia="zh-CN"/>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r>
        <w:rPr>
          <w:rFonts w:hint="eastAsia" w:asciiTheme="minorEastAsia" w:hAnsiTheme="minorEastAsia" w:eastAsiaTheme="minorEastAsia" w:cstheme="minorEastAsia"/>
          <w:color w:val="auto"/>
          <w:sz w:val="24"/>
          <w:highlight w:val="none"/>
          <w:lang w:val="en-US" w:eastAsia="zh-CN"/>
        </w:rPr>
        <w:t>.</w:t>
      </w:r>
      <w:r>
        <w:rPr>
          <w:rFonts w:hint="eastAsia" w:ascii="Times New Roman" w:hAnsi="Times New Roman" w:cs="Times New Roman"/>
          <w:color w:val="auto"/>
          <w:sz w:val="24"/>
          <w:highlight w:val="none"/>
          <w:lang w:val="en-US" w:eastAsia="zh-CN"/>
        </w:rPr>
        <w:t>....................................................21</w:t>
      </w:r>
    </w:p>
    <w:p w14:paraId="46EE5E8D">
      <w:pPr>
        <w:pStyle w:val="12"/>
        <w:adjustRightInd w:val="0"/>
        <w:snapToGrid w:val="0"/>
        <w:spacing w:line="440" w:lineRule="exact"/>
        <w:jc w:val="left"/>
        <w:rPr>
          <w:rFonts w:hint="default" w:asciiTheme="minorEastAsia" w:hAnsiTheme="minorEastAsia" w:eastAsiaTheme="minorEastAsia" w:cstheme="minorEastAsia"/>
          <w:color w:val="auto"/>
          <w:sz w:val="24"/>
          <w:highlight w:val="none"/>
          <w:lang w:val="en-US"/>
        </w:rPr>
      </w:pPr>
      <w:r>
        <w:rPr>
          <w:rFonts w:hint="eastAsia" w:ascii="Times New Roman" w:hAnsi="Times New Roman" w:cs="Times New Roman"/>
          <w:color w:val="auto"/>
          <w:sz w:val="24"/>
          <w:highlight w:val="none"/>
          <w:lang w:val="en-US" w:eastAsia="zh-CN"/>
        </w:rPr>
        <w:t>十、其他重要事项的情况说明..........................................................................21</w:t>
      </w:r>
    </w:p>
    <w:p w14:paraId="69DB62C2">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rFonts w:hint="eastAsia"/>
          <w:color w:val="auto"/>
          <w:sz w:val="24"/>
          <w:highlight w:val="none"/>
          <w:lang w:val="en-US" w:eastAsia="zh-CN"/>
        </w:rPr>
        <w:t>.................................................23</w:t>
      </w:r>
    </w:p>
    <w:p w14:paraId="68C2451B">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rPr>
          <w:rFonts w:hint="eastAsia"/>
          <w:color w:val="auto"/>
          <w:sz w:val="24"/>
          <w:highlight w:val="none"/>
          <w:lang w:val="en-US" w:eastAsia="zh-CN"/>
        </w:rPr>
        <w:t>.....................................................28</w:t>
      </w:r>
    </w:p>
    <w:p w14:paraId="078A26B6">
      <w:pPr>
        <w:pStyle w:val="10"/>
        <w:adjustRightInd w:val="0"/>
        <w:snapToGrid w:val="0"/>
        <w:spacing w:before="0" w:line="440" w:lineRule="exact"/>
        <w:jc w:val="left"/>
        <w:rPr>
          <w:rFonts w:hint="default" w:eastAsia="仿宋" w:cstheme="minorBidi"/>
          <w:color w:val="auto"/>
          <w:sz w:val="24"/>
          <w:szCs w:val="24"/>
          <w:highlight w:val="none"/>
          <w:lang w:val="en-US" w:eastAsia="zh-CN"/>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rPr>
          <w:rFonts w:hint="eastAsia"/>
          <w:color w:val="auto"/>
          <w:sz w:val="24"/>
          <w:highlight w:val="none"/>
          <w:lang w:val="en-US" w:eastAsia="zh-CN"/>
        </w:rPr>
        <w:t>.....................................................41</w:t>
      </w:r>
    </w:p>
    <w:p w14:paraId="434FDF7D">
      <w:pPr>
        <w:pStyle w:val="12"/>
        <w:adjustRightInd w:val="0"/>
        <w:snapToGrid w:val="0"/>
        <w:spacing w:line="440" w:lineRule="exact"/>
        <w:jc w:val="left"/>
        <w:rPr>
          <w:rFonts w:ascii="仿宋" w:hAnsi="仿宋" w:eastAsia="仿宋" w:cstheme="minorBidi"/>
          <w:color w:val="auto"/>
          <w:sz w:val="24"/>
          <w:highlight w:val="none"/>
        </w:rPr>
      </w:pPr>
      <w:r>
        <w:rPr>
          <w:rFonts w:hint="eastAsia" w:ascii="仿宋" w:hAnsi="仿宋" w:eastAsia="仿宋"/>
          <w:color w:val="auto"/>
          <w:sz w:val="24"/>
          <w:highlight w:val="none"/>
        </w:rPr>
        <w:t>一、</w:t>
      </w:r>
      <w:r>
        <w:rPr>
          <w:rFonts w:hint="eastAsia"/>
          <w:color w:val="auto"/>
          <w:sz w:val="24"/>
          <w:highlight w:val="none"/>
        </w:rPr>
        <w:t>收入支出决算总表</w:t>
      </w:r>
    </w:p>
    <w:p w14:paraId="5B9D2AE2">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二、收入决算表</w:t>
      </w:r>
    </w:p>
    <w:p w14:paraId="13460560">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三、支出决算表</w:t>
      </w:r>
    </w:p>
    <w:p w14:paraId="6F6DA681">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四、财政拨款收入支出决算总表</w:t>
      </w:r>
    </w:p>
    <w:p w14:paraId="42E1F0E1">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五、财政拨款支出决算明细表</w:t>
      </w:r>
    </w:p>
    <w:p w14:paraId="0A28C978">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六、一般公共预算财政拨款支出决算表</w:t>
      </w:r>
    </w:p>
    <w:p w14:paraId="01D9635B">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七、一般公共预算财政拨款支出决算明细表</w:t>
      </w:r>
    </w:p>
    <w:p w14:paraId="707B10F5">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八、一般公共预算财政拨款基本支出决算表</w:t>
      </w:r>
    </w:p>
    <w:p w14:paraId="057985F5">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九、一般公共预算财政拨款项目支出决算表</w:t>
      </w:r>
    </w:p>
    <w:p w14:paraId="18CE88D9">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十、一般公共预算财政拨款“三公”经费支出决算表</w:t>
      </w:r>
    </w:p>
    <w:p w14:paraId="2BEB94C6">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十一、政府性基金预算财政拨款收入支出决算表</w:t>
      </w:r>
    </w:p>
    <w:p w14:paraId="4E371DD5">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十二、政府性基金预算财政拨款“三公”经费支出决算表</w:t>
      </w:r>
    </w:p>
    <w:p w14:paraId="2A3686AD">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十三、国有资本经营预算</w:t>
      </w:r>
      <w:r>
        <w:rPr>
          <w:rFonts w:hint="eastAsia" w:asciiTheme="minorEastAsia" w:hAnsiTheme="minorEastAsia" w:eastAsiaTheme="minorEastAsia" w:cstheme="minorEastAsia"/>
          <w:color w:val="auto"/>
          <w:sz w:val="24"/>
          <w:highlight w:val="none"/>
          <w:lang w:eastAsia="zh-CN"/>
        </w:rPr>
        <w:t>财政拨款收入</w:t>
      </w:r>
      <w:r>
        <w:rPr>
          <w:rFonts w:hint="eastAsia" w:asciiTheme="minorEastAsia" w:hAnsiTheme="minorEastAsia" w:eastAsiaTheme="minorEastAsia" w:cstheme="minorEastAsia"/>
          <w:color w:val="auto"/>
          <w:sz w:val="24"/>
          <w:highlight w:val="none"/>
        </w:rPr>
        <w:t>支出决算表</w:t>
      </w:r>
    </w:p>
    <w:p w14:paraId="3DDC77F9">
      <w:pPr>
        <w:pStyle w:val="12"/>
        <w:adjustRightInd w:val="0"/>
        <w:snapToGrid w:val="0"/>
        <w:spacing w:line="440" w:lineRule="exact"/>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十四、国有资本经营预算财政拨款支出决算表</w:t>
      </w:r>
    </w:p>
    <w:p w14:paraId="35DE3B1A">
      <w:pPr>
        <w:widowControl/>
        <w:spacing w:line="440" w:lineRule="exact"/>
        <w:jc w:val="left"/>
        <w:rPr>
          <w:rFonts w:ascii="仿宋" w:hAnsi="仿宋" w:eastAsia="仿宋"/>
          <w:bCs/>
          <w:color w:val="auto"/>
          <w:kern w:val="44"/>
          <w:sz w:val="24"/>
          <w:highlight w:val="none"/>
        </w:rPr>
      </w:pPr>
      <w:bookmarkStart w:id="12" w:name="_Toc15396599"/>
      <w:bookmarkStart w:id="13" w:name="_Toc15377196"/>
      <w:r>
        <w:rPr>
          <w:rFonts w:ascii="仿宋" w:hAnsi="仿宋" w:eastAsia="仿宋"/>
          <w:b/>
          <w:color w:val="auto"/>
          <w:sz w:val="24"/>
          <w:highlight w:val="none"/>
        </w:rPr>
        <w:br w:type="page"/>
      </w:r>
    </w:p>
    <w:p w14:paraId="55F7C8F8">
      <w:pPr>
        <w:pStyle w:val="3"/>
        <w:jc w:val="center"/>
        <w:rPr>
          <w:rStyle w:val="27"/>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7"/>
          <w:rFonts w:hint="eastAsia" w:ascii="黑体" w:hAnsi="黑体" w:eastAsia="黑体"/>
          <w:b w:val="0"/>
          <w:bCs w:val="0"/>
          <w:color w:val="auto"/>
          <w:highlight w:val="none"/>
        </w:rPr>
        <w:t>部门概况</w:t>
      </w:r>
      <w:bookmarkEnd w:id="12"/>
      <w:bookmarkEnd w:id="13"/>
    </w:p>
    <w:p w14:paraId="5020F34B">
      <w:pPr>
        <w:widowControl/>
        <w:jc w:val="left"/>
        <w:rPr>
          <w:rFonts w:ascii="黑体" w:eastAsia="黑体"/>
          <w:color w:val="auto"/>
          <w:sz w:val="32"/>
          <w:szCs w:val="32"/>
          <w:highlight w:val="none"/>
        </w:rPr>
      </w:pPr>
    </w:p>
    <w:p w14:paraId="10C9067D">
      <w:pPr>
        <w:pStyle w:val="2"/>
        <w:rPr>
          <w:rStyle w:val="28"/>
          <w:rFonts w:ascii="仿宋" w:hAnsi="仿宋" w:eastAsia="仿宋"/>
          <w:b w:val="0"/>
          <w:bCs w:val="0"/>
          <w:color w:val="auto"/>
          <w:highlight w:val="none"/>
        </w:rPr>
      </w:pPr>
      <w:bookmarkStart w:id="14" w:name="_Toc15396600"/>
      <w:bookmarkStart w:id="15" w:name="_Toc15377197"/>
      <w:r>
        <w:rPr>
          <w:rFonts w:hint="eastAsia" w:ascii="黑体" w:hAnsi="黑体" w:eastAsia="黑体"/>
          <w:b w:val="0"/>
          <w:color w:val="auto"/>
          <w:highlight w:val="none"/>
        </w:rPr>
        <w:t>一、基</w:t>
      </w:r>
      <w:r>
        <w:rPr>
          <w:rStyle w:val="28"/>
          <w:rFonts w:hint="eastAsia" w:ascii="黑体" w:hAnsi="黑体" w:eastAsia="黑体"/>
          <w:b w:val="0"/>
          <w:bCs w:val="0"/>
          <w:color w:val="auto"/>
          <w:highlight w:val="none"/>
        </w:rPr>
        <w:t>本职能及主要工作</w:t>
      </w:r>
      <w:bookmarkEnd w:id="14"/>
      <w:bookmarkEnd w:id="15"/>
    </w:p>
    <w:p w14:paraId="6561C1A7">
      <w:pPr>
        <w:pStyle w:val="5"/>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bookmarkStart w:id="16" w:name="_Toc15378445"/>
      <w:bookmarkStart w:id="17" w:name="_Toc15377198"/>
      <w:r>
        <w:rPr>
          <w:rFonts w:hint="eastAsia" w:ascii="仿宋" w:hAnsi="仿宋" w:eastAsia="仿宋"/>
          <w:bCs/>
          <w:color w:val="auto"/>
          <w:sz w:val="32"/>
          <w:szCs w:val="32"/>
          <w:highlight w:val="none"/>
        </w:rPr>
        <w:t>（一）主要职能。</w:t>
      </w:r>
      <w:bookmarkEnd w:id="16"/>
      <w:bookmarkEnd w:id="17"/>
      <w:bookmarkStart w:id="18" w:name="_Toc15378446"/>
      <w:bookmarkStart w:id="19" w:name="_Toc15377199"/>
    </w:p>
    <w:p w14:paraId="40332FE6">
      <w:pPr>
        <w:snapToGrid w:val="0"/>
        <w:spacing w:line="520" w:lineRule="exact"/>
        <w:ind w:firstLine="640" w:firstLineChars="200"/>
        <w:rPr>
          <w:rFonts w:hint="eastAsia" w:ascii="仿宋" w:hAnsi="仿宋" w:eastAsia="仿宋"/>
          <w:bCs/>
          <w:color w:val="auto"/>
          <w:sz w:val="32"/>
          <w:szCs w:val="32"/>
          <w:highlight w:val="none"/>
        </w:rPr>
      </w:pPr>
      <w:r>
        <w:rPr>
          <w:rFonts w:hint="eastAsia" w:ascii="仿宋_GB2312" w:hAnsi="仿宋" w:eastAsia="仿宋_GB2312"/>
          <w:bCs/>
          <w:sz w:val="32"/>
          <w:szCs w:val="32"/>
        </w:rPr>
        <w:t>负责编制组织实施水务行业综合发展计划和专项规划，协调流城开发工作。指导基本水利建设管理，负责行业监督管理，监督指导在建与建成水利工程质量与安全。组织制定水土保持规划并组织实施，审批县级生产建设项目水土保持方案实施的监督管理、水土保持设施验收备案工作，征收水土保持补偿费工作。组织编制洪水</w:t>
      </w:r>
      <w:r>
        <w:rPr>
          <w:rFonts w:hint="eastAsia" w:ascii="仿宋_GB2312" w:hAnsi="仿宋" w:eastAsia="仿宋_GB2312"/>
          <w:bCs/>
          <w:sz w:val="32"/>
          <w:szCs w:val="32"/>
          <w:lang w:eastAsia="zh-CN"/>
        </w:rPr>
        <w:t>干旱</w:t>
      </w:r>
      <w:r>
        <w:rPr>
          <w:rFonts w:hint="eastAsia" w:ascii="仿宋_GB2312" w:hAnsi="仿宋" w:eastAsia="仿宋_GB2312"/>
          <w:bCs/>
          <w:sz w:val="32"/>
          <w:szCs w:val="32"/>
        </w:rPr>
        <w:t>灾害防御规划，防护标准并指导实施，承担防御洪水应急抢险的技术支撑工作。指导全县水资源统一规划、管理、配置、节约和保护工作。负责全县水政监察工作、河道采砂监督管理，推进落实“河湖长制”工作。</w:t>
      </w:r>
    </w:p>
    <w:p w14:paraId="21867385">
      <w:pPr>
        <w:pStyle w:val="5"/>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w:t>
      </w:r>
      <w:r>
        <w:rPr>
          <w:rFonts w:hint="eastAsia" w:ascii="仿宋" w:hAnsi="仿宋" w:eastAsia="仿宋"/>
          <w:bCs/>
          <w:color w:val="auto"/>
          <w:sz w:val="32"/>
          <w:szCs w:val="32"/>
          <w:highlight w:val="none"/>
          <w:lang w:val="en-US" w:eastAsia="zh-CN"/>
        </w:rPr>
        <w:t>21</w:t>
      </w:r>
      <w:r>
        <w:rPr>
          <w:rFonts w:hint="eastAsia" w:ascii="仿宋" w:hAnsi="仿宋" w:eastAsia="仿宋"/>
          <w:bCs/>
          <w:color w:val="auto"/>
          <w:sz w:val="32"/>
          <w:szCs w:val="32"/>
          <w:highlight w:val="none"/>
        </w:rPr>
        <w:t>年重点工作完成情况。</w:t>
      </w:r>
      <w:bookmarkEnd w:id="18"/>
      <w:bookmarkEnd w:id="19"/>
    </w:p>
    <w:p w14:paraId="2ACF8729">
      <w:pPr>
        <w:spacing w:line="580" w:lineRule="exact"/>
        <w:ind w:firstLine="640" w:firstLineChars="200"/>
      </w:pPr>
      <w:r>
        <w:rPr>
          <w:rFonts w:hint="eastAsia" w:eastAsia="楷体_GB2312"/>
          <w:sz w:val="32"/>
          <w:szCs w:val="32"/>
        </w:rPr>
        <w:t>1、</w:t>
      </w:r>
      <w:r>
        <w:rPr>
          <w:rFonts w:eastAsia="楷体_GB2312"/>
          <w:sz w:val="32"/>
          <w:szCs w:val="32"/>
        </w:rPr>
        <w:t>饮水安全。</w:t>
      </w:r>
      <w:r>
        <w:rPr>
          <w:rFonts w:eastAsia="仿宋_GB2312"/>
          <w:sz w:val="32"/>
          <w:szCs w:val="32"/>
        </w:rPr>
        <w:t>涉农整合资金下达农村供水工程201.04万元10个项目，截</w:t>
      </w:r>
      <w:r>
        <w:rPr>
          <w:rFonts w:hint="eastAsia" w:eastAsia="仿宋_GB2312"/>
          <w:sz w:val="32"/>
          <w:szCs w:val="32"/>
          <w:lang w:eastAsia="zh-CN"/>
        </w:rPr>
        <w:t>至</w:t>
      </w:r>
      <w:r>
        <w:rPr>
          <w:rFonts w:eastAsia="仿宋_GB2312"/>
          <w:sz w:val="32"/>
          <w:szCs w:val="32"/>
        </w:rPr>
        <w:t>目前为止完成7个项目92.78万元，还有2个项目60.26万元预计本月底能完成建设任务，1个项目48万元在12月中旬完成，该建设任务主要涉及水样检测300个，培训13个乡镇。已完成30处农村集中供水规范化进行管理，完善“三个责任”、“三项制度”，目前已将自评材料上交市局，等待省市复核。按照上级要求已完成水费收缴目标任务。</w:t>
      </w:r>
    </w:p>
    <w:p w14:paraId="1C78B7FE">
      <w:pPr>
        <w:spacing w:line="580" w:lineRule="exact"/>
        <w:ind w:firstLine="640" w:firstLineChars="200"/>
        <w:rPr>
          <w:rFonts w:eastAsia="仿宋_GB2312"/>
          <w:sz w:val="32"/>
          <w:szCs w:val="32"/>
        </w:rPr>
      </w:pPr>
      <w:r>
        <w:rPr>
          <w:rFonts w:hint="eastAsia" w:eastAsia="楷体_GB2312"/>
          <w:sz w:val="32"/>
          <w:szCs w:val="32"/>
        </w:rPr>
        <w:t>2、</w:t>
      </w:r>
      <w:r>
        <w:rPr>
          <w:rFonts w:eastAsia="楷体_GB2312"/>
          <w:sz w:val="32"/>
          <w:szCs w:val="32"/>
        </w:rPr>
        <w:t>驻村帮扶。</w:t>
      </w:r>
      <w:r>
        <w:rPr>
          <w:rFonts w:eastAsia="仿宋_GB2312"/>
          <w:sz w:val="32"/>
          <w:szCs w:val="32"/>
        </w:rPr>
        <w:t>根据职工人数现状，配合底堡乡人民政府对单位帮扶人员帮扶联系户进行调整，并按照要求每月下乡不少于2次，并做好民情走访记录。要求卫国村三名驻村工作队员按照要求开展驻村帮扶工作。确保结对帮扶卫国村、五通村联系脱贫户和非脱贫户不断巩固提升脱贫成果，助力乡村振兴。</w:t>
      </w:r>
    </w:p>
    <w:p w14:paraId="6C299C08">
      <w:pPr>
        <w:spacing w:line="580" w:lineRule="exact"/>
        <w:ind w:firstLine="640" w:firstLineChars="200"/>
        <w:rPr>
          <w:rFonts w:hint="eastAsia" w:eastAsia="仿宋_GB2312"/>
          <w:sz w:val="32"/>
          <w:szCs w:val="32"/>
        </w:rPr>
      </w:pPr>
      <w:r>
        <w:rPr>
          <w:rFonts w:hint="eastAsia" w:eastAsia="楷体_GB2312"/>
          <w:sz w:val="32"/>
          <w:szCs w:val="32"/>
        </w:rPr>
        <w:t>3、</w:t>
      </w:r>
      <w:r>
        <w:rPr>
          <w:rFonts w:eastAsia="楷体_GB2312"/>
          <w:sz w:val="32"/>
          <w:szCs w:val="32"/>
        </w:rPr>
        <w:t>公益性岗位。</w:t>
      </w:r>
      <w:r>
        <w:rPr>
          <w:rFonts w:eastAsia="仿宋_GB2312"/>
          <w:sz w:val="32"/>
          <w:szCs w:val="32"/>
        </w:rPr>
        <w:t>落实资金41.04万元，在13个乡镇设置114个村内公益性水利工程巡管员岗位。指导乡镇人民政府在贫困村和非贫困村的脱贫户中，遴选符合要求的公益性水利工程巡管员，承担村内公益性水利工程的日常巡视和管护工作，促进了脱贫户就业增收，提升农村供水保障能力。</w:t>
      </w:r>
    </w:p>
    <w:p w14:paraId="1F5F9B63">
      <w:pPr>
        <w:spacing w:line="58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组织实施沐川县杨村河堤新坝段堤防工程建设，沐川县洋溪河杨村乡新坝段防洪治理工程，该项目属市“挂图作战”项目，计划综合治理河长3720米，资金来源为2021年下达的中央水利发展资金1211万元及县级配套的一般债券资金250万元。当前工程已基本完成左、右岸支沟堤防建设，累计完成总工程量的40%，完成投资550万元，实际支付470万元（征地费用）。该项目计划于12月底完成项目主体工程建设。</w:t>
      </w:r>
    </w:p>
    <w:p w14:paraId="2C58A3E7">
      <w:pPr>
        <w:spacing w:line="580" w:lineRule="exact"/>
        <w:ind w:firstLine="640" w:firstLineChars="200"/>
        <w:rPr>
          <w:rFonts w:eastAsia="仿宋_GB2312"/>
          <w:sz w:val="32"/>
          <w:szCs w:val="32"/>
        </w:rPr>
      </w:pPr>
      <w:r>
        <w:rPr>
          <w:rFonts w:hint="eastAsia" w:eastAsia="仿宋_GB2312"/>
          <w:sz w:val="32"/>
          <w:szCs w:val="32"/>
        </w:rPr>
        <w:t>5、</w:t>
      </w:r>
      <w:r>
        <w:rPr>
          <w:rFonts w:eastAsia="仿宋_GB2312"/>
          <w:sz w:val="32"/>
          <w:szCs w:val="32"/>
        </w:rPr>
        <w:t>完成金王寺水库下闸蓄水验收前期相关工作并上报省水利厅验收；加快推进右干渠工程。将金王寺左干渠、新富分干渠、炭库分干渠纳入“十四五”水利规划优化布局。</w:t>
      </w:r>
    </w:p>
    <w:p w14:paraId="0096FD7F">
      <w:pPr>
        <w:spacing w:line="580" w:lineRule="exact"/>
        <w:ind w:firstLine="640" w:firstLineChars="200"/>
        <w:rPr>
          <w:rFonts w:eastAsia="仿宋_GB2312"/>
          <w:sz w:val="32"/>
          <w:szCs w:val="32"/>
        </w:rPr>
      </w:pPr>
      <w:r>
        <w:rPr>
          <w:rFonts w:hint="eastAsia" w:eastAsia="仿宋_GB2312"/>
          <w:sz w:val="32"/>
          <w:szCs w:val="32"/>
        </w:rPr>
        <w:t>6、</w:t>
      </w:r>
      <w:r>
        <w:rPr>
          <w:rFonts w:eastAsia="仿宋_GB2312"/>
          <w:sz w:val="32"/>
          <w:szCs w:val="32"/>
        </w:rPr>
        <w:t>继续推进城乡一体化供水。指导县供排水公司开展智慧水务工程建设，目前已安装智能水表3000只，力争年底安装12000只。组织协调发改、财政等部门开展三四片区水厂可行性论证工作。</w:t>
      </w:r>
    </w:p>
    <w:p w14:paraId="1BE4D36F">
      <w:pPr>
        <w:spacing w:line="580" w:lineRule="exact"/>
        <w:ind w:firstLine="640" w:firstLineChars="200"/>
        <w:rPr>
          <w:rFonts w:hint="eastAsia" w:eastAsia="仿宋_GB2312"/>
          <w:sz w:val="32"/>
          <w:szCs w:val="32"/>
        </w:rPr>
      </w:pPr>
      <w:r>
        <w:rPr>
          <w:rFonts w:hint="eastAsia" w:eastAsia="仿宋_GB2312"/>
          <w:sz w:val="32"/>
          <w:szCs w:val="32"/>
        </w:rPr>
        <w:t>7、</w:t>
      </w:r>
      <w:r>
        <w:rPr>
          <w:rFonts w:eastAsia="仿宋_GB2312"/>
          <w:sz w:val="32"/>
          <w:szCs w:val="32"/>
        </w:rPr>
        <w:t>加快关沱、王家祠等水源性保障工程前期工作，力争尽快开工建设。目前王家祠水库已完成初步设计报告工作，目前已请示市水务局组织审查。关沱水库正在编制可研报告，同时开展地质钻勘工作。</w:t>
      </w:r>
    </w:p>
    <w:p w14:paraId="05A39B5D">
      <w:pPr>
        <w:spacing w:line="580" w:lineRule="exact"/>
        <w:ind w:firstLine="640" w:firstLineChars="200"/>
        <w:rPr>
          <w:rFonts w:eastAsia="华文仿宋"/>
          <w:sz w:val="32"/>
          <w:szCs w:val="32"/>
        </w:rPr>
      </w:pPr>
      <w:r>
        <w:rPr>
          <w:rFonts w:hint="eastAsia" w:eastAsia="仿宋_GB2312"/>
          <w:sz w:val="32"/>
        </w:rPr>
        <w:t>8、</w:t>
      </w:r>
      <w:r>
        <w:rPr>
          <w:rFonts w:eastAsia="仿宋_GB2312"/>
          <w:sz w:val="32"/>
        </w:rPr>
        <w:t>完成水资源综合管理工作。督促取用水户申报年度取水总结和取水计划，下达年度用水计划。发出取水告知书23份，新办取水许可证8件，督促9家非煤矿山企业完善取用水手续。按时完成取水许可证旧证转换工作，发出电子取水许可证63件。完成2020年水资源公报编制，完成2020年水资源管理年报、水电站统计年报的填报。完成工业取用水户每季度的水量核查和系统录入，督促取水户通过蜀水资源小程序按月申报水量。二是加强水资源管理。学习贯彻《中华人民共和国长江保护法》，对接生态环境局和自然资源局，完成环境督察日常工作，配合完成中央环保督察工作。验收沐川县二水厂水源取水工程（改建项目），配合市水务局完成二水厂取水许可证的核发，开展县城水源地的日常巡查；22处乡镇水源地规范化建设项目已全面完工，开展集中巡查检查，发出整改提示函6份，督促乡镇做好划款、审计、资产移交、建立长效管护制度等工作。</w:t>
      </w:r>
    </w:p>
    <w:p w14:paraId="2B8E3F90">
      <w:pPr>
        <w:spacing w:line="580" w:lineRule="exact"/>
        <w:ind w:firstLine="640" w:firstLineChars="200"/>
        <w:rPr>
          <w:rFonts w:eastAsia="仿宋_GB2312"/>
          <w:sz w:val="32"/>
          <w:szCs w:val="32"/>
        </w:rPr>
      </w:pPr>
      <w:r>
        <w:rPr>
          <w:rFonts w:hint="eastAsia" w:eastAsia="楷体_GB2312"/>
          <w:sz w:val="32"/>
          <w:szCs w:val="32"/>
        </w:rPr>
        <w:t>9、</w:t>
      </w:r>
      <w:r>
        <w:rPr>
          <w:rFonts w:eastAsia="仿宋_GB2312"/>
          <w:sz w:val="32"/>
        </w:rPr>
        <w:t>开展3大河流环境影响回顾性评价，督促6座电站完成环评工作。根据7月30日全市小水电清理整改工作推进视频会议要求，我县制定了《沐川县水电站全面检查整治工作方案》，分成四个工作组，完成了48座水电站（含退出类）的现场核查，并形成了整改台账，整改各类问题140余个。为加强下泄生态流量的监管，将下泄生态流量纳入各级河长工作职责，累计发出整改通知函15份，发出整改检查表约60余份，约谈电站业主3次，警告并通报批评2次；同时，严格执行《四川省水电站下泄生态流量监管和考核工作制度（试行）》，建立《沐川县水务局下泄生态流量管理制度》，落实专人负责监管平台，发现问题及时通知电站业主整改；对整改不到位的，立即进行现场监督检查，视情况约谈电站法人或处罚。</w:t>
      </w:r>
    </w:p>
    <w:p w14:paraId="3F7581A3">
      <w:pPr>
        <w:spacing w:line="580" w:lineRule="exact"/>
        <w:ind w:firstLine="640" w:firstLineChars="200"/>
        <w:rPr>
          <w:rFonts w:eastAsia="楷体_GB2312"/>
          <w:sz w:val="32"/>
          <w:szCs w:val="32"/>
        </w:rPr>
      </w:pPr>
      <w:r>
        <w:rPr>
          <w:rFonts w:hint="eastAsia" w:eastAsia="楷体_GB2312"/>
          <w:sz w:val="32"/>
          <w:szCs w:val="32"/>
        </w:rPr>
        <w:t>10、</w:t>
      </w:r>
      <w:r>
        <w:rPr>
          <w:rFonts w:eastAsia="楷体_GB2312"/>
          <w:sz w:val="32"/>
          <w:szCs w:val="32"/>
        </w:rPr>
        <w:t>河湖治理</w:t>
      </w:r>
      <w:r>
        <w:rPr>
          <w:rFonts w:hint="eastAsia" w:eastAsia="楷体_GB2312"/>
          <w:sz w:val="32"/>
          <w:szCs w:val="32"/>
        </w:rPr>
        <w:t>。</w:t>
      </w:r>
      <w:r>
        <w:rPr>
          <w:rFonts w:eastAsia="仿宋_GB2312"/>
          <w:sz w:val="32"/>
          <w:szCs w:val="32"/>
        </w:rPr>
        <w:t>换届后及时调整各级河长，更换河长制公示牌，督促县乡村三级河长加强巡河问河治河，常态化、规范化开展河湖“清四乱”工作，积极推进河长制“七进”、“河小青”专项行动。委托川大设计院完成10条河流河湖划界入库，开展沐溪河健康评价及县管以上河流“一河一策”编制工作。全面完成市级考核目标。</w:t>
      </w:r>
    </w:p>
    <w:p w14:paraId="1870E0AC">
      <w:pPr>
        <w:spacing w:line="580" w:lineRule="exact"/>
        <w:ind w:firstLine="640" w:firstLineChars="200"/>
        <w:rPr>
          <w:rFonts w:eastAsia="仿宋_GB2312"/>
          <w:sz w:val="32"/>
          <w:szCs w:val="32"/>
        </w:rPr>
      </w:pPr>
      <w:r>
        <w:rPr>
          <w:rFonts w:hint="eastAsia" w:eastAsia="楷体_GB2312"/>
          <w:sz w:val="32"/>
          <w:szCs w:val="32"/>
        </w:rPr>
        <w:t>11、</w:t>
      </w:r>
      <w:r>
        <w:rPr>
          <w:rFonts w:eastAsia="楷体_GB2312"/>
          <w:sz w:val="32"/>
          <w:szCs w:val="32"/>
        </w:rPr>
        <w:t>水土保持监管。</w:t>
      </w:r>
      <w:r>
        <w:rPr>
          <w:rFonts w:eastAsia="仿宋_GB2312"/>
          <w:sz w:val="32"/>
          <w:szCs w:val="32"/>
        </w:rPr>
        <w:t>一是开展非煤矿山综合整治。2021年5月，沐川县人民政府成立非煤矿山综合整治领导小组，对全县非煤矿山企业及沿线砂石堆放开展全面检查。由县自然资源局牵头，沐川生态环境局、县应急局、县水务局组成3个排查组，按照各自职责对全县19家非煤矿山进行全面排查。经过对非煤矿山集中排查，分类提出整改要求及时限，确保整治工作取得实效。二是强化宣传教育。我局组织水土保持委员会成员、局机关单位及生产建设单位学习《</w:t>
      </w:r>
      <w:r>
        <w:rPr>
          <w:rFonts w:hint="eastAsia" w:eastAsia="仿宋_GB2312"/>
          <w:sz w:val="32"/>
          <w:szCs w:val="32"/>
          <w:lang w:eastAsia="zh-CN"/>
        </w:rPr>
        <w:t>中华人民共和国</w:t>
      </w:r>
      <w:r>
        <w:rPr>
          <w:rFonts w:eastAsia="仿宋_GB2312"/>
          <w:sz w:val="32"/>
          <w:szCs w:val="32"/>
        </w:rPr>
        <w:t>水土保持法》等法律条例，普及水土保持知识，增强公众的水土保持意识。印发宣传手册3000余份，在“世界水日” 、“中国水周”等节日开展集中宣传活动，向广大群众宣传水土保持知识。三是开展图斑复核。2021年1月，四川省水利厅下发2020年生产建设项目水土保持监管图斑（加密）29个，实际复核图斑31个。2021年5月，水利部水土保持监测中心下发2021年生产建设项目水土保持监管图斑12个（经实地复核，1个图斑位于马边县。），实际复核图斑14个。</w:t>
      </w:r>
    </w:p>
    <w:p w14:paraId="52D77820">
      <w:pPr>
        <w:spacing w:line="580" w:lineRule="exact"/>
        <w:ind w:firstLine="640" w:firstLineChars="200"/>
        <w:rPr>
          <w:rFonts w:eastAsia="楷体_GB2312"/>
          <w:sz w:val="32"/>
          <w:szCs w:val="32"/>
        </w:rPr>
      </w:pPr>
      <w:r>
        <w:rPr>
          <w:rFonts w:hint="eastAsia" w:eastAsia="楷体_GB2312"/>
          <w:sz w:val="32"/>
          <w:szCs w:val="32"/>
        </w:rPr>
        <w:t>12、</w:t>
      </w:r>
      <w:r>
        <w:rPr>
          <w:rFonts w:eastAsia="楷体_GB2312"/>
          <w:sz w:val="32"/>
          <w:szCs w:val="32"/>
        </w:rPr>
        <w:t>水利工程监管。</w:t>
      </w:r>
      <w:r>
        <w:rPr>
          <w:rFonts w:hint="eastAsia" w:eastAsia="仿宋_GB2312"/>
          <w:sz w:val="32"/>
          <w:szCs w:val="32"/>
        </w:rPr>
        <w:t>2021年</w:t>
      </w:r>
      <w:r>
        <w:rPr>
          <w:rFonts w:eastAsia="仿宋_GB2312"/>
          <w:sz w:val="32"/>
          <w:szCs w:val="32"/>
        </w:rPr>
        <w:t>对全县水利工程实行质量监督全覆盖，由质量监督站牵头，对在建4个水利工程开展巡查检查29次，现场提出问题整改67个，发出整改通知单8次。</w:t>
      </w:r>
    </w:p>
    <w:p w14:paraId="28B19F0B">
      <w:pPr>
        <w:spacing w:line="580" w:lineRule="exact"/>
        <w:ind w:firstLine="640" w:firstLineChars="200"/>
        <w:rPr>
          <w:rFonts w:eastAsia="楷体_GB2312"/>
          <w:sz w:val="32"/>
          <w:szCs w:val="32"/>
        </w:rPr>
      </w:pPr>
      <w:r>
        <w:rPr>
          <w:rFonts w:hint="eastAsia" w:eastAsia="楷体_GB2312"/>
          <w:sz w:val="32"/>
          <w:szCs w:val="32"/>
        </w:rPr>
        <w:t>13、</w:t>
      </w:r>
      <w:r>
        <w:rPr>
          <w:rFonts w:eastAsia="楷体_GB2312"/>
          <w:sz w:val="32"/>
          <w:szCs w:val="32"/>
        </w:rPr>
        <w:t>防汛减灾工作</w:t>
      </w:r>
      <w:r>
        <w:rPr>
          <w:rFonts w:eastAsia="仿宋_GB2312"/>
          <w:sz w:val="32"/>
          <w:szCs w:val="32"/>
        </w:rPr>
        <w:t>我县今年坚持“生命至上，人民至上”“安全第一，常备不懈，以防为主，全力抢险”的防汛方针，立足防大汛、抗大灾，加大防范力度，严格落实“三避让”“三个紧急撤离”的刚性要求，全力抢险强化应急处置，狠抓汛前、汛中各项防汛工作，确保了今年汛期安全，无因洪涝灾害伤亡1人，圆满完成了今年防汛工作任务。</w:t>
      </w:r>
    </w:p>
    <w:p w14:paraId="16842D1B">
      <w:pPr>
        <w:pStyle w:val="11"/>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14、</w:t>
      </w:r>
      <w:r>
        <w:rPr>
          <w:rFonts w:ascii="Times New Roman" w:hAnsi="Times New Roman" w:eastAsia="楷体_GB2312"/>
          <w:sz w:val="32"/>
          <w:szCs w:val="32"/>
        </w:rPr>
        <w:t>移民后扶工作</w:t>
      </w:r>
      <w:r>
        <w:rPr>
          <w:rFonts w:hint="eastAsia" w:ascii="Times New Roman" w:hAnsi="Times New Roman" w:eastAsia="仿宋_GB2312"/>
          <w:sz w:val="32"/>
          <w:szCs w:val="32"/>
        </w:rPr>
        <w:t>。</w:t>
      </w:r>
      <w:r>
        <w:rPr>
          <w:rFonts w:ascii="Times New Roman" w:hAnsi="Times New Roman" w:eastAsia="仿宋_GB2312"/>
          <w:sz w:val="32"/>
          <w:szCs w:val="32"/>
        </w:rPr>
        <w:t>一是及时调整人员。截</w:t>
      </w:r>
      <w:r>
        <w:rPr>
          <w:rFonts w:hint="eastAsia" w:ascii="Times New Roman" w:hAnsi="Times New Roman" w:eastAsia="仿宋_GB2312"/>
          <w:sz w:val="32"/>
          <w:szCs w:val="32"/>
          <w:lang w:eastAsia="zh-CN"/>
        </w:rPr>
        <w:t>至</w:t>
      </w:r>
      <w:r>
        <w:rPr>
          <w:rFonts w:ascii="Times New Roman" w:hAnsi="Times New Roman" w:eastAsia="仿宋_GB2312"/>
          <w:sz w:val="32"/>
          <w:szCs w:val="32"/>
        </w:rPr>
        <w:t>目前全县移民后期扶持人口70</w:t>
      </w:r>
      <w:r>
        <w:rPr>
          <w:rFonts w:hint="eastAsia" w:ascii="Times New Roman" w:hAnsi="Times New Roman" w:eastAsia="仿宋_GB2312"/>
          <w:sz w:val="32"/>
          <w:szCs w:val="32"/>
        </w:rPr>
        <w:t>72</w:t>
      </w:r>
      <w:r>
        <w:rPr>
          <w:rFonts w:ascii="Times New Roman" w:hAnsi="Times New Roman" w:eastAsia="仿宋_GB2312"/>
          <w:sz w:val="32"/>
          <w:szCs w:val="32"/>
        </w:rPr>
        <w:t>人，较年初动态调减</w:t>
      </w:r>
      <w:r>
        <w:rPr>
          <w:rFonts w:hint="eastAsia" w:ascii="Times New Roman" w:hAnsi="Times New Roman" w:eastAsia="仿宋_GB2312"/>
          <w:sz w:val="32"/>
          <w:szCs w:val="32"/>
        </w:rPr>
        <w:t>39</w:t>
      </w:r>
      <w:r>
        <w:rPr>
          <w:rFonts w:ascii="Times New Roman" w:hAnsi="Times New Roman" w:eastAsia="仿宋_GB2312"/>
          <w:sz w:val="32"/>
          <w:szCs w:val="32"/>
        </w:rPr>
        <w:t>人，共计发放移民后期扶持“直发直补”资金</w:t>
      </w:r>
      <w:r>
        <w:rPr>
          <w:rFonts w:hint="eastAsia" w:ascii="Times New Roman" w:hAnsi="Times New Roman" w:eastAsia="仿宋_GB2312"/>
          <w:sz w:val="32"/>
          <w:szCs w:val="32"/>
        </w:rPr>
        <w:t>353</w:t>
      </w:r>
      <w:r>
        <w:rPr>
          <w:rFonts w:ascii="Times New Roman" w:hAnsi="Times New Roman" w:eastAsia="仿宋_GB2312"/>
          <w:sz w:val="32"/>
          <w:szCs w:val="32"/>
        </w:rPr>
        <w:t>.4</w:t>
      </w:r>
      <w:r>
        <w:rPr>
          <w:rFonts w:hint="eastAsia" w:ascii="Times New Roman" w:hAnsi="Times New Roman" w:eastAsia="仿宋_GB2312"/>
          <w:sz w:val="32"/>
          <w:szCs w:val="32"/>
        </w:rPr>
        <w:t>95</w:t>
      </w:r>
      <w:r>
        <w:rPr>
          <w:rFonts w:ascii="Times New Roman" w:hAnsi="Times New Roman" w:eastAsia="仿宋_GB2312"/>
          <w:sz w:val="32"/>
          <w:szCs w:val="32"/>
        </w:rPr>
        <w:t>万元。二是加快项目推动。今年到位移民后期扶持“直发直补”资金450万元，移民后期扶持项目资金</w:t>
      </w:r>
      <w:r>
        <w:rPr>
          <w:rFonts w:hint="eastAsia" w:ascii="Times New Roman" w:hAnsi="Times New Roman" w:eastAsia="仿宋_GB2312"/>
          <w:sz w:val="32"/>
          <w:szCs w:val="32"/>
        </w:rPr>
        <w:t>1223</w:t>
      </w:r>
      <w:r>
        <w:rPr>
          <w:rFonts w:ascii="Times New Roman" w:hAnsi="Times New Roman" w:eastAsia="仿宋_GB2312"/>
          <w:sz w:val="32"/>
          <w:szCs w:val="32"/>
        </w:rPr>
        <w:t>万元。我局今年来共下达了库区移民减灾项目6个，茨竹乡铜街子库区移民基础设施提升工程1个。</w:t>
      </w:r>
    </w:p>
    <w:p w14:paraId="4E42F8BC">
      <w:pPr>
        <w:pStyle w:val="5"/>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p>
    <w:p w14:paraId="4F864B02">
      <w:pPr>
        <w:pStyle w:val="2"/>
        <w:rPr>
          <w:rStyle w:val="28"/>
          <w:b w:val="0"/>
          <w:bCs w:val="0"/>
          <w:color w:val="auto"/>
          <w:highlight w:val="none"/>
        </w:rPr>
      </w:pPr>
      <w:bookmarkStart w:id="20" w:name="_Toc15377200"/>
      <w:bookmarkStart w:id="21"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28"/>
          <w:rFonts w:hint="eastAsia" w:ascii="黑体" w:hAnsi="黑体" w:eastAsia="黑体"/>
          <w:b w:val="0"/>
          <w:bCs w:val="0"/>
          <w:color w:val="auto"/>
          <w:highlight w:val="none"/>
        </w:rPr>
        <w:t>构设置</w:t>
      </w:r>
      <w:bookmarkEnd w:id="20"/>
      <w:bookmarkEnd w:id="21"/>
    </w:p>
    <w:p w14:paraId="318EF9B2">
      <w:pPr>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水务局</w:t>
      </w:r>
      <w:r>
        <w:rPr>
          <w:rFonts w:hint="eastAsia" w:ascii="仿宋" w:hAnsi="仿宋" w:eastAsia="仿宋"/>
          <w:color w:val="auto"/>
          <w:sz w:val="32"/>
          <w:szCs w:val="32"/>
          <w:highlight w:val="none"/>
        </w:rPr>
        <w:t>下属二级单位</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个，其中行政单位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个，参照公务员法管理的事业单位</w:t>
      </w:r>
      <w:r>
        <w:rPr>
          <w:rFonts w:hint="eastAsia" w:ascii="仿宋" w:hAnsi="仿宋" w:eastAsia="仿宋"/>
          <w:bCs/>
          <w:color w:val="auto"/>
          <w:sz w:val="32"/>
          <w:szCs w:val="32"/>
          <w:highlight w:val="none"/>
          <w:lang w:val="en-US" w:eastAsia="zh-CN"/>
        </w:rPr>
        <w:t>1</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w:t>
      </w:r>
    </w:p>
    <w:p w14:paraId="7FC9F5BE">
      <w:pPr>
        <w:pStyle w:val="5"/>
        <w:adjustRightInd w:val="0"/>
        <w:snapToGrid w:val="0"/>
        <w:spacing w:before="93" w:line="600" w:lineRule="exact"/>
        <w:ind w:firstLine="1120" w:firstLineChars="35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eastAsia="zh-CN"/>
        </w:rPr>
        <w:t>水务局</w:t>
      </w: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年度部门决算编制范围的二级预算单位包括：</w:t>
      </w:r>
      <w:r>
        <w:rPr>
          <w:rFonts w:hint="eastAsia" w:ascii="仿宋" w:hAnsi="仿宋" w:eastAsia="仿宋"/>
          <w:color w:val="auto"/>
          <w:sz w:val="32"/>
          <w:szCs w:val="32"/>
          <w:highlight w:val="none"/>
          <w:lang w:eastAsia="zh-CN"/>
        </w:rPr>
        <w:t>无纳入</w:t>
      </w: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年度部门决算编制范围的二级预算单位</w:t>
      </w:r>
      <w:r>
        <w:rPr>
          <w:rFonts w:hint="eastAsia" w:ascii="仿宋" w:hAnsi="仿宋" w:eastAsia="仿宋"/>
          <w:color w:val="auto"/>
          <w:sz w:val="32"/>
          <w:szCs w:val="32"/>
          <w:highlight w:val="none"/>
          <w:lang w:eastAsia="zh-CN"/>
        </w:rPr>
        <w:t>。</w:t>
      </w:r>
    </w:p>
    <w:p w14:paraId="45839F00">
      <w:pPr>
        <w:pStyle w:val="3"/>
        <w:ind w:right="440"/>
        <w:jc w:val="both"/>
        <w:rPr>
          <w:rStyle w:val="27"/>
          <w:rFonts w:ascii="黑体" w:hAnsi="黑体" w:eastAsia="黑体"/>
          <w:b w:val="0"/>
          <w:bCs/>
          <w:color w:val="auto"/>
          <w:highlight w:val="none"/>
        </w:rPr>
      </w:pPr>
      <w:bookmarkStart w:id="22" w:name="_Toc15377204"/>
      <w:bookmarkStart w:id="23" w:name="_Toc1539660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7"/>
          <w:rFonts w:hint="eastAsia" w:ascii="黑体" w:hAnsi="黑体" w:eastAsia="黑体"/>
          <w:b w:val="0"/>
          <w:bCs/>
          <w:color w:val="auto"/>
          <w:highlight w:val="none"/>
        </w:rPr>
        <w:t>部门决算情况说明</w:t>
      </w:r>
      <w:bookmarkEnd w:id="22"/>
      <w:bookmarkEnd w:id="23"/>
    </w:p>
    <w:p w14:paraId="7E73247A">
      <w:pPr>
        <w:rPr>
          <w:color w:val="auto"/>
          <w:highlight w:val="none"/>
        </w:rPr>
      </w:pPr>
    </w:p>
    <w:p w14:paraId="5AB17235">
      <w:pPr>
        <w:pStyle w:val="26"/>
        <w:numPr>
          <w:ilvl w:val="0"/>
          <w:numId w:val="1"/>
        </w:numPr>
        <w:spacing w:line="600" w:lineRule="exact"/>
        <w:ind w:firstLineChars="0"/>
        <w:outlineLvl w:val="1"/>
        <w:rPr>
          <w:rStyle w:val="28"/>
          <w:rFonts w:ascii="黑体" w:hAnsi="黑体" w:eastAsia="黑体"/>
          <w:b w:val="0"/>
          <w:color w:val="auto"/>
          <w:highlight w:val="none"/>
        </w:rPr>
      </w:pPr>
      <w:bookmarkStart w:id="24" w:name="_Toc15377205"/>
      <w:bookmarkStart w:id="25" w:name="_Toc15396603"/>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入支出决算总体情况说明</w:t>
      </w:r>
      <w:bookmarkEnd w:id="24"/>
      <w:bookmarkEnd w:id="25"/>
    </w:p>
    <w:p w14:paraId="0465F9B2">
      <w:pPr>
        <w:pStyle w:val="5"/>
        <w:ind w:firstLine="640" w:firstLineChars="200"/>
        <w:rPr>
          <w:rFonts w:hint="eastAsia" w:ascii="仿宋_GB2312" w:hAnsi="仿宋" w:eastAsia="仿宋_GB2312"/>
          <w:sz w:val="32"/>
          <w:szCs w:val="32"/>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4880.51</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年相比，收、支总计各减少</w:t>
      </w:r>
      <w:r>
        <w:rPr>
          <w:rFonts w:hint="eastAsia" w:ascii="仿宋" w:hAnsi="仿宋" w:eastAsia="仿宋"/>
          <w:color w:val="auto"/>
          <w:sz w:val="32"/>
          <w:szCs w:val="32"/>
          <w:highlight w:val="none"/>
          <w:lang w:val="en-US" w:eastAsia="zh-CN"/>
        </w:rPr>
        <w:t>857.64</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57</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_GB2312" w:hAnsi="仿宋" w:eastAsia="仿宋_GB2312"/>
          <w:sz w:val="32"/>
          <w:szCs w:val="32"/>
        </w:rPr>
        <w:t>债券项目减少</w:t>
      </w:r>
      <w:r>
        <w:rPr>
          <w:rFonts w:hint="eastAsia" w:ascii="仿宋_GB2312" w:hAnsi="仿宋" w:eastAsia="仿宋_GB2312"/>
          <w:sz w:val="32"/>
          <w:szCs w:val="32"/>
          <w:lang w:eastAsia="zh-CN"/>
        </w:rPr>
        <w:t>。</w:t>
      </w:r>
    </w:p>
    <w:p w14:paraId="6A3F19E1">
      <w:pPr>
        <w:pStyle w:val="5"/>
        <w:ind w:firstLine="600" w:firstLineChars="200"/>
        <w:rPr>
          <w:rFonts w:hint="eastAsia" w:ascii="仿宋_GB2312" w:hAnsi="仿宋" w:eastAsia="仿宋_GB2312"/>
          <w:sz w:val="32"/>
          <w:szCs w:val="32"/>
          <w:lang w:eastAsia="zh-CN"/>
        </w:rPr>
      </w:pPr>
      <w:r>
        <w:drawing>
          <wp:inline distT="0" distB="0" distL="114300" distR="114300">
            <wp:extent cx="4810125" cy="2619375"/>
            <wp:effectExtent l="4445" t="4445" r="5080" b="5080"/>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70E9939">
      <w:pPr>
        <w:pStyle w:val="5"/>
        <w:ind w:firstLine="640" w:firstLineChars="200"/>
        <w:rPr>
          <w:rFonts w:hint="default" w:ascii="仿宋" w:hAnsi="仿宋" w:eastAsia="仿宋"/>
          <w:color w:val="auto"/>
          <w:sz w:val="32"/>
          <w:szCs w:val="32"/>
          <w:highlight w:val="yellow"/>
          <w:lang w:val="en-US" w:eastAsia="zh-CN"/>
        </w:rPr>
      </w:pPr>
    </w:p>
    <w:p w14:paraId="1D8EFD73">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14:paraId="6BBA9085">
      <w:pPr>
        <w:spacing w:line="600" w:lineRule="exact"/>
        <w:ind w:firstLine="640" w:firstLineChars="200"/>
        <w:jc w:val="left"/>
        <w:rPr>
          <w:rFonts w:ascii="仿宋_GB2312" w:eastAsia="仿宋_GB2312"/>
          <w:color w:val="auto"/>
          <w:sz w:val="32"/>
          <w:szCs w:val="32"/>
          <w:highlight w:val="none"/>
        </w:rPr>
      </w:pPr>
    </w:p>
    <w:p w14:paraId="33F57612">
      <w:pPr>
        <w:pStyle w:val="26"/>
        <w:numPr>
          <w:ilvl w:val="0"/>
          <w:numId w:val="1"/>
        </w:numPr>
        <w:spacing w:line="600" w:lineRule="exact"/>
        <w:ind w:firstLineChars="0"/>
        <w:outlineLvl w:val="1"/>
        <w:rPr>
          <w:rStyle w:val="28"/>
          <w:rFonts w:ascii="黑体" w:hAnsi="黑体" w:eastAsia="黑体"/>
          <w:b w:val="0"/>
          <w:color w:val="auto"/>
          <w:highlight w:val="none"/>
        </w:rPr>
      </w:pPr>
      <w:bookmarkStart w:id="26" w:name="_Toc15377206"/>
      <w:bookmarkStart w:id="27" w:name="_Toc15396604"/>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入决算情况说明</w:t>
      </w:r>
      <w:bookmarkEnd w:id="26"/>
      <w:bookmarkEnd w:id="27"/>
    </w:p>
    <w:p w14:paraId="49241C05">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3613.63</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3432.73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94.99</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175.9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4.87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0.14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5A8F5F12">
      <w:pPr>
        <w:spacing w:line="60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，仅罗列本部门涉及的收入。</w:t>
      </w:r>
      <w:r>
        <w:rPr>
          <w:rFonts w:ascii="仿宋" w:hAnsi="仿宋" w:eastAsia="仿宋"/>
          <w:b/>
          <w:color w:val="auto"/>
          <w:sz w:val="32"/>
          <w:szCs w:val="32"/>
          <w:highlight w:val="none"/>
        </w:rPr>
        <w:t>）</w:t>
      </w:r>
    </w:p>
    <w:p w14:paraId="330695C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1"/>
        <w:rPr>
          <w:rFonts w:ascii="仿宋" w:hAnsi="仿宋" w:eastAsia="仿宋"/>
          <w:color w:val="auto"/>
          <w:sz w:val="32"/>
          <w:szCs w:val="32"/>
          <w:highlight w:val="none"/>
        </w:rPr>
      </w:pPr>
      <w:r>
        <w:rPr>
          <w:rFonts w:hint="eastAsia"/>
        </w:rPr>
        <w:t>水务水务</w:t>
      </w:r>
      <w:r>
        <w:drawing>
          <wp:inline distT="0" distB="0" distL="114300" distR="114300">
            <wp:extent cx="4772025" cy="2905125"/>
            <wp:effectExtent l="4445" t="4445" r="5080" b="5080"/>
            <wp:docPr id="2969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9A9CC1B">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14:paraId="2761590C">
      <w:pPr>
        <w:spacing w:line="600" w:lineRule="exact"/>
        <w:ind w:firstLine="640" w:firstLineChars="200"/>
        <w:rPr>
          <w:rFonts w:ascii="仿宋_GB2312" w:eastAsia="仿宋_GB2312"/>
          <w:color w:val="auto"/>
          <w:sz w:val="32"/>
          <w:szCs w:val="32"/>
          <w:highlight w:val="none"/>
        </w:rPr>
      </w:pPr>
    </w:p>
    <w:p w14:paraId="71B03EA1">
      <w:pPr>
        <w:pStyle w:val="26"/>
        <w:numPr>
          <w:ilvl w:val="0"/>
          <w:numId w:val="1"/>
        </w:numPr>
        <w:spacing w:line="600" w:lineRule="exact"/>
        <w:ind w:firstLineChars="0"/>
        <w:outlineLvl w:val="1"/>
        <w:rPr>
          <w:rStyle w:val="28"/>
          <w:rFonts w:ascii="黑体" w:hAnsi="黑体" w:eastAsia="黑体"/>
          <w:b w:val="0"/>
          <w:color w:val="auto"/>
          <w:highlight w:val="none"/>
        </w:rPr>
      </w:pPr>
      <w:bookmarkStart w:id="28" w:name="_Toc15396605"/>
      <w:bookmarkStart w:id="29" w:name="_Toc15377207"/>
      <w:r>
        <w:rPr>
          <w:rFonts w:hint="eastAsia" w:ascii="黑体" w:hAnsi="黑体" w:eastAsia="黑体"/>
          <w:color w:val="auto"/>
          <w:sz w:val="32"/>
          <w:szCs w:val="32"/>
          <w:highlight w:val="none"/>
        </w:rPr>
        <w:t>支</w:t>
      </w:r>
      <w:r>
        <w:rPr>
          <w:rStyle w:val="28"/>
          <w:rFonts w:hint="eastAsia" w:ascii="黑体" w:hAnsi="黑体" w:eastAsia="黑体"/>
          <w:b w:val="0"/>
          <w:color w:val="auto"/>
          <w:highlight w:val="none"/>
        </w:rPr>
        <w:t>出决算情况说明</w:t>
      </w:r>
      <w:bookmarkEnd w:id="28"/>
      <w:bookmarkEnd w:id="29"/>
    </w:p>
    <w:p w14:paraId="2A63D77E">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4295.09</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730.98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17.02</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3564.11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82.98</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w:t>
      </w:r>
    </w:p>
    <w:p w14:paraId="54D12ED7">
      <w:pPr>
        <w:spacing w:line="60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，仅罗列本部门涉及的支出。</w:t>
      </w:r>
      <w:r>
        <w:rPr>
          <w:rFonts w:hint="eastAsia" w:ascii="仿宋" w:hAnsi="仿宋" w:eastAsia="仿宋"/>
          <w:b/>
          <w:color w:val="auto"/>
          <w:sz w:val="32"/>
          <w:szCs w:val="32"/>
          <w:highlight w:val="none"/>
        </w:rPr>
        <w:t>）</w:t>
      </w:r>
    </w:p>
    <w:p w14:paraId="534523C1">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ascii="仿宋" w:hAnsi="仿宋" w:eastAsia="仿宋"/>
          <w:color w:val="auto"/>
          <w:sz w:val="32"/>
          <w:szCs w:val="32"/>
          <w:highlight w:val="none"/>
          <w:shd w:val="pct10" w:color="auto" w:fill="FFFFFF"/>
        </w:rPr>
      </w:pPr>
      <w:r>
        <w:drawing>
          <wp:inline distT="0" distB="0" distL="114300" distR="114300">
            <wp:extent cx="4857750" cy="2905760"/>
            <wp:effectExtent l="4445" t="4445" r="14605" b="23495"/>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5E4B0D0">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14:paraId="1895BAD0">
      <w:pPr>
        <w:spacing w:line="600" w:lineRule="exact"/>
        <w:ind w:firstLine="640" w:firstLineChars="200"/>
        <w:rPr>
          <w:rFonts w:ascii="仿宋_GB2312" w:eastAsia="仿宋_GB2312"/>
          <w:color w:val="auto"/>
          <w:sz w:val="32"/>
          <w:szCs w:val="32"/>
          <w:highlight w:val="none"/>
        </w:rPr>
      </w:pPr>
    </w:p>
    <w:p w14:paraId="7FD7F704">
      <w:pPr>
        <w:spacing w:line="600" w:lineRule="exact"/>
        <w:ind w:firstLine="640" w:firstLineChars="200"/>
        <w:outlineLvl w:val="1"/>
        <w:rPr>
          <w:rStyle w:val="28"/>
          <w:rFonts w:ascii="黑体" w:hAnsi="黑体" w:eastAsia="黑体"/>
          <w:b w:val="0"/>
          <w:color w:val="auto"/>
          <w:highlight w:val="none"/>
        </w:rPr>
      </w:pPr>
      <w:bookmarkStart w:id="30" w:name="_Toc15377208"/>
      <w:bookmarkStart w:id="31" w:name="_Toc15396606"/>
      <w:r>
        <w:rPr>
          <w:rFonts w:hint="eastAsia" w:ascii="黑体" w:hAnsi="黑体" w:eastAsia="黑体"/>
          <w:color w:val="auto"/>
          <w:sz w:val="32"/>
          <w:szCs w:val="32"/>
          <w:highlight w:val="none"/>
        </w:rPr>
        <w:t>四、财</w:t>
      </w:r>
      <w:r>
        <w:rPr>
          <w:rStyle w:val="28"/>
          <w:rFonts w:hint="eastAsia" w:ascii="黑体" w:hAnsi="黑体" w:eastAsia="黑体"/>
          <w:b w:val="0"/>
          <w:color w:val="auto"/>
          <w:highlight w:val="none"/>
        </w:rPr>
        <w:t>政拨款收入支出决算总体情况说明</w:t>
      </w:r>
      <w:bookmarkEnd w:id="30"/>
      <w:bookmarkEnd w:id="31"/>
    </w:p>
    <w:p w14:paraId="2E54AB86">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4875.51</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年相比，财政拨款收、支总计各增加</w:t>
      </w:r>
      <w:r>
        <w:rPr>
          <w:rFonts w:hint="eastAsia" w:ascii="仿宋" w:hAnsi="仿宋" w:eastAsia="仿宋"/>
          <w:color w:val="auto"/>
          <w:sz w:val="32"/>
          <w:szCs w:val="32"/>
          <w:highlight w:val="none"/>
          <w:lang w:val="en-US" w:eastAsia="zh-CN"/>
        </w:rPr>
        <w:t>223.75</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4.59</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年初结转结余增加。</w:t>
      </w:r>
      <w:r>
        <w:rPr>
          <w:rFonts w:hint="eastAsia" w:ascii="仿宋" w:hAnsi="仿宋" w:eastAsia="仿宋"/>
          <w:b/>
          <w:color w:val="auto"/>
          <w:sz w:val="32"/>
          <w:szCs w:val="32"/>
          <w:highlight w:val="none"/>
        </w:rPr>
        <w:t>（数据来源于财决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val="en-US" w:eastAsia="zh-CN"/>
        </w:rPr>
        <w:t>32行</w:t>
      </w:r>
      <w:r>
        <w:rPr>
          <w:rFonts w:ascii="仿宋" w:hAnsi="仿宋" w:eastAsia="仿宋"/>
          <w:b/>
          <w:color w:val="auto"/>
          <w:sz w:val="32"/>
          <w:szCs w:val="32"/>
          <w:highlight w:val="none"/>
        </w:rPr>
        <w:t>）</w:t>
      </w:r>
    </w:p>
    <w:p w14:paraId="3D8F9137">
      <w:pPr>
        <w:pStyle w:val="5"/>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olor w:val="auto"/>
          <w:sz w:val="32"/>
          <w:szCs w:val="32"/>
          <w:highlight w:val="red"/>
          <w:lang w:eastAsia="zh-CN"/>
        </w:rPr>
      </w:pPr>
      <w:r>
        <w:drawing>
          <wp:inline distT="0" distB="0" distL="114300" distR="114300">
            <wp:extent cx="5269230" cy="2501900"/>
            <wp:effectExtent l="4445" t="4445" r="22225" b="8255"/>
            <wp:docPr id="3277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E8B436">
      <w:pPr>
        <w:spacing w:line="600" w:lineRule="exact"/>
        <w:rPr>
          <w:rFonts w:ascii="仿宋" w:hAnsi="仿宋" w:eastAsia="仿宋"/>
          <w:color w:val="auto"/>
          <w:sz w:val="32"/>
          <w:szCs w:val="32"/>
          <w:highlight w:val="none"/>
        </w:rPr>
      </w:pPr>
    </w:p>
    <w:p w14:paraId="547F9D16">
      <w:pPr>
        <w:pStyle w:val="5"/>
        <w:rPr>
          <w:rFonts w:ascii="仿宋" w:hAnsi="仿宋" w:eastAsia="仿宋"/>
          <w:color w:val="auto"/>
          <w:sz w:val="32"/>
          <w:szCs w:val="32"/>
          <w:highlight w:val="none"/>
        </w:rPr>
      </w:pPr>
    </w:p>
    <w:p w14:paraId="4F95BA0B">
      <w:pPr>
        <w:pStyle w:val="5"/>
        <w:rPr>
          <w:rFonts w:ascii="仿宋" w:hAnsi="仿宋" w:eastAsia="仿宋"/>
          <w:color w:val="auto"/>
          <w:sz w:val="32"/>
          <w:szCs w:val="32"/>
          <w:highlight w:val="none"/>
        </w:rPr>
      </w:pPr>
    </w:p>
    <w:p w14:paraId="4E74C8D1">
      <w:pPr>
        <w:pStyle w:val="5"/>
        <w:rPr>
          <w:rFonts w:ascii="仿宋" w:hAnsi="仿宋" w:eastAsia="仿宋"/>
          <w:color w:val="auto"/>
          <w:sz w:val="32"/>
          <w:szCs w:val="32"/>
          <w:highlight w:val="none"/>
        </w:rPr>
      </w:pPr>
    </w:p>
    <w:p w14:paraId="054554B7">
      <w:pPr>
        <w:pStyle w:val="5"/>
        <w:rPr>
          <w:rFonts w:ascii="仿宋" w:hAnsi="仿宋" w:eastAsia="仿宋"/>
          <w:color w:val="auto"/>
          <w:sz w:val="32"/>
          <w:szCs w:val="32"/>
          <w:highlight w:val="none"/>
        </w:rPr>
      </w:pPr>
    </w:p>
    <w:p w14:paraId="65198050">
      <w:pPr>
        <w:pStyle w:val="5"/>
        <w:rPr>
          <w:rFonts w:ascii="仿宋" w:hAnsi="仿宋" w:eastAsia="仿宋"/>
          <w:color w:val="auto"/>
          <w:sz w:val="32"/>
          <w:szCs w:val="32"/>
          <w:highlight w:val="none"/>
        </w:rPr>
      </w:pPr>
    </w:p>
    <w:p w14:paraId="36149532">
      <w:pPr>
        <w:pStyle w:val="5"/>
        <w:rPr>
          <w:rFonts w:ascii="仿宋" w:hAnsi="仿宋" w:eastAsia="仿宋"/>
          <w:color w:val="auto"/>
          <w:sz w:val="32"/>
          <w:szCs w:val="32"/>
          <w:highlight w:val="none"/>
        </w:rPr>
      </w:pPr>
    </w:p>
    <w:p w14:paraId="33AD109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14:paraId="4AA72095">
      <w:pPr>
        <w:spacing w:line="600" w:lineRule="exact"/>
        <w:ind w:firstLine="640"/>
        <w:rPr>
          <w:rFonts w:ascii="仿宋" w:hAnsi="仿宋" w:eastAsia="仿宋"/>
          <w:b/>
          <w:color w:val="auto"/>
          <w:sz w:val="32"/>
          <w:szCs w:val="32"/>
          <w:highlight w:val="none"/>
        </w:rPr>
      </w:pPr>
    </w:p>
    <w:p w14:paraId="7998C85B">
      <w:pPr>
        <w:spacing w:line="600" w:lineRule="exact"/>
        <w:ind w:firstLine="640" w:firstLineChars="200"/>
        <w:outlineLvl w:val="1"/>
        <w:rPr>
          <w:rStyle w:val="28"/>
          <w:rFonts w:ascii="黑体" w:hAnsi="黑体" w:eastAsia="黑体"/>
          <w:b w:val="0"/>
          <w:color w:val="auto"/>
          <w:highlight w:val="none"/>
        </w:rPr>
      </w:pPr>
      <w:bookmarkStart w:id="32" w:name="_Toc15396607"/>
      <w:bookmarkStart w:id="33"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般公共预算财政拨款支出决算情况说明</w:t>
      </w:r>
      <w:bookmarkEnd w:id="32"/>
      <w:bookmarkEnd w:id="33"/>
    </w:p>
    <w:p w14:paraId="0DB19698">
      <w:pPr>
        <w:spacing w:line="600" w:lineRule="exact"/>
        <w:ind w:firstLine="643" w:firstLineChars="200"/>
        <w:outlineLvl w:val="2"/>
        <w:rPr>
          <w:rFonts w:ascii="仿宋" w:hAnsi="仿宋" w:eastAsia="仿宋"/>
          <w:b/>
          <w:color w:val="auto"/>
          <w:sz w:val="32"/>
          <w:szCs w:val="32"/>
          <w:highlight w:val="none"/>
        </w:rPr>
      </w:pPr>
      <w:bookmarkStart w:id="34" w:name="_Toc15377210"/>
      <w:r>
        <w:rPr>
          <w:rFonts w:hint="eastAsia" w:ascii="仿宋" w:hAnsi="仿宋" w:eastAsia="仿宋"/>
          <w:b/>
          <w:color w:val="auto"/>
          <w:sz w:val="32"/>
          <w:szCs w:val="32"/>
          <w:highlight w:val="none"/>
        </w:rPr>
        <w:t>（一）一般公共预算财政拨款支出决算总体情况</w:t>
      </w:r>
      <w:bookmarkEnd w:id="34"/>
    </w:p>
    <w:p w14:paraId="3A771BC0">
      <w:pPr>
        <w:spacing w:line="600" w:lineRule="exact"/>
        <w:ind w:firstLine="640" w:firstLineChars="200"/>
        <w:rPr>
          <w:rFonts w:hint="eastAsia"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4299.59</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88.19</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1916.62</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44.58</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水利项目增加。</w:t>
      </w:r>
    </w:p>
    <w:p w14:paraId="7C74A646">
      <w:pPr>
        <w:spacing w:line="600" w:lineRule="exact"/>
        <w:ind w:firstLine="640"/>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val="en-US" w:eastAsia="zh-CN"/>
        </w:rPr>
        <w:t>85行</w:t>
      </w:r>
      <w:r>
        <w:rPr>
          <w:rFonts w:ascii="仿宋" w:hAnsi="仿宋" w:eastAsia="仿宋"/>
          <w:b/>
          <w:color w:val="auto"/>
          <w:sz w:val="32"/>
          <w:szCs w:val="32"/>
          <w:highlight w:val="none"/>
        </w:rPr>
        <w:t>）</w:t>
      </w:r>
    </w:p>
    <w:p w14:paraId="08211501">
      <w:pPr>
        <w:pStyle w:val="5"/>
        <w:keepNext w:val="0"/>
        <w:keepLines w:val="0"/>
        <w:pageBreakBefore w:val="0"/>
        <w:widowControl w:val="0"/>
        <w:kinsoku/>
        <w:wordWrap/>
        <w:overflowPunct/>
        <w:topLinePunct w:val="0"/>
        <w:autoSpaceDE/>
        <w:autoSpaceDN/>
        <w:bidi w:val="0"/>
        <w:adjustRightInd/>
        <w:snapToGrid/>
        <w:textAlignment w:val="auto"/>
        <w:rPr>
          <w:rFonts w:ascii="仿宋" w:hAnsi="仿宋" w:eastAsia="仿宋"/>
          <w:color w:val="auto"/>
          <w:sz w:val="32"/>
          <w:szCs w:val="32"/>
          <w:highlight w:val="none"/>
        </w:rPr>
      </w:pPr>
      <w:r>
        <w:drawing>
          <wp:inline distT="0" distB="0" distL="114300" distR="114300">
            <wp:extent cx="5238750" cy="2647315"/>
            <wp:effectExtent l="4445" t="4445" r="14605" b="15240"/>
            <wp:docPr id="337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D4144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14:paraId="1571E275">
      <w:pPr>
        <w:spacing w:line="600" w:lineRule="exact"/>
        <w:ind w:firstLine="640" w:firstLineChars="200"/>
        <w:rPr>
          <w:rFonts w:ascii="仿宋" w:hAnsi="仿宋" w:eastAsia="仿宋"/>
          <w:color w:val="auto"/>
          <w:sz w:val="32"/>
          <w:szCs w:val="32"/>
          <w:highlight w:val="none"/>
        </w:rPr>
      </w:pPr>
    </w:p>
    <w:p w14:paraId="14D08AFD">
      <w:pPr>
        <w:spacing w:line="600" w:lineRule="exact"/>
        <w:ind w:firstLine="643" w:firstLineChars="200"/>
        <w:outlineLvl w:val="2"/>
        <w:rPr>
          <w:rFonts w:ascii="仿宋" w:hAnsi="仿宋" w:eastAsia="仿宋"/>
          <w:b/>
          <w:color w:val="auto"/>
          <w:sz w:val="32"/>
          <w:szCs w:val="32"/>
          <w:highlight w:val="none"/>
        </w:rPr>
      </w:pPr>
      <w:bookmarkStart w:id="35" w:name="_Toc15377211"/>
      <w:r>
        <w:rPr>
          <w:rFonts w:hint="eastAsia" w:ascii="仿宋" w:hAnsi="仿宋" w:eastAsia="仿宋"/>
          <w:b/>
          <w:color w:val="auto"/>
          <w:sz w:val="32"/>
          <w:szCs w:val="32"/>
          <w:highlight w:val="none"/>
        </w:rPr>
        <w:t>（二）一般公共预算财政拨款支出决算结构情况</w:t>
      </w:r>
      <w:bookmarkEnd w:id="35"/>
    </w:p>
    <w:p w14:paraId="132FC701">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4299.59</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教育支出（类）</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文化旅游体育与传媒（类）支出</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238.61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5.54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lang w:val="en-US" w:eastAsia="zh-CN"/>
        </w:rPr>
        <w:t>16.63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0.39</w:t>
      </w:r>
      <w:r>
        <w:rPr>
          <w:rFonts w:ascii="仿宋" w:hAnsi="仿宋" w:eastAsia="仿宋"/>
          <w:color w:val="auto"/>
          <w:sz w:val="32"/>
          <w:szCs w:val="32"/>
          <w:highlight w:val="none"/>
        </w:rPr>
        <w:t>%</w:t>
      </w:r>
      <w:r>
        <w:rPr>
          <w:rFonts w:hint="eastAsia" w:ascii="仿宋" w:hAnsi="仿宋" w:eastAsia="仿宋"/>
          <w:color w:val="auto"/>
          <w:sz w:val="32"/>
          <w:szCs w:val="32"/>
          <w:highlight w:val="none"/>
        </w:rPr>
        <w:t>；住房保障支出</w:t>
      </w:r>
      <w:r>
        <w:rPr>
          <w:rFonts w:hint="eastAsia" w:ascii="仿宋" w:hAnsi="仿宋" w:eastAsia="仿宋"/>
          <w:color w:val="auto"/>
          <w:sz w:val="32"/>
          <w:szCs w:val="32"/>
          <w:highlight w:val="none"/>
          <w:lang w:val="en-US" w:eastAsia="zh-CN"/>
        </w:rPr>
        <w:t>53.21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1.24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节能环保支出</w:t>
      </w:r>
      <w:r>
        <w:rPr>
          <w:rFonts w:hint="eastAsia" w:ascii="仿宋" w:hAnsi="仿宋" w:eastAsia="仿宋"/>
          <w:color w:val="auto"/>
          <w:sz w:val="32"/>
          <w:szCs w:val="32"/>
          <w:highlight w:val="none"/>
          <w:lang w:val="en-US" w:eastAsia="zh-CN"/>
        </w:rPr>
        <w:t>311.24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7.24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城乡社区支出</w:t>
      </w:r>
      <w:r>
        <w:rPr>
          <w:rFonts w:hint="eastAsia" w:ascii="仿宋" w:hAnsi="仿宋" w:eastAsia="仿宋"/>
          <w:color w:val="auto"/>
          <w:sz w:val="32"/>
          <w:szCs w:val="32"/>
          <w:highlight w:val="none"/>
          <w:lang w:val="en-US" w:eastAsia="zh-CN"/>
        </w:rPr>
        <w:t>8.48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 xml:space="preserve"> 农林水支出3671.42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85.39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3257BE8F">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本部门涉及的全部</w:t>
      </w:r>
      <w:r>
        <w:rPr>
          <w:rFonts w:hint="eastAsia" w:ascii="仿宋" w:hAnsi="仿宋" w:eastAsia="仿宋"/>
          <w:b/>
          <w:color w:val="auto"/>
          <w:sz w:val="32"/>
          <w:szCs w:val="32"/>
          <w:highlight w:val="none"/>
        </w:rPr>
        <w:t>功能分类科目，至类级。）</w:t>
      </w:r>
    </w:p>
    <w:p w14:paraId="29CFBDE4">
      <w:pPr>
        <w:spacing w:line="600" w:lineRule="exact"/>
        <w:ind w:firstLine="640"/>
        <w:rPr>
          <w:rFonts w:ascii="仿宋" w:hAnsi="仿宋" w:eastAsia="仿宋"/>
          <w:color w:val="auto"/>
          <w:sz w:val="32"/>
          <w:szCs w:val="32"/>
          <w:highlight w:val="none"/>
        </w:rPr>
      </w:pPr>
    </w:p>
    <w:p w14:paraId="4C837050">
      <w:pPr>
        <w:pStyle w:val="5"/>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4925060" cy="3257550"/>
            <wp:effectExtent l="4445" t="4445" r="23495" b="14605"/>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354F70">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14:paraId="5DEA00E0">
      <w:pPr>
        <w:spacing w:line="600" w:lineRule="exact"/>
        <w:ind w:firstLine="640" w:firstLineChars="200"/>
        <w:rPr>
          <w:rFonts w:ascii="仿宋" w:hAnsi="仿宋" w:eastAsia="仿宋"/>
          <w:color w:val="auto"/>
          <w:sz w:val="32"/>
          <w:szCs w:val="32"/>
          <w:highlight w:val="none"/>
        </w:rPr>
      </w:pPr>
    </w:p>
    <w:p w14:paraId="2D2BE296">
      <w:pPr>
        <w:spacing w:line="600" w:lineRule="exact"/>
        <w:ind w:firstLine="643" w:firstLineChars="200"/>
        <w:outlineLvl w:val="2"/>
        <w:rPr>
          <w:rFonts w:ascii="仿宋" w:hAnsi="仿宋" w:eastAsia="仿宋"/>
          <w:b/>
          <w:color w:val="auto"/>
          <w:sz w:val="32"/>
          <w:szCs w:val="32"/>
          <w:highlight w:val="none"/>
        </w:rPr>
      </w:pPr>
      <w:bookmarkStart w:id="36" w:name="_Toc15377212"/>
      <w:r>
        <w:rPr>
          <w:rFonts w:hint="eastAsia" w:ascii="仿宋" w:hAnsi="仿宋" w:eastAsia="仿宋"/>
          <w:b/>
          <w:color w:val="auto"/>
          <w:sz w:val="32"/>
          <w:szCs w:val="32"/>
          <w:highlight w:val="none"/>
        </w:rPr>
        <w:t>（三）一般公共预算财政拨款支出决算具体情况</w:t>
      </w:r>
      <w:bookmarkEnd w:id="36"/>
    </w:p>
    <w:p w14:paraId="72FE9D7E">
      <w:pPr>
        <w:spacing w:line="600" w:lineRule="exact"/>
        <w:ind w:firstLine="643" w:firstLineChars="200"/>
        <w:outlineLvl w:val="2"/>
        <w:rPr>
          <w:rFonts w:ascii="仿宋" w:hAnsi="仿宋" w:eastAsia="仿宋"/>
          <w:color w:val="auto"/>
          <w:sz w:val="32"/>
          <w:szCs w:val="32"/>
          <w:highlight w:val="none"/>
        </w:rPr>
      </w:pPr>
      <w:bookmarkStart w:id="37" w:name="_Toc15377444"/>
      <w:bookmarkStart w:id="38" w:name="_Toc15378460"/>
      <w:bookmarkStart w:id="39" w:name="_Toc15377213"/>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4107.35</w:t>
      </w:r>
      <w:r>
        <w:rPr>
          <w:rFonts w:hint="eastAsia" w:ascii="仿宋" w:hAnsi="仿宋" w:eastAsia="仿宋"/>
          <w:color w:val="auto"/>
          <w:sz w:val="32"/>
          <w:szCs w:val="32"/>
          <w:highlight w:val="none"/>
        </w:rPr>
        <w:t>，</w:t>
      </w:r>
      <w:r>
        <w:rPr>
          <w:rStyle w:val="16"/>
          <w:rFonts w:hint="eastAsia" w:ascii="仿宋" w:hAnsi="仿宋" w:eastAsia="仿宋"/>
          <w:bCs/>
          <w:color w:val="auto"/>
          <w:sz w:val="32"/>
          <w:szCs w:val="32"/>
          <w:highlight w:val="none"/>
        </w:rPr>
        <w:t>完成预算</w:t>
      </w:r>
      <w:r>
        <w:rPr>
          <w:rStyle w:val="16"/>
          <w:rFonts w:hint="eastAsia" w:ascii="仿宋" w:hAnsi="仿宋" w:eastAsia="仿宋"/>
          <w:bCs/>
          <w:color w:val="auto"/>
          <w:sz w:val="32"/>
          <w:szCs w:val="32"/>
          <w:highlight w:val="none"/>
          <w:lang w:val="en-US" w:eastAsia="zh-CN"/>
        </w:rPr>
        <w:t>100</w:t>
      </w:r>
      <w:r>
        <w:rPr>
          <w:rStyle w:val="16"/>
          <w:rFonts w:ascii="仿宋" w:hAnsi="仿宋" w:eastAsia="仿宋"/>
          <w:bCs/>
          <w:color w:val="auto"/>
          <w:sz w:val="32"/>
          <w:szCs w:val="32"/>
          <w:highlight w:val="none"/>
        </w:rPr>
        <w:t>%</w:t>
      </w:r>
      <w:r>
        <w:rPr>
          <w:rFonts w:hint="eastAsia" w:ascii="仿宋" w:hAnsi="仿宋" w:eastAsia="仿宋"/>
          <w:b/>
          <w:color w:val="auto"/>
          <w:sz w:val="32"/>
          <w:szCs w:val="32"/>
          <w:highlight w:val="none"/>
          <w:lang w:eastAsia="zh-CN"/>
        </w:rPr>
        <w:t>（财决</w:t>
      </w:r>
      <w:r>
        <w:rPr>
          <w:rFonts w:hint="eastAsia" w:ascii="仿宋" w:hAnsi="仿宋" w:eastAsia="仿宋"/>
          <w:b/>
          <w:color w:val="auto"/>
          <w:sz w:val="32"/>
          <w:szCs w:val="32"/>
          <w:highlight w:val="none"/>
          <w:lang w:val="en-US" w:eastAsia="zh-CN"/>
        </w:rPr>
        <w:t>01-1表85行</w:t>
      </w:r>
      <w:r>
        <w:rPr>
          <w:rFonts w:hint="eastAsia" w:ascii="仿宋" w:hAnsi="仿宋" w:eastAsia="仿宋"/>
          <w:b/>
          <w:color w:val="auto"/>
          <w:sz w:val="32"/>
          <w:szCs w:val="32"/>
          <w:highlight w:val="none"/>
          <w:lang w:eastAsia="zh-CN"/>
        </w:rPr>
        <w:t>）</w:t>
      </w:r>
      <w:r>
        <w:rPr>
          <w:rStyle w:val="16"/>
          <w:rFonts w:hint="eastAsia" w:ascii="仿宋" w:hAnsi="仿宋" w:eastAsia="仿宋"/>
          <w:bCs/>
          <w:color w:val="auto"/>
          <w:sz w:val="32"/>
          <w:szCs w:val="32"/>
          <w:highlight w:val="none"/>
        </w:rPr>
        <w:t>。其中：</w:t>
      </w:r>
      <w:bookmarkEnd w:id="37"/>
      <w:bookmarkEnd w:id="38"/>
      <w:bookmarkEnd w:id="39"/>
    </w:p>
    <w:p w14:paraId="559A925D">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ascii="仿宋" w:hAnsi="仿宋" w:eastAsia="仿宋"/>
          <w:bCs/>
          <w:color w:val="auto"/>
          <w:sz w:val="32"/>
          <w:szCs w:val="32"/>
          <w:highlight w:val="none"/>
        </w:rPr>
        <w:t>1.</w:t>
      </w:r>
      <w:r>
        <w:rPr>
          <w:rStyle w:val="16"/>
          <w:rFonts w:hint="eastAsia" w:ascii="仿宋" w:hAnsi="仿宋" w:eastAsia="仿宋"/>
          <w:bCs/>
          <w:color w:val="auto"/>
          <w:sz w:val="32"/>
          <w:szCs w:val="32"/>
          <w:highlight w:val="none"/>
        </w:rPr>
        <w:t>一般公共服务（类）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lang w:eastAsia="zh-CN"/>
        </w:rPr>
        <w:t>无。</w:t>
      </w:r>
    </w:p>
    <w:p w14:paraId="41CCC02C">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2.</w:t>
      </w:r>
      <w:r>
        <w:rPr>
          <w:rStyle w:val="16"/>
          <w:rFonts w:hint="eastAsia" w:ascii="仿宋" w:hAnsi="仿宋" w:eastAsia="仿宋"/>
          <w:bCs/>
          <w:color w:val="auto"/>
          <w:sz w:val="32"/>
          <w:szCs w:val="32"/>
          <w:highlight w:val="none"/>
        </w:rPr>
        <w:t>教育（类）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lang w:eastAsia="zh-CN"/>
        </w:rPr>
        <w:t>无</w:t>
      </w:r>
      <w:r>
        <w:rPr>
          <w:rStyle w:val="16"/>
          <w:rFonts w:hint="eastAsia" w:ascii="仿宋" w:hAnsi="仿宋" w:eastAsia="仿宋"/>
          <w:b w:val="0"/>
          <w:bCs/>
          <w:color w:val="auto"/>
          <w:sz w:val="32"/>
          <w:szCs w:val="32"/>
          <w:highlight w:val="none"/>
        </w:rPr>
        <w:t>。</w:t>
      </w:r>
    </w:p>
    <w:p w14:paraId="19681FFB">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3.</w:t>
      </w:r>
      <w:r>
        <w:rPr>
          <w:rStyle w:val="16"/>
          <w:rFonts w:hint="eastAsia" w:ascii="仿宋" w:hAnsi="仿宋" w:eastAsia="仿宋"/>
          <w:bCs/>
          <w:color w:val="auto"/>
          <w:sz w:val="32"/>
          <w:szCs w:val="32"/>
          <w:highlight w:val="none"/>
        </w:rPr>
        <w:t>科学技术（类）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lang w:eastAsia="zh-CN"/>
        </w:rPr>
        <w:t>无</w:t>
      </w:r>
      <w:r>
        <w:rPr>
          <w:rStyle w:val="16"/>
          <w:rFonts w:hint="eastAsia" w:ascii="仿宋" w:hAnsi="仿宋" w:eastAsia="仿宋"/>
          <w:b w:val="0"/>
          <w:bCs/>
          <w:color w:val="auto"/>
          <w:sz w:val="32"/>
          <w:szCs w:val="32"/>
          <w:highlight w:val="none"/>
        </w:rPr>
        <w:t>。</w:t>
      </w:r>
    </w:p>
    <w:p w14:paraId="376193FF">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4.</w:t>
      </w:r>
      <w:r>
        <w:rPr>
          <w:rStyle w:val="16"/>
          <w:rFonts w:hint="eastAsia" w:ascii="仿宋" w:hAnsi="仿宋" w:eastAsia="仿宋"/>
          <w:bCs/>
          <w:color w:val="auto"/>
          <w:sz w:val="32"/>
          <w:szCs w:val="32"/>
          <w:highlight w:val="none"/>
        </w:rPr>
        <w:t>文化旅游体育与传媒（类）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lang w:eastAsia="zh-CN"/>
        </w:rPr>
        <w:t>无</w:t>
      </w:r>
      <w:r>
        <w:rPr>
          <w:rStyle w:val="16"/>
          <w:rFonts w:hint="eastAsia" w:ascii="仿宋" w:hAnsi="仿宋" w:eastAsia="仿宋"/>
          <w:b w:val="0"/>
          <w:bCs/>
          <w:color w:val="auto"/>
          <w:sz w:val="32"/>
          <w:szCs w:val="32"/>
          <w:highlight w:val="none"/>
        </w:rPr>
        <w:t>。</w:t>
      </w:r>
    </w:p>
    <w:p w14:paraId="29B9D5FA">
      <w:pPr>
        <w:spacing w:line="600" w:lineRule="exact"/>
        <w:ind w:firstLine="643" w:firstLineChars="200"/>
        <w:rPr>
          <w:rStyle w:val="16"/>
          <w:rFonts w:hint="eastAsia" w:ascii="仿宋" w:hAnsi="仿宋" w:eastAsia="仿宋"/>
          <w:b w:val="0"/>
          <w:bCs/>
          <w:color w:val="auto"/>
          <w:sz w:val="32"/>
          <w:szCs w:val="32"/>
          <w:highlight w:val="none"/>
        </w:rPr>
      </w:pPr>
      <w:r>
        <w:rPr>
          <w:rStyle w:val="16"/>
          <w:rFonts w:ascii="仿宋" w:hAnsi="仿宋" w:eastAsia="仿宋"/>
          <w:bCs/>
          <w:color w:val="auto"/>
          <w:sz w:val="32"/>
          <w:szCs w:val="32"/>
          <w:highlight w:val="none"/>
        </w:rPr>
        <w:t>5.</w:t>
      </w:r>
      <w:r>
        <w:rPr>
          <w:rStyle w:val="16"/>
          <w:rFonts w:hint="eastAsia" w:ascii="仿宋" w:hAnsi="仿宋" w:eastAsia="仿宋"/>
          <w:bCs/>
          <w:color w:val="auto"/>
          <w:sz w:val="32"/>
          <w:szCs w:val="32"/>
          <w:highlight w:val="none"/>
        </w:rPr>
        <w:t>社会保障和就业（类）</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44.82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14:paraId="46B23634">
      <w:pPr>
        <w:spacing w:line="600" w:lineRule="exact"/>
        <w:ind w:firstLine="320" w:firstLineChars="100"/>
        <w:rPr>
          <w:rStyle w:val="16"/>
          <w:rFonts w:hint="eastAsia" w:ascii="仿宋" w:hAnsi="仿宋" w:eastAsia="仿宋"/>
          <w:b w:val="0"/>
          <w:bCs/>
          <w:color w:val="auto"/>
          <w:sz w:val="32"/>
          <w:szCs w:val="32"/>
          <w:highlight w:val="none"/>
        </w:rPr>
      </w:pPr>
      <w:r>
        <w:rPr>
          <w:rStyle w:val="16"/>
          <w:rFonts w:hint="eastAsia" w:ascii="仿宋" w:hAnsi="仿宋" w:eastAsia="仿宋"/>
          <w:b w:val="0"/>
          <w:bCs/>
          <w:color w:val="auto"/>
          <w:sz w:val="32"/>
          <w:szCs w:val="32"/>
          <w:highlight w:val="none"/>
          <w:lang w:val="en-US" w:eastAsia="zh-CN"/>
        </w:rPr>
        <w:t xml:space="preserve">  6.</w:t>
      </w:r>
      <w:r>
        <w:rPr>
          <w:rStyle w:val="16"/>
          <w:rFonts w:hint="eastAsia" w:ascii="仿宋" w:hAnsi="仿宋" w:eastAsia="仿宋"/>
          <w:bCs/>
          <w:color w:val="auto"/>
          <w:sz w:val="32"/>
          <w:szCs w:val="32"/>
          <w:highlight w:val="none"/>
        </w:rPr>
        <w:t>社会保障和就业（类）</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06</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14.71</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14:paraId="2EEBC83B">
      <w:pPr>
        <w:spacing w:line="600" w:lineRule="exact"/>
        <w:ind w:firstLine="210" w:firstLineChars="100"/>
        <w:rPr>
          <w:rFonts w:hint="default" w:eastAsia="仿宋"/>
          <w:lang w:val="en-US" w:eastAsia="zh-CN"/>
        </w:rPr>
      </w:pPr>
      <w:r>
        <w:rPr>
          <w:rFonts w:hint="eastAsia" w:eastAsia="仿宋"/>
          <w:lang w:val="en-US" w:eastAsia="zh-CN"/>
        </w:rPr>
        <w:t xml:space="preserve">    </w:t>
      </w:r>
      <w:r>
        <w:rPr>
          <w:rStyle w:val="16"/>
          <w:rFonts w:hint="eastAsia" w:ascii="仿宋" w:hAnsi="仿宋" w:eastAsia="仿宋" w:cstheme="minorBidi"/>
          <w:b w:val="0"/>
          <w:bCs/>
          <w:color w:val="auto"/>
          <w:sz w:val="32"/>
          <w:szCs w:val="32"/>
          <w:highlight w:val="none"/>
          <w:lang w:val="en-US" w:eastAsia="zh-CN"/>
        </w:rPr>
        <w:t>7.</w:t>
      </w:r>
      <w:r>
        <w:rPr>
          <w:rStyle w:val="16"/>
          <w:rFonts w:hint="eastAsia" w:ascii="仿宋" w:hAnsi="仿宋" w:eastAsia="仿宋"/>
          <w:bCs/>
          <w:color w:val="auto"/>
          <w:sz w:val="32"/>
          <w:szCs w:val="32"/>
          <w:highlight w:val="none"/>
        </w:rPr>
        <w:t>社会保障和就业（类）</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99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3.18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14:paraId="2D2C9D0F">
      <w:pPr>
        <w:spacing w:line="600" w:lineRule="exact"/>
        <w:ind w:firstLine="643" w:firstLineChars="200"/>
        <w:rPr>
          <w:rStyle w:val="16"/>
          <w:rFonts w:hint="eastAsia" w:ascii="仿宋" w:hAnsi="仿宋" w:eastAsia="仿宋"/>
          <w:b w:val="0"/>
          <w:bCs/>
          <w:color w:val="auto"/>
          <w:sz w:val="32"/>
          <w:szCs w:val="32"/>
          <w:highlight w:val="none"/>
        </w:rPr>
      </w:pPr>
      <w:r>
        <w:rPr>
          <w:rStyle w:val="16"/>
          <w:rFonts w:hint="eastAsia" w:ascii="仿宋" w:hAnsi="仿宋" w:eastAsia="仿宋"/>
          <w:bCs/>
          <w:color w:val="auto"/>
          <w:sz w:val="32"/>
          <w:szCs w:val="32"/>
          <w:highlight w:val="none"/>
          <w:lang w:val="en-US" w:eastAsia="zh-CN"/>
        </w:rPr>
        <w:t>8</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11</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6.38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p>
    <w:p w14:paraId="2FE88A0A">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9</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rPr>
        <w:t>卫生健康</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11</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02</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10.32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1EB8DE87">
      <w:pPr>
        <w:pStyle w:val="5"/>
        <w:ind w:firstLine="643" w:firstLineChars="200"/>
        <w:rPr>
          <w:rFonts w:hint="eastAsia" w:eastAsia="仿宋"/>
          <w:lang w:val="en-US" w:eastAsia="zh-CN"/>
        </w:rPr>
      </w:pPr>
      <w:r>
        <w:rPr>
          <w:rStyle w:val="16"/>
          <w:rFonts w:hint="eastAsia" w:ascii="仿宋" w:hAnsi="仿宋" w:eastAsia="仿宋"/>
          <w:bCs/>
          <w:color w:val="auto"/>
          <w:sz w:val="32"/>
          <w:szCs w:val="32"/>
          <w:highlight w:val="none"/>
          <w:lang w:val="en-US" w:eastAsia="zh-CN"/>
        </w:rPr>
        <w:t>10</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节能环保支出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99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161.24</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5136247A">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11</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节能环保支出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12</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150</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24B90263">
      <w:pPr>
        <w:pStyle w:val="5"/>
        <w:ind w:firstLine="643" w:firstLineChars="200"/>
        <w:rPr>
          <w:rFonts w:hint="eastAsia" w:eastAsia="仿宋"/>
          <w:lang w:val="en-US" w:eastAsia="zh-CN"/>
        </w:rPr>
      </w:pPr>
      <w:r>
        <w:rPr>
          <w:rStyle w:val="16"/>
          <w:rFonts w:hint="eastAsia" w:ascii="仿宋" w:hAnsi="仿宋" w:eastAsia="仿宋"/>
          <w:bCs/>
          <w:color w:val="auto"/>
          <w:sz w:val="32"/>
          <w:szCs w:val="32"/>
          <w:highlight w:val="none"/>
          <w:lang w:val="en-US" w:eastAsia="zh-CN"/>
        </w:rPr>
        <w:t>12</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城乡社区支出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99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8.48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6CC23FE4">
      <w:pPr>
        <w:pStyle w:val="5"/>
        <w:ind w:firstLine="643" w:firstLineChars="200"/>
        <w:rPr>
          <w:rFonts w:hint="eastAsia" w:eastAsia="仿宋"/>
          <w:lang w:val="en-US" w:eastAsia="zh-CN"/>
        </w:rPr>
      </w:pPr>
      <w:r>
        <w:rPr>
          <w:rStyle w:val="16"/>
          <w:rFonts w:hint="eastAsia" w:ascii="仿宋" w:hAnsi="仿宋" w:eastAsia="仿宋"/>
          <w:bCs/>
          <w:color w:val="auto"/>
          <w:sz w:val="32"/>
          <w:szCs w:val="32"/>
          <w:highlight w:val="none"/>
          <w:lang w:val="en-US" w:eastAsia="zh-CN"/>
        </w:rPr>
        <w:t>13</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277.32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71732370">
      <w:pPr>
        <w:pStyle w:val="5"/>
        <w:ind w:firstLine="643" w:firstLineChars="200"/>
        <w:rPr>
          <w:rStyle w:val="16"/>
          <w:rFonts w:hint="eastAsia" w:ascii="仿宋" w:hAnsi="仿宋" w:eastAsia="仿宋"/>
          <w:b w:val="0"/>
          <w:bCs/>
          <w:color w:val="auto"/>
          <w:sz w:val="32"/>
          <w:szCs w:val="32"/>
          <w:highlight w:val="none"/>
          <w:lang w:val="en-US" w:eastAsia="zh-CN"/>
        </w:rPr>
      </w:pPr>
      <w:r>
        <w:rPr>
          <w:rStyle w:val="16"/>
          <w:rFonts w:hint="eastAsia" w:ascii="仿宋" w:hAnsi="仿宋" w:eastAsia="仿宋"/>
          <w:bCs/>
          <w:color w:val="auto"/>
          <w:sz w:val="32"/>
          <w:szCs w:val="32"/>
          <w:highlight w:val="none"/>
          <w:lang w:val="en-US" w:eastAsia="zh-CN"/>
        </w:rPr>
        <w:t>14</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02</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59.8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02FDD42A">
      <w:pPr>
        <w:pStyle w:val="5"/>
        <w:ind w:firstLine="643" w:firstLineChars="200"/>
        <w:rPr>
          <w:rStyle w:val="16"/>
          <w:rFonts w:hint="eastAsia" w:ascii="仿宋" w:hAnsi="仿宋" w:eastAsia="仿宋"/>
          <w:b w:val="0"/>
          <w:bCs/>
          <w:color w:val="auto"/>
          <w:sz w:val="32"/>
          <w:szCs w:val="32"/>
          <w:highlight w:val="none"/>
          <w:lang w:val="en-US" w:eastAsia="zh-CN"/>
        </w:rPr>
      </w:pPr>
      <w:r>
        <w:rPr>
          <w:rStyle w:val="16"/>
          <w:rFonts w:hint="eastAsia" w:ascii="仿宋" w:hAnsi="仿宋" w:eastAsia="仿宋"/>
          <w:bCs/>
          <w:color w:val="auto"/>
          <w:sz w:val="32"/>
          <w:szCs w:val="32"/>
          <w:highlight w:val="none"/>
          <w:lang w:val="en-US" w:eastAsia="zh-CN"/>
        </w:rPr>
        <w:t>13</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536.45</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0DDEF0D5">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13</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06</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2.64</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3DD60AAF">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14</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08</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19.45</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20748C16">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15</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10</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29.72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657B0268">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16</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41.3</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7A8B963E">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17</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12</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1.86</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681A9AA4">
      <w:pPr>
        <w:spacing w:line="600" w:lineRule="exact"/>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18</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14</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447.35</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1D4B9238">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19</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15</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23.64</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1B6C0CC5">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20</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58.2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64F52481">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21</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03</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99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462</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048B2C17">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22</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04</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1229.07</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13B495B1">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23</w:t>
      </w:r>
      <w:r>
        <w:rPr>
          <w:rStyle w:val="16"/>
          <w:rFonts w:ascii="仿宋" w:hAnsi="仿宋" w:eastAsia="仿宋"/>
          <w:bCs/>
          <w:color w:val="auto"/>
          <w:sz w:val="32"/>
          <w:szCs w:val="32"/>
          <w:highlight w:val="none"/>
        </w:rPr>
        <w:t>.</w:t>
      </w:r>
      <w:r>
        <w:rPr>
          <w:rFonts w:hint="eastAsia" w:ascii="仿宋" w:hAnsi="仿宋" w:eastAsia="仿宋"/>
          <w:b/>
          <w:bCs/>
          <w:color w:val="auto"/>
          <w:sz w:val="32"/>
          <w:szCs w:val="32"/>
          <w:highlight w:val="none"/>
          <w:lang w:eastAsia="zh-CN"/>
        </w:rPr>
        <w:t>农林水支出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05</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99</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466.28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2B96C404">
      <w:pPr>
        <w:pStyle w:val="5"/>
        <w:ind w:firstLine="643" w:firstLineChars="200"/>
        <w:rPr>
          <w:rStyle w:val="16"/>
          <w:rFonts w:hint="eastAsia" w:ascii="仿宋" w:hAnsi="仿宋" w:eastAsia="仿宋"/>
          <w:b w:val="0"/>
          <w:bCs/>
          <w:color w:val="auto"/>
          <w:sz w:val="32"/>
          <w:szCs w:val="32"/>
          <w:highlight w:val="none"/>
          <w:lang w:eastAsia="zh-CN"/>
        </w:rPr>
      </w:pPr>
      <w:r>
        <w:rPr>
          <w:rStyle w:val="16"/>
          <w:rFonts w:hint="eastAsia" w:ascii="仿宋" w:hAnsi="仿宋" w:eastAsia="仿宋"/>
          <w:bCs/>
          <w:color w:val="auto"/>
          <w:sz w:val="32"/>
          <w:szCs w:val="32"/>
          <w:highlight w:val="none"/>
          <w:lang w:val="en-US" w:eastAsia="zh-CN"/>
        </w:rPr>
        <w:t>24</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lang w:eastAsia="zh-CN"/>
        </w:rPr>
        <w:t>住房保障支出</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02</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53.21</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lang w:eastAsia="zh-CN"/>
        </w:rPr>
        <w:t>。</w:t>
      </w:r>
    </w:p>
    <w:p w14:paraId="1B396BDF">
      <w:pPr>
        <w:pStyle w:val="5"/>
        <w:ind w:firstLine="640" w:firstLineChars="200"/>
        <w:rPr>
          <w:rStyle w:val="16"/>
          <w:rFonts w:hint="eastAsia" w:ascii="仿宋" w:hAnsi="仿宋" w:eastAsia="仿宋"/>
          <w:b w:val="0"/>
          <w:bCs/>
          <w:color w:val="auto"/>
          <w:sz w:val="32"/>
          <w:szCs w:val="32"/>
          <w:highlight w:val="none"/>
          <w:lang w:eastAsia="zh-CN"/>
        </w:rPr>
      </w:pPr>
    </w:p>
    <w:p w14:paraId="357522A3">
      <w:pPr>
        <w:pStyle w:val="5"/>
        <w:ind w:firstLine="640" w:firstLineChars="200"/>
        <w:rPr>
          <w:rStyle w:val="16"/>
          <w:rFonts w:hint="eastAsia" w:ascii="仿宋" w:hAnsi="仿宋" w:eastAsia="仿宋"/>
          <w:b w:val="0"/>
          <w:bCs/>
          <w:color w:val="auto"/>
          <w:sz w:val="32"/>
          <w:szCs w:val="32"/>
          <w:highlight w:val="none"/>
          <w:lang w:eastAsia="zh-CN"/>
        </w:rPr>
      </w:pPr>
    </w:p>
    <w:p w14:paraId="075A3C76">
      <w:pPr>
        <w:spacing w:line="600" w:lineRule="exact"/>
        <w:ind w:firstLine="640"/>
        <w:rPr>
          <w:rFonts w:ascii="仿宋" w:hAnsi="仿宋" w:eastAsia="仿宋"/>
          <w:b/>
          <w:color w:val="auto"/>
          <w:sz w:val="32"/>
          <w:szCs w:val="32"/>
          <w:highlight w:val="none"/>
        </w:rPr>
      </w:pPr>
    </w:p>
    <w:p w14:paraId="6110CA59">
      <w:pPr>
        <w:tabs>
          <w:tab w:val="right" w:pos="8306"/>
        </w:tabs>
        <w:spacing w:line="600" w:lineRule="exact"/>
        <w:ind w:firstLine="640"/>
        <w:outlineLvl w:val="1"/>
        <w:rPr>
          <w:rStyle w:val="28"/>
          <w:color w:val="auto"/>
          <w:highlight w:val="none"/>
        </w:rPr>
      </w:pPr>
      <w:bookmarkStart w:id="40" w:name="_Toc15377214"/>
      <w:bookmarkStart w:id="41"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般公共预算财政拨款基本支出决算情况说明</w:t>
      </w:r>
      <w:bookmarkEnd w:id="40"/>
      <w:bookmarkEnd w:id="41"/>
      <w:r>
        <w:rPr>
          <w:rStyle w:val="28"/>
          <w:rFonts w:ascii="黑体" w:hAnsi="黑体" w:eastAsia="黑体"/>
          <w:b w:val="0"/>
          <w:color w:val="auto"/>
          <w:highlight w:val="none"/>
        </w:rPr>
        <w:tab/>
      </w:r>
    </w:p>
    <w:p w14:paraId="06CB1F6C">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730.98</w:t>
      </w:r>
      <w:r>
        <w:rPr>
          <w:rFonts w:hint="eastAsia" w:ascii="仿宋" w:hAnsi="仿宋" w:eastAsia="仿宋"/>
          <w:color w:val="auto"/>
          <w:sz w:val="32"/>
          <w:szCs w:val="32"/>
          <w:highlight w:val="none"/>
        </w:rPr>
        <w:t>万元，其中：</w:t>
      </w:r>
    </w:p>
    <w:p w14:paraId="4F040925">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659.39</w:t>
      </w:r>
      <w:r>
        <w:rPr>
          <w:rFonts w:hint="eastAsia" w:ascii="仿宋" w:hAnsi="仿宋" w:eastAsia="仿宋"/>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71.59</w:t>
      </w:r>
      <w:r>
        <w:rPr>
          <w:rFonts w:hint="eastAsia" w:ascii="仿宋" w:hAnsi="仿宋" w:eastAsia="仿宋"/>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C8E51AC">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本部门实际支出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14:paraId="766638CE">
      <w:pPr>
        <w:spacing w:line="600" w:lineRule="exact"/>
        <w:ind w:firstLine="640"/>
        <w:rPr>
          <w:rFonts w:ascii="仿宋" w:hAnsi="仿宋" w:eastAsia="仿宋"/>
          <w:b/>
          <w:color w:val="auto"/>
          <w:sz w:val="32"/>
          <w:szCs w:val="32"/>
          <w:highlight w:val="none"/>
        </w:rPr>
      </w:pPr>
    </w:p>
    <w:p w14:paraId="05393F0E">
      <w:pPr>
        <w:numPr>
          <w:ilvl w:val="0"/>
          <w:numId w:val="2"/>
        </w:numPr>
        <w:spacing w:line="600" w:lineRule="exact"/>
        <w:ind w:firstLine="640"/>
        <w:outlineLvl w:val="1"/>
        <w:rPr>
          <w:rStyle w:val="28"/>
          <w:rFonts w:hint="eastAsia" w:ascii="黑体" w:hAnsi="黑体" w:eastAsia="黑体"/>
          <w:b w:val="0"/>
          <w:color w:val="auto"/>
          <w:highlight w:val="none"/>
        </w:rPr>
      </w:pPr>
      <w:bookmarkStart w:id="42" w:name="_Toc15396609"/>
      <w:bookmarkStart w:id="43" w:name="_Toc15377215"/>
      <w:r>
        <w:rPr>
          <w:rStyle w:val="28"/>
          <w:rFonts w:hint="eastAsia" w:ascii="黑体" w:hAnsi="黑体" w:eastAsia="黑体"/>
          <w:color w:val="auto"/>
          <w:highlight w:val="none"/>
        </w:rPr>
        <w:t>“</w:t>
      </w:r>
      <w:r>
        <w:rPr>
          <w:rStyle w:val="28"/>
          <w:rFonts w:hint="eastAsia" w:ascii="黑体" w:hAnsi="黑体" w:eastAsia="黑体"/>
          <w:b w:val="0"/>
          <w:color w:val="auto"/>
          <w:highlight w:val="none"/>
        </w:rPr>
        <w:t>三公”经费财政拨款支出决算情况说明</w:t>
      </w:r>
      <w:bookmarkEnd w:id="42"/>
      <w:bookmarkEnd w:id="43"/>
    </w:p>
    <w:p w14:paraId="14F5153D">
      <w:pPr>
        <w:spacing w:line="600" w:lineRule="exact"/>
        <w:ind w:firstLine="640"/>
        <w:outlineLvl w:val="2"/>
        <w:rPr>
          <w:rFonts w:ascii="仿宋" w:hAnsi="仿宋" w:eastAsia="仿宋"/>
          <w:b/>
          <w:color w:val="auto"/>
          <w:sz w:val="32"/>
          <w:szCs w:val="32"/>
          <w:highlight w:val="none"/>
        </w:rPr>
      </w:pPr>
      <w:bookmarkStart w:id="44" w:name="_Toc15377216"/>
      <w:r>
        <w:rPr>
          <w:rFonts w:hint="eastAsia" w:ascii="仿宋" w:hAnsi="仿宋" w:eastAsia="仿宋"/>
          <w:b/>
          <w:color w:val="auto"/>
          <w:sz w:val="32"/>
          <w:szCs w:val="32"/>
          <w:highlight w:val="none"/>
        </w:rPr>
        <w:t>（一）“三公”经费财政拨款支出决算总体情况说明</w:t>
      </w:r>
      <w:bookmarkEnd w:id="44"/>
    </w:p>
    <w:p w14:paraId="6A21D6C0">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3.92</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56</w:t>
      </w:r>
      <w:r>
        <w:rPr>
          <w:rFonts w:ascii="仿宋" w:hAnsi="仿宋" w:eastAsia="仿宋"/>
          <w:color w:val="auto"/>
          <w:sz w:val="32"/>
          <w:szCs w:val="32"/>
          <w:highlight w:val="none"/>
        </w:rPr>
        <w:t>%</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接待次数减少</w:t>
      </w:r>
      <w:r>
        <w:rPr>
          <w:rFonts w:hint="eastAsia" w:ascii="仿宋" w:hAnsi="仿宋" w:eastAsia="仿宋"/>
          <w:color w:val="auto"/>
          <w:sz w:val="32"/>
          <w:szCs w:val="32"/>
          <w:highlight w:val="none"/>
        </w:rPr>
        <w:t>。</w:t>
      </w:r>
    </w:p>
    <w:p w14:paraId="707DF54A">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（注：上述“预算”口径为调整预算数。）</w:t>
      </w:r>
    </w:p>
    <w:p w14:paraId="57DE2026">
      <w:pPr>
        <w:spacing w:line="600" w:lineRule="exact"/>
        <w:ind w:firstLine="640"/>
        <w:outlineLvl w:val="2"/>
        <w:rPr>
          <w:rFonts w:ascii="仿宋" w:hAnsi="仿宋" w:eastAsia="仿宋"/>
          <w:b/>
          <w:color w:val="auto"/>
          <w:sz w:val="32"/>
          <w:szCs w:val="32"/>
          <w:highlight w:val="none"/>
        </w:rPr>
      </w:pPr>
      <w:bookmarkStart w:id="45" w:name="_Toc15377217"/>
      <w:r>
        <w:rPr>
          <w:rFonts w:hint="eastAsia" w:ascii="仿宋" w:hAnsi="仿宋" w:eastAsia="仿宋"/>
          <w:b/>
          <w:color w:val="auto"/>
          <w:sz w:val="32"/>
          <w:szCs w:val="32"/>
          <w:highlight w:val="none"/>
        </w:rPr>
        <w:t>（二）“三公”经费财政拨款支出决算具体情况说明</w:t>
      </w:r>
      <w:bookmarkEnd w:id="45"/>
    </w:p>
    <w:p w14:paraId="10B0BE76">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42.86</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0.92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13.14</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14B577D4">
      <w:pPr>
        <w:pStyle w:val="5"/>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5038725" cy="2562225"/>
            <wp:effectExtent l="4445" t="4445" r="5080" b="5080"/>
            <wp:docPr id="358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D43496">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14:paraId="6A622B64">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76D14B22">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1C4A4642">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B14C95B">
      <w:pPr>
        <w:spacing w:line="600" w:lineRule="exact"/>
        <w:ind w:firstLine="640"/>
        <w:rPr>
          <w:rFonts w:ascii="仿宋_GB2312" w:eastAsia="仿宋_GB2312"/>
          <w:color w:val="000000"/>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万元。主要用于</w:t>
      </w:r>
      <w:r>
        <w:rPr>
          <w:rFonts w:hint="eastAsia" w:ascii="仿宋_GB2312" w:eastAsia="仿宋_GB2312"/>
          <w:color w:val="000000"/>
          <w:sz w:val="32"/>
          <w:szCs w:val="32"/>
        </w:rPr>
        <w:t>防汛抗旱、</w:t>
      </w:r>
      <w:r>
        <w:rPr>
          <w:rFonts w:hint="eastAsia" w:ascii="仿宋_GB2312" w:eastAsia="仿宋_GB2312"/>
          <w:color w:val="000000"/>
          <w:sz w:val="32"/>
          <w:szCs w:val="32"/>
          <w:lang w:eastAsia="zh-CN"/>
        </w:rPr>
        <w:t>水行政执法</w:t>
      </w:r>
      <w:r>
        <w:rPr>
          <w:rFonts w:hint="eastAsia" w:ascii="仿宋_GB2312" w:eastAsia="仿宋_GB2312"/>
          <w:color w:val="000000"/>
          <w:sz w:val="32"/>
          <w:szCs w:val="32"/>
        </w:rPr>
        <w:t>等所需的公务用车燃料费、维修费、过路过桥费、保险费等支出。</w:t>
      </w:r>
    </w:p>
    <w:p w14:paraId="7013613C">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0.92</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23</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2.48</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72.94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上级水利督查次数减少</w:t>
      </w:r>
      <w:r>
        <w:rPr>
          <w:rFonts w:hint="eastAsia" w:ascii="仿宋_GB2312" w:eastAsia="仿宋_GB2312"/>
          <w:color w:val="auto"/>
          <w:sz w:val="32"/>
          <w:szCs w:val="32"/>
          <w:highlight w:val="none"/>
        </w:rPr>
        <w:t>。其中：</w:t>
      </w:r>
    </w:p>
    <w:p w14:paraId="05A5A918">
      <w:pPr>
        <w:spacing w:line="600" w:lineRule="exact"/>
        <w:ind w:firstLine="640"/>
        <w:rPr>
          <w:rFonts w:hint="default" w:ascii="仿宋_GB2312" w:eastAsia="仿宋_GB2312"/>
          <w:color w:val="auto"/>
          <w:sz w:val="32"/>
          <w:szCs w:val="32"/>
          <w:highlight w:val="none"/>
          <w:lang w:val="en-US" w:eastAsia="zh-CN"/>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0.92</w:t>
      </w:r>
      <w:r>
        <w:rPr>
          <w:rFonts w:hint="eastAsia" w:ascii="仿宋_GB2312" w:eastAsia="仿宋_GB2312"/>
          <w:color w:val="auto"/>
          <w:sz w:val="32"/>
          <w:szCs w:val="32"/>
          <w:highlight w:val="none"/>
        </w:rPr>
        <w:t>万元，主要用于执行公务、开展业务活动开支的交通费、住宿费、用餐费等。国内公务接待</w:t>
      </w:r>
      <w:r>
        <w:rPr>
          <w:rFonts w:hint="eastAsia" w:ascii="仿宋_GB2312" w:eastAsia="仿宋_GB2312"/>
          <w:color w:val="auto"/>
          <w:sz w:val="32"/>
          <w:szCs w:val="32"/>
          <w:highlight w:val="none"/>
          <w:lang w:val="en-US" w:eastAsia="zh-CN"/>
        </w:rPr>
        <w:t>14</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104</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0.92</w:t>
      </w:r>
      <w:r>
        <w:rPr>
          <w:rFonts w:hint="eastAsia" w:ascii="仿宋_GB2312" w:eastAsia="仿宋_GB2312"/>
          <w:color w:val="auto"/>
          <w:sz w:val="32"/>
          <w:szCs w:val="32"/>
          <w:highlight w:val="none"/>
        </w:rPr>
        <w:t>万元，具体内容包括：光辉水库除险加固工程竣工验收</w:t>
      </w:r>
      <w:r>
        <w:rPr>
          <w:rFonts w:hint="eastAsia" w:ascii="仿宋_GB2312" w:eastAsia="仿宋_GB2312"/>
          <w:color w:val="auto"/>
          <w:sz w:val="32"/>
          <w:szCs w:val="32"/>
          <w:highlight w:val="none"/>
          <w:lang w:val="en-US" w:eastAsia="zh-CN"/>
        </w:rPr>
        <w:t>520元；王家祠水库现场综合查勘1668元；王家祠水库现场综合查勘600元；汛前工作检查270元；检查杨村乡洋溪河新坝段防洪治理工程建设工作630元；省水利厅“水利行业强监管”水闸、堤防专项检查300元；省水利厅“水利行业强监管”水闸、堤防专项检查500元；关沱、王家祠水库现场综合查勘1500元；全市水利行业安全检查370元；王家祠水库等相关860元；全市长江经济带小水电清理整改回头看检查830元；长江经济带小水电清理整改回头看工作131元；重点监控用水单位监督检查450元；重点监控用水单位监督检查600元。</w:t>
      </w:r>
    </w:p>
    <w:p w14:paraId="5CB2C572">
      <w:pPr>
        <w:spacing w:line="600" w:lineRule="exact"/>
        <w:ind w:firstLine="643" w:firstLineChars="200"/>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1313CAEF">
      <w:pPr>
        <w:spacing w:line="600" w:lineRule="exact"/>
        <w:ind w:firstLine="640"/>
        <w:outlineLvl w:val="1"/>
        <w:rPr>
          <w:rFonts w:ascii="黑体" w:eastAsia="黑体"/>
          <w:color w:val="auto"/>
          <w:sz w:val="32"/>
          <w:szCs w:val="32"/>
          <w:highlight w:val="none"/>
        </w:rPr>
      </w:pPr>
      <w:bookmarkStart w:id="46" w:name="_Toc15396610"/>
      <w:bookmarkStart w:id="47" w:name="_Toc15377218"/>
    </w:p>
    <w:p w14:paraId="7B9A557E">
      <w:pPr>
        <w:spacing w:line="600" w:lineRule="exact"/>
        <w:ind w:firstLine="640"/>
        <w:outlineLvl w:val="1"/>
        <w:rPr>
          <w:rStyle w:val="28"/>
          <w:rFonts w:ascii="黑体" w:hAnsi="黑体" w:eastAsia="黑体"/>
          <w:color w:val="auto"/>
          <w:highlight w:val="none"/>
        </w:rPr>
      </w:pPr>
      <w:r>
        <w:rPr>
          <w:rFonts w:hint="eastAsia" w:ascii="黑体" w:eastAsia="黑体"/>
          <w:color w:val="auto"/>
          <w:sz w:val="32"/>
          <w:szCs w:val="32"/>
          <w:highlight w:val="none"/>
        </w:rPr>
        <w:t>八、</w:t>
      </w:r>
      <w:r>
        <w:rPr>
          <w:rStyle w:val="28"/>
          <w:rFonts w:hint="eastAsia" w:ascii="黑体" w:hAnsi="黑体" w:eastAsia="黑体"/>
          <w:b w:val="0"/>
          <w:color w:val="auto"/>
          <w:highlight w:val="none"/>
        </w:rPr>
        <w:t>政府性基金预算支出决算情况说明</w:t>
      </w:r>
      <w:bookmarkEnd w:id="46"/>
      <w:bookmarkEnd w:id="47"/>
    </w:p>
    <w:p w14:paraId="5BFCC59A">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192.24</w:t>
      </w:r>
      <w:r>
        <w:rPr>
          <w:rFonts w:hint="eastAsia" w:ascii="仿宋_GB2312" w:eastAsia="仿宋_GB2312"/>
          <w:color w:val="auto"/>
          <w:sz w:val="32"/>
          <w:szCs w:val="32"/>
          <w:highlight w:val="none"/>
        </w:rPr>
        <w:t>万元。</w:t>
      </w:r>
    </w:p>
    <w:p w14:paraId="4F457268">
      <w:pPr>
        <w:spacing w:line="600" w:lineRule="exact"/>
        <w:ind w:firstLine="640"/>
        <w:rPr>
          <w:rFonts w:ascii="仿宋_GB2312" w:eastAsia="仿宋_GB2312"/>
          <w:color w:val="auto"/>
          <w:sz w:val="32"/>
          <w:szCs w:val="32"/>
          <w:highlight w:val="none"/>
        </w:rPr>
      </w:pPr>
    </w:p>
    <w:p w14:paraId="45059FCA">
      <w:pPr>
        <w:numPr>
          <w:ilvl w:val="0"/>
          <w:numId w:val="3"/>
        </w:numPr>
        <w:spacing w:line="600" w:lineRule="exact"/>
        <w:ind w:firstLine="640"/>
        <w:outlineLvl w:val="1"/>
        <w:rPr>
          <w:rStyle w:val="28"/>
          <w:rFonts w:ascii="黑体" w:hAnsi="黑体" w:eastAsia="黑体"/>
          <w:b w:val="0"/>
          <w:color w:val="auto"/>
          <w:highlight w:val="none"/>
        </w:rPr>
      </w:pPr>
      <w:bookmarkStart w:id="48" w:name="_Toc15396611"/>
      <w:bookmarkStart w:id="49" w:name="_Toc15377219"/>
      <w:r>
        <w:rPr>
          <w:rStyle w:val="28"/>
          <w:rFonts w:hint="eastAsia" w:ascii="黑体" w:hAnsi="黑体" w:eastAsia="黑体"/>
          <w:b w:val="0"/>
          <w:color w:val="auto"/>
          <w:highlight w:val="none"/>
        </w:rPr>
        <w:t>国有资本经营预算支出决算情况说明</w:t>
      </w:r>
      <w:bookmarkEnd w:id="48"/>
      <w:bookmarkEnd w:id="49"/>
    </w:p>
    <w:p w14:paraId="481A63A6">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1EB68A01">
      <w:pPr>
        <w:spacing w:line="580" w:lineRule="exact"/>
        <w:jc w:val="center"/>
        <w:rPr>
          <w:rFonts w:ascii="方正小标宋简体" w:hAnsi="方正小标宋简体" w:eastAsia="方正小标宋简体" w:cs="方正小标宋简体"/>
          <w:color w:val="auto"/>
          <w:sz w:val="44"/>
          <w:szCs w:val="44"/>
          <w:highlight w:val="none"/>
        </w:rPr>
      </w:pPr>
    </w:p>
    <w:p w14:paraId="4BD6AE7E">
      <w:pPr>
        <w:numPr>
          <w:ilvl w:val="0"/>
          <w:numId w:val="3"/>
        </w:numPr>
        <w:spacing w:line="600" w:lineRule="exact"/>
        <w:ind w:firstLine="640"/>
        <w:outlineLvl w:val="1"/>
        <w:rPr>
          <w:rStyle w:val="28"/>
          <w:rFonts w:hint="eastAsia" w:ascii="黑体" w:hAnsi="黑体" w:eastAsia="黑体"/>
          <w:b w:val="0"/>
          <w:color w:val="auto"/>
          <w:highlight w:val="none"/>
        </w:rPr>
      </w:pPr>
      <w:bookmarkStart w:id="50" w:name="_Toc15377221"/>
      <w:bookmarkStart w:id="51" w:name="_Toc15396612"/>
      <w:r>
        <w:rPr>
          <w:rStyle w:val="28"/>
          <w:rFonts w:hint="eastAsia" w:ascii="黑体" w:hAnsi="黑体" w:eastAsia="黑体"/>
          <w:b w:val="0"/>
          <w:color w:val="auto"/>
          <w:highlight w:val="none"/>
        </w:rPr>
        <w:t>其他重要事项的情况说明</w:t>
      </w:r>
      <w:bookmarkEnd w:id="50"/>
      <w:bookmarkEnd w:id="51"/>
    </w:p>
    <w:p w14:paraId="539B160E">
      <w:pPr>
        <w:numPr>
          <w:ilvl w:val="0"/>
          <w:numId w:val="4"/>
        </w:numPr>
        <w:spacing w:line="600" w:lineRule="exact"/>
        <w:ind w:firstLine="643" w:firstLineChars="200"/>
        <w:outlineLvl w:val="2"/>
        <w:rPr>
          <w:rFonts w:hint="eastAsia" w:ascii="仿宋" w:hAnsi="仿宋" w:eastAsia="仿宋"/>
          <w:b/>
          <w:color w:val="auto"/>
          <w:sz w:val="32"/>
          <w:szCs w:val="32"/>
          <w:highlight w:val="none"/>
        </w:rPr>
      </w:pPr>
      <w:bookmarkStart w:id="52" w:name="_Toc15377222"/>
      <w:r>
        <w:rPr>
          <w:rFonts w:hint="eastAsia" w:ascii="仿宋" w:hAnsi="仿宋" w:eastAsia="仿宋"/>
          <w:b/>
          <w:color w:val="auto"/>
          <w:sz w:val="32"/>
          <w:szCs w:val="32"/>
          <w:highlight w:val="none"/>
        </w:rPr>
        <w:t>机关运行经费支出情况</w:t>
      </w:r>
      <w:bookmarkEnd w:id="52"/>
    </w:p>
    <w:p w14:paraId="4E955F75">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水务局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71.59</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3.67</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5.4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000000"/>
          <w:sz w:val="32"/>
          <w:szCs w:val="32"/>
          <w:lang w:eastAsia="zh-CN"/>
        </w:rPr>
        <w:t>防汛抗旱，水务执法次数产生的差旅费增多。</w:t>
      </w:r>
    </w:p>
    <w:p w14:paraId="2212CECB">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2A0E4F17">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3" w:name="_Toc15377223"/>
      <w:r>
        <w:rPr>
          <w:rFonts w:hint="eastAsia" w:ascii="仿宋" w:hAnsi="仿宋" w:eastAsia="仿宋"/>
          <w:b/>
          <w:color w:val="auto"/>
          <w:sz w:val="32"/>
          <w:szCs w:val="32"/>
          <w:highlight w:val="none"/>
        </w:rPr>
        <w:t>（二）政府采购支出情况</w:t>
      </w:r>
      <w:bookmarkEnd w:id="53"/>
    </w:p>
    <w:p w14:paraId="68F0695F">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水务局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7C260C5C">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14:paraId="219E37BC">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4" w:name="_Toc15377224"/>
      <w:r>
        <w:rPr>
          <w:rFonts w:hint="eastAsia" w:ascii="仿宋" w:hAnsi="仿宋" w:eastAsia="仿宋"/>
          <w:b/>
          <w:color w:val="auto"/>
          <w:sz w:val="32"/>
          <w:szCs w:val="32"/>
          <w:highlight w:val="none"/>
        </w:rPr>
        <w:t>（三）国有资产占有使用情况</w:t>
      </w:r>
      <w:bookmarkEnd w:id="54"/>
    </w:p>
    <w:p w14:paraId="2888063A">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水务局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000000"/>
          <w:sz w:val="32"/>
          <w:szCs w:val="32"/>
          <w:lang w:eastAsia="zh-CN"/>
        </w:rPr>
        <w:t>特种专业技术用车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2773832E">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表，按部门决算报表填报数据罗列车辆情况。）</w:t>
      </w:r>
    </w:p>
    <w:p w14:paraId="33EE637D">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14:paraId="17FC28D4">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val="en-US" w:eastAsia="zh-CN"/>
        </w:rPr>
        <w:t>马边河舟坝黄丹库区水面漂浮物清理打捞社会会服务资金</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7个项目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本部门对20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年部门整体开展绩效自评，《202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水务局</w:t>
      </w:r>
      <w:r>
        <w:rPr>
          <w:rFonts w:hint="eastAsia" w:ascii="仿宋_GB2312" w:hAnsi="仿宋_GB2312" w:eastAsia="仿宋_GB2312" w:cs="仿宋_GB2312"/>
          <w:color w:val="auto"/>
          <w:sz w:val="32"/>
          <w:szCs w:val="32"/>
          <w:highlight w:val="none"/>
        </w:rPr>
        <w:t>部门整体绩效评价报告》见附件（</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w:t>
      </w:r>
    </w:p>
    <w:p w14:paraId="41526190">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14:paraId="0441C0A2">
      <w:pPr>
        <w:numPr>
          <w:ilvl w:val="0"/>
          <w:numId w:val="5"/>
        </w:numPr>
        <w:spacing w:line="600" w:lineRule="exact"/>
        <w:ind w:firstLine="660" w:firstLineChars="150"/>
        <w:jc w:val="center"/>
        <w:outlineLvl w:val="0"/>
        <w:rPr>
          <w:rStyle w:val="27"/>
          <w:rFonts w:ascii="黑体" w:hAnsi="黑体" w:eastAsia="黑体"/>
          <w:b w:val="0"/>
          <w:color w:val="auto"/>
          <w:highlight w:val="none"/>
        </w:rPr>
      </w:pPr>
      <w:bookmarkStart w:id="55" w:name="_Toc15396613"/>
      <w:bookmarkStart w:id="56" w:name="_Toc15377225"/>
      <w:r>
        <w:rPr>
          <w:rFonts w:hint="eastAsia" w:ascii="黑体" w:hAnsi="黑体" w:eastAsia="黑体"/>
          <w:color w:val="auto"/>
          <w:sz w:val="44"/>
          <w:szCs w:val="44"/>
          <w:highlight w:val="none"/>
        </w:rPr>
        <w:t>名</w:t>
      </w:r>
      <w:r>
        <w:rPr>
          <w:rStyle w:val="27"/>
          <w:rFonts w:hint="eastAsia" w:ascii="黑体" w:hAnsi="黑体" w:eastAsia="黑体"/>
          <w:b w:val="0"/>
          <w:color w:val="auto"/>
          <w:highlight w:val="none"/>
        </w:rPr>
        <w:t>词解释</w:t>
      </w:r>
      <w:bookmarkEnd w:id="55"/>
      <w:bookmarkEnd w:id="56"/>
    </w:p>
    <w:p w14:paraId="5DA7935D">
      <w:pPr>
        <w:spacing w:line="600" w:lineRule="exact"/>
        <w:jc w:val="left"/>
        <w:rPr>
          <w:rFonts w:ascii="宋体"/>
          <w:b/>
          <w:color w:val="auto"/>
          <w:sz w:val="44"/>
          <w:szCs w:val="44"/>
          <w:highlight w:val="none"/>
        </w:rPr>
      </w:pPr>
    </w:p>
    <w:p w14:paraId="53A6A0FA">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03178241">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事业收入：指事业单位开展专业业务活动及辅助活动取得的收入。如…（二级预算单位事业收入情况）等。</w:t>
      </w:r>
    </w:p>
    <w:p w14:paraId="4120D7C5">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经营收入：指事业单位在专业业务活动及其辅助活动之外开展非独立核算经营活动取得的收入。如…（二级预算单位经营收入情况）等。</w:t>
      </w:r>
    </w:p>
    <w:p w14:paraId="4C428EC0">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其他收入：指单位取得的除上述收入以外的各项收入。主要是…（收入类型）等。</w:t>
      </w:r>
      <w:r>
        <w:rPr>
          <w:rFonts w:ascii="仿宋_GB2312" w:eastAsia="仿宋_GB2312"/>
          <w:color w:val="auto"/>
          <w:sz w:val="32"/>
          <w:szCs w:val="32"/>
          <w:highlight w:val="none"/>
        </w:rPr>
        <w:t xml:space="preserve"> </w:t>
      </w:r>
    </w:p>
    <w:p w14:paraId="3FA25143">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6514822F">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4B754D86">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1CC59E18">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、年末结转和结余：指单位按有关规定结转到下年或以后年度继续使用的资金。</w:t>
      </w:r>
    </w:p>
    <w:p w14:paraId="5682AC05">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农林水（类）03（款）01（项）：指行政单位（包括实行公务员管理的事业单位）的基本支出。</w:t>
      </w:r>
    </w:p>
    <w:p w14:paraId="1D7DB296">
      <w:pPr>
        <w:ind w:firstLine="640" w:firstLineChars="200"/>
        <w:rPr>
          <w:rFonts w:ascii="仿宋_GB2312" w:eastAsia="仿宋_GB2312"/>
          <w:color w:val="000000"/>
          <w:sz w:val="32"/>
          <w:szCs w:val="32"/>
        </w:rPr>
      </w:pPr>
      <w:r>
        <w:rPr>
          <w:rFonts w:hint="eastAsia" w:ascii="仿宋_GB2312" w:eastAsia="仿宋_GB2312"/>
          <w:color w:val="000000"/>
          <w:sz w:val="32"/>
          <w:szCs w:val="32"/>
        </w:rPr>
        <w:t>10农林水（类）03（款）02（项）：指行政单位（包括实行公务员管理的事业单位）未单独设置项级科目的其他项目支出。</w:t>
      </w:r>
    </w:p>
    <w:p w14:paraId="0B9BD4F2">
      <w:pPr>
        <w:ind w:firstLine="640" w:firstLineChars="200"/>
        <w:rPr>
          <w:rFonts w:ascii="仿宋_GB2312" w:eastAsia="仿宋_GB2312"/>
          <w:color w:val="000000"/>
          <w:sz w:val="32"/>
          <w:szCs w:val="32"/>
        </w:rPr>
      </w:pPr>
      <w:r>
        <w:rPr>
          <w:rFonts w:hint="eastAsia" w:ascii="仿宋_GB2312" w:eastAsia="仿宋_GB2312"/>
          <w:color w:val="000000"/>
          <w:sz w:val="32"/>
          <w:szCs w:val="32"/>
        </w:rPr>
        <w:t>11农林水（类）03（款）06（项）：指水利系统用于江、河、湖、滩等治理工程运行与维护方面的支出，以及纳入预算管理的水利工程管理单位的支出。</w:t>
      </w:r>
    </w:p>
    <w:p w14:paraId="3AE287D5">
      <w:pPr>
        <w:ind w:firstLine="640" w:firstLineChars="200"/>
        <w:rPr>
          <w:rFonts w:ascii="仿宋_GB2312" w:eastAsia="仿宋_GB2312"/>
          <w:color w:val="000000"/>
          <w:sz w:val="32"/>
          <w:szCs w:val="32"/>
        </w:rPr>
      </w:pPr>
      <w:r>
        <w:rPr>
          <w:rFonts w:hint="eastAsia" w:ascii="仿宋_GB2312" w:eastAsia="仿宋_GB2312"/>
          <w:color w:val="000000"/>
          <w:sz w:val="32"/>
          <w:szCs w:val="32"/>
        </w:rPr>
        <w:t>12农林水（类）03（款）08（项）：指水利规划、勘测、设计、科研及相关管理办法编制、资料整编、设备购置等基础性前期工作的支出。</w:t>
      </w:r>
    </w:p>
    <w:p w14:paraId="761BC2D9">
      <w:pPr>
        <w:ind w:firstLine="640" w:firstLineChars="200"/>
        <w:rPr>
          <w:rFonts w:ascii="仿宋_GB2312" w:eastAsia="仿宋_GB2312"/>
          <w:color w:val="000000"/>
          <w:sz w:val="32"/>
          <w:szCs w:val="32"/>
        </w:rPr>
      </w:pPr>
      <w:r>
        <w:rPr>
          <w:rFonts w:hint="eastAsia" w:ascii="仿宋_GB2312" w:eastAsia="仿宋_GB2312"/>
          <w:color w:val="000000"/>
          <w:sz w:val="32"/>
          <w:szCs w:val="32"/>
        </w:rPr>
        <w:t>13农林水（类）03（款）09（项）：指水利系统纳入预算管理的事业单位开展</w:t>
      </w:r>
      <w:r>
        <w:rPr>
          <w:rFonts w:hint="eastAsia" w:ascii="仿宋_GB2312" w:eastAsia="仿宋_GB2312"/>
          <w:color w:val="000000"/>
          <w:sz w:val="32"/>
          <w:szCs w:val="32"/>
          <w:lang w:eastAsia="zh-CN"/>
        </w:rPr>
        <w:t>水行政执法</w:t>
      </w:r>
      <w:r>
        <w:rPr>
          <w:rFonts w:hint="eastAsia" w:ascii="仿宋_GB2312" w:eastAsia="仿宋_GB2312"/>
          <w:color w:val="000000"/>
          <w:sz w:val="32"/>
          <w:szCs w:val="32"/>
        </w:rPr>
        <w:t>监督的支出。</w:t>
      </w:r>
    </w:p>
    <w:p w14:paraId="67DC051B">
      <w:pPr>
        <w:ind w:firstLine="640" w:firstLineChars="200"/>
        <w:rPr>
          <w:rFonts w:ascii="仿宋_GB2312" w:eastAsia="仿宋_GB2312"/>
          <w:color w:val="000000"/>
          <w:sz w:val="32"/>
          <w:szCs w:val="32"/>
        </w:rPr>
      </w:pPr>
      <w:r>
        <w:rPr>
          <w:rFonts w:hint="eastAsia" w:ascii="仿宋_GB2312" w:eastAsia="仿宋_GB2312"/>
          <w:color w:val="000000"/>
          <w:sz w:val="32"/>
          <w:szCs w:val="32"/>
        </w:rPr>
        <w:t>14农林水（类）03（款）10（项）：指水利系统纳入预算管理的水土保持事业单位的支出，包括规划制定和实施，治理、生态修复、预防监测、调查协调、综合治理、开发技术的示范、监督执法等支出以及水土保持生态工程措施和各项管理保护活动的支出。</w:t>
      </w:r>
    </w:p>
    <w:p w14:paraId="16350EB4">
      <w:pPr>
        <w:ind w:firstLine="640" w:firstLineChars="200"/>
        <w:rPr>
          <w:rFonts w:ascii="仿宋_GB2312" w:eastAsia="仿宋_GB2312"/>
          <w:color w:val="000000"/>
          <w:sz w:val="32"/>
          <w:szCs w:val="32"/>
        </w:rPr>
      </w:pPr>
      <w:r>
        <w:rPr>
          <w:rFonts w:hint="eastAsia" w:ascii="仿宋_GB2312" w:eastAsia="仿宋_GB2312"/>
          <w:color w:val="000000"/>
          <w:sz w:val="32"/>
          <w:szCs w:val="32"/>
        </w:rPr>
        <w:t>15农林水（类）03（款）12（项）：指水利系统纳入预算管理的水质监测事业单位的支出。有关事项包括水质监测仪器设备运行维护，水环境监测技术的研究、开发与推广，进行水样品采集、保存、运输、测试、化验、分析、资料整编、发布水质公报。</w:t>
      </w:r>
    </w:p>
    <w:p w14:paraId="41791C4E">
      <w:pPr>
        <w:ind w:firstLine="640" w:firstLineChars="200"/>
        <w:rPr>
          <w:rFonts w:ascii="仿宋_GB2312" w:eastAsia="仿宋_GB2312"/>
          <w:color w:val="000000"/>
          <w:sz w:val="32"/>
          <w:szCs w:val="32"/>
        </w:rPr>
      </w:pPr>
      <w:r>
        <w:rPr>
          <w:rFonts w:hint="eastAsia" w:ascii="仿宋_GB2312" w:eastAsia="仿宋_GB2312"/>
          <w:color w:val="000000"/>
          <w:sz w:val="32"/>
          <w:szCs w:val="32"/>
        </w:rPr>
        <w:t>16农林水（类）03（款）13（项）：指水利系统纳入预算管理的水文事业单位的支出。有关事项包括江、河、湖、库、滨海、区的水文测报，水文测验、水文情报预报、河道（淤积）监测，水文业务管理，水文水资源公报编制、水文资料整编及水文设施运行维护。</w:t>
      </w:r>
    </w:p>
    <w:p w14:paraId="54FFB99D">
      <w:pPr>
        <w:ind w:firstLine="640" w:firstLineChars="200"/>
        <w:rPr>
          <w:rFonts w:ascii="仿宋_GB2312" w:eastAsia="仿宋_GB2312"/>
          <w:color w:val="000000"/>
          <w:sz w:val="32"/>
          <w:szCs w:val="32"/>
        </w:rPr>
      </w:pPr>
      <w:r>
        <w:rPr>
          <w:rFonts w:hint="eastAsia" w:ascii="仿宋_GB2312" w:eastAsia="仿宋_GB2312"/>
          <w:color w:val="000000"/>
          <w:sz w:val="32"/>
          <w:szCs w:val="32"/>
        </w:rPr>
        <w:t>17农林水（类）03（款）14（项）：指防汛业务支出。有关事项包括防汛物资购置管护，防汛通信设施设备、网络系统、车船设备运行维护，防汛值班、水情报汛、防汛指挥系统运行维护、水毁修复以及防汛组织，汛期调用民工及劳动保护，水利设施灾后重建，退田还湖，蓄滞洪区补偿、水情、雨情、决策支持，防汛视频会商、应急度汛，山洪灾害防治等。</w:t>
      </w:r>
    </w:p>
    <w:p w14:paraId="1909FBD2">
      <w:pPr>
        <w:ind w:firstLine="640" w:firstLineChars="200"/>
        <w:rPr>
          <w:rFonts w:ascii="仿宋_GB2312" w:eastAsia="仿宋_GB2312"/>
          <w:color w:val="000000"/>
          <w:sz w:val="32"/>
          <w:szCs w:val="32"/>
        </w:rPr>
      </w:pPr>
      <w:r>
        <w:rPr>
          <w:rFonts w:hint="eastAsia" w:ascii="仿宋_GB2312" w:eastAsia="仿宋_GB2312"/>
          <w:color w:val="000000"/>
          <w:sz w:val="32"/>
          <w:szCs w:val="32"/>
        </w:rPr>
        <w:t>18农林水（类）03（款）15（项）：指抗旱业务支出。有关事项包括旱情监测及报旱，抗旱预案编制修订，抗旱物资购置管护，抗旱设施设备运行维护，抗旱应急水源建设以及对各级抗旱服务组织的补助等。</w:t>
      </w:r>
    </w:p>
    <w:p w14:paraId="0975CB8D">
      <w:pPr>
        <w:ind w:firstLine="640" w:firstLineChars="200"/>
        <w:rPr>
          <w:rFonts w:ascii="仿宋_GB2312" w:eastAsia="仿宋_GB2312"/>
          <w:color w:val="000000"/>
          <w:sz w:val="32"/>
          <w:szCs w:val="32"/>
        </w:rPr>
      </w:pPr>
      <w:r>
        <w:rPr>
          <w:rFonts w:hint="eastAsia" w:ascii="仿宋_GB2312" w:eastAsia="仿宋_GB2312"/>
          <w:color w:val="000000"/>
          <w:sz w:val="32"/>
          <w:szCs w:val="32"/>
        </w:rPr>
        <w:t>19农林水（类）03（款）16（项）：指国家对农田水利和打井、集雨设施、节水灌溉等水利设施的补助，小型水库除险补助以及排灌站、小水电站补助等。</w:t>
      </w:r>
    </w:p>
    <w:p w14:paraId="330049C7">
      <w:pPr>
        <w:ind w:firstLine="640" w:firstLineChars="200"/>
        <w:rPr>
          <w:rFonts w:ascii="仿宋_GB2312" w:eastAsia="仿宋_GB2312"/>
          <w:color w:val="000000"/>
          <w:sz w:val="32"/>
          <w:szCs w:val="32"/>
        </w:rPr>
      </w:pPr>
      <w:r>
        <w:rPr>
          <w:rFonts w:hint="eastAsia" w:ascii="仿宋_GB2312" w:eastAsia="仿宋_GB2312"/>
          <w:color w:val="000000"/>
          <w:sz w:val="32"/>
          <w:szCs w:val="32"/>
        </w:rPr>
        <w:t>20农林水（类）03（款）19（项）：指江河湖库水系综合整治方面的支出。有关事项包括中小河流治理、江河湖库水系连通等。</w:t>
      </w:r>
    </w:p>
    <w:p w14:paraId="10B4CDEE">
      <w:pPr>
        <w:ind w:firstLine="640" w:firstLineChars="200"/>
        <w:rPr>
          <w:rFonts w:ascii="仿宋_GB2312" w:eastAsia="仿宋_GB2312"/>
          <w:color w:val="000000"/>
          <w:sz w:val="32"/>
          <w:szCs w:val="32"/>
        </w:rPr>
      </w:pPr>
      <w:r>
        <w:rPr>
          <w:rFonts w:hint="eastAsia" w:ascii="仿宋_GB2312" w:eastAsia="仿宋_GB2312"/>
          <w:color w:val="000000"/>
          <w:sz w:val="32"/>
          <w:szCs w:val="32"/>
        </w:rPr>
        <w:t>21农林水（类）03（款）35（项）：指用于农村人畜饮水工程建设等方面的支出。</w:t>
      </w:r>
    </w:p>
    <w:p w14:paraId="45E035F5">
      <w:pPr>
        <w:ind w:firstLine="640" w:firstLineChars="200"/>
        <w:rPr>
          <w:rFonts w:ascii="仿宋_GB2312" w:eastAsia="仿宋_GB2312"/>
          <w:color w:val="000000"/>
          <w:sz w:val="32"/>
          <w:szCs w:val="32"/>
        </w:rPr>
      </w:pPr>
      <w:r>
        <w:rPr>
          <w:rFonts w:hint="eastAsia" w:ascii="仿宋_GB2312" w:eastAsia="仿宋_GB2312"/>
          <w:color w:val="000000"/>
          <w:sz w:val="32"/>
          <w:szCs w:val="32"/>
        </w:rPr>
        <w:t>22农林水（类）03（款）99（项）：指除上述项目以外其他用于水利方面的支出。</w:t>
      </w:r>
    </w:p>
    <w:p w14:paraId="7E1898FE">
      <w:pPr>
        <w:ind w:firstLine="640" w:firstLineChars="200"/>
        <w:rPr>
          <w:rFonts w:ascii="仿宋_GB2312" w:eastAsia="仿宋_GB2312"/>
          <w:color w:val="000000"/>
          <w:sz w:val="32"/>
          <w:szCs w:val="32"/>
        </w:rPr>
      </w:pPr>
      <w:r>
        <w:rPr>
          <w:rFonts w:hint="eastAsia" w:ascii="仿宋_GB2312" w:eastAsia="仿宋_GB2312"/>
          <w:color w:val="000000"/>
          <w:sz w:val="32"/>
          <w:szCs w:val="32"/>
        </w:rPr>
        <w:t>23农林水（类）05（款）05（项）：指用于农村贫困地区发展种植业、养殖业、畜牧业、农副产品加工、林果地建设等生产发展项目以及相关技术推广等方面的项目支出。</w:t>
      </w:r>
    </w:p>
    <w:p w14:paraId="3AA6139D">
      <w:pPr>
        <w:ind w:firstLine="640" w:firstLineChars="200"/>
        <w:rPr>
          <w:rFonts w:ascii="仿宋_GB2312" w:eastAsia="仿宋_GB2312"/>
          <w:color w:val="000000"/>
          <w:sz w:val="32"/>
          <w:szCs w:val="32"/>
        </w:rPr>
      </w:pPr>
      <w:r>
        <w:rPr>
          <w:rFonts w:hint="eastAsia" w:ascii="仿宋_GB2312" w:eastAsia="仿宋_GB2312"/>
          <w:color w:val="000000"/>
          <w:sz w:val="32"/>
          <w:szCs w:val="32"/>
        </w:rPr>
        <w:t>24农林水（类）05（款）99（项）：指除上述项目以为其他用于扶贫方面的支出。</w:t>
      </w:r>
    </w:p>
    <w:p w14:paraId="328083AD">
      <w:pPr>
        <w:ind w:firstLine="640" w:firstLineChars="200"/>
        <w:rPr>
          <w:rFonts w:ascii="仿宋_GB2312" w:eastAsia="仿宋_GB2312"/>
          <w:color w:val="000000"/>
          <w:sz w:val="32"/>
          <w:szCs w:val="32"/>
        </w:rPr>
      </w:pPr>
      <w:r>
        <w:rPr>
          <w:rFonts w:hint="eastAsia" w:ascii="仿宋_GB2312" w:eastAsia="仿宋_GB2312"/>
          <w:color w:val="000000"/>
          <w:sz w:val="32"/>
          <w:szCs w:val="32"/>
        </w:rPr>
        <w:t>25一般公共服务（类）04（款）02（项）：指行政单位（包括实行公务员管理的事业单位）未单独设置项级科目的其他项目支出。</w:t>
      </w:r>
    </w:p>
    <w:p w14:paraId="7D793B0F">
      <w:pPr>
        <w:ind w:firstLine="640" w:firstLineChars="200"/>
        <w:rPr>
          <w:rFonts w:ascii="仿宋_GB2312" w:eastAsia="仿宋_GB2312"/>
          <w:color w:val="000000"/>
          <w:sz w:val="32"/>
          <w:szCs w:val="32"/>
        </w:rPr>
      </w:pPr>
      <w:r>
        <w:rPr>
          <w:rFonts w:hint="eastAsia" w:ascii="仿宋_GB2312" w:eastAsia="仿宋_GB2312"/>
          <w:color w:val="000000"/>
          <w:sz w:val="32"/>
          <w:szCs w:val="32"/>
        </w:rPr>
        <w:t>26社会保障和就业（类）05（款）05（项）：指机关事业单位实施保险制度由单位缴纳的基本养老保险支出。</w:t>
      </w:r>
    </w:p>
    <w:p w14:paraId="595D1961">
      <w:pPr>
        <w:ind w:firstLine="640" w:firstLineChars="200"/>
        <w:rPr>
          <w:rFonts w:ascii="仿宋_GB2312" w:eastAsia="仿宋_GB2312"/>
          <w:color w:val="000000"/>
          <w:sz w:val="32"/>
          <w:szCs w:val="32"/>
        </w:rPr>
      </w:pPr>
      <w:r>
        <w:rPr>
          <w:rFonts w:hint="eastAsia" w:ascii="仿宋_GB2312" w:eastAsia="仿宋_GB2312"/>
          <w:color w:val="000000"/>
          <w:sz w:val="32"/>
          <w:szCs w:val="32"/>
        </w:rPr>
        <w:t>27社会保障和就业（类）05（款）06（项）：指机关事业单位实施保险制度由单位实际缴纳的职业年金支出。</w:t>
      </w:r>
    </w:p>
    <w:p w14:paraId="0BD46788">
      <w:pPr>
        <w:ind w:firstLine="640" w:firstLineChars="200"/>
        <w:rPr>
          <w:rFonts w:ascii="仿宋_GB2312" w:eastAsia="仿宋_GB2312"/>
          <w:color w:val="000000"/>
          <w:sz w:val="32"/>
          <w:szCs w:val="32"/>
        </w:rPr>
      </w:pPr>
      <w:r>
        <w:rPr>
          <w:rFonts w:hint="eastAsia" w:ascii="仿宋_GB2312" w:eastAsia="仿宋_GB2312"/>
          <w:color w:val="000000"/>
          <w:sz w:val="32"/>
          <w:szCs w:val="32"/>
        </w:rPr>
        <w:t>28死亡抚恤（类）08（款）01（项）：指按规定用于烈士和牺牲、病故人员家属的一次性和定期抚恤金以及丧葬补助费。</w:t>
      </w:r>
    </w:p>
    <w:p w14:paraId="16B2E281">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4F0376C2">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3E749A4A">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30</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57500E2D">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E09E639">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9895308">
      <w:pPr>
        <w:spacing w:line="600" w:lineRule="exact"/>
        <w:jc w:val="center"/>
        <w:outlineLvl w:val="0"/>
        <w:rPr>
          <w:rStyle w:val="27"/>
          <w:rFonts w:hint="eastAsia" w:ascii="黑体" w:hAnsi="黑体" w:eastAsia="黑体"/>
          <w:b w:val="0"/>
          <w:color w:val="auto"/>
          <w:highlight w:val="none"/>
          <w:lang w:eastAsia="zh-CN"/>
        </w:rPr>
      </w:pPr>
      <w:bookmarkStart w:id="57" w:name="_Toc15377226"/>
      <w:r>
        <w:rPr>
          <w:rFonts w:ascii="宋体"/>
          <w:b/>
          <w:color w:val="auto"/>
          <w:sz w:val="44"/>
          <w:szCs w:val="44"/>
          <w:highlight w:val="none"/>
        </w:rPr>
        <w:br w:type="page"/>
      </w:r>
      <w:bookmarkStart w:id="58" w:name="_Toc15396614"/>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四部分 附件</w:t>
      </w:r>
      <w:bookmarkEnd w:id="58"/>
    </w:p>
    <w:p w14:paraId="7927B13B">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r>
        <w:rPr>
          <w:rFonts w:hint="eastAsia" w:ascii="黑体" w:hAnsi="黑体" w:eastAsia="黑体" w:cs="黑体"/>
          <w:color w:val="auto"/>
          <w:sz w:val="32"/>
          <w:szCs w:val="32"/>
          <w:highlight w:val="none"/>
        </w:rPr>
        <w:t>附件</w:t>
      </w:r>
    </w:p>
    <w:p w14:paraId="65AAAB7A">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rPr>
        <w:t>202</w:t>
      </w:r>
      <w:r>
        <w:rPr>
          <w:rFonts w:hint="eastAsia" w:ascii="方正小标宋简体" w:hAnsi="宋体" w:eastAsia="方正小标宋简体"/>
          <w:color w:val="auto"/>
          <w:kern w:val="0"/>
          <w:sz w:val="40"/>
          <w:szCs w:val="44"/>
          <w:highlight w:val="none"/>
          <w:lang w:val="en-US" w:eastAsia="zh-CN"/>
        </w:rPr>
        <w:t>1</w:t>
      </w:r>
      <w:r>
        <w:rPr>
          <w:rFonts w:hint="eastAsia" w:ascii="方正小标宋简体" w:hAnsi="宋体" w:eastAsia="方正小标宋简体"/>
          <w:color w:val="auto"/>
          <w:kern w:val="0"/>
          <w:sz w:val="40"/>
          <w:szCs w:val="44"/>
          <w:highlight w:val="none"/>
        </w:rPr>
        <w:t>年</w:t>
      </w:r>
      <w:r>
        <w:rPr>
          <w:rFonts w:hint="eastAsia" w:ascii="方正小标宋简体" w:hAnsi="宋体" w:eastAsia="方正小标宋简体"/>
          <w:color w:val="auto"/>
          <w:kern w:val="0"/>
          <w:sz w:val="40"/>
          <w:szCs w:val="44"/>
          <w:highlight w:val="none"/>
          <w:lang w:eastAsia="zh-CN"/>
        </w:rPr>
        <w:t>水务局</w:t>
      </w:r>
      <w:r>
        <w:rPr>
          <w:rFonts w:hint="eastAsia" w:ascii="方正小标宋简体" w:hAnsi="宋体" w:eastAsia="方正小标宋简体"/>
          <w:color w:val="auto"/>
          <w:kern w:val="0"/>
          <w:sz w:val="40"/>
          <w:szCs w:val="44"/>
          <w:highlight w:val="none"/>
        </w:rPr>
        <w:t>部门整体绩效评价报告</w:t>
      </w:r>
    </w:p>
    <w:p w14:paraId="2AFF9CF7">
      <w:pPr>
        <w:keepNext w:val="0"/>
        <w:keepLines w:val="0"/>
        <w:pageBreakBefore w:val="0"/>
        <w:widowControl/>
        <w:kinsoku/>
        <w:wordWrap/>
        <w:overflowPunct/>
        <w:topLinePunct w:val="0"/>
        <w:autoSpaceDE/>
        <w:autoSpaceDN/>
        <w:bidi w:val="0"/>
        <w:spacing w:line="572" w:lineRule="exact"/>
        <w:ind w:firstLine="640" w:firstLineChars="200"/>
        <w:contextualSpacing/>
        <w:jc w:val="center"/>
        <w:textAlignment w:val="auto"/>
        <w:rPr>
          <w:rFonts w:ascii="仿宋_GB2312" w:hAnsi="宋体" w:eastAsia="仿宋_GB2312"/>
          <w:color w:val="auto"/>
          <w:sz w:val="32"/>
          <w:szCs w:val="32"/>
          <w:highlight w:val="none"/>
          <w:shd w:val="clear" w:color="auto" w:fill="FFFFFF"/>
        </w:rPr>
      </w:pPr>
      <w:r>
        <w:rPr>
          <w:rFonts w:hint="eastAsia" w:ascii="仿宋_GB2312" w:hAnsi="宋体" w:eastAsia="仿宋_GB2312"/>
          <w:color w:val="auto"/>
          <w:sz w:val="32"/>
          <w:szCs w:val="32"/>
          <w:highlight w:val="none"/>
          <w:shd w:val="clear" w:color="auto" w:fill="FFFFFF"/>
        </w:rPr>
        <w:t>（报告范围包括机关和下属单位）</w:t>
      </w:r>
    </w:p>
    <w:p w14:paraId="59D6C7BE">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14:paraId="6F8C4E8E">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r>
        <w:rPr>
          <w:rFonts w:hint="eastAsia" w:ascii="仿宋_GB2312" w:hAnsi="宋体" w:eastAsia="仿宋_GB2312" w:cs="宋体"/>
          <w:color w:val="000000"/>
          <w:kern w:val="0"/>
          <w:sz w:val="32"/>
          <w:szCs w:val="32"/>
          <w:shd w:val="clear" w:color="auto" w:fill="FFFFFF"/>
        </w:rPr>
        <w:t>沐川县水务局是县政府行政序列部门，内设办公室、水利股，下设水务综合监察执法大队1个参公单位和水利技术服务中心1个事业单位。</w:t>
      </w:r>
    </w:p>
    <w:p w14:paraId="61152D28">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（二）机构职能。</w:t>
      </w:r>
      <w:r>
        <w:rPr>
          <w:rFonts w:hint="eastAsia" w:ascii="仿宋" w:hAnsi="仿宋" w:eastAsia="仿宋"/>
          <w:bCs/>
          <w:color w:val="000000"/>
          <w:sz w:val="32"/>
          <w:szCs w:val="32"/>
        </w:rPr>
        <w:t>负责编制组织实施水务行业综合发展计划和专项规划，协调流城开发工作。指导基本水利建设管理，负责行业监督管理，监督指导在建与建成水利工程质量与安全。组织制定水土保持规划并组织实施，审批县级生产建设项目水土保持方案实施的监督管理、水土保持设施验收备案工作，征收水土保持补偿费工作。组织编制洪水</w:t>
      </w:r>
      <w:r>
        <w:rPr>
          <w:rFonts w:hint="eastAsia" w:ascii="仿宋" w:hAnsi="仿宋" w:eastAsia="仿宋"/>
          <w:bCs/>
          <w:color w:val="000000"/>
          <w:sz w:val="32"/>
          <w:szCs w:val="32"/>
          <w:lang w:eastAsia="zh-CN"/>
        </w:rPr>
        <w:t>干旱</w:t>
      </w:r>
      <w:r>
        <w:rPr>
          <w:rFonts w:hint="eastAsia" w:ascii="仿宋" w:hAnsi="仿宋" w:eastAsia="仿宋"/>
          <w:bCs/>
          <w:color w:val="000000"/>
          <w:sz w:val="32"/>
          <w:szCs w:val="32"/>
        </w:rPr>
        <w:t>灾害防御规划，防护标准并指导实施，承担防御洪水应急抢险的技术支撑工作。指导全县水资源统一规划、管理、配置、节约和保护工作。负责全县水政监察工作、河道采砂监督管理，推进落实“河湖长制”工作。</w:t>
      </w:r>
    </w:p>
    <w:p w14:paraId="0AD58FF3">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r>
        <w:rPr>
          <w:rFonts w:hint="eastAsia" w:ascii="仿宋_GB2312" w:hAnsi="宋体" w:eastAsia="仿宋_GB2312" w:cs="宋体"/>
          <w:color w:val="000000"/>
          <w:kern w:val="0"/>
          <w:sz w:val="32"/>
          <w:szCs w:val="32"/>
          <w:shd w:val="clear" w:color="auto" w:fill="FFFFFF"/>
        </w:rPr>
        <w:t>局机关现有行政人员</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rPr>
        <w:t>名（核编6名），参公管理事业人员</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rPr>
        <w:t>名（核编8名），财政全额拨款事业人员</w:t>
      </w:r>
      <w:r>
        <w:rPr>
          <w:rFonts w:hint="eastAsia" w:ascii="仿宋_GB2312" w:hAnsi="宋体" w:eastAsia="仿宋_GB2312" w:cs="宋体"/>
          <w:color w:val="000000"/>
          <w:kern w:val="0"/>
          <w:sz w:val="32"/>
          <w:szCs w:val="32"/>
          <w:shd w:val="clear" w:color="auto" w:fill="FFFFFF"/>
          <w:lang w:val="en-US" w:eastAsia="zh-CN"/>
        </w:rPr>
        <w:t>24</w:t>
      </w:r>
      <w:r>
        <w:rPr>
          <w:rFonts w:hint="eastAsia" w:ascii="仿宋_GB2312" w:hAnsi="宋体" w:eastAsia="仿宋_GB2312" w:cs="宋体"/>
          <w:color w:val="000000"/>
          <w:kern w:val="0"/>
          <w:sz w:val="32"/>
          <w:szCs w:val="32"/>
          <w:shd w:val="clear" w:color="auto" w:fill="FFFFFF"/>
        </w:rPr>
        <w:t>名（核编25名）。</w:t>
      </w:r>
      <w:r>
        <w:rPr>
          <w:rFonts w:ascii="楷体_GB2312" w:hAnsi="宋体" w:eastAsia="楷体_GB2312" w:cs="宋体"/>
          <w:color w:val="000000"/>
          <w:kern w:val="0"/>
          <w:szCs w:val="32"/>
          <w:shd w:val="clear" w:color="auto" w:fill="FFFFFF"/>
          <w:lang w:val="zh-CN"/>
        </w:rPr>
        <w:tab/>
      </w:r>
    </w:p>
    <w:p w14:paraId="2A75A24B">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p>
    <w:p w14:paraId="5D8DDC01">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14:paraId="242D7FA0">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r>
        <w:rPr>
          <w:rFonts w:hint="eastAsia" w:ascii="仿宋_GB2312" w:hAnsi="仿宋" w:eastAsia="仿宋_GB2312"/>
          <w:sz w:val="32"/>
          <w:szCs w:val="32"/>
        </w:rPr>
        <w:t>财政拨款收入总计4875.51万元，其中一般公共财政预算拨款3432.73万元</w:t>
      </w:r>
      <w:r>
        <w:rPr>
          <w:rFonts w:hint="eastAsia" w:ascii="仿宋_GB2312" w:hAnsi="仿宋" w:eastAsia="仿宋_GB2312"/>
          <w:sz w:val="32"/>
          <w:szCs w:val="32"/>
          <w:lang w:eastAsia="zh-CN"/>
        </w:rPr>
        <w:t>，占</w:t>
      </w:r>
      <w:r>
        <w:rPr>
          <w:rFonts w:hint="eastAsia" w:ascii="仿宋_GB2312" w:hAnsi="仿宋" w:eastAsia="仿宋_GB2312"/>
          <w:sz w:val="32"/>
          <w:szCs w:val="32"/>
          <w:lang w:val="en-US" w:eastAsia="zh-CN"/>
        </w:rPr>
        <w:t>70.41%。</w:t>
      </w:r>
    </w:p>
    <w:p w14:paraId="2F7D8613">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（二）部门财政资金支出情况。</w:t>
      </w:r>
      <w:r>
        <w:rPr>
          <w:rFonts w:hint="eastAsia" w:ascii="仿宋_GB2312" w:hAnsi="仿宋" w:eastAsia="仿宋_GB2312"/>
          <w:sz w:val="32"/>
          <w:szCs w:val="32"/>
        </w:rPr>
        <w:t>财政拨款支出总计4875.51万元，其中基本支出730.98万元，项目支出3568.61万元，年末结转575.92万元。</w:t>
      </w:r>
    </w:p>
    <w:p w14:paraId="6084D006">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p>
    <w:p w14:paraId="2CD75A1E">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黑体" w:hAnsi="宋体" w:eastAsia="黑体" w:cs="宋体"/>
          <w:color w:val="auto"/>
          <w:kern w:val="0"/>
          <w:sz w:val="32"/>
          <w:szCs w:val="32"/>
          <w:highlight w:val="none"/>
          <w:u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p>
    <w:p w14:paraId="48466755">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（一）部门预算项目绩效管理。</w:t>
      </w:r>
    </w:p>
    <w:p w14:paraId="3F644B65">
      <w:pPr>
        <w:widowControl/>
        <w:adjustRightInd w:val="0"/>
        <w:snapToGrid w:val="0"/>
        <w:spacing w:line="580" w:lineRule="exact"/>
        <w:ind w:firstLine="640" w:firstLineChars="200"/>
        <w:contextualSpacing/>
        <w:jc w:val="left"/>
        <w:rPr>
          <w:rFonts w:hint="eastAsia" w:ascii="仿宋" w:hAnsi="仿宋" w:eastAsia="仿宋" w:cs="宋体"/>
          <w:color w:val="000000"/>
          <w:kern w:val="0"/>
          <w:sz w:val="32"/>
          <w:szCs w:val="32"/>
          <w:lang w:val="zh-CN" w:eastAsia="zh-CN"/>
        </w:rPr>
      </w:pPr>
      <w:r>
        <w:rPr>
          <w:rFonts w:hint="eastAsia" w:ascii="仿宋_GB2312" w:hAnsi="宋体" w:eastAsia="仿宋_GB2312" w:cs="宋体"/>
          <w:color w:val="000000"/>
          <w:kern w:val="0"/>
          <w:sz w:val="32"/>
          <w:szCs w:val="32"/>
          <w:shd w:val="clear" w:color="auto" w:fill="FFFFFF"/>
          <w:lang w:val="en-US" w:eastAsia="zh-CN"/>
        </w:rPr>
        <w:t>1、部门预算管理。</w:t>
      </w:r>
      <w:r>
        <w:rPr>
          <w:rFonts w:hint="eastAsia"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rPr>
        <w:t>年年初部门预算</w:t>
      </w:r>
      <w:r>
        <w:rPr>
          <w:rFonts w:hint="eastAsia" w:ascii="仿宋_GB2312" w:hAnsi="宋体" w:eastAsia="仿宋_GB2312" w:cs="宋体"/>
          <w:color w:val="000000"/>
          <w:kern w:val="0"/>
          <w:sz w:val="32"/>
          <w:szCs w:val="32"/>
          <w:shd w:val="clear" w:color="auto" w:fill="FFFFFF"/>
          <w:lang w:val="en-US" w:eastAsia="zh-CN"/>
        </w:rPr>
        <w:t>622.58</w:t>
      </w:r>
      <w:r>
        <w:rPr>
          <w:rFonts w:hint="eastAsia" w:ascii="仿宋_GB2312" w:hAnsi="宋体" w:eastAsia="仿宋_GB2312" w:cs="宋体"/>
          <w:color w:val="000000"/>
          <w:kern w:val="0"/>
          <w:sz w:val="32"/>
          <w:szCs w:val="32"/>
          <w:shd w:val="clear" w:color="auto" w:fill="FFFFFF"/>
        </w:rPr>
        <w:t>万元。其中：基本支出</w:t>
      </w:r>
      <w:r>
        <w:rPr>
          <w:rFonts w:hint="eastAsia" w:ascii="仿宋_GB2312" w:hAnsi="宋体" w:eastAsia="仿宋_GB2312" w:cs="宋体"/>
          <w:color w:val="000000"/>
          <w:kern w:val="0"/>
          <w:sz w:val="32"/>
          <w:szCs w:val="32"/>
          <w:shd w:val="clear" w:color="auto" w:fill="FFFFFF"/>
          <w:lang w:val="en-US" w:eastAsia="zh-CN"/>
        </w:rPr>
        <w:t>502.78</w:t>
      </w:r>
      <w:r>
        <w:rPr>
          <w:rFonts w:hint="eastAsia" w:ascii="仿宋_GB2312" w:hAnsi="宋体" w:eastAsia="仿宋_GB2312" w:cs="宋体"/>
          <w:color w:val="000000"/>
          <w:kern w:val="0"/>
          <w:sz w:val="32"/>
          <w:szCs w:val="32"/>
          <w:shd w:val="clear" w:color="auto" w:fill="FFFFFF"/>
        </w:rPr>
        <w:t>万元，项目支出</w:t>
      </w:r>
      <w:r>
        <w:rPr>
          <w:rFonts w:hint="eastAsia" w:ascii="仿宋_GB2312" w:hAnsi="宋体" w:eastAsia="仿宋_GB2312" w:cs="宋体"/>
          <w:color w:val="000000"/>
          <w:kern w:val="0"/>
          <w:sz w:val="32"/>
          <w:szCs w:val="32"/>
          <w:shd w:val="clear" w:color="auto" w:fill="FFFFFF"/>
          <w:lang w:val="en-US" w:eastAsia="zh-CN"/>
        </w:rPr>
        <w:t>119.8</w:t>
      </w:r>
      <w:r>
        <w:rPr>
          <w:rFonts w:hint="eastAsia" w:ascii="仿宋_GB2312" w:hAnsi="宋体" w:eastAsia="仿宋_GB2312" w:cs="宋体"/>
          <w:color w:val="000000"/>
          <w:kern w:val="0"/>
          <w:sz w:val="32"/>
          <w:szCs w:val="32"/>
          <w:shd w:val="clear" w:color="auto" w:fill="FFFFFF"/>
        </w:rPr>
        <w:t>万元。预算编制准确，部门整体绩效目标编制完整、合理，项目绩效目标编制明确、量化。</w:t>
      </w:r>
      <w:r>
        <w:rPr>
          <w:rFonts w:ascii="仿宋" w:hAnsi="仿宋" w:eastAsia="仿宋" w:cs="宋体"/>
          <w:kern w:val="0"/>
          <w:sz w:val="32"/>
          <w:szCs w:val="32"/>
        </w:rPr>
        <w:t>20</w:t>
      </w:r>
      <w:r>
        <w:rPr>
          <w:rFonts w:hint="eastAsia" w:ascii="仿宋" w:hAnsi="仿宋" w:eastAsia="仿宋" w:cs="宋体"/>
          <w:kern w:val="0"/>
          <w:sz w:val="32"/>
          <w:szCs w:val="32"/>
          <w:lang w:val="en-US" w:eastAsia="zh-CN"/>
        </w:rPr>
        <w:t>21</w:t>
      </w:r>
      <w:r>
        <w:rPr>
          <w:rFonts w:hint="eastAsia" w:ascii="仿宋" w:hAnsi="仿宋" w:eastAsia="仿宋" w:cs="宋体"/>
          <w:kern w:val="0"/>
          <w:sz w:val="32"/>
          <w:szCs w:val="32"/>
        </w:rPr>
        <w:t>年本年支出合计</w:t>
      </w:r>
      <w:r>
        <w:rPr>
          <w:rFonts w:hint="eastAsia" w:ascii="仿宋" w:hAnsi="仿宋" w:eastAsia="仿宋" w:cs="宋体"/>
          <w:kern w:val="0"/>
          <w:sz w:val="32"/>
          <w:szCs w:val="32"/>
          <w:lang w:val="en-US" w:eastAsia="zh-CN"/>
        </w:rPr>
        <w:t>604.46</w:t>
      </w:r>
      <w:r>
        <w:rPr>
          <w:rFonts w:hint="eastAsia" w:ascii="仿宋" w:hAnsi="仿宋" w:eastAsia="仿宋" w:cs="宋体"/>
          <w:kern w:val="0"/>
          <w:sz w:val="32"/>
          <w:szCs w:val="32"/>
        </w:rPr>
        <w:t>万元，其中：基本支出</w:t>
      </w:r>
      <w:r>
        <w:rPr>
          <w:rFonts w:hint="eastAsia" w:ascii="仿宋" w:hAnsi="仿宋" w:eastAsia="仿宋" w:cs="宋体"/>
          <w:kern w:val="0"/>
          <w:sz w:val="32"/>
          <w:szCs w:val="32"/>
          <w:lang w:val="en-US" w:eastAsia="zh-CN"/>
        </w:rPr>
        <w:t>502.78</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项目支出</w:t>
      </w:r>
      <w:r>
        <w:rPr>
          <w:rFonts w:hint="eastAsia" w:ascii="仿宋" w:hAnsi="仿宋" w:eastAsia="仿宋" w:cs="宋体"/>
          <w:kern w:val="0"/>
          <w:sz w:val="32"/>
          <w:szCs w:val="32"/>
          <w:lang w:val="en-US" w:eastAsia="zh-CN"/>
        </w:rPr>
        <w:t>101.68</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减少</w:t>
      </w:r>
      <w:r>
        <w:rPr>
          <w:rFonts w:hint="eastAsia" w:ascii="仿宋" w:hAnsi="仿宋" w:eastAsia="仿宋" w:cs="宋体"/>
          <w:color w:val="000000"/>
          <w:kern w:val="0"/>
          <w:sz w:val="32"/>
          <w:szCs w:val="32"/>
          <w:lang w:val="zh-CN"/>
        </w:rPr>
        <w:t>主要变动原因是</w:t>
      </w:r>
      <w:r>
        <w:rPr>
          <w:rFonts w:hint="eastAsia" w:ascii="仿宋" w:hAnsi="仿宋" w:eastAsia="仿宋" w:cs="宋体"/>
          <w:color w:val="000000"/>
          <w:kern w:val="0"/>
          <w:sz w:val="32"/>
          <w:szCs w:val="32"/>
          <w:lang w:val="zh-CN" w:eastAsia="zh-CN"/>
        </w:rPr>
        <w:t>山洪灾害非工程措施项目运行维护经费资金来源改为2021年中央和省级水利发展资金（川财农【2020】167号），导致县级预算资金有剩余。</w:t>
      </w:r>
    </w:p>
    <w:p w14:paraId="3496CB3A">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en-US" w:eastAsia="zh-CN"/>
        </w:rPr>
      </w:pPr>
      <w:r>
        <w:rPr>
          <w:rFonts w:hint="eastAsia" w:ascii="仿宋_GB2312" w:hAnsi="宋体" w:eastAsia="仿宋_GB2312" w:cs="宋体"/>
          <w:color w:val="auto"/>
          <w:kern w:val="0"/>
          <w:sz w:val="32"/>
          <w:szCs w:val="32"/>
          <w:highlight w:val="none"/>
          <w:shd w:val="clear" w:color="auto" w:fill="FFFFFF"/>
          <w:lang w:val="en-US" w:eastAsia="zh-CN"/>
        </w:rPr>
        <w:t>2、项目预算管理。</w:t>
      </w:r>
    </w:p>
    <w:p w14:paraId="0678D0C5">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color w:val="auto"/>
          <w:kern w:val="0"/>
          <w:sz w:val="32"/>
          <w:szCs w:val="32"/>
          <w:highlight w:val="none"/>
          <w:shd w:val="clear" w:color="auto" w:fill="FFFFFF"/>
          <w:lang w:val="en-US" w:eastAsia="zh-CN"/>
        </w:rPr>
        <w:t>（1）马边河舟坝黄丹库区水面漂浮物清理打捞社会会服务资金用于马边河舟坝、黄丹两个库区内水面漂浮物打捞、运输、处理。通过实施项目达到马边河舟坝黄丹库区水面无漂</w:t>
      </w:r>
      <w:r>
        <w:rPr>
          <w:rFonts w:hint="eastAsia" w:ascii="仿宋_GB2312" w:hAnsi="宋体" w:eastAsia="仿宋_GB2312" w:cs="宋体"/>
          <w:b w:val="0"/>
          <w:bCs w:val="0"/>
          <w:color w:val="000000"/>
          <w:kern w:val="0"/>
          <w:sz w:val="32"/>
          <w:szCs w:val="32"/>
          <w:shd w:val="clear" w:color="auto" w:fill="FFFFFF"/>
          <w:lang w:val="en-US" w:eastAsia="zh-CN" w:bidi="ar-SA"/>
        </w:rPr>
        <w:t>浮垃圾，水面清洁，水质良好，每周清理两次以上，水环境质量全面改善。</w:t>
      </w:r>
    </w:p>
    <w:p w14:paraId="7F7E96B9">
      <w:pPr>
        <w:ind w:firstLine="640" w:firstLineChars="200"/>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b w:val="0"/>
          <w:bCs w:val="0"/>
          <w:color w:val="000000"/>
          <w:kern w:val="0"/>
          <w:sz w:val="32"/>
          <w:szCs w:val="32"/>
          <w:shd w:val="clear" w:color="auto" w:fill="FFFFFF"/>
          <w:lang w:val="en-US" w:eastAsia="zh-CN" w:bidi="ar-SA"/>
        </w:rPr>
        <w:t>（2）“河长制”工作经费用于宣传资料印制，标语、标志牌制作安装等。“河长制”工作经费项目推迟到2022年实施。</w:t>
      </w:r>
    </w:p>
    <w:p w14:paraId="6D72189A">
      <w:pPr>
        <w:ind w:firstLine="640" w:firstLineChars="200"/>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b w:val="0"/>
          <w:bCs w:val="0"/>
          <w:color w:val="000000"/>
          <w:kern w:val="0"/>
          <w:sz w:val="32"/>
          <w:szCs w:val="32"/>
          <w:shd w:val="clear" w:color="auto" w:fill="FFFFFF"/>
          <w:lang w:val="en-US" w:eastAsia="zh-CN" w:bidi="ar-SA"/>
        </w:rPr>
        <w:t>（3）生产建设项目水土保持“天地一体化”监管技术服务费用于通过“天地一体化”监管手段，结合现场调查，对生产建设项目是否合规进行监督、管理。通过实施项目提高我县生产建设项目水土保持监督管理水平，实现生产建设项目水土保持全覆盖。</w:t>
      </w:r>
    </w:p>
    <w:p w14:paraId="28238313">
      <w:pPr>
        <w:ind w:firstLine="640" w:firstLineChars="200"/>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b w:val="0"/>
          <w:bCs w:val="0"/>
          <w:color w:val="000000"/>
          <w:kern w:val="0"/>
          <w:sz w:val="32"/>
          <w:szCs w:val="32"/>
          <w:shd w:val="clear" w:color="auto" w:fill="FFFFFF"/>
          <w:lang w:val="en-US" w:eastAsia="zh-CN" w:bidi="ar-SA"/>
        </w:rPr>
        <w:t>（4）小二型水库管理人员费用主要用于乡镇11座小（二）型水库管理人员工资、通讯费、交通费、培训费等支出。通过项目实施进一步加大水库安全管理力度，确保水库安全运行。</w:t>
      </w:r>
    </w:p>
    <w:p w14:paraId="77252EB0">
      <w:pPr>
        <w:ind w:firstLine="640" w:firstLineChars="200"/>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b w:val="0"/>
          <w:bCs w:val="0"/>
          <w:color w:val="000000"/>
          <w:kern w:val="0"/>
          <w:sz w:val="32"/>
          <w:szCs w:val="32"/>
          <w:shd w:val="clear" w:color="auto" w:fill="FFFFFF"/>
          <w:lang w:val="en-US" w:eastAsia="zh-CN" w:bidi="ar-SA"/>
        </w:rPr>
        <w:t>（5）水质监测专项资金主要用于全县22个取水点的水质检测费用。通过项目实施保证水质安全、卫生，符合饮用水标准，确保居民饮用水安全。</w:t>
      </w:r>
    </w:p>
    <w:p w14:paraId="78418E99">
      <w:pPr>
        <w:ind w:firstLine="640" w:firstLineChars="200"/>
        <w:rPr>
          <w:rFonts w:hint="eastAsia" w:ascii="仿宋_GB2312" w:hAnsi="宋体" w:eastAsia="仿宋_GB2312" w:cs="宋体"/>
          <w:b w:val="0"/>
          <w:bCs w:val="0"/>
          <w:color w:val="000000"/>
          <w:kern w:val="0"/>
          <w:sz w:val="32"/>
          <w:szCs w:val="32"/>
          <w:shd w:val="clear" w:color="auto" w:fill="FFFFFF"/>
          <w:lang w:val="en-US" w:eastAsia="zh-CN" w:bidi="ar-SA"/>
        </w:rPr>
      </w:pPr>
      <w:r>
        <w:rPr>
          <w:rFonts w:hint="eastAsia" w:ascii="仿宋_GB2312" w:hAnsi="宋体" w:eastAsia="仿宋_GB2312" w:cs="宋体"/>
          <w:b w:val="0"/>
          <w:bCs w:val="0"/>
          <w:color w:val="000000"/>
          <w:kern w:val="0"/>
          <w:sz w:val="32"/>
          <w:szCs w:val="32"/>
          <w:shd w:val="clear" w:color="auto" w:fill="FFFFFF"/>
          <w:lang w:val="en-US" w:eastAsia="zh-CN" w:bidi="ar-SA"/>
        </w:rPr>
        <w:t>（6）山洪灾害非工程措施项目运行维护经费用于山洪灾害监测预警运行维护服务、山洪灾害非工程措施野外站点看管、山洪灾害防非工程措施专线三大项目。通过项目实施预防山洪灾害，保护全县人民汛期群众生命财产安全。</w:t>
      </w:r>
    </w:p>
    <w:p w14:paraId="3C2BBC8F">
      <w:pPr>
        <w:ind w:firstLine="640" w:firstLineChars="200"/>
        <w:rPr>
          <w:rFonts w:hint="default"/>
          <w:lang w:val="en-US" w:eastAsia="zh-CN"/>
        </w:rPr>
      </w:pPr>
      <w:r>
        <w:rPr>
          <w:rFonts w:hint="eastAsia" w:ascii="仿宋_GB2312" w:hAnsi="宋体" w:eastAsia="仿宋_GB2312" w:cs="宋体"/>
          <w:b w:val="0"/>
          <w:bCs w:val="0"/>
          <w:color w:val="000000"/>
          <w:kern w:val="0"/>
          <w:sz w:val="32"/>
          <w:szCs w:val="32"/>
          <w:shd w:val="clear" w:color="auto" w:fill="FFFFFF"/>
          <w:lang w:val="en-US" w:eastAsia="zh-CN" w:bidi="ar-SA"/>
        </w:rPr>
        <w:t>（7）政务运转工作经费用于河长制工作经费、水务综合执法大队专项费、闸坝和水文站运行费、防汛费。通过项目实施为全县防汛工作提早预警预报，指导全县防汛工作；管理县城景观用水、起到防灾减灾、美化县城的作用；防止水土流失，防止设行洪障碍等水行政执法行为；建立健全河、库长效管护机制，妥善处理号上下游、左右岸、干支流关系，联动推进治理、管护和建设工作，保障我县河、库、堰水环境持续改善，水功能正常发挥。</w:t>
      </w:r>
    </w:p>
    <w:p w14:paraId="631A3424">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14:paraId="54CB2EC9">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水务局</w:t>
      </w:r>
      <w:r>
        <w:rPr>
          <w:rFonts w:hint="eastAsia" w:ascii="仿宋_GB2312" w:hAnsi="宋体" w:eastAsia="仿宋_GB2312" w:cs="宋体"/>
          <w:color w:val="auto"/>
          <w:kern w:val="0"/>
          <w:sz w:val="32"/>
          <w:szCs w:val="32"/>
          <w:highlight w:val="none"/>
          <w:shd w:val="clear" w:color="auto" w:fill="FFFFFF"/>
          <w:lang w:val="zh-CN" w:eastAsia="zh-CN"/>
        </w:rPr>
        <w:t>2021年</w:t>
      </w:r>
      <w:r>
        <w:rPr>
          <w:rFonts w:hint="eastAsia" w:ascii="仿宋_GB2312" w:hAnsi="宋体" w:eastAsia="仿宋_GB2312" w:cs="宋体"/>
          <w:color w:val="auto"/>
          <w:kern w:val="0"/>
          <w:sz w:val="32"/>
          <w:szCs w:val="32"/>
          <w:highlight w:val="none"/>
          <w:shd w:val="clear" w:color="auto" w:fill="FFFFFF"/>
          <w:lang w:val="zh-CN"/>
        </w:rPr>
        <w:t>绩效自评已完成公开。</w:t>
      </w:r>
    </w:p>
    <w:p w14:paraId="0BFF5FC1">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u w:val="none"/>
          <w:shd w:val="clear" w:color="auto" w:fill="FFFFFF"/>
          <w:lang w:val="zh-CN"/>
        </w:rPr>
      </w:pPr>
      <w:r>
        <w:rPr>
          <w:rFonts w:hint="eastAsia" w:ascii="仿宋_GB2312" w:hAnsi="宋体" w:eastAsia="仿宋_GB2312" w:cs="宋体"/>
          <w:color w:val="auto"/>
          <w:kern w:val="0"/>
          <w:sz w:val="32"/>
          <w:szCs w:val="32"/>
          <w:highlight w:val="none"/>
          <w:u w:val="none"/>
          <w:shd w:val="clear" w:color="auto" w:fill="FFFFFF"/>
          <w:lang w:val="zh-CN"/>
        </w:rPr>
        <w:t>自评质量</w:t>
      </w:r>
    </w:p>
    <w:p w14:paraId="5E6E10E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hint="default" w:ascii="仿宋_GB2312" w:hAnsi="宋体" w:eastAsia="仿宋_GB2312" w:cs="宋体"/>
          <w:color w:val="auto"/>
          <w:kern w:val="0"/>
          <w:sz w:val="32"/>
          <w:szCs w:val="32"/>
          <w:highlight w:val="none"/>
          <w:shd w:val="clear" w:color="auto" w:fill="FFFFFF"/>
          <w:lang w:val="en-US" w:eastAsia="zh-CN"/>
        </w:rPr>
      </w:pPr>
      <w:r>
        <w:rPr>
          <w:rFonts w:hint="eastAsia" w:ascii="仿宋_GB2312" w:hAnsi="宋体" w:eastAsia="仿宋_GB2312" w:cs="宋体"/>
          <w:color w:val="auto"/>
          <w:kern w:val="0"/>
          <w:sz w:val="32"/>
          <w:szCs w:val="32"/>
          <w:highlight w:val="none"/>
          <w:shd w:val="clear" w:color="auto" w:fill="FFFFFF"/>
          <w:lang w:val="en-US" w:eastAsia="zh-CN"/>
        </w:rPr>
        <w:t xml:space="preserve">    部门整体支出自评准确。</w:t>
      </w:r>
    </w:p>
    <w:p w14:paraId="2C2E946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14:paraId="2FECBD0D">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r>
        <w:rPr>
          <w:rFonts w:hint="eastAsia" w:ascii="仿宋_GB2312" w:hAnsi="宋体" w:eastAsia="仿宋_GB2312" w:cs="宋体"/>
          <w:color w:val="000000"/>
          <w:kern w:val="0"/>
          <w:sz w:val="32"/>
          <w:szCs w:val="32"/>
          <w:shd w:val="clear" w:color="auto" w:fill="FFFFFF"/>
        </w:rPr>
        <w:t>根据部门整体支出绩效评价指标规定的内容，经我单位认真自评，20</w:t>
      </w:r>
      <w:r>
        <w:rPr>
          <w:rFonts w:hint="eastAsia" w:ascii="仿宋_GB2312" w:hAnsi="宋体" w:eastAsia="仿宋_GB2312" w:cs="宋体"/>
          <w:color w:val="000000"/>
          <w:kern w:val="0"/>
          <w:sz w:val="32"/>
          <w:szCs w:val="32"/>
          <w:shd w:val="clear" w:color="auto" w:fill="FFFFFF"/>
          <w:lang w:val="en-US" w:eastAsia="zh-CN"/>
        </w:rPr>
        <w:t>21</w:t>
      </w:r>
      <w:r>
        <w:rPr>
          <w:rFonts w:hint="eastAsia" w:ascii="仿宋_GB2312" w:hAnsi="宋体" w:eastAsia="仿宋_GB2312" w:cs="宋体"/>
          <w:color w:val="000000"/>
          <w:kern w:val="0"/>
          <w:sz w:val="32"/>
          <w:szCs w:val="32"/>
          <w:shd w:val="clear" w:color="auto" w:fill="FFFFFF"/>
        </w:rPr>
        <w:t>年度部门整体绩效评价得分为</w:t>
      </w:r>
      <w:r>
        <w:rPr>
          <w:rFonts w:hint="eastAsia" w:ascii="仿宋_GB2312" w:hAnsi="宋体" w:eastAsia="仿宋_GB2312" w:cs="宋体"/>
          <w:color w:val="000000"/>
          <w:kern w:val="0"/>
          <w:sz w:val="32"/>
          <w:szCs w:val="32"/>
          <w:shd w:val="clear" w:color="auto" w:fill="FFFFFF"/>
          <w:lang w:val="en-US" w:eastAsia="zh-CN"/>
        </w:rPr>
        <w:t>96</w:t>
      </w:r>
      <w:r>
        <w:rPr>
          <w:rFonts w:hint="eastAsia" w:ascii="仿宋_GB2312" w:hAnsi="宋体" w:eastAsia="仿宋_GB2312" w:cs="宋体"/>
          <w:color w:val="000000"/>
          <w:kern w:val="0"/>
          <w:sz w:val="32"/>
          <w:szCs w:val="32"/>
          <w:shd w:val="clear" w:color="auto" w:fill="FFFFFF"/>
        </w:rPr>
        <w:t>分。按照县级部门预算编制通知和有关要求，按时完成基础库、项目库报送工作，预算编制准确。部门整体绩效目标编制完整、合理，项目绩效目标编制明确、量化。按规定及时分配</w:t>
      </w:r>
      <w:r>
        <w:rPr>
          <w:rFonts w:hint="eastAsia" w:ascii="仿宋_GB2312" w:hAnsi="宋体" w:eastAsia="仿宋_GB2312" w:cs="宋体"/>
          <w:color w:val="000000"/>
          <w:kern w:val="0"/>
          <w:sz w:val="32"/>
          <w:szCs w:val="32"/>
          <w:shd w:val="clear" w:color="auto" w:fill="FFFFFF"/>
          <w:lang w:eastAsia="zh-CN"/>
        </w:rPr>
        <w:t>县</w:t>
      </w:r>
      <w:r>
        <w:rPr>
          <w:rFonts w:hint="eastAsia" w:ascii="仿宋_GB2312" w:hAnsi="宋体" w:eastAsia="仿宋_GB2312" w:cs="宋体"/>
          <w:color w:val="000000"/>
          <w:kern w:val="0"/>
          <w:sz w:val="32"/>
          <w:szCs w:val="32"/>
          <w:shd w:val="clear" w:color="auto" w:fill="FFFFFF"/>
        </w:rPr>
        <w:t>级财力专项预算，按要求严格预算执行管理。严格执行</w:t>
      </w:r>
      <w:r>
        <w:rPr>
          <w:rFonts w:hint="eastAsia" w:ascii="仿宋_GB2312" w:hAnsi="宋体" w:eastAsia="仿宋_GB2312" w:cs="宋体"/>
          <w:color w:val="000000"/>
          <w:kern w:val="0"/>
          <w:sz w:val="32"/>
          <w:szCs w:val="32"/>
          <w:shd w:val="clear" w:color="auto" w:fill="FFFFFF"/>
          <w:lang w:eastAsia="zh-CN"/>
        </w:rPr>
        <w:t>“三公”经费</w:t>
      </w:r>
      <w:r>
        <w:rPr>
          <w:rFonts w:hint="eastAsia" w:ascii="仿宋_GB2312" w:hAnsi="宋体" w:eastAsia="仿宋_GB2312" w:cs="宋体"/>
          <w:color w:val="000000"/>
          <w:kern w:val="0"/>
          <w:sz w:val="32"/>
          <w:szCs w:val="32"/>
          <w:shd w:val="clear" w:color="auto" w:fill="FFFFFF"/>
        </w:rPr>
        <w:t>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14:paraId="3796E6D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auto"/>
          <w:kern w:val="0"/>
          <w:sz w:val="32"/>
          <w:szCs w:val="32"/>
          <w:highlight w:val="none"/>
          <w:shd w:val="clear" w:color="auto" w:fill="FFFFFF"/>
          <w:lang w:val="zh-CN"/>
        </w:rPr>
        <w:t>（二）存在问题。</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rPr>
        <w:t>、</w:t>
      </w:r>
      <w:r>
        <w:rPr>
          <w:rFonts w:ascii="仿宋_GB2312" w:hAnsi="宋体" w:eastAsia="仿宋_GB2312" w:cs="宋体"/>
          <w:color w:val="000000"/>
          <w:kern w:val="0"/>
          <w:sz w:val="32"/>
          <w:szCs w:val="32"/>
          <w:shd w:val="clear" w:color="auto" w:fill="FFFFFF"/>
        </w:rPr>
        <w:t>水务管理人员结构老化严重，缺乏专业技术人才，已出现断层现象。</w:t>
      </w:r>
    </w:p>
    <w:p w14:paraId="01757127">
      <w:pPr>
        <w:widowControl/>
        <w:numPr>
          <w:ilvl w:val="0"/>
          <w:numId w:val="0"/>
        </w:numPr>
        <w:adjustRightInd w:val="0"/>
        <w:snapToGrid w:val="0"/>
        <w:spacing w:line="58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rPr>
        <w:t>、部分预算项目资金执行进度迟缓。</w:t>
      </w:r>
    </w:p>
    <w:p w14:paraId="1FC5739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auto"/>
          <w:kern w:val="0"/>
          <w:sz w:val="32"/>
          <w:szCs w:val="32"/>
          <w:highlight w:val="none"/>
          <w:shd w:val="clear" w:color="auto" w:fill="FFFFFF"/>
          <w:lang w:val="zh-CN"/>
        </w:rPr>
        <w:t>（三）改进建议。</w:t>
      </w:r>
      <w:r>
        <w:rPr>
          <w:rFonts w:ascii="仿宋_GB2312" w:hAnsi="宋体" w:eastAsia="仿宋_GB2312" w:cs="宋体"/>
          <w:color w:val="000000"/>
          <w:kern w:val="0"/>
          <w:sz w:val="32"/>
          <w:szCs w:val="32"/>
          <w:shd w:val="clear" w:color="auto" w:fill="FFFFFF"/>
        </w:rPr>
        <w:t>组织水务领域深入贯彻学习党的十九大</w:t>
      </w:r>
      <w:r>
        <w:rPr>
          <w:rFonts w:hint="eastAsia" w:ascii="仿宋_GB2312" w:hAnsi="宋体" w:eastAsia="仿宋_GB2312" w:cs="宋体"/>
          <w:color w:val="000000"/>
          <w:kern w:val="0"/>
          <w:sz w:val="32"/>
          <w:szCs w:val="32"/>
          <w:shd w:val="clear" w:color="auto" w:fill="FFFFFF"/>
        </w:rPr>
        <w:t>、习近平总书记重要讲话精神</w:t>
      </w:r>
      <w:r>
        <w:rPr>
          <w:rFonts w:ascii="仿宋_GB2312" w:hAnsi="宋体" w:eastAsia="仿宋_GB2312" w:cs="宋体"/>
          <w:color w:val="000000"/>
          <w:kern w:val="0"/>
          <w:sz w:val="32"/>
          <w:szCs w:val="32"/>
          <w:shd w:val="clear" w:color="auto" w:fill="FFFFFF"/>
        </w:rPr>
        <w:t>；建立和完善各项管水治水制度，加强管理，严格奖惩</w:t>
      </w:r>
      <w:r>
        <w:rPr>
          <w:rFonts w:hint="eastAsia" w:ascii="仿宋_GB2312" w:hAnsi="宋体" w:eastAsia="仿宋_GB2312" w:cs="宋体"/>
          <w:color w:val="000000"/>
          <w:kern w:val="0"/>
          <w:sz w:val="32"/>
          <w:szCs w:val="32"/>
          <w:shd w:val="clear" w:color="auto" w:fill="FFFFFF"/>
        </w:rPr>
        <w:t>。加快项目实施进度，使工程及早发挥效益，引进水利专业人才，更好地为水利工作服务。</w:t>
      </w:r>
    </w:p>
    <w:p w14:paraId="5B5E70DE">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p>
    <w:p w14:paraId="5BFC6DBA">
      <w:pPr>
        <w:pStyle w:val="5"/>
        <w:rPr>
          <w:rFonts w:hint="eastAsia" w:hAnsi="宋体" w:cs="宋体"/>
          <w:color w:val="auto"/>
          <w:kern w:val="0"/>
          <w:sz w:val="32"/>
          <w:szCs w:val="32"/>
          <w:highlight w:val="none"/>
          <w:shd w:val="clear" w:color="auto" w:fill="FFFFFF"/>
          <w:lang w:val="zh-CN"/>
        </w:rPr>
      </w:pPr>
    </w:p>
    <w:p w14:paraId="6D2D5078">
      <w:pPr>
        <w:pStyle w:val="5"/>
        <w:rPr>
          <w:rFonts w:hint="eastAsia" w:hAnsi="宋体" w:cs="宋体"/>
          <w:color w:val="auto"/>
          <w:kern w:val="0"/>
          <w:sz w:val="32"/>
          <w:szCs w:val="32"/>
          <w:highlight w:val="none"/>
          <w:shd w:val="clear" w:color="auto" w:fill="FFFFFF"/>
          <w:lang w:val="zh-CN"/>
        </w:rPr>
      </w:pPr>
    </w:p>
    <w:p w14:paraId="7CAFB73A">
      <w:pPr>
        <w:pStyle w:val="5"/>
        <w:rPr>
          <w:rFonts w:hint="eastAsia" w:hAnsi="宋体" w:cs="宋体"/>
          <w:color w:val="auto"/>
          <w:kern w:val="0"/>
          <w:sz w:val="32"/>
          <w:szCs w:val="32"/>
          <w:highlight w:val="none"/>
          <w:shd w:val="clear" w:color="auto" w:fill="FFFFFF"/>
          <w:lang w:val="zh-CN"/>
        </w:rPr>
      </w:pPr>
    </w:p>
    <w:p w14:paraId="7E9E6B87">
      <w:pPr>
        <w:pStyle w:val="5"/>
        <w:rPr>
          <w:rFonts w:hint="eastAsia" w:hAnsi="宋体" w:cs="宋体"/>
          <w:color w:val="auto"/>
          <w:kern w:val="0"/>
          <w:sz w:val="32"/>
          <w:szCs w:val="32"/>
          <w:highlight w:val="none"/>
          <w:shd w:val="clear" w:color="auto" w:fill="FFFFFF"/>
          <w:lang w:val="zh-CN"/>
        </w:rPr>
      </w:pPr>
    </w:p>
    <w:p w14:paraId="5AE56314">
      <w:pPr>
        <w:pStyle w:val="5"/>
        <w:rPr>
          <w:rFonts w:hint="eastAsia" w:hAnsi="宋体" w:cs="宋体"/>
          <w:color w:val="auto"/>
          <w:kern w:val="0"/>
          <w:sz w:val="32"/>
          <w:szCs w:val="32"/>
          <w:highlight w:val="none"/>
          <w:shd w:val="clear" w:color="auto" w:fill="FFFFFF"/>
          <w:lang w:val="zh-CN"/>
        </w:rPr>
      </w:pPr>
    </w:p>
    <w:p w14:paraId="388ECE2C">
      <w:pPr>
        <w:pStyle w:val="5"/>
        <w:rPr>
          <w:rFonts w:hint="eastAsia" w:hAnsi="宋体" w:cs="宋体"/>
          <w:color w:val="auto"/>
          <w:kern w:val="0"/>
          <w:sz w:val="32"/>
          <w:szCs w:val="32"/>
          <w:highlight w:val="none"/>
          <w:shd w:val="clear" w:color="auto" w:fill="FFFFFF"/>
          <w:lang w:val="zh-CN"/>
        </w:rPr>
      </w:pPr>
    </w:p>
    <w:p w14:paraId="17D409EF">
      <w:pPr>
        <w:pStyle w:val="5"/>
        <w:rPr>
          <w:rFonts w:hint="eastAsia" w:hAnsi="宋体" w:cs="宋体"/>
          <w:color w:val="auto"/>
          <w:kern w:val="0"/>
          <w:sz w:val="32"/>
          <w:szCs w:val="32"/>
          <w:highlight w:val="none"/>
          <w:shd w:val="clear" w:color="auto" w:fill="FFFFFF"/>
          <w:lang w:val="zh-CN"/>
        </w:rPr>
      </w:pPr>
    </w:p>
    <w:p w14:paraId="08AC043D">
      <w:pPr>
        <w:pStyle w:val="5"/>
        <w:rPr>
          <w:rFonts w:hint="eastAsia" w:hAnsi="宋体" w:cs="宋体"/>
          <w:color w:val="auto"/>
          <w:kern w:val="0"/>
          <w:sz w:val="32"/>
          <w:szCs w:val="32"/>
          <w:highlight w:val="none"/>
          <w:shd w:val="clear" w:color="auto" w:fill="FFFFFF"/>
          <w:lang w:val="zh-CN"/>
        </w:rPr>
      </w:pPr>
    </w:p>
    <w:p w14:paraId="6CFEED7F">
      <w:pPr>
        <w:pStyle w:val="5"/>
        <w:rPr>
          <w:rFonts w:hint="eastAsia" w:hAnsi="宋体" w:cs="宋体"/>
          <w:color w:val="auto"/>
          <w:kern w:val="0"/>
          <w:sz w:val="32"/>
          <w:szCs w:val="32"/>
          <w:highlight w:val="none"/>
          <w:shd w:val="clear" w:color="auto" w:fill="FFFFFF"/>
          <w:lang w:val="zh-CN"/>
        </w:rPr>
      </w:pPr>
    </w:p>
    <w:p w14:paraId="38986566">
      <w:pPr>
        <w:pStyle w:val="5"/>
        <w:rPr>
          <w:rFonts w:hint="eastAsia" w:hAnsi="宋体" w:cs="宋体"/>
          <w:color w:val="auto"/>
          <w:kern w:val="0"/>
          <w:sz w:val="32"/>
          <w:szCs w:val="32"/>
          <w:highlight w:val="none"/>
          <w:shd w:val="clear" w:color="auto" w:fill="FFFFFF"/>
          <w:lang w:val="zh-CN"/>
        </w:rPr>
      </w:pPr>
    </w:p>
    <w:p w14:paraId="6CFEC364">
      <w:pPr>
        <w:pStyle w:val="5"/>
        <w:rPr>
          <w:rFonts w:hint="eastAsia" w:hAnsi="宋体" w:cs="宋体"/>
          <w:color w:val="auto"/>
          <w:kern w:val="0"/>
          <w:sz w:val="32"/>
          <w:szCs w:val="32"/>
          <w:highlight w:val="none"/>
          <w:shd w:val="clear" w:color="auto" w:fill="FFFFFF"/>
          <w:lang w:val="zh-CN"/>
        </w:rPr>
      </w:pPr>
    </w:p>
    <w:p w14:paraId="29207833">
      <w:pPr>
        <w:pStyle w:val="5"/>
        <w:rPr>
          <w:rFonts w:hint="eastAsia" w:hAnsi="宋体" w:cs="宋体"/>
          <w:color w:val="auto"/>
          <w:kern w:val="0"/>
          <w:sz w:val="32"/>
          <w:szCs w:val="32"/>
          <w:highlight w:val="none"/>
          <w:shd w:val="clear" w:color="auto" w:fill="FFFFFF"/>
          <w:lang w:val="zh-CN"/>
        </w:rPr>
      </w:pPr>
    </w:p>
    <w:p w14:paraId="786914B2">
      <w:pPr>
        <w:pStyle w:val="5"/>
        <w:rPr>
          <w:rFonts w:hint="eastAsia" w:hAnsi="宋体" w:cs="宋体"/>
          <w:color w:val="auto"/>
          <w:kern w:val="0"/>
          <w:sz w:val="32"/>
          <w:szCs w:val="32"/>
          <w:highlight w:val="none"/>
          <w:shd w:val="clear" w:color="auto" w:fill="FFFFFF"/>
          <w:lang w:val="zh-CN"/>
        </w:rPr>
      </w:pPr>
    </w:p>
    <w:p w14:paraId="6A1EF4BA">
      <w:pPr>
        <w:pStyle w:val="5"/>
        <w:rPr>
          <w:rFonts w:hint="eastAsia" w:hAnsi="宋体" w:cs="宋体"/>
          <w:color w:val="auto"/>
          <w:kern w:val="0"/>
          <w:sz w:val="32"/>
          <w:szCs w:val="32"/>
          <w:highlight w:val="none"/>
          <w:shd w:val="clear" w:color="auto" w:fill="FFFFFF"/>
          <w:lang w:val="zh-CN"/>
        </w:rPr>
      </w:pPr>
    </w:p>
    <w:p w14:paraId="3764F8C0">
      <w:pPr>
        <w:pStyle w:val="5"/>
        <w:rPr>
          <w:rFonts w:hint="eastAsia"/>
          <w:color w:val="auto"/>
          <w:highlight w:val="none"/>
          <w:lang w:val="zh-CN"/>
        </w:rPr>
      </w:pPr>
      <w:r>
        <w:rPr>
          <w:rFonts w:hint="eastAsia" w:hAnsi="宋体" w:cs="宋体"/>
          <w:color w:val="auto"/>
          <w:kern w:val="0"/>
          <w:sz w:val="32"/>
          <w:szCs w:val="32"/>
          <w:highlight w:val="none"/>
          <w:shd w:val="clear" w:color="auto" w:fill="FFFFFF"/>
          <w:lang w:val="zh-CN"/>
        </w:rPr>
        <w:t>附件</w:t>
      </w:r>
    </w:p>
    <w:p w14:paraId="6E1AA00B">
      <w:pPr>
        <w:keepNext w:val="0"/>
        <w:keepLines w:val="0"/>
        <w:pageBreakBefore w:val="0"/>
        <w:widowControl w:val="0"/>
        <w:kinsoku/>
        <w:wordWrap/>
        <w:overflowPunct/>
        <w:topLinePunct w:val="0"/>
        <w:autoSpaceDE/>
        <w:autoSpaceDN/>
        <w:bidi w:val="0"/>
        <w:spacing w:line="600" w:lineRule="exact"/>
        <w:ind w:firstLine="883"/>
        <w:jc w:val="center"/>
        <w:textAlignment w:val="auto"/>
        <w:rPr>
          <w:rFonts w:ascii="仿宋_GB2312" w:hAnsi="宋体" w:eastAsia="仿宋_GB2312" w:cs="Times New Roman"/>
          <w:color w:val="auto"/>
          <w:kern w:val="2"/>
          <w:sz w:val="32"/>
          <w:szCs w:val="32"/>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en-US" w:eastAsia="zh-CN" w:bidi="ar-SA"/>
        </w:rPr>
        <w:t>2021年</w:t>
      </w:r>
      <w:r>
        <w:rPr>
          <w:rFonts w:hint="eastAsia" w:ascii="方正小标宋简体" w:hAnsi="方正小标宋简体" w:eastAsia="方正小标宋简体" w:cs="方正小标宋简体"/>
          <w:color w:val="auto"/>
          <w:kern w:val="2"/>
          <w:sz w:val="40"/>
          <w:szCs w:val="40"/>
          <w:highlight w:val="none"/>
          <w:lang w:val="zh-CN" w:eastAsia="zh-CN" w:bidi="ar-SA"/>
        </w:rPr>
        <w:t>水务局项目支出绩效自评报告</w:t>
      </w:r>
    </w:p>
    <w:p w14:paraId="7348E045">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highlight w:val="none"/>
          <w:lang w:val="zh-CN" w:eastAsia="zh-CN" w:bidi="ar-SA"/>
        </w:rPr>
      </w:pPr>
    </w:p>
    <w:p w14:paraId="09E5314E">
      <w:pPr>
        <w:adjustRightInd w:val="0"/>
        <w:snapToGrid w:val="0"/>
        <w:spacing w:line="560" w:lineRule="exact"/>
        <w:ind w:firstLine="72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3167CD05">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水务局2021年初预算项目共7个，分别为：</w:t>
      </w:r>
    </w:p>
    <w:p w14:paraId="0FE6160D">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项目1：马边河舟坝黄丹库区水面漂浮物清理打捞社会会服务资金</w:t>
      </w:r>
    </w:p>
    <w:p w14:paraId="30E46B14">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项目2：“河长制”工作经费</w:t>
      </w:r>
    </w:p>
    <w:p w14:paraId="5B81645D">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项目3：生产建设项目水土保持“天地一体化”监管技术服务费</w:t>
      </w:r>
    </w:p>
    <w:p w14:paraId="4C4E3F40">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项目4：小二型水库管理人员费用</w:t>
      </w:r>
    </w:p>
    <w:p w14:paraId="0FA865EA">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项目5：水质监测专项资金</w:t>
      </w:r>
    </w:p>
    <w:p w14:paraId="3771F1FF">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项目6：山洪灾害非工程措施项目运行维护经费</w:t>
      </w:r>
    </w:p>
    <w:p w14:paraId="0C42C71B">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项目7：政务运转工作经费</w:t>
      </w:r>
    </w:p>
    <w:p w14:paraId="68191C9D">
      <w:pPr>
        <w:numPr>
          <w:ilvl w:val="0"/>
          <w:numId w:val="7"/>
        </w:num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项目资金申报及批复情况。</w:t>
      </w:r>
    </w:p>
    <w:p w14:paraId="07E4687C">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 xml:space="preserve"> 1、马边河舟坝黄丹库区水面漂浮物清理打捞社会会服务资金申报预算38.8万元，2021年批复预算38.8万元，</w:t>
      </w:r>
      <w:r>
        <w:rPr>
          <w:rFonts w:hint="eastAsia" w:ascii="仿宋_GB2312" w:hAnsi="宋体" w:eastAsia="仿宋_GB2312" w:cs="Times New Roman"/>
          <w:sz w:val="32"/>
          <w:szCs w:val="32"/>
          <w:lang w:val="zh-CN"/>
        </w:rPr>
        <w:t>符合资金管理办法等相关规定。</w:t>
      </w:r>
    </w:p>
    <w:p w14:paraId="1E803B32">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 xml:space="preserve"> 2、“河长制”工作经费申报预算5万元，2021年批复预算5万元，</w:t>
      </w:r>
      <w:r>
        <w:rPr>
          <w:rFonts w:hint="eastAsia" w:ascii="仿宋_GB2312" w:hAnsi="宋体" w:eastAsia="仿宋_GB2312" w:cs="Times New Roman"/>
          <w:sz w:val="32"/>
          <w:szCs w:val="32"/>
          <w:lang w:val="zh-CN"/>
        </w:rPr>
        <w:t>符合资金管理办法等相关规定。</w:t>
      </w:r>
    </w:p>
    <w:p w14:paraId="47502FB1">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3、生产建设项目水土保持“天地一体化”监管技术服务费申报预算15万元，2021年批复预算15万元，</w:t>
      </w:r>
      <w:r>
        <w:rPr>
          <w:rFonts w:hint="eastAsia" w:ascii="仿宋_GB2312" w:hAnsi="宋体" w:eastAsia="仿宋_GB2312" w:cs="Times New Roman"/>
          <w:sz w:val="32"/>
          <w:szCs w:val="32"/>
          <w:lang w:val="zh-CN"/>
        </w:rPr>
        <w:t>符合资金管理办法等相关规定。</w:t>
      </w:r>
    </w:p>
    <w:p w14:paraId="6A161B7D">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4、小二型水库管理人员费用申报预算3万元，2021年批复预算3万元，</w:t>
      </w:r>
      <w:r>
        <w:rPr>
          <w:rFonts w:hint="eastAsia" w:ascii="仿宋_GB2312" w:hAnsi="宋体" w:eastAsia="仿宋_GB2312" w:cs="Times New Roman"/>
          <w:sz w:val="32"/>
          <w:szCs w:val="32"/>
          <w:lang w:val="zh-CN"/>
        </w:rPr>
        <w:t>符合资金管理办法等相关规定。</w:t>
      </w:r>
    </w:p>
    <w:p w14:paraId="52DECC82">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5、水质监测专项资金申报预算3万元，2021年批复预算3万元，</w:t>
      </w:r>
      <w:r>
        <w:rPr>
          <w:rFonts w:hint="eastAsia" w:ascii="仿宋_GB2312" w:hAnsi="宋体" w:eastAsia="仿宋_GB2312" w:cs="Times New Roman"/>
          <w:sz w:val="32"/>
          <w:szCs w:val="32"/>
          <w:lang w:val="zh-CN"/>
        </w:rPr>
        <w:t>符合资金管理办法等相关规定。</w:t>
      </w:r>
    </w:p>
    <w:p w14:paraId="6E21BBA8">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en-US" w:eastAsia="zh-CN"/>
        </w:rPr>
        <w:t>6、山洪灾害非工程措施项目运行维护经费申报预算25万元，2021年批复预算25万元，</w:t>
      </w:r>
      <w:r>
        <w:rPr>
          <w:rFonts w:hint="eastAsia" w:ascii="仿宋_GB2312" w:hAnsi="宋体" w:eastAsia="仿宋_GB2312" w:cs="Times New Roman"/>
          <w:sz w:val="32"/>
          <w:szCs w:val="32"/>
          <w:lang w:val="zh-CN"/>
        </w:rPr>
        <w:t>符合资金管理办法等相关规定。</w:t>
      </w:r>
    </w:p>
    <w:p w14:paraId="023A2C80">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7、政务运转工作经费申报预算30万元，2021年批复预算30万元，</w:t>
      </w:r>
      <w:r>
        <w:rPr>
          <w:rFonts w:hint="eastAsia" w:ascii="仿宋_GB2312" w:hAnsi="宋体" w:eastAsia="仿宋_GB2312" w:cs="Times New Roman"/>
          <w:sz w:val="32"/>
          <w:szCs w:val="32"/>
          <w:lang w:val="zh-CN"/>
        </w:rPr>
        <w:t>符合资金管理办法等相关规定。</w:t>
      </w:r>
    </w:p>
    <w:p w14:paraId="2492E3B5">
      <w:pPr>
        <w:numPr>
          <w:ilvl w:val="0"/>
          <w:numId w:val="7"/>
        </w:numPr>
        <w:adjustRightInd w:val="0"/>
        <w:snapToGrid w:val="0"/>
        <w:spacing w:line="560" w:lineRule="exact"/>
        <w:ind w:left="0" w:leftChars="0" w:firstLine="720" w:firstLineChars="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项目绩效目标。</w:t>
      </w:r>
    </w:p>
    <w:p w14:paraId="5D94EB12">
      <w:pPr>
        <w:numPr>
          <w:ilvl w:val="0"/>
          <w:numId w:val="8"/>
        </w:num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马边河舟坝黄丹库区水面漂浮物清理打捞社会会服务资金用于马边河舟坝、黄丹两个库区内水面漂浮物打捞、运输、处理。通过实施项目达到马边河舟坝黄丹库区水面无漂浮垃圾，水面清洁，水质良好，每周清理两次以上，水环境质量全面改善。</w:t>
      </w:r>
    </w:p>
    <w:p w14:paraId="782F36C6">
      <w:pPr>
        <w:keepNext w:val="0"/>
        <w:keepLines w:val="0"/>
        <w:pageBreakBefore w:val="0"/>
        <w:widowControl w:val="0"/>
        <w:kinsoku/>
        <w:wordWrap/>
        <w:overflowPunct/>
        <w:topLinePunct w:val="0"/>
        <w:bidi w:val="0"/>
        <w:adjustRightInd w:val="0"/>
        <w:snapToGrid w:val="0"/>
        <w:spacing w:line="580" w:lineRule="exact"/>
        <w:ind w:firstLine="640" w:firstLineChars="20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 xml:space="preserve">2、“河长制”工作经费用于宣传资料印制，标语、标志牌制作安装等。 </w:t>
      </w:r>
      <w:r>
        <w:rPr>
          <w:rFonts w:hint="eastAsia" w:ascii="仿宋_GB2312" w:hAnsi="宋体" w:eastAsia="仿宋_GB2312" w:cs="Times New Roman"/>
          <w:sz w:val="32"/>
          <w:szCs w:val="32"/>
          <w:lang w:val="zh-CN"/>
        </w:rPr>
        <w:t>到</w:t>
      </w:r>
      <w:r>
        <w:rPr>
          <w:rFonts w:ascii="仿宋_GB2312" w:hAnsi="宋体" w:eastAsia="仿宋_GB2312" w:cs="Times New Roman"/>
          <w:sz w:val="32"/>
          <w:szCs w:val="32"/>
        </w:rPr>
        <w:t>20</w:t>
      </w:r>
      <w:r>
        <w:rPr>
          <w:rFonts w:hint="eastAsia" w:ascii="仿宋_GB2312" w:hAnsi="宋体" w:eastAsia="仿宋_GB2312" w:cs="Times New Roman"/>
          <w:sz w:val="32"/>
          <w:szCs w:val="32"/>
          <w:lang w:val="en-US" w:eastAsia="zh-CN"/>
        </w:rPr>
        <w:t>21</w:t>
      </w:r>
      <w:r>
        <w:rPr>
          <w:rFonts w:hint="eastAsia" w:ascii="仿宋_GB2312" w:hAnsi="宋体" w:eastAsia="仿宋_GB2312" w:cs="Times New Roman"/>
          <w:sz w:val="32"/>
          <w:szCs w:val="32"/>
        </w:rPr>
        <w:t>年底，</w:t>
      </w:r>
      <w:r>
        <w:rPr>
          <w:rFonts w:hint="eastAsia" w:ascii="仿宋_GB2312" w:hAnsi="宋体" w:eastAsia="仿宋_GB2312" w:cs="Times New Roman"/>
          <w:sz w:val="32"/>
          <w:szCs w:val="32"/>
          <w:lang w:val="zh-CN"/>
        </w:rPr>
        <w:t>基本解决河道垃圾和“黑、臭”问题，河道环境面貌显著改观，实现河、库、堰范围内污水无直排、水域无障碍、堤岸无损毁、河底无淤积、河面无垃圾、绿化无破坏、沿河无违章“七无”目标。</w:t>
      </w:r>
    </w:p>
    <w:p w14:paraId="48A7328F">
      <w:pPr>
        <w:numPr>
          <w:ilvl w:val="0"/>
          <w:numId w:val="8"/>
        </w:numPr>
        <w:adjustRightInd w:val="0"/>
        <w:snapToGrid w:val="0"/>
        <w:spacing w:line="560" w:lineRule="exact"/>
        <w:ind w:left="0" w:leftChars="0" w:firstLine="720" w:firstLineChars="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生产建设项目水土保持“天地一体化”监管技术服务费用于通过“天地一体化”监管手段，结合现场调查，对生产建设项目是否合规进行监督、管理。通过实施项目提高我县生产建设项目水土保持监督管理水平，实现生产建设项目水土保持全覆盖。</w:t>
      </w:r>
    </w:p>
    <w:p w14:paraId="15AC5729">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4、小二型水库管理人员费用主要用于乡镇11座小（二）型水库管理人员工资、通讯费、交通费、培训费等支出。通过项目实施进一步加大水库安全管理力度，确保水库安全运行。</w:t>
      </w:r>
    </w:p>
    <w:p w14:paraId="32DA067C">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5、水质监测专项资金主要用于全县22个取水点的水质检测费用。通过项目实施保证水质安全、卫生，符合饮用水标准，确保居民饮用水安全。</w:t>
      </w:r>
    </w:p>
    <w:p w14:paraId="533919B7">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6、山洪灾害非工程措施项目运行维护经费用于山洪灾害监测预警运行维护服务、山洪灾害非工程措施野外站点看管、山洪灾害防非工程措施专线三大项目。通过项目实施预防山洪灾害，保护全县人民汛期群众生命财产安全。</w:t>
      </w:r>
    </w:p>
    <w:p w14:paraId="17D6038C">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7、政务运转工作经费用于河长制工作经费、水务综合执法大队专项费、闸坝和水文站运行费、防汛费。通过项目实施为全县防汛工作提早预警预报，指导全县防汛工作；管理县城景观用水、起到防灾减灾、美化县城的作用；防止水土流失，防止设行洪障碍等水行政执法行为；建立健全河、库长效管护机制，妥善处理号上下游、左右岸、干支流关系，联动推进治理、管护和建设工作，保障我县河、库、堰水环境持续改善，水功能正常发挥。</w:t>
      </w:r>
    </w:p>
    <w:p w14:paraId="250322C4">
      <w:pPr>
        <w:numPr>
          <w:ilvl w:val="0"/>
          <w:numId w:val="7"/>
        </w:numPr>
        <w:adjustRightInd w:val="0"/>
        <w:snapToGrid w:val="0"/>
        <w:spacing w:line="560" w:lineRule="exact"/>
        <w:ind w:left="0" w:leftChars="0" w:firstLine="720" w:firstLineChars="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项目资金申报相符性。</w:t>
      </w:r>
    </w:p>
    <w:p w14:paraId="0D9298AC">
      <w:pPr>
        <w:numPr>
          <w:ilvl w:val="0"/>
          <w:numId w:val="0"/>
        </w:numPr>
        <w:adjustRightInd w:val="0"/>
        <w:snapToGrid w:val="0"/>
        <w:spacing w:line="560" w:lineRule="exact"/>
        <w:ind w:firstLine="640" w:firstLineChars="200"/>
        <w:rPr>
          <w:rFonts w:ascii="仿宋_GB2312" w:hAnsi="宋体" w:eastAsia="仿宋_GB2312" w:cs="Times New Roman"/>
          <w:sz w:val="32"/>
          <w:szCs w:val="32"/>
          <w:lang w:val="zh-CN"/>
        </w:rPr>
      </w:pPr>
      <w:r>
        <w:rPr>
          <w:rFonts w:hint="eastAsia" w:ascii="仿宋_GB2312" w:hAnsi="宋体" w:eastAsia="仿宋_GB2312" w:cs="Times New Roman"/>
          <w:sz w:val="32"/>
          <w:szCs w:val="32"/>
          <w:lang w:val="zh-CN"/>
        </w:rPr>
        <w:t>所有目申报内容是与具体实施内容相符、申报目标合理可行。</w:t>
      </w:r>
    </w:p>
    <w:p w14:paraId="12C0F2AE">
      <w:pPr>
        <w:adjustRightInd w:val="0"/>
        <w:snapToGrid w:val="0"/>
        <w:spacing w:line="560" w:lineRule="exact"/>
        <w:ind w:firstLine="720"/>
        <w:rPr>
          <w:rFonts w:ascii="黑体" w:hAnsi="宋体" w:eastAsia="黑体" w:cs="Times New Roman"/>
          <w:sz w:val="32"/>
          <w:szCs w:val="32"/>
        </w:rPr>
      </w:pPr>
      <w:r>
        <w:rPr>
          <w:rFonts w:hint="eastAsia" w:ascii="黑体" w:hAnsi="宋体" w:eastAsia="黑体" w:cs="Times New Roman"/>
          <w:sz w:val="32"/>
          <w:szCs w:val="32"/>
        </w:rPr>
        <w:t>二、项目实施及管理情况</w:t>
      </w:r>
    </w:p>
    <w:p w14:paraId="57782147">
      <w:pPr>
        <w:adjustRightInd w:val="0"/>
        <w:snapToGrid w:val="0"/>
        <w:spacing w:line="560" w:lineRule="exact"/>
        <w:ind w:firstLine="720"/>
        <w:rPr>
          <w:rFonts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04949C4F">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en-US" w:eastAsia="zh-CN"/>
        </w:rPr>
        <w:t>2021年水务局年初预算7个项目共119.8万元，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119.8万元，资金到位率100%，到位及时。7个项目资金计划及到位情况如下：</w:t>
      </w:r>
    </w:p>
    <w:p w14:paraId="1787BE69">
      <w:pPr>
        <w:adjustRightInd w:val="0"/>
        <w:snapToGrid w:val="0"/>
        <w:spacing w:line="56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（1）马边河舟坝黄丹库区水面漂浮物清理打捞社会会服务资金年初预算38.8万元，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38.8万元，资金到位率100%，到位及时。</w:t>
      </w:r>
    </w:p>
    <w:p w14:paraId="79B1D5DC">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（2）“河长制”工作经费年初预算5万元，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5万元，资金到位率100%，到位及时。</w:t>
      </w:r>
    </w:p>
    <w:p w14:paraId="1D74541D">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（3）生产建设项目水土保持“天地一体化”监管技术服务费年初预算15万元，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15万元，资金到位率100%，到位及时。</w:t>
      </w:r>
    </w:p>
    <w:p w14:paraId="7A3DF255">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（4）小二型水库管理人员费用年初预算3万元，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3万元，资金到位率100%，到位及时。</w:t>
      </w:r>
    </w:p>
    <w:p w14:paraId="7096AC0A">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（5）水质监测专项资金年初预算3万元，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3万元，资金到位率100%，到位及时。</w:t>
      </w:r>
    </w:p>
    <w:p w14:paraId="226BE19B">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（6）山洪灾害非工程措施项目运行维护经费年初预算25万元，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25万元，资金到位率100%，到位及时。</w:t>
      </w:r>
    </w:p>
    <w:p w14:paraId="688A2D9D">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（7）政务运转工作经费年初预算30万元，</w:t>
      </w:r>
      <w:r>
        <w:rPr>
          <w:rFonts w:hint="eastAsia" w:ascii="仿宋_GB2312" w:hAnsi="宋体" w:eastAsia="仿宋_GB2312" w:cs="Times New Roman"/>
          <w:sz w:val="32"/>
          <w:szCs w:val="32"/>
          <w:lang w:val="zh-CN"/>
        </w:rPr>
        <w:t>截止评价时点实际到位</w:t>
      </w:r>
      <w:r>
        <w:rPr>
          <w:rFonts w:hint="eastAsia" w:ascii="仿宋_GB2312" w:hAnsi="宋体" w:eastAsia="仿宋_GB2312" w:cs="Times New Roman"/>
          <w:sz w:val="32"/>
          <w:szCs w:val="32"/>
          <w:lang w:val="en-US" w:eastAsia="zh-CN"/>
        </w:rPr>
        <w:t>30万元，资金到位率100%，到位及时。</w:t>
      </w:r>
    </w:p>
    <w:p w14:paraId="0EB8E9AA">
      <w:pPr>
        <w:numPr>
          <w:ilvl w:val="0"/>
          <w:numId w:val="9"/>
        </w:num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资金使用。</w:t>
      </w:r>
    </w:p>
    <w:p w14:paraId="3FC2CD08">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截止评价时点，7个项目年初预算119.8万元，实际支出96.6442万元，支付进度80.67%，支付依据合规合法，资金支付金额小于预算金额，具体情况如下：</w:t>
      </w:r>
    </w:p>
    <w:p w14:paraId="7EFC8B21">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（1）马边河舟坝黄丹库区水面漂浮物清理打捞社会会服务资金年初预算38.8万元，</w:t>
      </w:r>
      <w:r>
        <w:rPr>
          <w:rFonts w:hint="eastAsia" w:ascii="仿宋_GB2312" w:hAnsi="宋体" w:eastAsia="仿宋_GB2312" w:cs="Times New Roman"/>
          <w:sz w:val="32"/>
          <w:szCs w:val="32"/>
          <w:lang w:val="zh-CN"/>
        </w:rPr>
        <w:t>实际支出</w:t>
      </w:r>
      <w:r>
        <w:rPr>
          <w:rFonts w:hint="eastAsia" w:ascii="仿宋_GB2312" w:hAnsi="宋体" w:eastAsia="仿宋_GB2312" w:cs="Times New Roman"/>
          <w:sz w:val="32"/>
          <w:szCs w:val="32"/>
          <w:lang w:val="en-US" w:eastAsia="zh-CN"/>
        </w:rPr>
        <w:t>38.8万元，支付进度100%，支付依据合规合法，资金支付与预算相符。</w:t>
      </w:r>
    </w:p>
    <w:p w14:paraId="031DD122">
      <w:pPr>
        <w:adjustRightInd w:val="0"/>
        <w:snapToGrid w:val="0"/>
        <w:spacing w:line="560" w:lineRule="exact"/>
        <w:ind w:firstLine="72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（2）“河长制”工作经费年初预算5万元，</w:t>
      </w:r>
      <w:r>
        <w:rPr>
          <w:rFonts w:hint="eastAsia" w:ascii="仿宋_GB2312" w:hAnsi="宋体" w:eastAsia="仿宋_GB2312" w:cs="Times New Roman"/>
          <w:sz w:val="32"/>
          <w:szCs w:val="32"/>
          <w:lang w:val="zh-CN"/>
        </w:rPr>
        <w:t>实际支出</w:t>
      </w:r>
      <w:r>
        <w:rPr>
          <w:rFonts w:hint="eastAsia" w:ascii="仿宋_GB2312" w:hAnsi="宋体" w:eastAsia="仿宋_GB2312" w:cs="Times New Roman"/>
          <w:sz w:val="32"/>
          <w:szCs w:val="32"/>
          <w:lang w:val="en-US" w:eastAsia="zh-CN"/>
        </w:rPr>
        <w:t>0万元，支付进度0，未支付原因是该项目推迟到2022年实施。剩余资金5万元已结转到2022年。</w:t>
      </w:r>
    </w:p>
    <w:p w14:paraId="58C3901B">
      <w:pPr>
        <w:numPr>
          <w:ilvl w:val="0"/>
          <w:numId w:val="0"/>
        </w:numPr>
        <w:adjustRightInd w:val="0"/>
        <w:snapToGrid w:val="0"/>
        <w:spacing w:line="560" w:lineRule="exact"/>
        <w:ind w:firstLine="64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生产建设项目水土保持“天地一体化”监管技术服务费年初预算15万元，实际支出14.72万元，支付进度98%，未支付完毕原因为该项目2021年未达到支付完毕的条件，2022年继续支付。剩余资金0.28万元已被财政收回。</w:t>
      </w:r>
    </w:p>
    <w:p w14:paraId="796AAC09">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（4）小二型水库管理人员费用年初预算3万元，实际支出2.64万元，支付进度88%，未支付完毕原因是疫情本年度未进行水库管理人员的培训，结余资金0.36万元被财政收回。</w:t>
      </w:r>
    </w:p>
    <w:p w14:paraId="239E75F4">
      <w:pPr>
        <w:numPr>
          <w:ilvl w:val="0"/>
          <w:numId w:val="0"/>
        </w:numPr>
        <w:adjustRightInd w:val="0"/>
        <w:snapToGrid w:val="0"/>
        <w:spacing w:line="560" w:lineRule="exact"/>
        <w:ind w:firstLine="640"/>
        <w:rPr>
          <w:rFonts w:hint="default"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lang w:val="en-US" w:eastAsia="zh-CN"/>
        </w:rPr>
        <w:t>（5）水质监测专项资金年初预算3万元，实际支出1.8634万元，支付进度62%，未支付完毕原因</w:t>
      </w:r>
      <w:r>
        <w:rPr>
          <w:rFonts w:hint="eastAsia" w:ascii="仿宋_GB2312" w:hAnsi="宋体" w:eastAsia="仿宋_GB2312" w:cs="Times New Roman"/>
          <w:sz w:val="32"/>
          <w:szCs w:val="32"/>
          <w:highlight w:val="none"/>
          <w:lang w:val="en-US" w:eastAsia="zh-CN"/>
        </w:rPr>
        <w:t>2021年水质监测项目减少，剩余资金1.1366万元已被财政收回。</w:t>
      </w:r>
    </w:p>
    <w:p w14:paraId="718CFB23">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（6）山洪灾害非工程措施项目运行维护经费年初预算25万元，实际支出8.6208万元，支付进度34%，未支付完毕原因为：项目包含三个子项目，其中本年未支付的子项目为</w:t>
      </w:r>
      <w:r>
        <w:rPr>
          <w:rFonts w:hint="eastAsia" w:ascii="仿宋_GB2312" w:hAnsi="宋体" w:eastAsia="仿宋_GB2312" w:cs="Times New Roman"/>
          <w:sz w:val="32"/>
          <w:szCs w:val="32"/>
          <w:lang w:val="zh-CN" w:eastAsia="zh-CN"/>
        </w:rPr>
        <w:t>山洪灾害监测预警运行维护服务项目，该子项目资金来源改为</w:t>
      </w:r>
      <w:r>
        <w:rPr>
          <w:rFonts w:hint="eastAsia" w:ascii="仿宋_GB2312" w:hAnsi="宋体" w:eastAsia="仿宋_GB2312" w:cs="Times New Roman"/>
          <w:sz w:val="32"/>
          <w:szCs w:val="32"/>
          <w:lang w:val="en-US" w:eastAsia="zh-CN"/>
        </w:rPr>
        <w:t>2021年中央和省级水利发展资金（川财农【2020】167号）。剩余资金16.38万元结转到2022年。</w:t>
      </w:r>
    </w:p>
    <w:p w14:paraId="26955977">
      <w:pPr>
        <w:numPr>
          <w:ilvl w:val="0"/>
          <w:numId w:val="0"/>
        </w:numPr>
        <w:adjustRightInd w:val="0"/>
        <w:snapToGrid w:val="0"/>
        <w:spacing w:line="560" w:lineRule="exact"/>
        <w:ind w:firstLine="64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（7）政务运转工作经费年初预算30万元，实际支出30万元，支付依据合规合法，资金支付与预算相符。</w:t>
      </w:r>
    </w:p>
    <w:p w14:paraId="0812FDEA">
      <w:pPr>
        <w:adjustRightInd w:val="0"/>
        <w:snapToGrid w:val="0"/>
        <w:spacing w:line="560" w:lineRule="exact"/>
        <w:ind w:firstLine="72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687D4940">
      <w:pPr>
        <w:adjustRightInd w:val="0"/>
        <w:snapToGrid w:val="0"/>
        <w:spacing w:line="58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水务局财务管理制度健全，严格执行财务管理制度，账务处理及时，会计核算规范。</w:t>
      </w:r>
    </w:p>
    <w:p w14:paraId="3573D297">
      <w:pPr>
        <w:adjustRightInd w:val="0"/>
        <w:snapToGrid w:val="0"/>
        <w:spacing w:line="560" w:lineRule="exact"/>
        <w:ind w:firstLine="72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62568EE4">
      <w:pPr>
        <w:widowControl w:val="0"/>
        <w:spacing w:before="0" w:beforeAutospacing="0" w:after="0" w:afterAutospacing="0" w:line="600" w:lineRule="exact"/>
        <w:ind w:firstLine="480" w:firstLineChars="200"/>
        <w:jc w:val="both"/>
        <w:rPr>
          <w:rFonts w:ascii="Times New Roman" w:hAnsi="Times New Roman" w:eastAsia="仿宋_GB2312" w:cs="Times New Roman"/>
          <w:kern w:val="0"/>
          <w:sz w:val="32"/>
          <w:szCs w:val="32"/>
          <w:lang w:val="en-US" w:eastAsia="zh-CN" w:bidi="ar-SA"/>
        </w:rPr>
      </w:pPr>
      <w:r>
        <w:rPr>
          <w:rFonts w:hint="eastAsia" w:ascii="仿宋_GB2312" w:hAnsi="宋体" w:eastAsia="仿宋_GB2312" w:cs="宋体"/>
          <w:kern w:val="0"/>
          <w:sz w:val="24"/>
          <w:szCs w:val="32"/>
          <w:lang w:val="en-US" w:eastAsia="zh-CN" w:bidi="ar-SA"/>
        </w:rPr>
        <w:t xml:space="preserve">  </w:t>
      </w:r>
      <w:r>
        <w:rPr>
          <w:rFonts w:hint="eastAsia" w:ascii="Times New Roman" w:hAnsi="Times New Roman" w:eastAsia="仿宋_GB2312" w:cs="Times New Roman"/>
          <w:kern w:val="0"/>
          <w:sz w:val="32"/>
          <w:szCs w:val="32"/>
          <w:lang w:val="en-US" w:eastAsia="zh-CN" w:bidi="ar-SA"/>
        </w:rPr>
        <w:t>依照《中华人民共和国防洪法》规定</w:t>
      </w:r>
      <w:r>
        <w:rPr>
          <w:rFonts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防汛抗洪工作实行各级人民政府行政首长负责制，统一指挥、分级分部门负责</w:t>
      </w:r>
      <w:r>
        <w:rPr>
          <w:rFonts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的原则，设立沐川县防汛抗旱指挥部，负责组织领导全县的防汛抗旱工作。其办事机构沐川县防汛抗旱指挥部办公室设在县水务局。</w:t>
      </w:r>
    </w:p>
    <w:p w14:paraId="2D1A4398">
      <w:pPr>
        <w:widowControl w:val="0"/>
        <w:spacing w:before="0" w:beforeAutospacing="0" w:after="0" w:afterAutospacing="0" w:line="600" w:lineRule="exact"/>
        <w:ind w:firstLine="640" w:firstLineChars="200"/>
        <w:jc w:val="both"/>
        <w:rPr>
          <w:rFonts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防汛信息的收集、监测和预警按统一渠道，分级、分区域、分专业的原则实施。各职能部门按照职责和分工分别对防汛信息进行监测、收集、核实、上报和管理。</w:t>
      </w:r>
    </w:p>
    <w:p w14:paraId="10AB24C5">
      <w:pPr>
        <w:spacing w:line="600" w:lineRule="exact"/>
        <w:ind w:firstLine="576" w:firstLineChars="18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rPr>
        <w:t>县防汛办制定了县城防洪抢险预案、山溪河流洪水防御方案、地质灾害防御方案、水库防洪调度方案、公路交通防洪调度方案、洪水淹没区人员转移撤离预案、山洪灾害点防御预案。保障措施有信息保障、通讯保障、现场救援和工程抢险装备保障、后勤保障、应急抢险队伍保障、抢险物资保障、交通运输保障和</w:t>
      </w:r>
      <w:r>
        <w:rPr>
          <w:rFonts w:hint="eastAsia" w:eastAsia="仿宋_GB2312" w:cs="Times New Roman"/>
          <w:kern w:val="0"/>
          <w:sz w:val="32"/>
          <w:szCs w:val="32"/>
          <w:lang w:eastAsia="zh-CN"/>
        </w:rPr>
        <w:t>法治</w:t>
      </w:r>
      <w:bookmarkStart w:id="73" w:name="_GoBack"/>
      <w:bookmarkEnd w:id="73"/>
      <w:r>
        <w:rPr>
          <w:rFonts w:hint="eastAsia" w:ascii="Times New Roman" w:hAnsi="Times New Roman" w:eastAsia="仿宋_GB2312" w:cs="Times New Roman"/>
          <w:kern w:val="0"/>
          <w:sz w:val="32"/>
          <w:szCs w:val="32"/>
        </w:rPr>
        <w:t>保障，确保人民生命和财产安全</w:t>
      </w:r>
      <w:r>
        <w:rPr>
          <w:rFonts w:hint="eastAsia" w:ascii="Times New Roman" w:hAnsi="Times New Roman" w:eastAsia="仿宋_GB2312" w:cs="Times New Roman"/>
          <w:kern w:val="0"/>
          <w:sz w:val="32"/>
          <w:szCs w:val="32"/>
          <w:lang w:eastAsia="zh-CN"/>
        </w:rPr>
        <w:t>。</w:t>
      </w:r>
    </w:p>
    <w:p w14:paraId="691DE408">
      <w:pPr>
        <w:adjustRightInd w:val="0"/>
        <w:snapToGrid w:val="0"/>
        <w:spacing w:line="560" w:lineRule="exact"/>
        <w:ind w:firstLine="720"/>
        <w:rPr>
          <w:rFonts w:ascii="仿宋_GB2312" w:hAnsi="宋体" w:eastAsia="仿宋_GB2312" w:cs="Times New Roman"/>
          <w:sz w:val="32"/>
          <w:szCs w:val="32"/>
          <w:lang w:val="zh-CN"/>
        </w:rPr>
      </w:pPr>
      <w:r>
        <w:rPr>
          <w:rFonts w:hint="eastAsia" w:ascii="黑体" w:hAnsi="宋体" w:eastAsia="黑体" w:cs="Times New Roman"/>
          <w:sz w:val="32"/>
          <w:szCs w:val="32"/>
        </w:rPr>
        <w:t>三、项目绩效情况</w:t>
      </w:r>
      <w:r>
        <w:rPr>
          <w:rFonts w:hint="eastAsia" w:ascii="仿宋_GB2312" w:hAnsi="宋体" w:eastAsia="仿宋_GB2312" w:cs="Times New Roman"/>
          <w:sz w:val="32"/>
          <w:szCs w:val="32"/>
          <w:lang w:val="zh-CN"/>
        </w:rPr>
        <w:tab/>
      </w:r>
    </w:p>
    <w:p w14:paraId="25000419">
      <w:pPr>
        <w:numPr>
          <w:ilvl w:val="0"/>
          <w:numId w:val="10"/>
        </w:numPr>
        <w:adjustRightInd w:val="0"/>
        <w:snapToGrid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仿宋_GB2312" w:hAnsi="宋体" w:eastAsia="仿宋_GB2312" w:cs="Times New Roman"/>
          <w:sz w:val="32"/>
          <w:szCs w:val="32"/>
          <w:lang w:val="en-US" w:eastAsia="zh-CN"/>
        </w:rPr>
        <w:t>马边河舟坝黄丹库区水面漂浮物清理打捞社会会服务资金项目达到马边河舟坝黄丹库区水面无漂浮垃圾，水面清洁，水质良好，每周清理两次以上，水环境质量全面改善。无结余资金。无结余资金。</w:t>
      </w:r>
    </w:p>
    <w:p w14:paraId="540B2706">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2、“河长制”工作经费项目推迟到2022年实施。剩余资金5万元已结转到2022年。</w:t>
      </w:r>
    </w:p>
    <w:p w14:paraId="0C692F91">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3、生产建设项目水土保持“天地一体化”监管技术服务费项目提高我县生产建设项目水土保持监督管理水平，实现生产建设项目水土保持全覆盖。剩余资金0.28万元已被财政收回。</w:t>
      </w:r>
    </w:p>
    <w:p w14:paraId="0B75E9E7">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4、小二型水库管理人员费用项目完成主要乡镇11座小（二）型水库管理人员工资、通讯费、交通费、培训费等支出。通过项目实施进一步加大水库安全管理力度，确保水库安全运行。结余资金0.36万元被财政收回。</w:t>
      </w:r>
    </w:p>
    <w:p w14:paraId="046302CB">
      <w:pPr>
        <w:numPr>
          <w:ilvl w:val="0"/>
          <w:numId w:val="0"/>
        </w:numPr>
        <w:adjustRightInd w:val="0"/>
        <w:snapToGrid w:val="0"/>
        <w:spacing w:line="560" w:lineRule="exact"/>
        <w:ind w:firstLine="64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5、水质监测专项资金项目实施保证了水质安全、卫生，符合饮用水标准，确保居民饮用水安全。结余资金1.1366万元被财政收回。</w:t>
      </w:r>
    </w:p>
    <w:p w14:paraId="18C04F76">
      <w:pPr>
        <w:adjustRightInd w:val="0"/>
        <w:snapToGrid w:val="0"/>
        <w:spacing w:line="560" w:lineRule="exact"/>
        <w:ind w:firstLine="72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6、山洪灾害非工程措施项目运行维护经费用项目实施预防了山洪灾害，保护全县人民汛期群众生命财产安全。剩余资金16.38万元结转到2022年。</w:t>
      </w:r>
    </w:p>
    <w:p w14:paraId="16583747">
      <w:pPr>
        <w:adjustRightInd w:val="0"/>
        <w:snapToGrid w:val="0"/>
        <w:spacing w:line="560" w:lineRule="exact"/>
        <w:ind w:firstLine="720"/>
        <w:rPr>
          <w:rFonts w:hint="default" w:ascii="宋体" w:hAnsi="宋体" w:eastAsia="仿宋_GB2312" w:cs="Times New Roman"/>
          <w:b w:val="0"/>
          <w:bCs w:val="0"/>
          <w:kern w:val="2"/>
          <w:sz w:val="32"/>
          <w:szCs w:val="21"/>
          <w:lang w:val="en-US" w:eastAsia="zh-CN" w:bidi="ar-SA"/>
        </w:rPr>
      </w:pPr>
      <w:r>
        <w:rPr>
          <w:rFonts w:hint="eastAsia" w:ascii="仿宋_GB2312" w:hAnsi="宋体" w:eastAsia="仿宋_GB2312" w:cs="Times New Roman"/>
          <w:sz w:val="32"/>
          <w:szCs w:val="32"/>
          <w:lang w:val="en-US" w:eastAsia="zh-CN"/>
        </w:rPr>
        <w:t>7、政务运转工作经费项目实施指导全县防汛工作，管理县城景观用水、起到防灾减灾、美化县城的作用，防止设行洪障碍等水行政执法行为，建立健全河、库长效管护机制，妥善处理号上下游、左右岸、干支流关系，联动推进治理、管护和建设工作，保障我县河、库、堰水环境持续改善，水功能正常发挥。无结余资金。</w:t>
      </w:r>
    </w:p>
    <w:p w14:paraId="364788FB">
      <w:pPr>
        <w:adjustRightInd w:val="0"/>
        <w:snapToGrid w:val="0"/>
        <w:spacing w:line="560" w:lineRule="exact"/>
        <w:ind w:firstLine="720"/>
        <w:rPr>
          <w:rFonts w:ascii="黑体" w:hAnsi="宋体" w:eastAsia="黑体" w:cs="Times New Roman"/>
          <w:sz w:val="32"/>
          <w:szCs w:val="32"/>
        </w:rPr>
      </w:pPr>
      <w:r>
        <w:rPr>
          <w:rFonts w:hint="eastAsia" w:ascii="黑体" w:hAnsi="宋体" w:eastAsia="黑体" w:cs="Times New Roman"/>
          <w:sz w:val="32"/>
          <w:szCs w:val="32"/>
        </w:rPr>
        <w:t>四、问题及建议</w:t>
      </w:r>
    </w:p>
    <w:p w14:paraId="481F49D2">
      <w:pPr>
        <w:adjustRightInd w:val="0"/>
        <w:snapToGrid w:val="0"/>
        <w:spacing w:line="560" w:lineRule="exact"/>
        <w:ind w:firstLine="720"/>
        <w:rPr>
          <w:rFonts w:hint="default" w:ascii="仿宋_GB2312" w:hAnsi="宋体" w:eastAsia="仿宋_GB2312" w:cs="Times New Roman"/>
          <w:b w:val="0"/>
          <w:bCs w:val="0"/>
          <w:kern w:val="2"/>
          <w:sz w:val="32"/>
          <w:szCs w:val="32"/>
          <w:lang w:val="en-US" w:eastAsia="zh-CN" w:bidi="ar-SA"/>
        </w:rPr>
      </w:pPr>
      <w:r>
        <w:rPr>
          <w:rFonts w:hint="eastAsia" w:ascii="楷体_GB2312" w:hAnsi="宋体" w:eastAsia="楷体_GB2312" w:cs="Times New Roman"/>
          <w:b/>
          <w:sz w:val="32"/>
          <w:szCs w:val="32"/>
          <w:lang w:val="zh-CN"/>
        </w:rPr>
        <w:t>（一）存在的问题。</w:t>
      </w:r>
      <w:r>
        <w:rPr>
          <w:rFonts w:hint="eastAsia" w:ascii="仿宋_GB2312" w:hAnsi="宋体" w:eastAsia="仿宋_GB2312" w:cs="Times New Roman"/>
          <w:b w:val="0"/>
          <w:bCs w:val="0"/>
          <w:kern w:val="2"/>
          <w:sz w:val="32"/>
          <w:szCs w:val="32"/>
          <w:lang w:val="en-US" w:eastAsia="zh-CN" w:bidi="ar-SA"/>
        </w:rPr>
        <w:t>无。</w:t>
      </w:r>
    </w:p>
    <w:p w14:paraId="63206847">
      <w:pPr>
        <w:adjustRightInd w:val="0"/>
        <w:snapToGrid w:val="0"/>
        <w:spacing w:line="560" w:lineRule="exact"/>
        <w:ind w:firstLine="72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（二）相关建议。</w:t>
      </w:r>
      <w:r>
        <w:rPr>
          <w:rFonts w:hint="eastAsia" w:ascii="仿宋_GB2312" w:hAnsi="宋体" w:eastAsia="仿宋_GB2312" w:cs="Times New Roman"/>
          <w:sz w:val="32"/>
          <w:szCs w:val="32"/>
          <w:lang w:val="zh-CN"/>
        </w:rPr>
        <w:t>无。</w:t>
      </w:r>
    </w:p>
    <w:p w14:paraId="2ED8DE65">
      <w:pPr>
        <w:pStyle w:val="5"/>
        <w:rPr>
          <w:rFonts w:hint="eastAsia"/>
          <w:color w:val="auto"/>
          <w:highlight w:val="none"/>
          <w:lang w:val="zh-CN"/>
        </w:rPr>
      </w:pPr>
    </w:p>
    <w:p w14:paraId="234C947F">
      <w:pPr>
        <w:pStyle w:val="5"/>
        <w:rPr>
          <w:rFonts w:hint="eastAsia"/>
          <w:color w:val="auto"/>
          <w:highlight w:val="none"/>
          <w:lang w:val="zh-CN"/>
        </w:rPr>
      </w:pPr>
    </w:p>
    <w:p w14:paraId="787252A0">
      <w:pPr>
        <w:pStyle w:val="5"/>
        <w:rPr>
          <w:rFonts w:hint="eastAsia"/>
          <w:color w:val="auto"/>
          <w:highlight w:val="none"/>
          <w:lang w:val="zh-CN"/>
        </w:rPr>
      </w:pPr>
    </w:p>
    <w:p w14:paraId="62BCB681">
      <w:pPr>
        <w:pStyle w:val="5"/>
        <w:rPr>
          <w:rFonts w:hint="eastAsia"/>
          <w:color w:val="auto"/>
          <w:highlight w:val="none"/>
          <w:lang w:val="zh-CN"/>
        </w:rPr>
      </w:pPr>
    </w:p>
    <w:p w14:paraId="4DF8C2AE">
      <w:pPr>
        <w:pStyle w:val="5"/>
        <w:rPr>
          <w:rFonts w:hint="eastAsia"/>
          <w:color w:val="auto"/>
          <w:highlight w:val="none"/>
          <w:lang w:val="zh-CN"/>
        </w:rPr>
      </w:pPr>
    </w:p>
    <w:p w14:paraId="266A72CC">
      <w:pPr>
        <w:pStyle w:val="5"/>
        <w:rPr>
          <w:rFonts w:hint="eastAsia"/>
          <w:color w:val="auto"/>
          <w:highlight w:val="none"/>
          <w:lang w:val="zh-CN"/>
        </w:rPr>
      </w:pPr>
    </w:p>
    <w:p w14:paraId="02608F3D">
      <w:pPr>
        <w:pStyle w:val="5"/>
        <w:rPr>
          <w:rFonts w:hint="eastAsia"/>
          <w:color w:val="auto"/>
          <w:highlight w:val="none"/>
          <w:lang w:val="zh-CN"/>
        </w:rPr>
      </w:pPr>
    </w:p>
    <w:p w14:paraId="12B04EB5">
      <w:pPr>
        <w:pStyle w:val="5"/>
        <w:rPr>
          <w:rFonts w:hint="eastAsia"/>
          <w:color w:val="auto"/>
          <w:highlight w:val="none"/>
          <w:lang w:val="zh-CN"/>
        </w:rPr>
      </w:pPr>
    </w:p>
    <w:p w14:paraId="5A6B532B">
      <w:pPr>
        <w:pStyle w:val="5"/>
        <w:rPr>
          <w:rFonts w:hint="eastAsia"/>
          <w:color w:val="auto"/>
          <w:highlight w:val="none"/>
          <w:lang w:val="zh-CN"/>
        </w:rPr>
      </w:pPr>
    </w:p>
    <w:p w14:paraId="4C8BAE18">
      <w:pPr>
        <w:pStyle w:val="5"/>
        <w:rPr>
          <w:rFonts w:hint="eastAsia"/>
          <w:color w:val="auto"/>
          <w:highlight w:val="none"/>
          <w:lang w:val="zh-CN"/>
        </w:rPr>
      </w:pPr>
    </w:p>
    <w:p w14:paraId="3515759D">
      <w:pPr>
        <w:pStyle w:val="5"/>
        <w:rPr>
          <w:rFonts w:hint="eastAsia"/>
          <w:color w:val="auto"/>
          <w:highlight w:val="none"/>
          <w:lang w:val="zh-CN"/>
        </w:rPr>
      </w:pPr>
    </w:p>
    <w:p w14:paraId="5AF6CF74">
      <w:pPr>
        <w:spacing w:line="580" w:lineRule="exact"/>
        <w:rPr>
          <w:rStyle w:val="27"/>
          <w:rFonts w:ascii="黑体" w:hAnsi="黑体" w:eastAsia="黑体"/>
          <w:b w:val="0"/>
          <w:color w:val="auto"/>
          <w:highlight w:val="none"/>
        </w:rPr>
      </w:pPr>
    </w:p>
    <w:p w14:paraId="0ADF45DD">
      <w:pPr>
        <w:widowControl/>
        <w:jc w:val="left"/>
        <w:rPr>
          <w:rStyle w:val="27"/>
          <w:rFonts w:ascii="黑体" w:hAnsi="黑体" w:eastAsia="黑体"/>
          <w:b w:val="0"/>
          <w:color w:val="auto"/>
          <w:highlight w:val="none"/>
        </w:rPr>
      </w:pPr>
      <w:r>
        <w:rPr>
          <w:rStyle w:val="27"/>
          <w:rFonts w:ascii="黑体" w:hAnsi="黑体" w:eastAsia="黑体"/>
          <w:b w:val="0"/>
          <w:color w:val="auto"/>
          <w:highlight w:val="none"/>
        </w:rPr>
        <w:br w:type="page"/>
      </w:r>
    </w:p>
    <w:p w14:paraId="2802FE67">
      <w:pPr>
        <w:spacing w:line="600" w:lineRule="exact"/>
        <w:jc w:val="center"/>
        <w:outlineLvl w:val="0"/>
        <w:rPr>
          <w:rFonts w:hint="eastAsia" w:ascii="仿宋" w:hAnsi="仿宋" w:eastAsia="仿宋"/>
          <w:b w:val="0"/>
          <w:color w:val="auto"/>
          <w:highlight w:val="none"/>
        </w:rPr>
      </w:pPr>
      <w:bookmarkStart w:id="59" w:name="_Toc15396618"/>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五部分 附表</w:t>
      </w:r>
      <w:bookmarkEnd w:id="57"/>
      <w:bookmarkEnd w:id="59"/>
      <w:bookmarkStart w:id="60" w:name="_Toc15396619"/>
    </w:p>
    <w:p w14:paraId="4786B2AE">
      <w:pPr>
        <w:pStyle w:val="2"/>
        <w:rPr>
          <w:rFonts w:ascii="仿宋" w:hAnsi="仿宋" w:eastAsia="仿宋"/>
          <w:color w:val="auto"/>
          <w:highlight w:val="none"/>
        </w:rPr>
      </w:pPr>
      <w:r>
        <w:rPr>
          <w:rFonts w:hint="eastAsia" w:ascii="仿宋" w:hAnsi="仿宋" w:eastAsia="仿宋"/>
          <w:b w:val="0"/>
          <w:color w:val="auto"/>
          <w:highlight w:val="none"/>
        </w:rPr>
        <w:t>一、收</w:t>
      </w:r>
      <w:r>
        <w:rPr>
          <w:rStyle w:val="28"/>
          <w:rFonts w:hint="eastAsia" w:ascii="仿宋" w:hAnsi="仿宋" w:eastAsia="仿宋"/>
          <w:b w:val="0"/>
          <w:bCs w:val="0"/>
          <w:color w:val="auto"/>
          <w:highlight w:val="none"/>
        </w:rPr>
        <w:t>入支出决算总表</w:t>
      </w:r>
      <w:bookmarkEnd w:id="60"/>
    </w:p>
    <w:p w14:paraId="5A241609">
      <w:pPr>
        <w:pStyle w:val="2"/>
        <w:rPr>
          <w:rFonts w:ascii="仿宋" w:hAnsi="仿宋" w:eastAsia="仿宋"/>
          <w:color w:val="auto"/>
          <w:highlight w:val="none"/>
        </w:rPr>
      </w:pPr>
      <w:bookmarkStart w:id="61" w:name="_Toc15396620"/>
      <w:r>
        <w:rPr>
          <w:rFonts w:hint="eastAsia" w:ascii="仿宋" w:hAnsi="仿宋" w:eastAsia="仿宋"/>
          <w:b w:val="0"/>
          <w:color w:val="auto"/>
          <w:highlight w:val="none"/>
        </w:rPr>
        <w:t>二、收</w:t>
      </w:r>
      <w:r>
        <w:rPr>
          <w:rStyle w:val="28"/>
          <w:rFonts w:hint="eastAsia" w:ascii="仿宋" w:hAnsi="仿宋" w:eastAsia="仿宋"/>
          <w:b w:val="0"/>
          <w:bCs w:val="0"/>
          <w:color w:val="auto"/>
          <w:highlight w:val="none"/>
        </w:rPr>
        <w:t>入决算表</w:t>
      </w:r>
      <w:bookmarkEnd w:id="61"/>
    </w:p>
    <w:p w14:paraId="37C6221A">
      <w:pPr>
        <w:pStyle w:val="2"/>
        <w:rPr>
          <w:rFonts w:ascii="仿宋" w:hAnsi="仿宋" w:eastAsia="仿宋"/>
          <w:color w:val="auto"/>
          <w:highlight w:val="none"/>
        </w:rPr>
      </w:pPr>
      <w:bookmarkStart w:id="62" w:name="_Toc15396621"/>
      <w:r>
        <w:rPr>
          <w:rStyle w:val="2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8"/>
          <w:rFonts w:hint="eastAsia" w:ascii="仿宋" w:hAnsi="仿宋" w:eastAsia="仿宋"/>
          <w:b w:val="0"/>
          <w:bCs w:val="0"/>
          <w:color w:val="auto"/>
          <w:highlight w:val="none"/>
        </w:rPr>
        <w:t>出决算表</w:t>
      </w:r>
      <w:bookmarkEnd w:id="62"/>
    </w:p>
    <w:p w14:paraId="105958F9">
      <w:pPr>
        <w:pStyle w:val="2"/>
        <w:rPr>
          <w:rFonts w:ascii="仿宋" w:hAnsi="仿宋" w:eastAsia="仿宋"/>
          <w:b w:val="0"/>
          <w:color w:val="auto"/>
          <w:highlight w:val="none"/>
        </w:rPr>
      </w:pPr>
      <w:bookmarkStart w:id="63" w:name="_Toc15396622"/>
      <w:r>
        <w:rPr>
          <w:rStyle w:val="2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政拨款收入支出决算总表</w:t>
      </w:r>
      <w:bookmarkEnd w:id="63"/>
    </w:p>
    <w:p w14:paraId="2073CDF4">
      <w:pPr>
        <w:pStyle w:val="2"/>
        <w:rPr>
          <w:rStyle w:val="28"/>
          <w:rFonts w:ascii="仿宋" w:hAnsi="仿宋" w:eastAsia="仿宋"/>
          <w:b w:val="0"/>
          <w:bCs w:val="0"/>
          <w:color w:val="auto"/>
          <w:highlight w:val="none"/>
        </w:rPr>
      </w:pPr>
      <w:bookmarkStart w:id="64" w:name="_Toc15396623"/>
      <w:r>
        <w:rPr>
          <w:rStyle w:val="2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政拨款支出决算明细表</w:t>
      </w:r>
      <w:bookmarkEnd w:id="64"/>
      <w:bookmarkStart w:id="65" w:name="_Toc15396624"/>
    </w:p>
    <w:p w14:paraId="6E05C3BB">
      <w:pPr>
        <w:pStyle w:val="2"/>
        <w:rPr>
          <w:rFonts w:ascii="仿宋" w:hAnsi="仿宋" w:eastAsia="仿宋"/>
          <w:color w:val="auto"/>
          <w:highlight w:val="none"/>
        </w:rPr>
      </w:pPr>
      <w:r>
        <w:rPr>
          <w:rStyle w:val="2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般公共预算财政拨款支出决算表</w:t>
      </w:r>
      <w:bookmarkEnd w:id="65"/>
    </w:p>
    <w:p w14:paraId="3BAA1F18">
      <w:pPr>
        <w:pStyle w:val="2"/>
        <w:rPr>
          <w:rFonts w:ascii="仿宋" w:hAnsi="仿宋" w:eastAsia="仿宋"/>
          <w:color w:val="auto"/>
          <w:highlight w:val="none"/>
        </w:rPr>
      </w:pPr>
      <w:bookmarkStart w:id="66" w:name="_Toc15396625"/>
      <w:r>
        <w:rPr>
          <w:rStyle w:val="2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般公共预算财政拨款支出决算明细表</w:t>
      </w:r>
      <w:bookmarkEnd w:id="66"/>
    </w:p>
    <w:p w14:paraId="15B0997B">
      <w:pPr>
        <w:pStyle w:val="2"/>
        <w:rPr>
          <w:rFonts w:ascii="仿宋" w:hAnsi="仿宋" w:eastAsia="仿宋"/>
          <w:color w:val="auto"/>
          <w:highlight w:val="none"/>
        </w:rPr>
      </w:pPr>
      <w:bookmarkStart w:id="67" w:name="_Toc15396626"/>
      <w:r>
        <w:rPr>
          <w:rStyle w:val="2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般公共预算财政拨款基本支出决算表</w:t>
      </w:r>
      <w:bookmarkEnd w:id="67"/>
    </w:p>
    <w:p w14:paraId="3CFD6247">
      <w:pPr>
        <w:pStyle w:val="2"/>
        <w:rPr>
          <w:rFonts w:ascii="仿宋" w:hAnsi="仿宋" w:eastAsia="仿宋"/>
          <w:color w:val="auto"/>
          <w:highlight w:val="none"/>
        </w:rPr>
      </w:pPr>
      <w:bookmarkStart w:id="68" w:name="_Toc15396627"/>
      <w:r>
        <w:rPr>
          <w:rStyle w:val="2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般公共预算财政拨款项目支出决算表</w:t>
      </w:r>
      <w:bookmarkEnd w:id="68"/>
    </w:p>
    <w:p w14:paraId="3AB6E892">
      <w:pPr>
        <w:pStyle w:val="2"/>
        <w:rPr>
          <w:rFonts w:ascii="仿宋" w:hAnsi="仿宋" w:eastAsia="仿宋"/>
          <w:color w:val="auto"/>
          <w:highlight w:val="none"/>
        </w:rPr>
      </w:pPr>
      <w:bookmarkStart w:id="69" w:name="_Toc15396628"/>
      <w:r>
        <w:rPr>
          <w:rStyle w:val="28"/>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般公共预算财政拨款“三公”经费支出决算表</w:t>
      </w:r>
      <w:bookmarkEnd w:id="69"/>
    </w:p>
    <w:p w14:paraId="7E8A3824">
      <w:pPr>
        <w:pStyle w:val="2"/>
        <w:rPr>
          <w:rFonts w:ascii="仿宋" w:hAnsi="仿宋" w:eastAsia="仿宋"/>
          <w:color w:val="auto"/>
          <w:highlight w:val="none"/>
        </w:rPr>
      </w:pPr>
      <w:bookmarkStart w:id="70" w:name="_Toc15396629"/>
      <w:r>
        <w:rPr>
          <w:rStyle w:val="28"/>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8"/>
          <w:rFonts w:hint="eastAsia" w:ascii="仿宋" w:hAnsi="仿宋" w:eastAsia="仿宋"/>
          <w:b w:val="0"/>
          <w:bCs w:val="0"/>
          <w:color w:val="auto"/>
          <w:highlight w:val="none"/>
        </w:rPr>
        <w:t>府性基金预算财政拨款收入支出决算表</w:t>
      </w:r>
      <w:bookmarkEnd w:id="70"/>
    </w:p>
    <w:p w14:paraId="3F11CA7B">
      <w:pPr>
        <w:pStyle w:val="2"/>
        <w:rPr>
          <w:rFonts w:ascii="仿宋" w:hAnsi="仿宋" w:eastAsia="仿宋"/>
          <w:color w:val="auto"/>
          <w:highlight w:val="none"/>
        </w:rPr>
      </w:pPr>
      <w:bookmarkStart w:id="71" w:name="_Toc15396630"/>
      <w:r>
        <w:rPr>
          <w:rStyle w:val="28"/>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8"/>
          <w:rFonts w:hint="eastAsia" w:ascii="仿宋" w:hAnsi="仿宋" w:eastAsia="仿宋"/>
          <w:b w:val="0"/>
          <w:bCs w:val="0"/>
          <w:color w:val="auto"/>
          <w:highlight w:val="none"/>
        </w:rPr>
        <w:t>府性基金预算财政拨款“三公”经费支出决算表</w:t>
      </w:r>
      <w:bookmarkEnd w:id="71"/>
    </w:p>
    <w:p w14:paraId="1CAD7FA1">
      <w:pPr>
        <w:pStyle w:val="2"/>
        <w:rPr>
          <w:rStyle w:val="28"/>
          <w:rFonts w:hint="eastAsia" w:ascii="仿宋" w:hAnsi="仿宋" w:eastAsia="仿宋"/>
          <w:b w:val="0"/>
          <w:bCs w:val="0"/>
          <w:color w:val="auto"/>
          <w:highlight w:val="none"/>
        </w:rPr>
      </w:pPr>
      <w:bookmarkStart w:id="72" w:name="_Toc15396631"/>
      <w:r>
        <w:rPr>
          <w:rStyle w:val="28"/>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8"/>
          <w:rFonts w:hint="eastAsia" w:ascii="仿宋" w:hAnsi="仿宋" w:eastAsia="仿宋"/>
          <w:b w:val="0"/>
          <w:bCs w:val="0"/>
          <w:color w:val="auto"/>
          <w:highlight w:val="none"/>
        </w:rPr>
        <w:t>有资本经营预算</w:t>
      </w:r>
      <w:r>
        <w:rPr>
          <w:rStyle w:val="28"/>
          <w:rFonts w:hint="eastAsia" w:ascii="仿宋" w:hAnsi="仿宋" w:eastAsia="仿宋"/>
          <w:b w:val="0"/>
          <w:bCs w:val="0"/>
          <w:color w:val="auto"/>
          <w:highlight w:val="none"/>
          <w:lang w:eastAsia="zh-CN"/>
        </w:rPr>
        <w:t>财政拨款收入</w:t>
      </w:r>
      <w:r>
        <w:rPr>
          <w:rStyle w:val="28"/>
          <w:rFonts w:hint="eastAsia" w:ascii="仿宋" w:hAnsi="仿宋" w:eastAsia="仿宋"/>
          <w:b w:val="0"/>
          <w:bCs w:val="0"/>
          <w:color w:val="auto"/>
          <w:highlight w:val="none"/>
        </w:rPr>
        <w:t>支出决算表</w:t>
      </w:r>
      <w:bookmarkEnd w:id="72"/>
    </w:p>
    <w:p w14:paraId="78DA6471">
      <w:pPr>
        <w:rPr>
          <w:rFonts w:hint="eastAsia" w:eastAsia="仿宋"/>
          <w:color w:val="auto"/>
          <w:highlight w:val="none"/>
          <w:lang w:eastAsia="zh-CN"/>
        </w:rPr>
      </w:pPr>
      <w:r>
        <w:rPr>
          <w:rStyle w:val="28"/>
          <w:rFonts w:hint="eastAsia" w:ascii="仿宋" w:hAnsi="仿宋" w:eastAsia="仿宋"/>
          <w:b w:val="0"/>
          <w:bCs w:val="0"/>
          <w:color w:val="auto"/>
          <w:highlight w:val="none"/>
          <w:lang w:eastAsia="zh-CN"/>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79B9FCE2">
        <w:pPr>
          <w:pStyle w:val="8"/>
          <w:jc w:val="center"/>
        </w:pPr>
        <w:r>
          <w:fldChar w:fldCharType="begin"/>
        </w:r>
        <w:r>
          <w:instrText xml:space="preserve">PAGE   \* MERGEFORMAT</w:instrText>
        </w:r>
        <w:r>
          <w:fldChar w:fldCharType="separate"/>
        </w:r>
        <w:r>
          <w:rPr>
            <w:lang w:val="zh-CN"/>
          </w:rPr>
          <w:t>8</w:t>
        </w:r>
        <w:r>
          <w:fldChar w:fldCharType="end"/>
        </w:r>
      </w:p>
    </w:sdtContent>
  </w:sdt>
  <w:p w14:paraId="0D3677D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46F78">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2A96D"/>
    <w:multiLevelType w:val="singleLevel"/>
    <w:tmpl w:val="B712A96D"/>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DE7899D"/>
    <w:multiLevelType w:val="singleLevel"/>
    <w:tmpl w:val="1DE7899D"/>
    <w:lvl w:ilvl="0" w:tentative="0">
      <w:start w:val="7"/>
      <w:numFmt w:val="chineseCounting"/>
      <w:suff w:val="nothing"/>
      <w:lvlText w:val="%1、"/>
      <w:lvlJc w:val="left"/>
      <w:rPr>
        <w:rFonts w:hint="eastAsia"/>
      </w:rPr>
    </w:lvl>
  </w:abstractNum>
  <w:abstractNum w:abstractNumId="5">
    <w:nsid w:val="1E5546AE"/>
    <w:multiLevelType w:val="singleLevel"/>
    <w:tmpl w:val="1E5546AE"/>
    <w:lvl w:ilvl="0" w:tentative="0">
      <w:start w:val="1"/>
      <w:numFmt w:val="chineseCounting"/>
      <w:suff w:val="nothing"/>
      <w:lvlText w:val="（%1）"/>
      <w:lvlJc w:val="left"/>
      <w:rPr>
        <w:rFonts w:hint="eastAsia"/>
      </w:rPr>
    </w:lvl>
  </w:abstractNum>
  <w:abstractNum w:abstractNumId="6">
    <w:nsid w:val="33B2625D"/>
    <w:multiLevelType w:val="singleLevel"/>
    <w:tmpl w:val="33B2625D"/>
    <w:lvl w:ilvl="0" w:tentative="0">
      <w:start w:val="2"/>
      <w:numFmt w:val="decimal"/>
      <w:suff w:val="nothing"/>
      <w:lvlText w:val="%1．"/>
      <w:lvlJc w:val="left"/>
    </w:lvl>
  </w:abstractNum>
  <w:abstractNum w:abstractNumId="7">
    <w:nsid w:val="3E794925"/>
    <w:multiLevelType w:val="singleLevel"/>
    <w:tmpl w:val="3E794925"/>
    <w:lvl w:ilvl="0" w:tentative="0">
      <w:start w:val="3"/>
      <w:numFmt w:val="chineseCounting"/>
      <w:suff w:val="nothing"/>
      <w:lvlText w:val="（%1）"/>
      <w:lvlJc w:val="left"/>
      <w:rPr>
        <w:rFonts w:hint="eastAsia"/>
      </w:rPr>
    </w:lvl>
  </w:abstractNum>
  <w:abstractNum w:abstractNumId="8">
    <w:nsid w:val="429301B9"/>
    <w:multiLevelType w:val="singleLevel"/>
    <w:tmpl w:val="429301B9"/>
    <w:lvl w:ilvl="0" w:tentative="0">
      <w:start w:val="1"/>
      <w:numFmt w:val="decimal"/>
      <w:suff w:val="nothing"/>
      <w:lvlText w:val="%1、"/>
      <w:lvlJc w:val="left"/>
    </w:lvl>
  </w:abstractNum>
  <w:abstractNum w:abstractNumId="9">
    <w:nsid w:val="4306CFE7"/>
    <w:multiLevelType w:val="singleLevel"/>
    <w:tmpl w:val="4306CFE7"/>
    <w:lvl w:ilvl="0" w:tentative="0">
      <w:start w:val="1"/>
      <w:numFmt w:val="decimal"/>
      <w:suff w:val="nothing"/>
      <w:lvlText w:val="%1、"/>
      <w:lvlJc w:val="left"/>
    </w:lvl>
  </w:abstractNum>
  <w:num w:numId="1">
    <w:abstractNumId w:val="3"/>
  </w:num>
  <w:num w:numId="2">
    <w:abstractNumId w:val="4"/>
  </w:num>
  <w:num w:numId="3">
    <w:abstractNumId w:val="1"/>
  </w:num>
  <w:num w:numId="4">
    <w:abstractNumId w:val="0"/>
  </w:num>
  <w:num w:numId="5">
    <w:abstractNumId w:val="2"/>
  </w:num>
  <w:num w:numId="6">
    <w:abstractNumId w:val="7"/>
  </w:num>
  <w:num w:numId="7">
    <w:abstractNumId w:val="5"/>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EC1906"/>
    <w:rsid w:val="037746E6"/>
    <w:rsid w:val="04DB0CB1"/>
    <w:rsid w:val="066E0107"/>
    <w:rsid w:val="07996F6E"/>
    <w:rsid w:val="0A2032A3"/>
    <w:rsid w:val="0ABB3E46"/>
    <w:rsid w:val="0CF532FA"/>
    <w:rsid w:val="0ECF768E"/>
    <w:rsid w:val="0F255B91"/>
    <w:rsid w:val="0F677E12"/>
    <w:rsid w:val="0F755B50"/>
    <w:rsid w:val="101860EC"/>
    <w:rsid w:val="10C055FF"/>
    <w:rsid w:val="118107EC"/>
    <w:rsid w:val="13D50BC4"/>
    <w:rsid w:val="13F20E9D"/>
    <w:rsid w:val="143B1B5C"/>
    <w:rsid w:val="151A107D"/>
    <w:rsid w:val="15817140"/>
    <w:rsid w:val="16BB723D"/>
    <w:rsid w:val="1BE8440E"/>
    <w:rsid w:val="1D155CEE"/>
    <w:rsid w:val="21E0051F"/>
    <w:rsid w:val="23860B96"/>
    <w:rsid w:val="23B7681F"/>
    <w:rsid w:val="240371BF"/>
    <w:rsid w:val="289C4C24"/>
    <w:rsid w:val="29FD04D3"/>
    <w:rsid w:val="2B89031F"/>
    <w:rsid w:val="2C8A61B5"/>
    <w:rsid w:val="2CE5106B"/>
    <w:rsid w:val="2CE97927"/>
    <w:rsid w:val="2DF04E50"/>
    <w:rsid w:val="2DFD0C8E"/>
    <w:rsid w:val="319F7F4E"/>
    <w:rsid w:val="36AA5135"/>
    <w:rsid w:val="37E16F03"/>
    <w:rsid w:val="3B8F7D75"/>
    <w:rsid w:val="3D75501C"/>
    <w:rsid w:val="3D98207C"/>
    <w:rsid w:val="3DBF3F71"/>
    <w:rsid w:val="44E268DA"/>
    <w:rsid w:val="4A627F82"/>
    <w:rsid w:val="4B4F25DA"/>
    <w:rsid w:val="4BE068DB"/>
    <w:rsid w:val="4CA327D1"/>
    <w:rsid w:val="4CFC72D8"/>
    <w:rsid w:val="4D422EDB"/>
    <w:rsid w:val="4D577224"/>
    <w:rsid w:val="4EAB630A"/>
    <w:rsid w:val="4ECE2238"/>
    <w:rsid w:val="541B1FA8"/>
    <w:rsid w:val="55DA0A03"/>
    <w:rsid w:val="57C15380"/>
    <w:rsid w:val="5AF92295"/>
    <w:rsid w:val="5CD71FC4"/>
    <w:rsid w:val="5EF55E0D"/>
    <w:rsid w:val="66FF732D"/>
    <w:rsid w:val="6C4A05C8"/>
    <w:rsid w:val="6E72305C"/>
    <w:rsid w:val="6E7E3605"/>
    <w:rsid w:val="6FF5CC65"/>
    <w:rsid w:val="715C0E4B"/>
    <w:rsid w:val="72734D90"/>
    <w:rsid w:val="73AD73D5"/>
    <w:rsid w:val="73B6EB34"/>
    <w:rsid w:val="79EE5BA4"/>
    <w:rsid w:val="7A894339"/>
    <w:rsid w:val="7B196AC4"/>
    <w:rsid w:val="7C2D5801"/>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footnote text"/>
    <w:basedOn w:val="1"/>
    <w:qFormat/>
    <w:uiPriority w:val="0"/>
    <w:pPr>
      <w:snapToGrid w:val="0"/>
      <w:jc w:val="left"/>
    </w:pPr>
    <w:rPr>
      <w:rFonts w:ascii="Calibri" w:hAnsi="Calibri"/>
      <w:sz w:val="18"/>
      <w:szCs w:val="1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page number"/>
    <w:basedOn w:val="15"/>
    <w:qFormat/>
    <w:uiPriority w:val="0"/>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3"/>
    <w:qFormat/>
    <w:uiPriority w:val="9"/>
    <w:rPr>
      <w:rFonts w:ascii="Times New Roman" w:hAnsi="Times New Roman"/>
      <w:b/>
      <w:bCs/>
      <w:kern w:val="44"/>
      <w:sz w:val="44"/>
      <w:szCs w:val="44"/>
    </w:rPr>
  </w:style>
  <w:style w:type="character" w:customStyle="1" w:styleId="28">
    <w:name w:val="标题 2 Char"/>
    <w:basedOn w:val="15"/>
    <w:link w:val="2"/>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7"/>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1&#24180;&#20915;&#31639;\&#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沐川县水务局收、支决算总计变动情况</a:t>
            </a:r>
          </a:p>
        </c:rich>
      </c:tx>
      <c:layout/>
      <c:overlay val="0"/>
      <c:spPr>
        <a:noFill/>
        <a:ln w="3175">
          <a:noFill/>
        </a:ln>
      </c:spPr>
    </c:title>
    <c:autoTitleDeleted val="0"/>
    <c:plotArea>
      <c:layout/>
      <c:barChart>
        <c:barDir val="col"/>
        <c:grouping val="clustered"/>
        <c:varyColors val="0"/>
        <c:ser>
          <c:idx val="0"/>
          <c:order val="0"/>
          <c:tx>
            <c:strRef>
              <c:f>'[作参考：饼状（直方）图绘制方法.xls]收支决算总计变动情况-图1'!$A$4</c:f>
              <c:strCache>
                <c:ptCount val="1"/>
                <c:pt idx="0">
                  <c:v>沐川县财政局收、支决算总计变动情况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'[作参考：饼状（直方）图绘制方法.xls]收支决算总计变动情况-图1'!$A$1:$B$1</c:f>
              <c:strCache>
                <c:ptCount val="2"/>
                <c:pt idx="0">
                  <c:v>2020年收支</c:v>
                </c:pt>
                <c:pt idx="1">
                  <c:v>2021年收支</c:v>
                </c:pt>
              </c:strCache>
            </c:strRef>
          </c:cat>
          <c:val>
            <c:numRef>
              <c:f>'[作参考：饼状（直方）图绘制方法.xls]收支决算总计变动情况-图1'!$A$2:$B$2</c:f>
              <c:numCache>
                <c:formatCode>General</c:formatCode>
                <c:ptCount val="2"/>
                <c:pt idx="0">
                  <c:v>5738.15</c:v>
                </c:pt>
                <c:pt idx="1">
                  <c:v>4880.51</c:v>
                </c:pt>
              </c:numCache>
            </c:numRef>
          </c:val>
        </c:ser>
        <c:dLbls>
          <c:showLegendKey val="0"/>
          <c:showVal val="0"/>
          <c:showCatName val="0"/>
          <c:showSerName val="0"/>
          <c:showPercent val="0"/>
          <c:showBubbleSize val="0"/>
        </c:dLbls>
        <c:gapWidth val="150"/>
        <c:overlap val="0"/>
        <c:axId val="802755130"/>
        <c:axId val="109990356"/>
      </c:barChart>
      <c:catAx>
        <c:axId val="802755130"/>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09990356"/>
        <c:crosses val="autoZero"/>
        <c:auto val="1"/>
        <c:lblAlgn val="ctr"/>
        <c:lblOffset val="100"/>
        <c:noMultiLvlLbl val="0"/>
      </c:catAx>
      <c:valAx>
        <c:axId val="10999035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02755130"/>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22708c80-a22f-404f-8d24-29d8083aea78}"/>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沐川县水务局202</a:t>
            </a:r>
            <a:r>
              <a:rPr lang="en-US" altLang="zh-CN"/>
              <a:t>1</a:t>
            </a:r>
            <a:r>
              <a:t>年收入决算结构图</a:t>
            </a:r>
          </a:p>
        </c:rich>
      </c:tx>
      <c:layout>
        <c:manualLayout>
          <c:xMode val="edge"/>
          <c:yMode val="edge"/>
          <c:x val="0.252628077178975"/>
          <c:y val="0.0262295081967213"/>
        </c:manualLayout>
      </c:layout>
      <c:overlay val="0"/>
      <c:spPr>
        <a:noFill/>
        <a:ln w="3175">
          <a:noFill/>
        </a:ln>
      </c:spPr>
    </c:title>
    <c:autoTitleDeleted val="0"/>
    <c:plotArea>
      <c:layout>
        <c:manualLayout>
          <c:layoutTarget val="inner"/>
          <c:xMode val="edge"/>
          <c:yMode val="edge"/>
          <c:x val="0.17275"/>
          <c:y val="0.277"/>
          <c:w val="0.3375"/>
          <c:h val="0.56075"/>
        </c:manualLayout>
      </c:layout>
      <c:pieChart>
        <c:varyColors val="1"/>
        <c:ser>
          <c:idx val="0"/>
          <c:order val="0"/>
          <c:tx>
            <c:strRef>
              <c:f>'[作参考：饼状（直方）图绘制方法.xls]收入决算结构-图2-1'!$A$5</c:f>
              <c:strCache>
                <c:ptCount val="1"/>
                <c:pt idx="0">
                  <c:v>沐川县财政局2020年收入决算结构图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9999FF">
                  <a:alpha val="100000"/>
                </a:srgbClr>
              </a:solidFill>
              <a:ln w="12700">
                <a:solidFill>
                  <a:srgbClr val="000000">
                    <a:alpha val="100000"/>
                  </a:srgbClr>
                </a:solidFill>
                <a:prstDash val="solid"/>
              </a:ln>
            </c:spPr>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'[作参考：饼状（直方）图绘制方法.xls]收入决算结构-图2-1'!$A$1:$C$1</c:f>
              <c:strCache>
                <c:ptCount val="3"/>
                <c:pt idx="0">
                  <c:v>一般公共预算财政拨款收入</c:v>
                </c:pt>
                <c:pt idx="1">
                  <c:v>政府性基金预算财政拨款收入</c:v>
                </c:pt>
                <c:pt idx="2">
                  <c:v>其他收入</c:v>
                </c:pt>
              </c:strCache>
            </c:strRef>
          </c:cat>
          <c:val>
            <c:numRef>
              <c:f>'[作参考：饼状（直方）图绘制方法.xls]收入决算结构-图2-1'!$A$2:$C$2</c:f>
              <c:numCache>
                <c:formatCode>General</c:formatCode>
                <c:ptCount val="3"/>
                <c:pt idx="0">
                  <c:v>3432.73</c:v>
                </c:pt>
                <c:pt idx="1">
                  <c:v>175.9</c:v>
                </c:pt>
                <c:pt idx="2">
                  <c:v>5</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5"/>
          <c:y val="0.44025"/>
          <c:w val="0.41425"/>
          <c:h val="0.243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c0155c68-e1b8-4230-a280-029ffdf9e529}"/>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沐川县水务局202</a:t>
            </a:r>
            <a:r>
              <a:rPr lang="en-US" altLang="zh-CN"/>
              <a:t>1</a:t>
            </a:r>
            <a:r>
              <a:t>年支出决算结构图</a:t>
            </a:r>
          </a:p>
        </c:rich>
      </c:tx>
      <c:layout/>
      <c:overlay val="0"/>
      <c:spPr>
        <a:noFill/>
        <a:ln w="3175">
          <a:noFill/>
        </a:ln>
      </c:spPr>
    </c:title>
    <c:autoTitleDeleted val="0"/>
    <c:plotArea>
      <c:layout>
        <c:manualLayout>
          <c:layoutTarget val="inner"/>
          <c:xMode val="edge"/>
          <c:yMode val="edge"/>
          <c:x val="0.2575"/>
          <c:y val="0.277"/>
          <c:w val="0.33325"/>
          <c:h val="0.56425"/>
        </c:manualLayout>
      </c:layout>
      <c:pieChart>
        <c:varyColors val="1"/>
        <c:ser>
          <c:idx val="0"/>
          <c:order val="0"/>
          <c:tx>
            <c:strRef>
              <c:f>'[作参考：饼状（直方）图绘制方法.xls]支出决算结构-图3'!$A$9</c:f>
              <c:strCache>
                <c:ptCount val="1"/>
                <c:pt idx="0">
                  <c:v>沐川县财政局2020年支出决算结构图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'[作参考：饼状（直方）图绘制方法.xls]支出决算结构-图3'!$A$1:$B$1</c:f>
              <c:strCache>
                <c:ptCount val="2"/>
                <c:pt idx="0">
                  <c:v>基本支出</c:v>
                </c:pt>
                <c:pt idx="1">
                  <c:v>项目支出</c:v>
                </c:pt>
              </c:strCache>
            </c:strRef>
          </c:cat>
          <c:val>
            <c:numRef>
              <c:f>'[作参考：饼状（直方）图绘制方法.xls]支出决算结构-图3'!$A$4:$B$4</c:f>
              <c:numCache>
                <c:formatCode>0.00%</c:formatCode>
                <c:ptCount val="2"/>
                <c:pt idx="0">
                  <c:v>0.1702</c:v>
                </c:pt>
                <c:pt idx="1">
                  <c:v>0.8298</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94879ede-733e-455d-a86d-d558ccfec0c9}"/>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沐川县水务局财政拨款收、支决算总计变动情况</a:t>
            </a:r>
          </a:p>
        </c:rich>
      </c:tx>
      <c:layout/>
      <c:overlay val="0"/>
      <c:spPr>
        <a:noFill/>
        <a:ln w="3175">
          <a:noFill/>
        </a:ln>
      </c:spPr>
    </c:title>
    <c:autoTitleDeleted val="0"/>
    <c:plotArea>
      <c:layout/>
      <c:barChart>
        <c:barDir val="col"/>
        <c:grouping val="clustered"/>
        <c:varyColors val="0"/>
        <c:ser>
          <c:idx val="0"/>
          <c:order val="0"/>
          <c:tx>
            <c:strRef>
              <c:f>'[作参考：饼状（直方）图绘制方法.xls]财政拨款收支决算总计变动情况-图4'!$A$4</c:f>
              <c:strCache>
                <c:ptCount val="1"/>
                <c:pt idx="0">
                  <c:v>沐川县财政局财政拨款收、支决算总计变动情况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832134292566"/>
                  <c:y val="0.217210101010101"/>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6"/>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'[作参考：饼状（直方）图绘制方法.xls]财政拨款收支决算总计变动情况-图4'!$A$1:$B$1</c:f>
              <c:strCache>
                <c:ptCount val="2"/>
                <c:pt idx="0">
                  <c:v>2020年财政拨款收支</c:v>
                </c:pt>
                <c:pt idx="1">
                  <c:v>2021年财政拨款收支</c:v>
                </c:pt>
              </c:strCache>
            </c:strRef>
          </c:cat>
          <c:val>
            <c:numRef>
              <c:f>'[作参考：饼状（直方）图绘制方法.xls]财政拨款收支决算总计变动情况-图4'!$A$2:$B$2</c:f>
              <c:numCache>
                <c:formatCode>General</c:formatCode>
                <c:ptCount val="2"/>
                <c:pt idx="0">
                  <c:v>4651.76</c:v>
                </c:pt>
                <c:pt idx="1">
                  <c:v>4875.51</c:v>
                </c:pt>
              </c:numCache>
            </c:numRef>
          </c:val>
        </c:ser>
        <c:dLbls>
          <c:showLegendKey val="0"/>
          <c:showVal val="0"/>
          <c:showCatName val="0"/>
          <c:showSerName val="0"/>
          <c:showPercent val="0"/>
          <c:showBubbleSize val="0"/>
        </c:dLbls>
        <c:gapWidth val="150"/>
        <c:overlap val="0"/>
        <c:axId val="105328588"/>
        <c:axId val="794477045"/>
      </c:barChart>
      <c:catAx>
        <c:axId val="10532858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94477045"/>
        <c:crosses val="autoZero"/>
        <c:auto val="1"/>
        <c:lblAlgn val="ctr"/>
        <c:lblOffset val="100"/>
        <c:noMultiLvlLbl val="0"/>
      </c:catAx>
      <c:valAx>
        <c:axId val="794477045"/>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0532858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36c88eb9-1dc7-4372-8211-4bce1db9ce7c}"/>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'[作参考：饼状（直方）图绘制方法.xls]一般公共预算财政拨款支出决算变动情况-图5'!$A$1:$B$1</c:f>
              <c:strCache>
                <c:ptCount val="2"/>
                <c:pt idx="0">
                  <c:v>2020年一般公共预算财政拨款支出</c:v>
                </c:pt>
                <c:pt idx="1">
                  <c:v>2021年一般公共预算财政拨款支出</c:v>
                </c:pt>
              </c:strCache>
            </c:strRef>
          </c:cat>
          <c:val>
            <c:numRef>
              <c:f>'[作参考：饼状（直方）图绘制方法.xls]一般公共预算财政拨款支出决算变动情况-图5'!$A$2:$B$2</c:f>
              <c:numCache>
                <c:formatCode>General</c:formatCode>
                <c:ptCount val="2"/>
                <c:pt idx="0">
                  <c:v>2382.97</c:v>
                </c:pt>
                <c:pt idx="1" c:formatCode="#,##0.00">
                  <c:v>4299.59</c:v>
                </c:pt>
              </c:numCache>
            </c:numRef>
          </c:val>
        </c:ser>
        <c:dLbls>
          <c:showLegendKey val="0"/>
          <c:showVal val="0"/>
          <c:showCatName val="0"/>
          <c:showSerName val="0"/>
          <c:showPercent val="0"/>
          <c:showBubbleSize val="0"/>
        </c:dLbls>
        <c:gapWidth val="150"/>
        <c:overlap val="0"/>
        <c:axId val="175766436"/>
        <c:axId val="714850283"/>
      </c:barChart>
      <c:catAx>
        <c:axId val="175766436"/>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14850283"/>
        <c:crosses val="autoZero"/>
        <c:auto val="1"/>
        <c:lblAlgn val="ctr"/>
        <c:lblOffset val="100"/>
        <c:noMultiLvlLbl val="0"/>
      </c:catAx>
      <c:valAx>
        <c:axId val="714850283"/>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75766436"/>
        <c:crosses val="autoZero"/>
        <c:crossBetween val="between"/>
      </c:valAx>
      <c:spPr>
        <a:noFill/>
        <a:ln w="3175">
          <a:noFill/>
        </a:ln>
      </c:spPr>
    </c:plotArea>
    <c:plotVisOnly val="1"/>
    <c:dispBlanksAs val="gap"/>
    <c:showDLblsOverMax val="0"/>
    <c:extLst>
      <c:ext uri="{0b15fc19-7d7d-44ad-8c2d-2c3a37ce22c3}">
        <chartProps xmlns="https://web.wps.cn/et/2018/main" chartId="{177c8b68-f5d2-4e31-a27d-4718ff25d486}"/>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'[作参考：饼状（直方）图绘制方法.xls]一般公共预算财政拨款支出决算结构-图6'!$A$8</c:f>
              <c:strCache>
                <c:ptCount val="1"/>
                <c:pt idx="0">
                  <c:v>沐川县财政局一般公共预算财政拨款支出决算结构图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'[作参考：饼状（直方）图绘制方法.xls]一般公共预算财政拨款支出决算结构-图6'!$A$1:$E$1</c:f>
              <c:strCache>
                <c:ptCount val="5"/>
                <c:pt idx="0">
                  <c:v>2020年社会保障和就业（类）</c:v>
                </c:pt>
                <c:pt idx="1">
                  <c:v>2020年卫生健康支出</c:v>
                </c:pt>
                <c:pt idx="2">
                  <c:v>2020年节能环保支出</c:v>
                </c:pt>
                <c:pt idx="3">
                  <c:v>2020年城乡社区支出</c:v>
                </c:pt>
                <c:pt idx="4">
                  <c:v>2020年住房保障支出</c:v>
                </c:pt>
              </c:strCache>
            </c:strRef>
          </c:cat>
          <c:val>
            <c:numRef>
              <c:f>'[作参考：饼状（直方）图绘制方法.xls]一般公共预算财政拨款支出决算结构-图6'!$A$2:$E$2</c:f>
              <c:numCache>
                <c:formatCode>General</c:formatCode>
                <c:ptCount val="5"/>
                <c:pt idx="0">
                  <c:v>238.61</c:v>
                </c:pt>
                <c:pt idx="1">
                  <c:v>16.63</c:v>
                </c:pt>
                <c:pt idx="2">
                  <c:v>311.24</c:v>
                </c:pt>
                <c:pt idx="3">
                  <c:v>8.48</c:v>
                </c:pt>
                <c:pt idx="4">
                  <c:v>53.21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25"/>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088e2e5e-f49d-4c71-b3fe-6b778b5df004}"/>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沐川县水务局2021年“三公”经费财政拨款支出结构图</a:t>
            </a:r>
          </a:p>
        </c:rich>
      </c:tx>
      <c:layout/>
      <c:overlay val="0"/>
      <c:spPr>
        <a:noFill/>
        <a:ln w="3175">
          <a:noFill/>
        </a:ln>
      </c:spPr>
    </c:title>
    <c:autoTitleDeleted val="0"/>
    <c:plotArea>
      <c:layout>
        <c:manualLayout>
          <c:layoutTarget val="inner"/>
          <c:xMode val="edge"/>
          <c:yMode val="edge"/>
          <c:x val="0.19625"/>
          <c:y val="0.3"/>
          <c:w val="0.2635"/>
          <c:h val="0.527"/>
        </c:manualLayout>
      </c:layout>
      <c:pieChart>
        <c:varyColors val="1"/>
        <c:ser>
          <c:idx val="0"/>
          <c:order val="0"/>
          <c:tx>
            <c:strRef>
              <c:f>'[作参考：饼状（直方）图绘制方法.xls]三公经费财政拨款支出结构-图7'!$B$8</c:f>
              <c:strCache>
                <c:ptCount val="1"/>
                <c:pt idx="0">
                  <c:v>沐川县财政局2021年“三公”经费财政拨款支出结构图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Pt>
            <c:idx val="2"/>
            <c:bubble3D val="0"/>
            <c:explosion val="25"/>
            <c:spPr>
              <a:solidFill>
                <a:srgbClr val="FFFFCC">
                  <a:alpha val="100000"/>
                </a:srgbClr>
              </a:solidFill>
              <a:ln w="12700">
                <a:solidFill>
                  <a:srgbClr val="000000">
                    <a:alpha val="100000"/>
                  </a:srgbClr>
                </a:solidFill>
                <a:prstDash val="solid"/>
              </a:ln>
            </c:spPr>
          </c:dPt>
          <c:dLbls>
            <c:dLbl>
              <c:idx val="0"/>
              <c:layout/>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'[作参考：饼状（直方）图绘制方法.xls]三公经费财政拨款支出结构-图7'!$A$2:$C$2</c:f>
              <c:numCache>
                <c:formatCode>General</c:formatCode>
                <c:ptCount val="3"/>
                <c:pt idx="0">
                  <c:v>0</c:v>
                </c:pt>
                <c:pt idx="1">
                  <c:v>3</c:v>
                </c:pt>
                <c:pt idx="2">
                  <c:v>0.92</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3"/>
          <c:y val="0.3845"/>
          <c:w val="0.3385"/>
          <c:h val="0.38075"/>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3350ed58-45dd-4901-92d7-5b2a4e837f14}"/>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3391</Words>
  <Characters>4571</Characters>
  <Lines>61</Lines>
  <Paragraphs>17</Paragraphs>
  <TotalTime>30</TotalTime>
  <ScaleCrop>false</ScaleCrop>
  <LinksUpToDate>false</LinksUpToDate>
  <CharactersWithSpaces>4579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J&amp;M</cp:lastModifiedBy>
  <cp:lastPrinted>2022-08-08T09:11:00Z</cp:lastPrinted>
  <dcterms:modified xsi:type="dcterms:W3CDTF">2024-12-20T09:42:23Z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646577364BAB498CA0E7491CAA9EB052</vt:lpwstr>
  </property>
</Properties>
</file>