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hint="default" w:ascii="方正小标宋简体" w:hAnsi="宋体" w:eastAsia="方正小标宋简体"/>
          <w:color w:val="auto"/>
          <w:sz w:val="72"/>
          <w:szCs w:val="72"/>
          <w:highlight w:val="none"/>
          <w:lang w:val="en-US" w:eastAsia="zh-CN"/>
        </w:rPr>
      </w:pPr>
      <w:bookmarkStart w:id="0" w:name="_Toc15378441"/>
      <w:bookmarkStart w:id="1" w:name="_Toc15396597"/>
      <w:bookmarkStart w:id="2" w:name="_Toc15396475"/>
      <w:bookmarkStart w:id="3" w:name="_Toc15377193"/>
      <w:bookmarkStart w:id="4" w:name="_Toc15377425"/>
      <w:bookmarkStart w:id="5" w:name="_Toc15306267"/>
    </w:p>
    <w:p>
      <w:pPr>
        <w:spacing w:line="600" w:lineRule="exact"/>
        <w:jc w:val="center"/>
        <w:outlineLvl w:val="9"/>
        <w:rPr>
          <w:rFonts w:ascii="方正小标宋简体" w:hAnsi="宋体" w:eastAsia="方正小标宋简体"/>
          <w:color w:val="auto"/>
          <w:sz w:val="72"/>
          <w:szCs w:val="72"/>
          <w:highlight w:val="none"/>
        </w:rPr>
      </w:pPr>
    </w:p>
    <w:p>
      <w:pPr>
        <w:spacing w:line="600" w:lineRule="exact"/>
        <w:jc w:val="center"/>
        <w:outlineLvl w:val="9"/>
        <w:rPr>
          <w:rFonts w:ascii="方正小标宋简体" w:hAnsi="宋体" w:eastAsia="方正小标宋简体"/>
          <w:color w:val="auto"/>
          <w:sz w:val="72"/>
          <w:szCs w:val="72"/>
          <w:highlight w:val="none"/>
        </w:rPr>
      </w:pPr>
    </w:p>
    <w:p>
      <w:pPr>
        <w:spacing w:line="600" w:lineRule="exact"/>
        <w:jc w:val="center"/>
        <w:outlineLvl w:val="9"/>
        <w:rPr>
          <w:rFonts w:ascii="方正小标宋简体" w:hAnsi="宋体" w:eastAsia="方正小标宋简体"/>
          <w:color w:val="auto"/>
          <w:sz w:val="72"/>
          <w:szCs w:val="72"/>
          <w:highlight w:val="none"/>
        </w:rPr>
      </w:pPr>
    </w:p>
    <w:p>
      <w:pPr>
        <w:adjustRightInd w:val="0"/>
        <w:snapToGrid w:val="0"/>
        <w:spacing w:line="360" w:lineRule="auto"/>
        <w:jc w:val="center"/>
        <w:outlineLvl w:val="9"/>
        <w:rPr>
          <w:rFonts w:hint="eastAsia" w:ascii="方正小标宋简体" w:hAnsi="方正小标宋简体" w:eastAsia="方正小标宋简体" w:cs="方正小标宋简体"/>
          <w:color w:val="auto"/>
          <w:sz w:val="72"/>
          <w:szCs w:val="72"/>
          <w:highlight w:val="none"/>
        </w:rPr>
      </w:pPr>
      <w:r>
        <w:rPr>
          <w:rFonts w:hint="eastAsia" w:ascii="方正小标宋简体" w:hAnsi="方正小标宋简体" w:eastAsia="方正小标宋简体" w:cs="方正小标宋简体"/>
          <w:color w:val="auto"/>
          <w:sz w:val="72"/>
          <w:szCs w:val="72"/>
          <w:highlight w:val="none"/>
        </w:rPr>
        <w:t>20</w:t>
      </w:r>
      <w:r>
        <w:rPr>
          <w:rFonts w:hint="eastAsia" w:ascii="方正小标宋简体" w:hAnsi="方正小标宋简体" w:eastAsia="方正小标宋简体" w:cs="方正小标宋简体"/>
          <w:color w:val="auto"/>
          <w:sz w:val="72"/>
          <w:szCs w:val="72"/>
          <w:highlight w:val="none"/>
          <w:lang w:val="en-US" w:eastAsia="zh-CN"/>
        </w:rPr>
        <w:t>21</w:t>
      </w:r>
      <w:r>
        <w:rPr>
          <w:rFonts w:hint="eastAsia" w:ascii="方正小标宋简体" w:hAnsi="方正小标宋简体" w:eastAsia="方正小标宋简体" w:cs="方正小标宋简体"/>
          <w:color w:val="auto"/>
          <w:sz w:val="72"/>
          <w:szCs w:val="72"/>
          <w:highlight w:val="none"/>
        </w:rPr>
        <w:t>年度</w:t>
      </w:r>
      <w:bookmarkEnd w:id="0"/>
      <w:bookmarkEnd w:id="1"/>
      <w:bookmarkEnd w:id="2"/>
      <w:bookmarkEnd w:id="3"/>
      <w:bookmarkEnd w:id="4"/>
    </w:p>
    <w:bookmarkEnd w:id="5"/>
    <w:p>
      <w:pPr>
        <w:adjustRightInd w:val="0"/>
        <w:snapToGrid w:val="0"/>
        <w:spacing w:line="360" w:lineRule="auto"/>
        <w:jc w:val="center"/>
        <w:outlineLvl w:val="9"/>
        <w:rPr>
          <w:rFonts w:ascii="方正小标宋简体" w:hAnsi="宋体" w:eastAsia="方正小标宋简体"/>
          <w:color w:val="000000"/>
          <w:sz w:val="72"/>
          <w:szCs w:val="72"/>
        </w:rPr>
      </w:pPr>
      <w:bookmarkStart w:id="6" w:name="_Toc25595"/>
      <w:bookmarkStart w:id="7" w:name="_Toc15306268"/>
      <w:bookmarkStart w:id="8" w:name="_Toc15377194"/>
      <w:bookmarkStart w:id="9" w:name="_Toc15378442"/>
      <w:bookmarkStart w:id="10" w:name="_Toc15377426"/>
      <w:bookmarkStart w:id="11" w:name="_Toc15396598"/>
      <w:bookmarkStart w:id="12" w:name="_Toc15396476"/>
      <w:r>
        <w:rPr>
          <w:rFonts w:hint="eastAsia" w:ascii="方正小标宋简体" w:hAnsi="宋体" w:eastAsia="方正小标宋简体"/>
          <w:color w:val="000000"/>
          <w:sz w:val="72"/>
          <w:szCs w:val="72"/>
        </w:rPr>
        <w:t>中共沐川县委宣传部</w:t>
      </w:r>
      <w:bookmarkEnd w:id="6"/>
    </w:p>
    <w:p>
      <w:pPr>
        <w:adjustRightInd w:val="0"/>
        <w:snapToGrid w:val="0"/>
        <w:spacing w:line="360" w:lineRule="auto"/>
        <w:jc w:val="center"/>
        <w:outlineLvl w:val="9"/>
        <w:rPr>
          <w:rFonts w:hint="eastAsia" w:ascii="方正小标宋简体" w:hAnsi="方正小标宋简体" w:eastAsia="方正小标宋简体" w:cs="方正小标宋简体"/>
          <w:color w:val="auto"/>
          <w:sz w:val="72"/>
          <w:szCs w:val="72"/>
          <w:highlight w:val="none"/>
        </w:rPr>
      </w:pPr>
      <w:r>
        <w:rPr>
          <w:rFonts w:hint="eastAsia" w:ascii="方正小标宋简体" w:hAnsi="方正小标宋简体" w:eastAsia="方正小标宋简体" w:cs="方正小标宋简体"/>
          <w:color w:val="auto"/>
          <w:sz w:val="72"/>
          <w:szCs w:val="72"/>
          <w:highlight w:val="none"/>
        </w:rPr>
        <w:t>部门决算</w:t>
      </w:r>
      <w:bookmarkEnd w:id="7"/>
      <w:bookmarkEnd w:id="8"/>
      <w:bookmarkEnd w:id="9"/>
      <w:bookmarkEnd w:id="10"/>
      <w:bookmarkEnd w:id="11"/>
      <w:bookmarkEnd w:id="12"/>
    </w:p>
    <w:p>
      <w:pPr>
        <w:widowControl/>
        <w:jc w:val="center"/>
        <w:rPr>
          <w:rFonts w:ascii="黑体" w:hAnsi="黑体" w:eastAsia="黑体"/>
          <w:color w:val="auto"/>
          <w:sz w:val="48"/>
          <w:szCs w:val="48"/>
          <w:highlight w:val="none"/>
        </w:rPr>
      </w:pPr>
      <w:r>
        <w:rPr>
          <w:rFonts w:ascii="方正小标宋简体" w:hAnsi="宋体" w:eastAsia="方正小标宋简体"/>
          <w:color w:val="auto"/>
          <w:sz w:val="36"/>
          <w:szCs w:val="36"/>
          <w:highlight w:val="none"/>
        </w:rPr>
        <w:br w:type="page"/>
      </w:r>
      <w:r>
        <w:rPr>
          <w:rFonts w:hint="eastAsia" w:ascii="黑体" w:hAnsi="黑体" w:eastAsia="黑体"/>
          <w:color w:val="auto"/>
          <w:sz w:val="48"/>
          <w:szCs w:val="48"/>
          <w:highlight w:val="none"/>
        </w:rPr>
        <w:t>目录</w:t>
      </w:r>
    </w:p>
    <w:p>
      <w:pPr>
        <w:widowControl/>
        <w:jc w:val="center"/>
        <w:rPr>
          <w:rFonts w:ascii="黑体" w:hAnsi="黑体" w:eastAsia="黑体" w:cstheme="minorBidi"/>
          <w:color w:val="auto"/>
          <w:sz w:val="28"/>
          <w:szCs w:val="28"/>
          <w:highlight w:val="none"/>
        </w:rPr>
      </w:pPr>
    </w:p>
    <w:p>
      <w:pPr>
        <w:pStyle w:val="10"/>
        <w:rPr>
          <w:color w:val="auto"/>
          <w:highlight w:val="none"/>
        </w:rPr>
      </w:pPr>
      <w:r>
        <w:rPr>
          <w:rFonts w:hint="eastAsia"/>
          <w:color w:val="auto"/>
          <w:highlight w:val="none"/>
        </w:rPr>
        <w:t>公开时间：20</w:t>
      </w:r>
      <w:r>
        <w:rPr>
          <w:rFonts w:hint="eastAsia"/>
          <w:color w:val="auto"/>
          <w:highlight w:val="none"/>
          <w:lang w:val="en-US" w:eastAsia="zh-CN"/>
        </w:rPr>
        <w:t>22</w:t>
      </w:r>
      <w:r>
        <w:rPr>
          <w:rFonts w:hint="eastAsia"/>
          <w:color w:val="auto"/>
          <w:highlight w:val="none"/>
        </w:rPr>
        <w:t>年</w:t>
      </w:r>
      <w:r>
        <w:rPr>
          <w:rFonts w:hint="eastAsia"/>
          <w:color w:val="auto"/>
          <w:highlight w:val="none"/>
          <w:lang w:val="en-US" w:eastAsia="zh-CN"/>
        </w:rPr>
        <w:t>9</w:t>
      </w:r>
      <w:r>
        <w:rPr>
          <w:rFonts w:hint="eastAsia"/>
          <w:color w:val="auto"/>
          <w:highlight w:val="none"/>
        </w:rPr>
        <w:t>月</w:t>
      </w:r>
      <w:r>
        <w:rPr>
          <w:rFonts w:hint="eastAsia"/>
          <w:color w:val="auto"/>
          <w:highlight w:val="none"/>
          <w:lang w:val="en-US" w:eastAsia="zh-CN"/>
        </w:rPr>
        <w:t>26</w:t>
      </w:r>
      <w:r>
        <w:rPr>
          <w:rFonts w:hint="eastAsia"/>
          <w:color w:val="auto"/>
          <w:highlight w:val="none"/>
        </w:rPr>
        <w:t>日</w:t>
      </w:r>
    </w:p>
    <w:sdt>
      <w:sdtPr>
        <w:rPr>
          <w:rFonts w:ascii="宋体" w:hAnsi="宋体" w:eastAsia="宋体" w:cs="Times New Roman"/>
          <w:kern w:val="2"/>
          <w:sz w:val="21"/>
          <w:szCs w:val="24"/>
          <w:lang w:val="en-US" w:eastAsia="zh-CN" w:bidi="ar-SA"/>
        </w:rPr>
        <w:id w:val="147450997"/>
        <w15:color w:val="DBDBDB"/>
        <w:docPartObj>
          <w:docPartGallery w:val="Table of Contents"/>
          <w:docPartUnique/>
        </w:docPartObj>
      </w:sdtPr>
      <w:sdtEndPr>
        <w:rPr>
          <w:rFonts w:ascii="仿宋_GB2312" w:hAnsi="Times New Roman" w:eastAsia="仿宋_GB2312" w:cs="Times New Roman"/>
          <w:b/>
          <w:kern w:val="0"/>
          <w:sz w:val="30"/>
          <w:szCs w:val="24"/>
          <w:lang w:val="en-US" w:eastAsia="zh-CN" w:bidi="ar-SA"/>
        </w:rPr>
      </w:sdtEndPr>
      <w:sdtContent>
        <w:p>
          <w:pPr>
            <w:spacing w:before="0" w:beforeLines="0" w:after="0" w:afterLines="0" w:line="240" w:lineRule="auto"/>
            <w:ind w:left="0" w:leftChars="0" w:right="0" w:rightChars="0" w:firstLine="0" w:firstLineChars="0"/>
            <w:jc w:val="center"/>
          </w:pPr>
          <w:bookmarkStart w:id="103" w:name="_GoBack"/>
          <w:bookmarkEnd w:id="103"/>
        </w:p>
        <w:p>
          <w:pPr>
            <w:pStyle w:val="10"/>
            <w:tabs>
              <w:tab w:val="right" w:leader="dot" w:pos="8306"/>
              <w:tab w:val="clear" w:pos="8296"/>
            </w:tabs>
          </w:pPr>
          <w:r>
            <w:rPr>
              <w:rFonts w:ascii="仿宋_GB2312" w:hAnsi="Times New Roman" w:eastAsia="仿宋_GB2312" w:cs="Times New Roman"/>
              <w:kern w:val="0"/>
              <w:sz w:val="30"/>
              <w:szCs w:val="24"/>
              <w:lang w:val="en-US" w:eastAsia="zh-CN" w:bidi="ar-SA"/>
            </w:rPr>
            <w:fldChar w:fldCharType="begin"/>
          </w:r>
          <w:r>
            <w:rPr>
              <w:rFonts w:ascii="仿宋_GB2312" w:hAnsi="Times New Roman" w:eastAsia="仿宋_GB2312" w:cs="Times New Roman"/>
              <w:kern w:val="0"/>
              <w:sz w:val="30"/>
              <w:szCs w:val="24"/>
              <w:lang w:val="en-US" w:eastAsia="zh-CN" w:bidi="ar-SA"/>
            </w:rPr>
            <w:instrText xml:space="preserve">TOC \o "1-2" \h \u </w:instrText>
          </w:r>
          <w:r>
            <w:rPr>
              <w:rFonts w:ascii="仿宋_GB2312" w:hAnsi="Times New Roman" w:eastAsia="仿宋_GB2312" w:cs="Times New Roman"/>
              <w:kern w:val="0"/>
              <w:sz w:val="30"/>
              <w:szCs w:val="24"/>
              <w:lang w:val="en-US" w:eastAsia="zh-CN" w:bidi="ar-SA"/>
            </w:rPr>
            <w:fldChar w:fldCharType="separate"/>
          </w: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_Toc11277 </w:instrText>
          </w:r>
          <w:r>
            <w:rPr>
              <w:rFonts w:ascii="仿宋_GB2312" w:hAnsi="Times New Roman" w:eastAsia="仿宋_GB2312" w:cs="Times New Roman"/>
              <w:kern w:val="0"/>
              <w:szCs w:val="24"/>
              <w:lang w:val="en-US" w:eastAsia="zh-CN" w:bidi="ar-SA"/>
            </w:rPr>
            <w:fldChar w:fldCharType="separate"/>
          </w:r>
          <w:r>
            <w:rPr>
              <w:rFonts w:hint="eastAsia" w:ascii="黑体" w:hAnsi="黑体" w:eastAsia="黑体"/>
              <w:highlight w:val="none"/>
            </w:rPr>
            <w:t xml:space="preserve">第一部分 </w:t>
          </w:r>
          <w:r>
            <w:rPr>
              <w:rFonts w:hint="eastAsia" w:ascii="黑体" w:hAnsi="黑体" w:eastAsia="黑体"/>
              <w:bCs w:val="0"/>
              <w:highlight w:val="none"/>
            </w:rPr>
            <w:t>部门概况</w:t>
          </w:r>
          <w:r>
            <w:tab/>
          </w:r>
          <w:r>
            <w:fldChar w:fldCharType="begin"/>
          </w:r>
          <w:r>
            <w:instrText xml:space="preserve"> PAGEREF _Toc11277 \h </w:instrText>
          </w:r>
          <w:r>
            <w:fldChar w:fldCharType="separate"/>
          </w:r>
          <w:r>
            <w:t>3</w:t>
          </w:r>
          <w:r>
            <w:fldChar w:fldCharType="end"/>
          </w:r>
          <w:r>
            <w:rPr>
              <w:rFonts w:ascii="仿宋_GB2312" w:hAnsi="Times New Roman" w:eastAsia="仿宋_GB2312" w:cs="Times New Roman"/>
              <w:kern w:val="0"/>
              <w:szCs w:val="24"/>
              <w:lang w:val="en-US" w:eastAsia="zh-CN" w:bidi="ar-SA"/>
            </w:rPr>
            <w:fldChar w:fldCharType="end"/>
          </w:r>
        </w:p>
        <w:p>
          <w:pPr>
            <w:pStyle w:val="11"/>
            <w:tabs>
              <w:tab w:val="right" w:leader="dot" w:pos="8306"/>
              <w:tab w:val="clear" w:pos="8296"/>
            </w:tabs>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_Toc8162 </w:instrText>
          </w:r>
          <w:r>
            <w:rPr>
              <w:rFonts w:ascii="仿宋_GB2312" w:hAnsi="Times New Roman" w:eastAsia="仿宋_GB2312" w:cs="Times New Roman"/>
              <w:kern w:val="0"/>
              <w:szCs w:val="24"/>
              <w:lang w:val="en-US" w:eastAsia="zh-CN" w:bidi="ar-SA"/>
            </w:rPr>
            <w:fldChar w:fldCharType="separate"/>
          </w:r>
          <w:r>
            <w:rPr>
              <w:rFonts w:hint="eastAsia" w:ascii="黑体" w:hAnsi="黑体" w:eastAsia="黑体"/>
              <w:highlight w:val="none"/>
            </w:rPr>
            <w:t>一、基</w:t>
          </w:r>
          <w:r>
            <w:rPr>
              <w:rFonts w:hint="eastAsia" w:ascii="黑体" w:hAnsi="黑体" w:eastAsia="黑体"/>
              <w:bCs w:val="0"/>
              <w:highlight w:val="none"/>
            </w:rPr>
            <w:t>本职能及主要工作</w:t>
          </w:r>
          <w:r>
            <w:tab/>
          </w:r>
          <w:r>
            <w:fldChar w:fldCharType="begin"/>
          </w:r>
          <w:r>
            <w:instrText xml:space="preserve"> PAGEREF _Toc8162 \h </w:instrText>
          </w:r>
          <w:r>
            <w:fldChar w:fldCharType="separate"/>
          </w:r>
          <w:r>
            <w:t>3</w:t>
          </w:r>
          <w:r>
            <w:fldChar w:fldCharType="end"/>
          </w:r>
          <w:r>
            <w:rPr>
              <w:rFonts w:ascii="仿宋_GB2312" w:hAnsi="Times New Roman" w:eastAsia="仿宋_GB2312" w:cs="Times New Roman"/>
              <w:kern w:val="0"/>
              <w:szCs w:val="24"/>
              <w:lang w:val="en-US" w:eastAsia="zh-CN" w:bidi="ar-SA"/>
            </w:rPr>
            <w:fldChar w:fldCharType="end"/>
          </w:r>
        </w:p>
        <w:p>
          <w:pPr>
            <w:pStyle w:val="11"/>
            <w:tabs>
              <w:tab w:val="right" w:leader="dot" w:pos="8306"/>
              <w:tab w:val="clear" w:pos="8296"/>
            </w:tabs>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_Toc16727 </w:instrText>
          </w:r>
          <w:r>
            <w:rPr>
              <w:rFonts w:ascii="仿宋_GB2312" w:hAnsi="Times New Roman" w:eastAsia="仿宋_GB2312" w:cs="Times New Roman"/>
              <w:kern w:val="0"/>
              <w:szCs w:val="24"/>
              <w:lang w:val="en-US" w:eastAsia="zh-CN" w:bidi="ar-SA"/>
            </w:rPr>
            <w:fldChar w:fldCharType="separate"/>
          </w:r>
          <w:r>
            <w:rPr>
              <w:rFonts w:hint="eastAsia" w:ascii="黑体" w:eastAsia="黑体"/>
              <w:highlight w:val="none"/>
            </w:rPr>
            <w:t>二、</w:t>
          </w:r>
          <w:r>
            <w:rPr>
              <w:rFonts w:hint="eastAsia" w:ascii="黑体" w:hAnsi="黑体" w:eastAsia="黑体"/>
              <w:highlight w:val="none"/>
            </w:rPr>
            <w:t>机</w:t>
          </w:r>
          <w:r>
            <w:rPr>
              <w:rFonts w:hint="eastAsia" w:ascii="黑体" w:hAnsi="黑体" w:eastAsia="黑体"/>
              <w:bCs w:val="0"/>
              <w:highlight w:val="none"/>
            </w:rPr>
            <w:t>构设置</w:t>
          </w:r>
          <w:r>
            <w:tab/>
          </w:r>
          <w:r>
            <w:fldChar w:fldCharType="begin"/>
          </w:r>
          <w:r>
            <w:instrText xml:space="preserve"> PAGEREF _Toc16727 \h </w:instrText>
          </w:r>
          <w:r>
            <w:fldChar w:fldCharType="separate"/>
          </w:r>
          <w:r>
            <w:t>11</w:t>
          </w:r>
          <w:r>
            <w:fldChar w:fldCharType="end"/>
          </w:r>
          <w:r>
            <w:rPr>
              <w:rFonts w:ascii="仿宋_GB2312" w:hAnsi="Times New Roman" w:eastAsia="仿宋_GB2312" w:cs="Times New Roman"/>
              <w:kern w:val="0"/>
              <w:szCs w:val="24"/>
              <w:lang w:val="en-US" w:eastAsia="zh-CN" w:bidi="ar-SA"/>
            </w:rPr>
            <w:fldChar w:fldCharType="end"/>
          </w:r>
        </w:p>
        <w:p>
          <w:pPr>
            <w:pStyle w:val="10"/>
            <w:tabs>
              <w:tab w:val="right" w:leader="dot" w:pos="8306"/>
              <w:tab w:val="clear" w:pos="8296"/>
            </w:tabs>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_Toc22540 </w:instrText>
          </w:r>
          <w:r>
            <w:rPr>
              <w:rFonts w:ascii="仿宋_GB2312" w:hAnsi="Times New Roman" w:eastAsia="仿宋_GB2312" w:cs="Times New Roman"/>
              <w:kern w:val="0"/>
              <w:szCs w:val="24"/>
              <w:lang w:val="en-US" w:eastAsia="zh-CN" w:bidi="ar-SA"/>
            </w:rPr>
            <w:fldChar w:fldCharType="separate"/>
          </w:r>
          <w:r>
            <w:rPr>
              <w:rFonts w:hint="eastAsia" w:ascii="黑体" w:hAnsi="黑体" w:eastAsia="黑体"/>
              <w:bCs/>
              <w:highlight w:val="none"/>
            </w:rPr>
            <w:t xml:space="preserve">第二部分 </w:t>
          </w:r>
          <w:r>
            <w:rPr>
              <w:rFonts w:hint="eastAsia" w:ascii="黑体" w:hAnsi="黑体" w:eastAsia="黑体"/>
              <w:bCs/>
              <w:highlight w:val="none"/>
              <w:lang w:val="en-US" w:eastAsia="zh-CN"/>
            </w:rPr>
            <w:t>2021年度</w:t>
          </w:r>
          <w:r>
            <w:rPr>
              <w:rFonts w:hint="eastAsia" w:ascii="黑体" w:hAnsi="黑体" w:eastAsia="黑体"/>
              <w:bCs/>
              <w:highlight w:val="none"/>
            </w:rPr>
            <w:t>部门决算情况说明</w:t>
          </w:r>
          <w:r>
            <w:tab/>
          </w:r>
          <w:r>
            <w:fldChar w:fldCharType="begin"/>
          </w:r>
          <w:r>
            <w:instrText xml:space="preserve"> PAGEREF _Toc22540 \h </w:instrText>
          </w:r>
          <w:r>
            <w:fldChar w:fldCharType="separate"/>
          </w:r>
          <w:r>
            <w:t>12</w:t>
          </w:r>
          <w:r>
            <w:fldChar w:fldCharType="end"/>
          </w:r>
          <w:r>
            <w:rPr>
              <w:rFonts w:ascii="仿宋_GB2312" w:hAnsi="Times New Roman" w:eastAsia="仿宋_GB2312" w:cs="Times New Roman"/>
              <w:kern w:val="0"/>
              <w:szCs w:val="24"/>
              <w:lang w:val="en-US" w:eastAsia="zh-CN" w:bidi="ar-SA"/>
            </w:rPr>
            <w:fldChar w:fldCharType="end"/>
          </w:r>
        </w:p>
        <w:p>
          <w:pPr>
            <w:pStyle w:val="11"/>
            <w:tabs>
              <w:tab w:val="right" w:leader="dot" w:pos="8306"/>
              <w:tab w:val="clear" w:pos="8296"/>
            </w:tabs>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_Toc3295 </w:instrText>
          </w:r>
          <w:r>
            <w:rPr>
              <w:rFonts w:ascii="仿宋_GB2312" w:hAnsi="Times New Roman" w:eastAsia="仿宋_GB2312" w:cs="Times New Roman"/>
              <w:kern w:val="0"/>
              <w:szCs w:val="24"/>
              <w:lang w:val="en-US" w:eastAsia="zh-CN" w:bidi="ar-SA"/>
            </w:rPr>
            <w:fldChar w:fldCharType="separate"/>
          </w:r>
          <w:r>
            <w:rPr>
              <w:rFonts w:hint="default" w:ascii="黑体" w:hAnsi="黑体" w:eastAsia="黑体"/>
            </w:rPr>
            <w:t xml:space="preserve">一、 </w:t>
          </w:r>
          <w:r>
            <w:rPr>
              <w:rFonts w:hint="eastAsia" w:ascii="黑体" w:hAnsi="黑体" w:eastAsia="黑体"/>
              <w:szCs w:val="32"/>
              <w:highlight w:val="none"/>
            </w:rPr>
            <w:t>收</w:t>
          </w:r>
          <w:r>
            <w:rPr>
              <w:rFonts w:hint="eastAsia" w:ascii="黑体" w:hAnsi="黑体" w:eastAsia="黑体"/>
              <w:highlight w:val="none"/>
            </w:rPr>
            <w:t>入支出决算总体情况说明</w:t>
          </w:r>
          <w:r>
            <w:tab/>
          </w:r>
          <w:r>
            <w:fldChar w:fldCharType="begin"/>
          </w:r>
          <w:r>
            <w:instrText xml:space="preserve"> PAGEREF _Toc3295 \h </w:instrText>
          </w:r>
          <w:r>
            <w:fldChar w:fldCharType="separate"/>
          </w:r>
          <w:r>
            <w:t>12</w:t>
          </w:r>
          <w:r>
            <w:fldChar w:fldCharType="end"/>
          </w:r>
          <w:r>
            <w:rPr>
              <w:rFonts w:ascii="仿宋_GB2312" w:hAnsi="Times New Roman" w:eastAsia="仿宋_GB2312" w:cs="Times New Roman"/>
              <w:kern w:val="0"/>
              <w:szCs w:val="24"/>
              <w:lang w:val="en-US" w:eastAsia="zh-CN" w:bidi="ar-SA"/>
            </w:rPr>
            <w:fldChar w:fldCharType="end"/>
          </w:r>
        </w:p>
        <w:p>
          <w:pPr>
            <w:pStyle w:val="11"/>
            <w:tabs>
              <w:tab w:val="right" w:leader="dot" w:pos="8306"/>
              <w:tab w:val="clear" w:pos="8296"/>
            </w:tabs>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_Toc1282 </w:instrText>
          </w:r>
          <w:r>
            <w:rPr>
              <w:rFonts w:ascii="仿宋_GB2312" w:hAnsi="Times New Roman" w:eastAsia="仿宋_GB2312" w:cs="Times New Roman"/>
              <w:kern w:val="0"/>
              <w:szCs w:val="24"/>
              <w:lang w:val="en-US" w:eastAsia="zh-CN" w:bidi="ar-SA"/>
            </w:rPr>
            <w:fldChar w:fldCharType="separate"/>
          </w:r>
          <w:r>
            <w:rPr>
              <w:rFonts w:hint="default" w:ascii="黑体" w:hAnsi="黑体" w:eastAsia="黑体"/>
            </w:rPr>
            <w:t xml:space="preserve">二、 </w:t>
          </w:r>
          <w:r>
            <w:rPr>
              <w:rFonts w:hint="eastAsia" w:ascii="黑体" w:hAnsi="黑体" w:eastAsia="黑体"/>
              <w:szCs w:val="32"/>
              <w:highlight w:val="none"/>
            </w:rPr>
            <w:t>收</w:t>
          </w:r>
          <w:r>
            <w:rPr>
              <w:rFonts w:hint="eastAsia" w:ascii="黑体" w:hAnsi="黑体" w:eastAsia="黑体"/>
              <w:highlight w:val="none"/>
            </w:rPr>
            <w:t>入决算情况说明</w:t>
          </w:r>
          <w:r>
            <w:tab/>
          </w:r>
          <w:r>
            <w:fldChar w:fldCharType="begin"/>
          </w:r>
          <w:r>
            <w:instrText xml:space="preserve"> PAGEREF _Toc1282 \h </w:instrText>
          </w:r>
          <w:r>
            <w:fldChar w:fldCharType="separate"/>
          </w:r>
          <w:r>
            <w:t>12</w:t>
          </w:r>
          <w:r>
            <w:fldChar w:fldCharType="end"/>
          </w:r>
          <w:r>
            <w:rPr>
              <w:rFonts w:ascii="仿宋_GB2312" w:hAnsi="Times New Roman" w:eastAsia="仿宋_GB2312" w:cs="Times New Roman"/>
              <w:kern w:val="0"/>
              <w:szCs w:val="24"/>
              <w:lang w:val="en-US" w:eastAsia="zh-CN" w:bidi="ar-SA"/>
            </w:rPr>
            <w:fldChar w:fldCharType="end"/>
          </w:r>
        </w:p>
        <w:p>
          <w:pPr>
            <w:pStyle w:val="11"/>
            <w:tabs>
              <w:tab w:val="right" w:leader="dot" w:pos="8306"/>
              <w:tab w:val="clear" w:pos="8296"/>
            </w:tabs>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_Toc5239 </w:instrText>
          </w:r>
          <w:r>
            <w:rPr>
              <w:rFonts w:ascii="仿宋_GB2312" w:hAnsi="Times New Roman" w:eastAsia="仿宋_GB2312" w:cs="Times New Roman"/>
              <w:kern w:val="0"/>
              <w:szCs w:val="24"/>
              <w:lang w:val="en-US" w:eastAsia="zh-CN" w:bidi="ar-SA"/>
            </w:rPr>
            <w:fldChar w:fldCharType="separate"/>
          </w:r>
          <w:r>
            <w:rPr>
              <w:rFonts w:hint="default" w:ascii="黑体" w:hAnsi="黑体" w:eastAsia="黑体"/>
            </w:rPr>
            <w:t xml:space="preserve">三、 </w:t>
          </w:r>
          <w:r>
            <w:rPr>
              <w:rFonts w:hint="eastAsia" w:ascii="黑体" w:hAnsi="黑体" w:eastAsia="黑体"/>
              <w:szCs w:val="32"/>
              <w:highlight w:val="none"/>
            </w:rPr>
            <w:t>支</w:t>
          </w:r>
          <w:r>
            <w:rPr>
              <w:rFonts w:hint="eastAsia" w:ascii="黑体" w:hAnsi="黑体" w:eastAsia="黑体"/>
              <w:highlight w:val="none"/>
            </w:rPr>
            <w:t>出决算情况说明</w:t>
          </w:r>
          <w:r>
            <w:tab/>
          </w:r>
          <w:r>
            <w:fldChar w:fldCharType="begin"/>
          </w:r>
          <w:r>
            <w:instrText xml:space="preserve"> PAGEREF _Toc5239 \h </w:instrText>
          </w:r>
          <w:r>
            <w:fldChar w:fldCharType="separate"/>
          </w:r>
          <w:r>
            <w:t>13</w:t>
          </w:r>
          <w:r>
            <w:fldChar w:fldCharType="end"/>
          </w:r>
          <w:r>
            <w:rPr>
              <w:rFonts w:ascii="仿宋_GB2312" w:hAnsi="Times New Roman" w:eastAsia="仿宋_GB2312" w:cs="Times New Roman"/>
              <w:kern w:val="0"/>
              <w:szCs w:val="24"/>
              <w:lang w:val="en-US" w:eastAsia="zh-CN" w:bidi="ar-SA"/>
            </w:rPr>
            <w:fldChar w:fldCharType="end"/>
          </w:r>
        </w:p>
        <w:p>
          <w:pPr>
            <w:pStyle w:val="11"/>
            <w:tabs>
              <w:tab w:val="right" w:leader="dot" w:pos="8306"/>
              <w:tab w:val="clear" w:pos="8296"/>
            </w:tabs>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_Toc2924 </w:instrText>
          </w:r>
          <w:r>
            <w:rPr>
              <w:rFonts w:ascii="仿宋_GB2312" w:hAnsi="Times New Roman" w:eastAsia="仿宋_GB2312" w:cs="Times New Roman"/>
              <w:kern w:val="0"/>
              <w:szCs w:val="24"/>
              <w:lang w:val="en-US" w:eastAsia="zh-CN" w:bidi="ar-SA"/>
            </w:rPr>
            <w:fldChar w:fldCharType="separate"/>
          </w:r>
          <w:r>
            <w:rPr>
              <w:rFonts w:hint="eastAsia" w:ascii="黑体" w:hAnsi="黑体" w:eastAsia="黑体"/>
              <w:szCs w:val="32"/>
              <w:highlight w:val="none"/>
            </w:rPr>
            <w:t>四、财</w:t>
          </w:r>
          <w:r>
            <w:rPr>
              <w:rFonts w:hint="eastAsia" w:ascii="黑体" w:hAnsi="黑体" w:eastAsia="黑体"/>
              <w:highlight w:val="none"/>
            </w:rPr>
            <w:t>政拨款收入支出决算总体情况说明</w:t>
          </w:r>
          <w:r>
            <w:tab/>
          </w:r>
          <w:r>
            <w:fldChar w:fldCharType="begin"/>
          </w:r>
          <w:r>
            <w:instrText xml:space="preserve"> PAGEREF _Toc2924 \h </w:instrText>
          </w:r>
          <w:r>
            <w:fldChar w:fldCharType="separate"/>
          </w:r>
          <w:r>
            <w:t>14</w:t>
          </w:r>
          <w:r>
            <w:fldChar w:fldCharType="end"/>
          </w:r>
          <w:r>
            <w:rPr>
              <w:rFonts w:ascii="仿宋_GB2312" w:hAnsi="Times New Roman" w:eastAsia="仿宋_GB2312" w:cs="Times New Roman"/>
              <w:kern w:val="0"/>
              <w:szCs w:val="24"/>
              <w:lang w:val="en-US" w:eastAsia="zh-CN" w:bidi="ar-SA"/>
            </w:rPr>
            <w:fldChar w:fldCharType="end"/>
          </w:r>
        </w:p>
        <w:p>
          <w:pPr>
            <w:pStyle w:val="11"/>
            <w:tabs>
              <w:tab w:val="right" w:leader="dot" w:pos="8306"/>
              <w:tab w:val="clear" w:pos="8296"/>
            </w:tabs>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_Toc20416 </w:instrText>
          </w:r>
          <w:r>
            <w:rPr>
              <w:rFonts w:ascii="仿宋_GB2312" w:hAnsi="Times New Roman" w:eastAsia="仿宋_GB2312" w:cs="Times New Roman"/>
              <w:kern w:val="0"/>
              <w:szCs w:val="24"/>
              <w:lang w:val="en-US" w:eastAsia="zh-CN" w:bidi="ar-SA"/>
            </w:rPr>
            <w:fldChar w:fldCharType="separate"/>
          </w:r>
          <w:r>
            <w:rPr>
              <w:rFonts w:hint="eastAsia" w:ascii="黑体" w:hAnsi="黑体" w:eastAsia="黑体"/>
              <w:szCs w:val="32"/>
              <w:highlight w:val="none"/>
            </w:rPr>
            <w:t>五、一</w:t>
          </w:r>
          <w:r>
            <w:rPr>
              <w:rFonts w:hint="eastAsia" w:ascii="黑体" w:hAnsi="黑体" w:eastAsia="黑体"/>
              <w:highlight w:val="none"/>
            </w:rPr>
            <w:t>般公共预算财政拨款支出决算情况说明</w:t>
          </w:r>
          <w:r>
            <w:tab/>
          </w:r>
          <w:r>
            <w:fldChar w:fldCharType="begin"/>
          </w:r>
          <w:r>
            <w:instrText xml:space="preserve"> PAGEREF _Toc20416 \h </w:instrText>
          </w:r>
          <w:r>
            <w:fldChar w:fldCharType="separate"/>
          </w:r>
          <w:r>
            <w:t>15</w:t>
          </w:r>
          <w:r>
            <w:fldChar w:fldCharType="end"/>
          </w:r>
          <w:r>
            <w:rPr>
              <w:rFonts w:ascii="仿宋_GB2312" w:hAnsi="Times New Roman" w:eastAsia="仿宋_GB2312" w:cs="Times New Roman"/>
              <w:kern w:val="0"/>
              <w:szCs w:val="24"/>
              <w:lang w:val="en-US" w:eastAsia="zh-CN" w:bidi="ar-SA"/>
            </w:rPr>
            <w:fldChar w:fldCharType="end"/>
          </w:r>
        </w:p>
        <w:p>
          <w:pPr>
            <w:pStyle w:val="11"/>
            <w:tabs>
              <w:tab w:val="right" w:leader="dot" w:pos="8306"/>
              <w:tab w:val="clear" w:pos="8296"/>
            </w:tabs>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_Toc31643 </w:instrText>
          </w:r>
          <w:r>
            <w:rPr>
              <w:rFonts w:ascii="仿宋_GB2312" w:hAnsi="Times New Roman" w:eastAsia="仿宋_GB2312" w:cs="Times New Roman"/>
              <w:kern w:val="0"/>
              <w:szCs w:val="24"/>
              <w:lang w:val="en-US" w:eastAsia="zh-CN" w:bidi="ar-SA"/>
            </w:rPr>
            <w:fldChar w:fldCharType="separate"/>
          </w:r>
          <w:r>
            <w:rPr>
              <w:rFonts w:hint="eastAsia" w:ascii="黑体" w:eastAsia="黑体"/>
              <w:szCs w:val="32"/>
              <w:highlight w:val="none"/>
            </w:rPr>
            <w:t>六、</w:t>
          </w:r>
          <w:r>
            <w:rPr>
              <w:rFonts w:hint="eastAsia" w:ascii="黑体" w:hAnsi="黑体" w:eastAsia="黑体"/>
              <w:szCs w:val="32"/>
              <w:highlight w:val="none"/>
            </w:rPr>
            <w:t>一</w:t>
          </w:r>
          <w:r>
            <w:rPr>
              <w:rFonts w:hint="eastAsia" w:ascii="黑体" w:hAnsi="黑体" w:eastAsia="黑体"/>
              <w:highlight w:val="none"/>
            </w:rPr>
            <w:t>般公共预算财政拨款基本支出决算情况说明</w:t>
          </w:r>
          <w:r>
            <w:tab/>
          </w:r>
          <w:r>
            <w:fldChar w:fldCharType="begin"/>
          </w:r>
          <w:r>
            <w:instrText xml:space="preserve"> PAGEREF _Toc31643 \h </w:instrText>
          </w:r>
          <w:r>
            <w:fldChar w:fldCharType="separate"/>
          </w:r>
          <w:r>
            <w:t>19</w:t>
          </w:r>
          <w:r>
            <w:fldChar w:fldCharType="end"/>
          </w:r>
          <w:r>
            <w:rPr>
              <w:rFonts w:ascii="仿宋_GB2312" w:hAnsi="Times New Roman" w:eastAsia="仿宋_GB2312" w:cs="Times New Roman"/>
              <w:kern w:val="0"/>
              <w:szCs w:val="24"/>
              <w:lang w:val="en-US" w:eastAsia="zh-CN" w:bidi="ar-SA"/>
            </w:rPr>
            <w:fldChar w:fldCharType="end"/>
          </w:r>
        </w:p>
        <w:p>
          <w:pPr>
            <w:pStyle w:val="11"/>
            <w:tabs>
              <w:tab w:val="right" w:leader="dot" w:pos="8306"/>
              <w:tab w:val="clear" w:pos="8296"/>
            </w:tabs>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_Toc28720 </w:instrText>
          </w:r>
          <w:r>
            <w:rPr>
              <w:rFonts w:ascii="仿宋_GB2312" w:hAnsi="Times New Roman" w:eastAsia="仿宋_GB2312" w:cs="Times New Roman"/>
              <w:kern w:val="0"/>
              <w:szCs w:val="24"/>
              <w:lang w:val="en-US" w:eastAsia="zh-CN" w:bidi="ar-SA"/>
            </w:rPr>
            <w:fldChar w:fldCharType="separate"/>
          </w:r>
          <w:r>
            <w:rPr>
              <w:rFonts w:hint="eastAsia" w:ascii="黑体" w:eastAsia="黑体"/>
              <w:szCs w:val="32"/>
              <w:highlight w:val="none"/>
            </w:rPr>
            <w:t>七、</w:t>
          </w:r>
          <w:r>
            <w:rPr>
              <w:rFonts w:hint="eastAsia" w:ascii="黑体" w:hAnsi="黑体" w:eastAsia="黑体"/>
              <w:highlight w:val="none"/>
            </w:rPr>
            <w:t>“三公”经费财政拨款支出决算情况说明</w:t>
          </w:r>
          <w:r>
            <w:tab/>
          </w:r>
          <w:r>
            <w:fldChar w:fldCharType="begin"/>
          </w:r>
          <w:r>
            <w:instrText xml:space="preserve"> PAGEREF _Toc28720 \h </w:instrText>
          </w:r>
          <w:r>
            <w:fldChar w:fldCharType="separate"/>
          </w:r>
          <w:r>
            <w:t>19</w:t>
          </w:r>
          <w:r>
            <w:fldChar w:fldCharType="end"/>
          </w:r>
          <w:r>
            <w:rPr>
              <w:rFonts w:ascii="仿宋_GB2312" w:hAnsi="Times New Roman" w:eastAsia="仿宋_GB2312" w:cs="Times New Roman"/>
              <w:kern w:val="0"/>
              <w:szCs w:val="24"/>
              <w:lang w:val="en-US" w:eastAsia="zh-CN" w:bidi="ar-SA"/>
            </w:rPr>
            <w:fldChar w:fldCharType="end"/>
          </w:r>
        </w:p>
        <w:p>
          <w:pPr>
            <w:pStyle w:val="11"/>
            <w:tabs>
              <w:tab w:val="right" w:leader="dot" w:pos="8306"/>
              <w:tab w:val="clear" w:pos="8296"/>
            </w:tabs>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_Toc16883 </w:instrText>
          </w:r>
          <w:r>
            <w:rPr>
              <w:rFonts w:ascii="仿宋_GB2312" w:hAnsi="Times New Roman" w:eastAsia="仿宋_GB2312" w:cs="Times New Roman"/>
              <w:kern w:val="0"/>
              <w:szCs w:val="24"/>
              <w:lang w:val="en-US" w:eastAsia="zh-CN" w:bidi="ar-SA"/>
            </w:rPr>
            <w:fldChar w:fldCharType="separate"/>
          </w:r>
          <w:r>
            <w:rPr>
              <w:rFonts w:hint="eastAsia" w:ascii="黑体" w:eastAsia="黑体"/>
              <w:szCs w:val="32"/>
              <w:highlight w:val="none"/>
            </w:rPr>
            <w:t>八、</w:t>
          </w:r>
          <w:r>
            <w:rPr>
              <w:rFonts w:hint="eastAsia" w:ascii="黑体" w:hAnsi="黑体" w:eastAsia="黑体"/>
              <w:highlight w:val="none"/>
            </w:rPr>
            <w:t>政府性基金预算支出决算情况说明</w:t>
          </w:r>
          <w:r>
            <w:tab/>
          </w:r>
          <w:r>
            <w:fldChar w:fldCharType="begin"/>
          </w:r>
          <w:r>
            <w:instrText xml:space="preserve"> PAGEREF _Toc16883 \h </w:instrText>
          </w:r>
          <w:r>
            <w:fldChar w:fldCharType="separate"/>
          </w:r>
          <w:r>
            <w:t>21</w:t>
          </w:r>
          <w:r>
            <w:fldChar w:fldCharType="end"/>
          </w:r>
          <w:r>
            <w:rPr>
              <w:rFonts w:ascii="仿宋_GB2312" w:hAnsi="Times New Roman" w:eastAsia="仿宋_GB2312" w:cs="Times New Roman"/>
              <w:kern w:val="0"/>
              <w:szCs w:val="24"/>
              <w:lang w:val="en-US" w:eastAsia="zh-CN" w:bidi="ar-SA"/>
            </w:rPr>
            <w:fldChar w:fldCharType="end"/>
          </w:r>
        </w:p>
        <w:p>
          <w:pPr>
            <w:pStyle w:val="11"/>
            <w:tabs>
              <w:tab w:val="right" w:leader="dot" w:pos="8306"/>
              <w:tab w:val="clear" w:pos="8296"/>
            </w:tabs>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_Toc13913 </w:instrText>
          </w:r>
          <w:r>
            <w:rPr>
              <w:rFonts w:ascii="仿宋_GB2312" w:hAnsi="Times New Roman" w:eastAsia="仿宋_GB2312" w:cs="Times New Roman"/>
              <w:kern w:val="0"/>
              <w:szCs w:val="24"/>
              <w:lang w:val="en-US" w:eastAsia="zh-CN" w:bidi="ar-SA"/>
            </w:rPr>
            <w:fldChar w:fldCharType="separate"/>
          </w:r>
          <w:r>
            <w:rPr>
              <w:rFonts w:hint="eastAsia" w:ascii="黑体" w:hAnsi="黑体" w:eastAsia="黑体"/>
            </w:rPr>
            <w:t xml:space="preserve">九、 </w:t>
          </w:r>
          <w:r>
            <w:rPr>
              <w:rFonts w:hint="eastAsia" w:ascii="黑体" w:hAnsi="黑体" w:eastAsia="黑体"/>
              <w:highlight w:val="none"/>
            </w:rPr>
            <w:t>国有资本经营预算支出决算情况说明</w:t>
          </w:r>
          <w:r>
            <w:tab/>
          </w:r>
          <w:r>
            <w:fldChar w:fldCharType="begin"/>
          </w:r>
          <w:r>
            <w:instrText xml:space="preserve"> PAGEREF _Toc13913 \h </w:instrText>
          </w:r>
          <w:r>
            <w:fldChar w:fldCharType="separate"/>
          </w:r>
          <w:r>
            <w:t>21</w:t>
          </w:r>
          <w:r>
            <w:fldChar w:fldCharType="end"/>
          </w:r>
          <w:r>
            <w:rPr>
              <w:rFonts w:ascii="仿宋_GB2312" w:hAnsi="Times New Roman" w:eastAsia="仿宋_GB2312" w:cs="Times New Roman"/>
              <w:kern w:val="0"/>
              <w:szCs w:val="24"/>
              <w:lang w:val="en-US" w:eastAsia="zh-CN" w:bidi="ar-SA"/>
            </w:rPr>
            <w:fldChar w:fldCharType="end"/>
          </w:r>
        </w:p>
        <w:p>
          <w:pPr>
            <w:pStyle w:val="11"/>
            <w:tabs>
              <w:tab w:val="right" w:leader="dot" w:pos="8306"/>
              <w:tab w:val="clear" w:pos="8296"/>
            </w:tabs>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_Toc29577 </w:instrText>
          </w:r>
          <w:r>
            <w:rPr>
              <w:rFonts w:ascii="仿宋_GB2312" w:hAnsi="Times New Roman" w:eastAsia="仿宋_GB2312" w:cs="Times New Roman"/>
              <w:kern w:val="0"/>
              <w:szCs w:val="24"/>
              <w:lang w:val="en-US" w:eastAsia="zh-CN" w:bidi="ar-SA"/>
            </w:rPr>
            <w:fldChar w:fldCharType="separate"/>
          </w:r>
          <w:r>
            <w:rPr>
              <w:rFonts w:hint="eastAsia" w:ascii="黑体" w:hAnsi="黑体" w:eastAsia="黑体"/>
            </w:rPr>
            <w:t xml:space="preserve">十、 </w:t>
          </w:r>
          <w:r>
            <w:rPr>
              <w:rFonts w:hint="eastAsia" w:ascii="黑体" w:hAnsi="黑体" w:eastAsia="黑体"/>
              <w:highlight w:val="none"/>
            </w:rPr>
            <w:t>其他重要事项的情况说明</w:t>
          </w:r>
          <w:r>
            <w:tab/>
          </w:r>
          <w:r>
            <w:fldChar w:fldCharType="begin"/>
          </w:r>
          <w:r>
            <w:instrText xml:space="preserve"> PAGEREF _Toc29577 \h </w:instrText>
          </w:r>
          <w:r>
            <w:fldChar w:fldCharType="separate"/>
          </w:r>
          <w:r>
            <w:t>22</w:t>
          </w:r>
          <w:r>
            <w:fldChar w:fldCharType="end"/>
          </w:r>
          <w:r>
            <w:rPr>
              <w:rFonts w:ascii="仿宋_GB2312" w:hAnsi="Times New Roman" w:eastAsia="仿宋_GB2312" w:cs="Times New Roman"/>
              <w:kern w:val="0"/>
              <w:szCs w:val="24"/>
              <w:lang w:val="en-US" w:eastAsia="zh-CN" w:bidi="ar-SA"/>
            </w:rPr>
            <w:fldChar w:fldCharType="end"/>
          </w:r>
        </w:p>
        <w:p>
          <w:pPr>
            <w:pStyle w:val="10"/>
            <w:tabs>
              <w:tab w:val="right" w:leader="dot" w:pos="8306"/>
              <w:tab w:val="clear" w:pos="8296"/>
            </w:tabs>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_Toc9855 </w:instrText>
          </w:r>
          <w:r>
            <w:rPr>
              <w:rFonts w:ascii="仿宋_GB2312" w:hAnsi="Times New Roman" w:eastAsia="仿宋_GB2312" w:cs="Times New Roman"/>
              <w:kern w:val="0"/>
              <w:szCs w:val="24"/>
              <w:lang w:val="en-US" w:eastAsia="zh-CN" w:bidi="ar-SA"/>
            </w:rPr>
            <w:fldChar w:fldCharType="separate"/>
          </w:r>
          <w:r>
            <w:rPr>
              <w:rFonts w:hint="eastAsia" w:ascii="黑体" w:hAnsi="黑体" w:eastAsia="黑体"/>
            </w:rPr>
            <w:t xml:space="preserve">第三部分 </w:t>
          </w:r>
          <w:r>
            <w:rPr>
              <w:rFonts w:hint="eastAsia" w:ascii="黑体" w:hAnsi="黑体" w:eastAsia="黑体"/>
              <w:szCs w:val="44"/>
              <w:highlight w:val="none"/>
            </w:rPr>
            <w:t>名</w:t>
          </w:r>
          <w:r>
            <w:rPr>
              <w:rFonts w:hint="eastAsia" w:ascii="黑体" w:hAnsi="黑体" w:eastAsia="黑体"/>
              <w:highlight w:val="none"/>
            </w:rPr>
            <w:t>词解释</w:t>
          </w:r>
          <w:r>
            <w:tab/>
          </w:r>
          <w:r>
            <w:fldChar w:fldCharType="begin"/>
          </w:r>
          <w:r>
            <w:instrText xml:space="preserve"> PAGEREF _Toc9855 \h </w:instrText>
          </w:r>
          <w:r>
            <w:fldChar w:fldCharType="separate"/>
          </w:r>
          <w:r>
            <w:t>23</w:t>
          </w:r>
          <w:r>
            <w:fldChar w:fldCharType="end"/>
          </w:r>
          <w:r>
            <w:rPr>
              <w:rFonts w:ascii="仿宋_GB2312" w:hAnsi="Times New Roman" w:eastAsia="仿宋_GB2312" w:cs="Times New Roman"/>
              <w:kern w:val="0"/>
              <w:szCs w:val="24"/>
              <w:lang w:val="en-US" w:eastAsia="zh-CN" w:bidi="ar-SA"/>
            </w:rPr>
            <w:fldChar w:fldCharType="end"/>
          </w:r>
        </w:p>
        <w:p>
          <w:pPr>
            <w:pStyle w:val="10"/>
            <w:tabs>
              <w:tab w:val="right" w:leader="dot" w:pos="8306"/>
              <w:tab w:val="clear" w:pos="8296"/>
            </w:tabs>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_Toc24822 </w:instrText>
          </w:r>
          <w:r>
            <w:rPr>
              <w:rFonts w:ascii="仿宋_GB2312" w:hAnsi="Times New Roman" w:eastAsia="仿宋_GB2312" w:cs="Times New Roman"/>
              <w:kern w:val="0"/>
              <w:szCs w:val="24"/>
              <w:lang w:val="en-US" w:eastAsia="zh-CN" w:bidi="ar-SA"/>
            </w:rPr>
            <w:fldChar w:fldCharType="separate"/>
          </w:r>
          <w:r>
            <w:rPr>
              <w:rFonts w:hint="eastAsia" w:ascii="黑体" w:hAnsi="黑体" w:eastAsia="黑体"/>
              <w:szCs w:val="44"/>
              <w:highlight w:val="none"/>
            </w:rPr>
            <w:t>第</w:t>
          </w:r>
          <w:r>
            <w:rPr>
              <w:rFonts w:hint="eastAsia" w:ascii="黑体" w:hAnsi="黑体" w:eastAsia="黑体"/>
              <w:highlight w:val="none"/>
            </w:rPr>
            <w:t>四部分 附件</w:t>
          </w:r>
          <w:r>
            <w:tab/>
          </w:r>
          <w:r>
            <w:fldChar w:fldCharType="begin"/>
          </w:r>
          <w:r>
            <w:instrText xml:space="preserve"> PAGEREF _Toc24822 \h </w:instrText>
          </w:r>
          <w:r>
            <w:fldChar w:fldCharType="separate"/>
          </w:r>
          <w:r>
            <w:t>27</w:t>
          </w:r>
          <w:r>
            <w:fldChar w:fldCharType="end"/>
          </w:r>
          <w:r>
            <w:rPr>
              <w:rFonts w:ascii="仿宋_GB2312" w:hAnsi="Times New Roman" w:eastAsia="仿宋_GB2312" w:cs="Times New Roman"/>
              <w:kern w:val="0"/>
              <w:szCs w:val="24"/>
              <w:lang w:val="en-US" w:eastAsia="zh-CN" w:bidi="ar-SA"/>
            </w:rPr>
            <w:fldChar w:fldCharType="end"/>
          </w:r>
        </w:p>
        <w:p>
          <w:pPr>
            <w:pStyle w:val="10"/>
            <w:tabs>
              <w:tab w:val="right" w:leader="dot" w:pos="8306"/>
              <w:tab w:val="clear" w:pos="8296"/>
            </w:tabs>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_Toc16059 </w:instrText>
          </w:r>
          <w:r>
            <w:rPr>
              <w:rFonts w:ascii="仿宋_GB2312" w:hAnsi="Times New Roman" w:eastAsia="仿宋_GB2312" w:cs="Times New Roman"/>
              <w:kern w:val="0"/>
              <w:szCs w:val="24"/>
              <w:lang w:val="en-US" w:eastAsia="zh-CN" w:bidi="ar-SA"/>
            </w:rPr>
            <w:fldChar w:fldCharType="separate"/>
          </w:r>
          <w:r>
            <w:rPr>
              <w:rFonts w:hint="eastAsia" w:ascii="黑体" w:hAnsi="黑体" w:eastAsia="黑体"/>
              <w:szCs w:val="44"/>
              <w:highlight w:val="none"/>
            </w:rPr>
            <w:t>第</w:t>
          </w:r>
          <w:r>
            <w:rPr>
              <w:rFonts w:hint="eastAsia" w:ascii="黑体" w:hAnsi="黑体" w:eastAsia="黑体"/>
              <w:highlight w:val="none"/>
            </w:rPr>
            <w:t>五部分 附表</w:t>
          </w:r>
          <w:r>
            <w:tab/>
          </w:r>
          <w:r>
            <w:fldChar w:fldCharType="begin"/>
          </w:r>
          <w:r>
            <w:instrText xml:space="preserve"> PAGEREF _Toc16059 \h </w:instrText>
          </w:r>
          <w:r>
            <w:fldChar w:fldCharType="separate"/>
          </w:r>
          <w:r>
            <w:t>42</w:t>
          </w:r>
          <w:r>
            <w:fldChar w:fldCharType="end"/>
          </w:r>
          <w:r>
            <w:rPr>
              <w:rFonts w:ascii="仿宋_GB2312" w:hAnsi="Times New Roman" w:eastAsia="仿宋_GB2312" w:cs="Times New Roman"/>
              <w:kern w:val="0"/>
              <w:szCs w:val="24"/>
              <w:lang w:val="en-US" w:eastAsia="zh-CN" w:bidi="ar-SA"/>
            </w:rPr>
            <w:fldChar w:fldCharType="end"/>
          </w:r>
        </w:p>
        <w:p>
          <w:pPr>
            <w:pStyle w:val="11"/>
            <w:tabs>
              <w:tab w:val="right" w:leader="dot" w:pos="8306"/>
              <w:tab w:val="clear" w:pos="8296"/>
            </w:tabs>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_Toc10339 </w:instrText>
          </w:r>
          <w:r>
            <w:rPr>
              <w:rFonts w:ascii="仿宋_GB2312" w:hAnsi="Times New Roman" w:eastAsia="仿宋_GB2312" w:cs="Times New Roman"/>
              <w:kern w:val="0"/>
              <w:szCs w:val="24"/>
              <w:lang w:val="en-US" w:eastAsia="zh-CN" w:bidi="ar-SA"/>
            </w:rPr>
            <w:fldChar w:fldCharType="separate"/>
          </w:r>
          <w:r>
            <w:rPr>
              <w:rFonts w:hint="eastAsia" w:ascii="仿宋" w:hAnsi="仿宋" w:eastAsia="仿宋"/>
              <w:highlight w:val="none"/>
            </w:rPr>
            <w:t>一、收</w:t>
          </w:r>
          <w:r>
            <w:rPr>
              <w:rFonts w:hint="eastAsia" w:ascii="仿宋" w:hAnsi="仿宋" w:eastAsia="仿宋"/>
              <w:bCs w:val="0"/>
              <w:highlight w:val="none"/>
            </w:rPr>
            <w:t>入支出决算总表</w:t>
          </w:r>
          <w:r>
            <w:tab/>
          </w:r>
          <w:r>
            <w:fldChar w:fldCharType="begin"/>
          </w:r>
          <w:r>
            <w:instrText xml:space="preserve"> PAGEREF _Toc10339 \h </w:instrText>
          </w:r>
          <w:r>
            <w:fldChar w:fldCharType="separate"/>
          </w:r>
          <w:r>
            <w:t>42</w:t>
          </w:r>
          <w:r>
            <w:fldChar w:fldCharType="end"/>
          </w:r>
          <w:r>
            <w:rPr>
              <w:rFonts w:ascii="仿宋_GB2312" w:hAnsi="Times New Roman" w:eastAsia="仿宋_GB2312" w:cs="Times New Roman"/>
              <w:kern w:val="0"/>
              <w:szCs w:val="24"/>
              <w:lang w:val="en-US" w:eastAsia="zh-CN" w:bidi="ar-SA"/>
            </w:rPr>
            <w:fldChar w:fldCharType="end"/>
          </w:r>
        </w:p>
        <w:p>
          <w:pPr>
            <w:pStyle w:val="11"/>
            <w:tabs>
              <w:tab w:val="right" w:leader="dot" w:pos="8306"/>
              <w:tab w:val="clear" w:pos="8296"/>
            </w:tabs>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_Toc9011 </w:instrText>
          </w:r>
          <w:r>
            <w:rPr>
              <w:rFonts w:ascii="仿宋_GB2312" w:hAnsi="Times New Roman" w:eastAsia="仿宋_GB2312" w:cs="Times New Roman"/>
              <w:kern w:val="0"/>
              <w:szCs w:val="24"/>
              <w:lang w:val="en-US" w:eastAsia="zh-CN" w:bidi="ar-SA"/>
            </w:rPr>
            <w:fldChar w:fldCharType="separate"/>
          </w:r>
          <w:r>
            <w:rPr>
              <w:rFonts w:hint="eastAsia" w:ascii="仿宋" w:hAnsi="仿宋" w:eastAsia="仿宋"/>
              <w:highlight w:val="none"/>
            </w:rPr>
            <w:t>二、收</w:t>
          </w:r>
          <w:r>
            <w:rPr>
              <w:rFonts w:hint="eastAsia" w:ascii="仿宋" w:hAnsi="仿宋" w:eastAsia="仿宋"/>
              <w:bCs w:val="0"/>
              <w:highlight w:val="none"/>
            </w:rPr>
            <w:t>入决算表</w:t>
          </w:r>
          <w:r>
            <w:tab/>
          </w:r>
          <w:r>
            <w:fldChar w:fldCharType="begin"/>
          </w:r>
          <w:r>
            <w:instrText xml:space="preserve"> PAGEREF _Toc9011 \h </w:instrText>
          </w:r>
          <w:r>
            <w:fldChar w:fldCharType="separate"/>
          </w:r>
          <w:r>
            <w:t>42</w:t>
          </w:r>
          <w:r>
            <w:fldChar w:fldCharType="end"/>
          </w:r>
          <w:r>
            <w:rPr>
              <w:rFonts w:ascii="仿宋_GB2312" w:hAnsi="Times New Roman" w:eastAsia="仿宋_GB2312" w:cs="Times New Roman"/>
              <w:kern w:val="0"/>
              <w:szCs w:val="24"/>
              <w:lang w:val="en-US" w:eastAsia="zh-CN" w:bidi="ar-SA"/>
            </w:rPr>
            <w:fldChar w:fldCharType="end"/>
          </w:r>
        </w:p>
        <w:p>
          <w:pPr>
            <w:pStyle w:val="11"/>
            <w:tabs>
              <w:tab w:val="right" w:leader="dot" w:pos="8306"/>
              <w:tab w:val="clear" w:pos="8296"/>
            </w:tabs>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_Toc2397 </w:instrText>
          </w:r>
          <w:r>
            <w:rPr>
              <w:rFonts w:ascii="仿宋_GB2312" w:hAnsi="Times New Roman" w:eastAsia="仿宋_GB2312" w:cs="Times New Roman"/>
              <w:kern w:val="0"/>
              <w:szCs w:val="24"/>
              <w:lang w:val="en-US" w:eastAsia="zh-CN" w:bidi="ar-SA"/>
            </w:rPr>
            <w:fldChar w:fldCharType="separate"/>
          </w:r>
          <w:r>
            <w:rPr>
              <w:rFonts w:hint="eastAsia" w:ascii="仿宋" w:hAnsi="仿宋" w:eastAsia="仿宋"/>
              <w:bCs w:val="0"/>
              <w:highlight w:val="none"/>
            </w:rPr>
            <w:t>三、</w:t>
          </w:r>
          <w:r>
            <w:rPr>
              <w:rFonts w:hint="eastAsia" w:ascii="仿宋" w:hAnsi="仿宋" w:eastAsia="仿宋"/>
              <w:highlight w:val="none"/>
            </w:rPr>
            <w:t>支</w:t>
          </w:r>
          <w:r>
            <w:rPr>
              <w:rFonts w:hint="eastAsia" w:ascii="仿宋" w:hAnsi="仿宋" w:eastAsia="仿宋"/>
              <w:bCs w:val="0"/>
              <w:highlight w:val="none"/>
            </w:rPr>
            <w:t>出决算表</w:t>
          </w:r>
          <w:r>
            <w:tab/>
          </w:r>
          <w:r>
            <w:fldChar w:fldCharType="begin"/>
          </w:r>
          <w:r>
            <w:instrText xml:space="preserve"> PAGEREF _Toc2397 \h </w:instrText>
          </w:r>
          <w:r>
            <w:fldChar w:fldCharType="separate"/>
          </w:r>
          <w:r>
            <w:t>42</w:t>
          </w:r>
          <w:r>
            <w:fldChar w:fldCharType="end"/>
          </w:r>
          <w:r>
            <w:rPr>
              <w:rFonts w:ascii="仿宋_GB2312" w:hAnsi="Times New Roman" w:eastAsia="仿宋_GB2312" w:cs="Times New Roman"/>
              <w:kern w:val="0"/>
              <w:szCs w:val="24"/>
              <w:lang w:val="en-US" w:eastAsia="zh-CN" w:bidi="ar-SA"/>
            </w:rPr>
            <w:fldChar w:fldCharType="end"/>
          </w:r>
        </w:p>
        <w:p>
          <w:pPr>
            <w:pStyle w:val="11"/>
            <w:tabs>
              <w:tab w:val="right" w:leader="dot" w:pos="8306"/>
              <w:tab w:val="clear" w:pos="8296"/>
            </w:tabs>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_Toc6459 </w:instrText>
          </w:r>
          <w:r>
            <w:rPr>
              <w:rFonts w:ascii="仿宋_GB2312" w:hAnsi="Times New Roman" w:eastAsia="仿宋_GB2312" w:cs="Times New Roman"/>
              <w:kern w:val="0"/>
              <w:szCs w:val="24"/>
              <w:lang w:val="en-US" w:eastAsia="zh-CN" w:bidi="ar-SA"/>
            </w:rPr>
            <w:fldChar w:fldCharType="separate"/>
          </w:r>
          <w:r>
            <w:rPr>
              <w:rFonts w:hint="eastAsia" w:ascii="仿宋" w:hAnsi="仿宋" w:eastAsia="仿宋"/>
              <w:bCs w:val="0"/>
              <w:highlight w:val="none"/>
            </w:rPr>
            <w:t>四、</w:t>
          </w:r>
          <w:r>
            <w:rPr>
              <w:rFonts w:hint="eastAsia" w:ascii="仿宋" w:hAnsi="仿宋" w:eastAsia="仿宋"/>
              <w:highlight w:val="none"/>
            </w:rPr>
            <w:t>财</w:t>
          </w:r>
          <w:r>
            <w:rPr>
              <w:rFonts w:hint="eastAsia" w:ascii="仿宋" w:hAnsi="仿宋" w:eastAsia="仿宋"/>
              <w:bCs w:val="0"/>
              <w:highlight w:val="none"/>
            </w:rPr>
            <w:t>政拨款收入支出决算总表</w:t>
          </w:r>
          <w:r>
            <w:tab/>
          </w:r>
          <w:r>
            <w:fldChar w:fldCharType="begin"/>
          </w:r>
          <w:r>
            <w:instrText xml:space="preserve"> PAGEREF _Toc6459 \h </w:instrText>
          </w:r>
          <w:r>
            <w:fldChar w:fldCharType="separate"/>
          </w:r>
          <w:r>
            <w:t>42</w:t>
          </w:r>
          <w:r>
            <w:fldChar w:fldCharType="end"/>
          </w:r>
          <w:r>
            <w:rPr>
              <w:rFonts w:ascii="仿宋_GB2312" w:hAnsi="Times New Roman" w:eastAsia="仿宋_GB2312" w:cs="Times New Roman"/>
              <w:kern w:val="0"/>
              <w:szCs w:val="24"/>
              <w:lang w:val="en-US" w:eastAsia="zh-CN" w:bidi="ar-SA"/>
            </w:rPr>
            <w:fldChar w:fldCharType="end"/>
          </w:r>
        </w:p>
        <w:p>
          <w:pPr>
            <w:pStyle w:val="11"/>
            <w:tabs>
              <w:tab w:val="right" w:leader="dot" w:pos="8306"/>
              <w:tab w:val="clear" w:pos="8296"/>
            </w:tabs>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_Toc4092 </w:instrText>
          </w:r>
          <w:r>
            <w:rPr>
              <w:rFonts w:ascii="仿宋_GB2312" w:hAnsi="Times New Roman" w:eastAsia="仿宋_GB2312" w:cs="Times New Roman"/>
              <w:kern w:val="0"/>
              <w:szCs w:val="24"/>
              <w:lang w:val="en-US" w:eastAsia="zh-CN" w:bidi="ar-SA"/>
            </w:rPr>
            <w:fldChar w:fldCharType="separate"/>
          </w:r>
          <w:r>
            <w:rPr>
              <w:rFonts w:hint="eastAsia" w:ascii="仿宋" w:hAnsi="仿宋" w:eastAsia="仿宋"/>
              <w:bCs w:val="0"/>
              <w:highlight w:val="none"/>
            </w:rPr>
            <w:t>五、</w:t>
          </w:r>
          <w:r>
            <w:rPr>
              <w:rFonts w:hint="eastAsia" w:ascii="仿宋" w:hAnsi="仿宋" w:eastAsia="仿宋"/>
              <w:highlight w:val="none"/>
            </w:rPr>
            <w:t>财</w:t>
          </w:r>
          <w:r>
            <w:rPr>
              <w:rFonts w:hint="eastAsia" w:ascii="仿宋" w:hAnsi="仿宋" w:eastAsia="仿宋"/>
              <w:bCs w:val="0"/>
              <w:highlight w:val="none"/>
            </w:rPr>
            <w:t>政拨款支出决算明细表</w:t>
          </w:r>
          <w:r>
            <w:tab/>
          </w:r>
          <w:r>
            <w:fldChar w:fldCharType="begin"/>
          </w:r>
          <w:r>
            <w:instrText xml:space="preserve"> PAGEREF _Toc4092 \h </w:instrText>
          </w:r>
          <w:r>
            <w:fldChar w:fldCharType="separate"/>
          </w:r>
          <w:r>
            <w:t>42</w:t>
          </w:r>
          <w:r>
            <w:fldChar w:fldCharType="end"/>
          </w:r>
          <w:r>
            <w:rPr>
              <w:rFonts w:ascii="仿宋_GB2312" w:hAnsi="Times New Roman" w:eastAsia="仿宋_GB2312" w:cs="Times New Roman"/>
              <w:kern w:val="0"/>
              <w:szCs w:val="24"/>
              <w:lang w:val="en-US" w:eastAsia="zh-CN" w:bidi="ar-SA"/>
            </w:rPr>
            <w:fldChar w:fldCharType="end"/>
          </w:r>
        </w:p>
        <w:p>
          <w:pPr>
            <w:pStyle w:val="11"/>
            <w:tabs>
              <w:tab w:val="right" w:leader="dot" w:pos="8306"/>
              <w:tab w:val="clear" w:pos="8296"/>
            </w:tabs>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_Toc12378 </w:instrText>
          </w:r>
          <w:r>
            <w:rPr>
              <w:rFonts w:ascii="仿宋_GB2312" w:hAnsi="Times New Roman" w:eastAsia="仿宋_GB2312" w:cs="Times New Roman"/>
              <w:kern w:val="0"/>
              <w:szCs w:val="24"/>
              <w:lang w:val="en-US" w:eastAsia="zh-CN" w:bidi="ar-SA"/>
            </w:rPr>
            <w:fldChar w:fldCharType="separate"/>
          </w:r>
          <w:r>
            <w:rPr>
              <w:rFonts w:hint="eastAsia" w:ascii="仿宋" w:hAnsi="仿宋" w:eastAsia="仿宋"/>
              <w:bCs w:val="0"/>
              <w:highlight w:val="none"/>
            </w:rPr>
            <w:t>六、</w:t>
          </w:r>
          <w:r>
            <w:rPr>
              <w:rFonts w:hint="eastAsia" w:ascii="仿宋" w:hAnsi="仿宋" w:eastAsia="仿宋"/>
              <w:highlight w:val="none"/>
            </w:rPr>
            <w:t>一</w:t>
          </w:r>
          <w:r>
            <w:rPr>
              <w:rFonts w:hint="eastAsia" w:ascii="仿宋" w:hAnsi="仿宋" w:eastAsia="仿宋"/>
              <w:bCs w:val="0"/>
              <w:highlight w:val="none"/>
            </w:rPr>
            <w:t>般公共预算财政拨款支出决算表</w:t>
          </w:r>
          <w:r>
            <w:tab/>
          </w:r>
          <w:r>
            <w:fldChar w:fldCharType="begin"/>
          </w:r>
          <w:r>
            <w:instrText xml:space="preserve"> PAGEREF _Toc12378 \h </w:instrText>
          </w:r>
          <w:r>
            <w:fldChar w:fldCharType="separate"/>
          </w:r>
          <w:r>
            <w:t>42</w:t>
          </w:r>
          <w:r>
            <w:fldChar w:fldCharType="end"/>
          </w:r>
          <w:r>
            <w:rPr>
              <w:rFonts w:ascii="仿宋_GB2312" w:hAnsi="Times New Roman" w:eastAsia="仿宋_GB2312" w:cs="Times New Roman"/>
              <w:kern w:val="0"/>
              <w:szCs w:val="24"/>
              <w:lang w:val="en-US" w:eastAsia="zh-CN" w:bidi="ar-SA"/>
            </w:rPr>
            <w:fldChar w:fldCharType="end"/>
          </w:r>
        </w:p>
        <w:p>
          <w:pPr>
            <w:pStyle w:val="11"/>
            <w:tabs>
              <w:tab w:val="right" w:leader="dot" w:pos="8306"/>
              <w:tab w:val="clear" w:pos="8296"/>
            </w:tabs>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_Toc6733 </w:instrText>
          </w:r>
          <w:r>
            <w:rPr>
              <w:rFonts w:ascii="仿宋_GB2312" w:hAnsi="Times New Roman" w:eastAsia="仿宋_GB2312" w:cs="Times New Roman"/>
              <w:kern w:val="0"/>
              <w:szCs w:val="24"/>
              <w:lang w:val="en-US" w:eastAsia="zh-CN" w:bidi="ar-SA"/>
            </w:rPr>
            <w:fldChar w:fldCharType="separate"/>
          </w:r>
          <w:r>
            <w:rPr>
              <w:rFonts w:hint="eastAsia" w:ascii="仿宋" w:hAnsi="仿宋" w:eastAsia="仿宋"/>
              <w:bCs w:val="0"/>
              <w:highlight w:val="none"/>
            </w:rPr>
            <w:t>七、</w:t>
          </w:r>
          <w:r>
            <w:rPr>
              <w:rFonts w:hint="eastAsia" w:ascii="仿宋" w:hAnsi="仿宋" w:eastAsia="仿宋"/>
              <w:highlight w:val="none"/>
            </w:rPr>
            <w:t>一</w:t>
          </w:r>
          <w:r>
            <w:rPr>
              <w:rFonts w:hint="eastAsia" w:ascii="仿宋" w:hAnsi="仿宋" w:eastAsia="仿宋"/>
              <w:bCs w:val="0"/>
              <w:highlight w:val="none"/>
            </w:rPr>
            <w:t>般公共预算财政拨款支出决算明细表</w:t>
          </w:r>
          <w:r>
            <w:tab/>
          </w:r>
          <w:r>
            <w:fldChar w:fldCharType="begin"/>
          </w:r>
          <w:r>
            <w:instrText xml:space="preserve"> PAGEREF _Toc6733 \h </w:instrText>
          </w:r>
          <w:r>
            <w:fldChar w:fldCharType="separate"/>
          </w:r>
          <w:r>
            <w:t>42</w:t>
          </w:r>
          <w:r>
            <w:fldChar w:fldCharType="end"/>
          </w:r>
          <w:r>
            <w:rPr>
              <w:rFonts w:ascii="仿宋_GB2312" w:hAnsi="Times New Roman" w:eastAsia="仿宋_GB2312" w:cs="Times New Roman"/>
              <w:kern w:val="0"/>
              <w:szCs w:val="24"/>
              <w:lang w:val="en-US" w:eastAsia="zh-CN" w:bidi="ar-SA"/>
            </w:rPr>
            <w:fldChar w:fldCharType="end"/>
          </w:r>
        </w:p>
        <w:p>
          <w:pPr>
            <w:pStyle w:val="11"/>
            <w:tabs>
              <w:tab w:val="right" w:leader="dot" w:pos="8306"/>
              <w:tab w:val="clear" w:pos="8296"/>
            </w:tabs>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_Toc12416 </w:instrText>
          </w:r>
          <w:r>
            <w:rPr>
              <w:rFonts w:ascii="仿宋_GB2312" w:hAnsi="Times New Roman" w:eastAsia="仿宋_GB2312" w:cs="Times New Roman"/>
              <w:kern w:val="0"/>
              <w:szCs w:val="24"/>
              <w:lang w:val="en-US" w:eastAsia="zh-CN" w:bidi="ar-SA"/>
            </w:rPr>
            <w:fldChar w:fldCharType="separate"/>
          </w:r>
          <w:r>
            <w:rPr>
              <w:rFonts w:hint="eastAsia" w:ascii="仿宋" w:hAnsi="仿宋" w:eastAsia="仿宋"/>
              <w:bCs w:val="0"/>
              <w:highlight w:val="none"/>
            </w:rPr>
            <w:t>八、</w:t>
          </w:r>
          <w:r>
            <w:rPr>
              <w:rFonts w:hint="eastAsia" w:ascii="仿宋" w:hAnsi="仿宋" w:eastAsia="仿宋"/>
              <w:highlight w:val="none"/>
            </w:rPr>
            <w:t>一</w:t>
          </w:r>
          <w:r>
            <w:rPr>
              <w:rFonts w:hint="eastAsia" w:ascii="仿宋" w:hAnsi="仿宋" w:eastAsia="仿宋"/>
              <w:bCs w:val="0"/>
              <w:highlight w:val="none"/>
            </w:rPr>
            <w:t>般公共预算财政拨款基本支出决算表</w:t>
          </w:r>
          <w:r>
            <w:tab/>
          </w:r>
          <w:r>
            <w:fldChar w:fldCharType="begin"/>
          </w:r>
          <w:r>
            <w:instrText xml:space="preserve"> PAGEREF _Toc12416 \h </w:instrText>
          </w:r>
          <w:r>
            <w:fldChar w:fldCharType="separate"/>
          </w:r>
          <w:r>
            <w:t>42</w:t>
          </w:r>
          <w:r>
            <w:fldChar w:fldCharType="end"/>
          </w:r>
          <w:r>
            <w:rPr>
              <w:rFonts w:ascii="仿宋_GB2312" w:hAnsi="Times New Roman" w:eastAsia="仿宋_GB2312" w:cs="Times New Roman"/>
              <w:kern w:val="0"/>
              <w:szCs w:val="24"/>
              <w:lang w:val="en-US" w:eastAsia="zh-CN" w:bidi="ar-SA"/>
            </w:rPr>
            <w:fldChar w:fldCharType="end"/>
          </w:r>
        </w:p>
        <w:p>
          <w:pPr>
            <w:pStyle w:val="11"/>
            <w:tabs>
              <w:tab w:val="right" w:leader="dot" w:pos="8306"/>
              <w:tab w:val="clear" w:pos="8296"/>
            </w:tabs>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_Toc4656 </w:instrText>
          </w:r>
          <w:r>
            <w:rPr>
              <w:rFonts w:ascii="仿宋_GB2312" w:hAnsi="Times New Roman" w:eastAsia="仿宋_GB2312" w:cs="Times New Roman"/>
              <w:kern w:val="0"/>
              <w:szCs w:val="24"/>
              <w:lang w:val="en-US" w:eastAsia="zh-CN" w:bidi="ar-SA"/>
            </w:rPr>
            <w:fldChar w:fldCharType="separate"/>
          </w:r>
          <w:r>
            <w:rPr>
              <w:rFonts w:hint="eastAsia" w:ascii="仿宋" w:hAnsi="仿宋" w:eastAsia="仿宋"/>
              <w:bCs w:val="0"/>
              <w:highlight w:val="none"/>
            </w:rPr>
            <w:t>九、</w:t>
          </w:r>
          <w:r>
            <w:rPr>
              <w:rFonts w:hint="eastAsia" w:ascii="仿宋" w:hAnsi="仿宋" w:eastAsia="仿宋"/>
              <w:highlight w:val="none"/>
            </w:rPr>
            <w:t>一</w:t>
          </w:r>
          <w:r>
            <w:rPr>
              <w:rFonts w:hint="eastAsia" w:ascii="仿宋" w:hAnsi="仿宋" w:eastAsia="仿宋"/>
              <w:bCs w:val="0"/>
              <w:highlight w:val="none"/>
            </w:rPr>
            <w:t>般公共预算财政拨款项目支出决算表</w:t>
          </w:r>
          <w:r>
            <w:tab/>
          </w:r>
          <w:r>
            <w:fldChar w:fldCharType="begin"/>
          </w:r>
          <w:r>
            <w:instrText xml:space="preserve"> PAGEREF _Toc4656 \h </w:instrText>
          </w:r>
          <w:r>
            <w:fldChar w:fldCharType="separate"/>
          </w:r>
          <w:r>
            <w:t>42</w:t>
          </w:r>
          <w:r>
            <w:fldChar w:fldCharType="end"/>
          </w:r>
          <w:r>
            <w:rPr>
              <w:rFonts w:ascii="仿宋_GB2312" w:hAnsi="Times New Roman" w:eastAsia="仿宋_GB2312" w:cs="Times New Roman"/>
              <w:kern w:val="0"/>
              <w:szCs w:val="24"/>
              <w:lang w:val="en-US" w:eastAsia="zh-CN" w:bidi="ar-SA"/>
            </w:rPr>
            <w:fldChar w:fldCharType="end"/>
          </w:r>
        </w:p>
        <w:p>
          <w:pPr>
            <w:pStyle w:val="11"/>
            <w:tabs>
              <w:tab w:val="right" w:leader="dot" w:pos="8306"/>
              <w:tab w:val="clear" w:pos="8296"/>
            </w:tabs>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_Toc24313 </w:instrText>
          </w:r>
          <w:r>
            <w:rPr>
              <w:rFonts w:ascii="仿宋_GB2312" w:hAnsi="Times New Roman" w:eastAsia="仿宋_GB2312" w:cs="Times New Roman"/>
              <w:kern w:val="0"/>
              <w:szCs w:val="24"/>
              <w:lang w:val="en-US" w:eastAsia="zh-CN" w:bidi="ar-SA"/>
            </w:rPr>
            <w:fldChar w:fldCharType="separate"/>
          </w:r>
          <w:r>
            <w:rPr>
              <w:rFonts w:hint="eastAsia" w:ascii="仿宋" w:hAnsi="仿宋" w:eastAsia="仿宋"/>
              <w:bCs w:val="0"/>
              <w:highlight w:val="none"/>
            </w:rPr>
            <w:t>十、</w:t>
          </w:r>
          <w:r>
            <w:rPr>
              <w:rFonts w:hint="eastAsia" w:ascii="仿宋" w:hAnsi="仿宋" w:eastAsia="仿宋"/>
              <w:highlight w:val="none"/>
            </w:rPr>
            <w:t>一</w:t>
          </w:r>
          <w:r>
            <w:rPr>
              <w:rFonts w:hint="eastAsia" w:ascii="仿宋" w:hAnsi="仿宋" w:eastAsia="仿宋"/>
              <w:bCs w:val="0"/>
              <w:highlight w:val="none"/>
            </w:rPr>
            <w:t>般公共预算财政拨款“三公”经费支出决算表</w:t>
          </w:r>
          <w:r>
            <w:tab/>
          </w:r>
          <w:r>
            <w:fldChar w:fldCharType="begin"/>
          </w:r>
          <w:r>
            <w:instrText xml:space="preserve"> PAGEREF _Toc24313 \h </w:instrText>
          </w:r>
          <w:r>
            <w:fldChar w:fldCharType="separate"/>
          </w:r>
          <w:r>
            <w:t>42</w:t>
          </w:r>
          <w:r>
            <w:fldChar w:fldCharType="end"/>
          </w:r>
          <w:r>
            <w:rPr>
              <w:rFonts w:ascii="仿宋_GB2312" w:hAnsi="Times New Roman" w:eastAsia="仿宋_GB2312" w:cs="Times New Roman"/>
              <w:kern w:val="0"/>
              <w:szCs w:val="24"/>
              <w:lang w:val="en-US" w:eastAsia="zh-CN" w:bidi="ar-SA"/>
            </w:rPr>
            <w:fldChar w:fldCharType="end"/>
          </w:r>
        </w:p>
        <w:p>
          <w:pPr>
            <w:pStyle w:val="11"/>
            <w:tabs>
              <w:tab w:val="right" w:leader="dot" w:pos="8306"/>
              <w:tab w:val="clear" w:pos="8296"/>
            </w:tabs>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_Toc18181 </w:instrText>
          </w:r>
          <w:r>
            <w:rPr>
              <w:rFonts w:ascii="仿宋_GB2312" w:hAnsi="Times New Roman" w:eastAsia="仿宋_GB2312" w:cs="Times New Roman"/>
              <w:kern w:val="0"/>
              <w:szCs w:val="24"/>
              <w:lang w:val="en-US" w:eastAsia="zh-CN" w:bidi="ar-SA"/>
            </w:rPr>
            <w:fldChar w:fldCharType="separate"/>
          </w:r>
          <w:r>
            <w:rPr>
              <w:rFonts w:hint="eastAsia" w:ascii="仿宋" w:hAnsi="仿宋" w:eastAsia="仿宋"/>
              <w:bCs w:val="0"/>
              <w:highlight w:val="none"/>
            </w:rPr>
            <w:t>十一、</w:t>
          </w:r>
          <w:r>
            <w:rPr>
              <w:rFonts w:hint="eastAsia" w:ascii="仿宋" w:hAnsi="仿宋" w:eastAsia="仿宋"/>
              <w:highlight w:val="none"/>
            </w:rPr>
            <w:t>政</w:t>
          </w:r>
          <w:r>
            <w:rPr>
              <w:rFonts w:hint="eastAsia" w:ascii="仿宋" w:hAnsi="仿宋" w:eastAsia="仿宋"/>
              <w:bCs w:val="0"/>
              <w:highlight w:val="none"/>
            </w:rPr>
            <w:t>府性基金预算财政拨款收入支出决算表</w:t>
          </w:r>
          <w:r>
            <w:tab/>
          </w:r>
          <w:r>
            <w:fldChar w:fldCharType="begin"/>
          </w:r>
          <w:r>
            <w:instrText xml:space="preserve"> PAGEREF _Toc18181 \h </w:instrText>
          </w:r>
          <w:r>
            <w:fldChar w:fldCharType="separate"/>
          </w:r>
          <w:r>
            <w:t>42</w:t>
          </w:r>
          <w:r>
            <w:fldChar w:fldCharType="end"/>
          </w:r>
          <w:r>
            <w:rPr>
              <w:rFonts w:ascii="仿宋_GB2312" w:hAnsi="Times New Roman" w:eastAsia="仿宋_GB2312" w:cs="Times New Roman"/>
              <w:kern w:val="0"/>
              <w:szCs w:val="24"/>
              <w:lang w:val="en-US" w:eastAsia="zh-CN" w:bidi="ar-SA"/>
            </w:rPr>
            <w:fldChar w:fldCharType="end"/>
          </w:r>
        </w:p>
        <w:p>
          <w:pPr>
            <w:pStyle w:val="11"/>
            <w:tabs>
              <w:tab w:val="right" w:leader="dot" w:pos="8306"/>
              <w:tab w:val="clear" w:pos="8296"/>
            </w:tabs>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_Toc30682 </w:instrText>
          </w:r>
          <w:r>
            <w:rPr>
              <w:rFonts w:ascii="仿宋_GB2312" w:hAnsi="Times New Roman" w:eastAsia="仿宋_GB2312" w:cs="Times New Roman"/>
              <w:kern w:val="0"/>
              <w:szCs w:val="24"/>
              <w:lang w:val="en-US" w:eastAsia="zh-CN" w:bidi="ar-SA"/>
            </w:rPr>
            <w:fldChar w:fldCharType="separate"/>
          </w:r>
          <w:r>
            <w:rPr>
              <w:rFonts w:hint="eastAsia" w:ascii="仿宋" w:hAnsi="仿宋" w:eastAsia="仿宋"/>
              <w:bCs w:val="0"/>
              <w:highlight w:val="none"/>
            </w:rPr>
            <w:t>十二、</w:t>
          </w:r>
          <w:r>
            <w:rPr>
              <w:rFonts w:hint="eastAsia" w:ascii="仿宋" w:hAnsi="仿宋" w:eastAsia="仿宋"/>
              <w:highlight w:val="none"/>
            </w:rPr>
            <w:t>政</w:t>
          </w:r>
          <w:r>
            <w:rPr>
              <w:rFonts w:hint="eastAsia" w:ascii="仿宋" w:hAnsi="仿宋" w:eastAsia="仿宋"/>
              <w:bCs w:val="0"/>
              <w:highlight w:val="none"/>
            </w:rPr>
            <w:t>府性基金预算财政拨款“三公”经费支出决算表</w:t>
          </w:r>
          <w:r>
            <w:tab/>
          </w:r>
          <w:r>
            <w:fldChar w:fldCharType="begin"/>
          </w:r>
          <w:r>
            <w:instrText xml:space="preserve"> PAGEREF _Toc30682 \h </w:instrText>
          </w:r>
          <w:r>
            <w:fldChar w:fldCharType="separate"/>
          </w:r>
          <w:r>
            <w:t>42</w:t>
          </w:r>
          <w:r>
            <w:fldChar w:fldCharType="end"/>
          </w:r>
          <w:r>
            <w:rPr>
              <w:rFonts w:ascii="仿宋_GB2312" w:hAnsi="Times New Roman" w:eastAsia="仿宋_GB2312" w:cs="Times New Roman"/>
              <w:kern w:val="0"/>
              <w:szCs w:val="24"/>
              <w:lang w:val="en-US" w:eastAsia="zh-CN" w:bidi="ar-SA"/>
            </w:rPr>
            <w:fldChar w:fldCharType="end"/>
          </w:r>
        </w:p>
        <w:p>
          <w:pPr>
            <w:pStyle w:val="11"/>
            <w:tabs>
              <w:tab w:val="right" w:leader="dot" w:pos="8306"/>
              <w:tab w:val="clear" w:pos="8296"/>
            </w:tabs>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_Toc28125 </w:instrText>
          </w:r>
          <w:r>
            <w:rPr>
              <w:rFonts w:ascii="仿宋_GB2312" w:hAnsi="Times New Roman" w:eastAsia="仿宋_GB2312" w:cs="Times New Roman"/>
              <w:kern w:val="0"/>
              <w:szCs w:val="24"/>
              <w:lang w:val="en-US" w:eastAsia="zh-CN" w:bidi="ar-SA"/>
            </w:rPr>
            <w:fldChar w:fldCharType="separate"/>
          </w:r>
          <w:r>
            <w:rPr>
              <w:rFonts w:hint="eastAsia" w:ascii="仿宋" w:hAnsi="仿宋" w:eastAsia="仿宋"/>
              <w:bCs w:val="0"/>
              <w:highlight w:val="none"/>
            </w:rPr>
            <w:t>十三、</w:t>
          </w:r>
          <w:r>
            <w:rPr>
              <w:rFonts w:hint="eastAsia" w:ascii="仿宋" w:hAnsi="仿宋" w:eastAsia="仿宋"/>
              <w:highlight w:val="none"/>
            </w:rPr>
            <w:t>国</w:t>
          </w:r>
          <w:r>
            <w:rPr>
              <w:rFonts w:hint="eastAsia" w:ascii="仿宋" w:hAnsi="仿宋" w:eastAsia="仿宋"/>
              <w:bCs w:val="0"/>
              <w:highlight w:val="none"/>
            </w:rPr>
            <w:t>有资本经营预算</w:t>
          </w:r>
          <w:r>
            <w:rPr>
              <w:rFonts w:hint="eastAsia" w:ascii="仿宋" w:hAnsi="仿宋" w:eastAsia="仿宋"/>
              <w:bCs w:val="0"/>
              <w:highlight w:val="none"/>
              <w:lang w:eastAsia="zh-CN"/>
            </w:rPr>
            <w:t>财政拨款收入</w:t>
          </w:r>
          <w:r>
            <w:rPr>
              <w:rFonts w:hint="eastAsia" w:ascii="仿宋" w:hAnsi="仿宋" w:eastAsia="仿宋"/>
              <w:bCs w:val="0"/>
              <w:highlight w:val="none"/>
            </w:rPr>
            <w:t>支出决算表</w:t>
          </w:r>
          <w:r>
            <w:tab/>
          </w:r>
          <w:r>
            <w:fldChar w:fldCharType="begin"/>
          </w:r>
          <w:r>
            <w:instrText xml:space="preserve"> PAGEREF _Toc28125 \h </w:instrText>
          </w:r>
          <w:r>
            <w:fldChar w:fldCharType="separate"/>
          </w:r>
          <w:r>
            <w:t>42</w:t>
          </w:r>
          <w:r>
            <w:fldChar w:fldCharType="end"/>
          </w:r>
          <w:r>
            <w:rPr>
              <w:rFonts w:ascii="仿宋_GB2312" w:hAnsi="Times New Roman" w:eastAsia="仿宋_GB2312" w:cs="Times New Roman"/>
              <w:kern w:val="0"/>
              <w:szCs w:val="24"/>
              <w:lang w:val="en-US" w:eastAsia="zh-CN" w:bidi="ar-SA"/>
            </w:rPr>
            <w:fldChar w:fldCharType="end"/>
          </w:r>
        </w:p>
        <w:p>
          <w:pPr>
            <w:pStyle w:val="11"/>
            <w:tabs>
              <w:tab w:val="right" w:leader="dot" w:pos="8306"/>
              <w:tab w:val="clear" w:pos="8296"/>
            </w:tabs>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_Toc26624 </w:instrText>
          </w:r>
          <w:r>
            <w:rPr>
              <w:rFonts w:ascii="仿宋_GB2312" w:hAnsi="Times New Roman" w:eastAsia="仿宋_GB2312" w:cs="Times New Roman"/>
              <w:kern w:val="0"/>
              <w:szCs w:val="24"/>
              <w:lang w:val="en-US" w:eastAsia="zh-CN" w:bidi="ar-SA"/>
            </w:rPr>
            <w:fldChar w:fldCharType="separate"/>
          </w:r>
          <w:r>
            <w:rPr>
              <w:rFonts w:hint="eastAsia" w:ascii="仿宋" w:hAnsi="仿宋" w:eastAsia="仿宋"/>
              <w:bCs w:val="0"/>
              <w:highlight w:val="none"/>
              <w:lang w:eastAsia="zh-CN"/>
            </w:rPr>
            <w:t>十四、国有资本经营预算财政拨款支出决算表</w:t>
          </w:r>
          <w:r>
            <w:tab/>
          </w:r>
          <w:r>
            <w:fldChar w:fldCharType="begin"/>
          </w:r>
          <w:r>
            <w:instrText xml:space="preserve"> PAGEREF _Toc26624 \h </w:instrText>
          </w:r>
          <w:r>
            <w:fldChar w:fldCharType="separate"/>
          </w:r>
          <w:r>
            <w:t>42</w:t>
          </w:r>
          <w:r>
            <w:fldChar w:fldCharType="end"/>
          </w:r>
          <w:r>
            <w:rPr>
              <w:rFonts w:ascii="仿宋_GB2312" w:hAnsi="Times New Roman" w:eastAsia="仿宋_GB2312" w:cs="Times New Roman"/>
              <w:kern w:val="0"/>
              <w:szCs w:val="24"/>
              <w:lang w:val="en-US" w:eastAsia="zh-CN" w:bidi="ar-SA"/>
            </w:rPr>
            <w:fldChar w:fldCharType="end"/>
          </w:r>
        </w:p>
        <w:p>
          <w:pPr>
            <w:pStyle w:val="2"/>
            <w:rPr>
              <w:rFonts w:ascii="仿宋" w:hAnsi="仿宋" w:eastAsia="仿宋"/>
              <w:bCs/>
              <w:color w:val="auto"/>
              <w:kern w:val="44"/>
              <w:sz w:val="24"/>
              <w:highlight w:val="none"/>
            </w:rPr>
          </w:pPr>
          <w:r>
            <w:rPr>
              <w:rFonts w:ascii="仿宋_GB2312" w:hAnsi="Times New Roman" w:eastAsia="仿宋_GB2312" w:cs="Times New Roman"/>
              <w:kern w:val="0"/>
              <w:szCs w:val="24"/>
              <w:lang w:val="en-US" w:eastAsia="zh-CN" w:bidi="ar-SA"/>
            </w:rPr>
            <w:fldChar w:fldCharType="end"/>
          </w:r>
          <w:bookmarkStart w:id="13" w:name="_Toc15396599"/>
          <w:bookmarkStart w:id="14" w:name="_Toc15377196"/>
        </w:p>
      </w:sdtContent>
    </w:sdt>
    <w:p>
      <w:pPr>
        <w:pStyle w:val="3"/>
        <w:jc w:val="center"/>
        <w:rPr>
          <w:rStyle w:val="24"/>
          <w:rFonts w:ascii="黑体" w:hAnsi="黑体" w:eastAsia="黑体"/>
          <w:b/>
          <w:bCs w:val="0"/>
          <w:color w:val="auto"/>
          <w:highlight w:val="none"/>
        </w:rPr>
      </w:pPr>
      <w:bookmarkStart w:id="15" w:name="_Toc11277"/>
      <w:r>
        <w:rPr>
          <w:rFonts w:hint="eastAsia" w:ascii="黑体" w:hAnsi="黑体" w:eastAsia="黑体"/>
          <w:b w:val="0"/>
          <w:color w:val="auto"/>
          <w:highlight w:val="none"/>
        </w:rPr>
        <w:t xml:space="preserve">第一部分 </w:t>
      </w:r>
      <w:r>
        <w:rPr>
          <w:rStyle w:val="24"/>
          <w:rFonts w:hint="eastAsia" w:ascii="黑体" w:hAnsi="黑体" w:eastAsia="黑体"/>
          <w:b w:val="0"/>
          <w:bCs w:val="0"/>
          <w:color w:val="auto"/>
          <w:highlight w:val="none"/>
        </w:rPr>
        <w:t>部门概况</w:t>
      </w:r>
      <w:bookmarkEnd w:id="13"/>
      <w:bookmarkEnd w:id="14"/>
      <w:bookmarkEnd w:id="15"/>
    </w:p>
    <w:p>
      <w:pPr>
        <w:widowControl/>
        <w:jc w:val="left"/>
        <w:rPr>
          <w:rFonts w:ascii="黑体" w:eastAsia="黑体"/>
          <w:color w:val="auto"/>
          <w:sz w:val="32"/>
          <w:szCs w:val="32"/>
          <w:highlight w:val="none"/>
        </w:rPr>
      </w:pPr>
    </w:p>
    <w:p>
      <w:pPr>
        <w:pStyle w:val="4"/>
        <w:rPr>
          <w:rStyle w:val="25"/>
          <w:rFonts w:ascii="仿宋" w:hAnsi="仿宋" w:eastAsia="仿宋"/>
          <w:b w:val="0"/>
          <w:bCs w:val="0"/>
          <w:color w:val="auto"/>
          <w:highlight w:val="none"/>
        </w:rPr>
      </w:pPr>
      <w:bookmarkStart w:id="16" w:name="_Toc15396600"/>
      <w:bookmarkStart w:id="17" w:name="_Toc15377197"/>
      <w:bookmarkStart w:id="18" w:name="_Toc8162"/>
      <w:r>
        <w:rPr>
          <w:rFonts w:hint="eastAsia" w:ascii="黑体" w:hAnsi="黑体" w:eastAsia="黑体"/>
          <w:b w:val="0"/>
          <w:color w:val="auto"/>
          <w:highlight w:val="none"/>
        </w:rPr>
        <w:t>一、基</w:t>
      </w:r>
      <w:r>
        <w:rPr>
          <w:rStyle w:val="25"/>
          <w:rFonts w:hint="eastAsia" w:ascii="黑体" w:hAnsi="黑体" w:eastAsia="黑体"/>
          <w:b w:val="0"/>
          <w:bCs w:val="0"/>
          <w:color w:val="auto"/>
          <w:highlight w:val="none"/>
        </w:rPr>
        <w:t>本职能及主要工作</w:t>
      </w:r>
      <w:bookmarkEnd w:id="16"/>
      <w:bookmarkEnd w:id="17"/>
      <w:bookmarkEnd w:id="18"/>
    </w:p>
    <w:p>
      <w:pPr>
        <w:pStyle w:val="2"/>
        <w:adjustRightInd w:val="0"/>
        <w:snapToGrid w:val="0"/>
        <w:spacing w:before="93" w:line="600" w:lineRule="exact"/>
        <w:ind w:firstLine="672" w:firstLineChars="210"/>
        <w:outlineLvl w:val="2"/>
        <w:rPr>
          <w:rFonts w:hint="eastAsia" w:ascii="仿宋" w:hAnsi="仿宋" w:eastAsia="仿宋"/>
          <w:bCs/>
          <w:color w:val="auto"/>
          <w:sz w:val="32"/>
          <w:szCs w:val="32"/>
          <w:highlight w:val="none"/>
        </w:rPr>
      </w:pPr>
      <w:bookmarkStart w:id="19" w:name="_Toc15377199"/>
      <w:bookmarkStart w:id="20" w:name="_Toc15378446"/>
      <w:r>
        <w:rPr>
          <w:rFonts w:hint="eastAsia" w:ascii="仿宋" w:hAnsi="仿宋" w:eastAsia="仿宋"/>
          <w:bCs/>
          <w:color w:val="auto"/>
          <w:sz w:val="32"/>
          <w:szCs w:val="32"/>
          <w:highlight w:val="none"/>
        </w:rPr>
        <w:t>（一）主要职能</w:t>
      </w:r>
    </w:p>
    <w:p>
      <w:pPr>
        <w:pStyle w:val="2"/>
        <w:adjustRightInd w:val="0"/>
        <w:snapToGrid w:val="0"/>
        <w:spacing w:before="93" w:line="600" w:lineRule="exact"/>
        <w:ind w:firstLine="672" w:firstLineChars="210"/>
        <w:outlineLvl w:val="3"/>
        <w:rPr>
          <w:rFonts w:hint="eastAsia" w:ascii="仿宋" w:hAnsi="仿宋" w:eastAsia="仿宋"/>
          <w:bCs/>
          <w:color w:val="auto"/>
          <w:sz w:val="32"/>
          <w:szCs w:val="32"/>
          <w:highlight w:val="none"/>
        </w:rPr>
      </w:pPr>
      <w:r>
        <w:rPr>
          <w:rFonts w:hint="eastAsia" w:ascii="仿宋" w:hAnsi="仿宋" w:eastAsia="仿宋"/>
          <w:bCs/>
          <w:color w:val="auto"/>
          <w:sz w:val="32"/>
          <w:szCs w:val="32"/>
          <w:highlight w:val="none"/>
        </w:rPr>
        <w:t>贯彻执行中央和各级党委及上级宣传部门有关的重大理论、方针、政策，指导全县宣传、思想和精神文明建设工作。负责组织、指导全县的理论学习、理论研究、理论宣传工作；负责党的路线、方针、政策教育和形势任务教育、思想道德教育、国防教育以及党的重要会议精神的学习贯彻。了解掌握有关社会政治动态、思想动态、理论动态，及时汇报并提出对策意见、建议；抓好群众性宣传教育、先进典型人物的宣传教育，指导协调群众性文化、体育活动。负责提出全县宣传文化事业发展的指导方针；指导宣传文化系统制定政策、法规；按照县委部署，对宣传文化系统各部门之间的工作进行协调。配合县委组织部党员教育工作；开发编审党员教育教材；指导全县党员学习。负责从宏观上指导全县中小学校德育、政治理论教学和思想政治工作。负责全县对外、对港澳的宣传工作和联络工作；指导协调全县对外文化交流工作。负责引导社会舆论，指导协调新闻、出版、文化和社会科学研究部门的工作。受县委委托，会同县委组织部管理县级宣传、广播电视、文化体育、教育、卫生等部门领导班子的建设。负责指导、协调、组织全县社会主义精神文明建设活动，参与制定精神文明建设长远规划和年度计划，指导全县性重大精神文明建设活动的开展。</w:t>
      </w:r>
    </w:p>
    <w:p>
      <w:pPr>
        <w:pStyle w:val="2"/>
        <w:adjustRightInd w:val="0"/>
        <w:snapToGrid w:val="0"/>
        <w:spacing w:before="93" w:line="600" w:lineRule="exact"/>
        <w:ind w:firstLine="672" w:firstLineChars="210"/>
        <w:outlineLvl w:val="2"/>
        <w:rPr>
          <w:rFonts w:hint="eastAsia" w:ascii="仿宋" w:hAnsi="仿宋" w:eastAsia="仿宋"/>
          <w:bCs/>
          <w:color w:val="auto"/>
          <w:sz w:val="32"/>
          <w:szCs w:val="32"/>
          <w:highlight w:val="none"/>
        </w:rPr>
      </w:pPr>
      <w:r>
        <w:rPr>
          <w:rFonts w:hint="eastAsia" w:ascii="仿宋" w:hAnsi="仿宋" w:eastAsia="仿宋"/>
          <w:bCs/>
          <w:color w:val="auto"/>
          <w:sz w:val="32"/>
          <w:szCs w:val="32"/>
          <w:highlight w:val="none"/>
        </w:rPr>
        <w:t>（二）</w:t>
      </w:r>
      <w:r>
        <w:rPr>
          <w:rFonts w:ascii="仿宋" w:hAnsi="仿宋" w:eastAsia="仿宋"/>
          <w:bCs/>
          <w:color w:val="auto"/>
          <w:sz w:val="32"/>
          <w:szCs w:val="32"/>
          <w:highlight w:val="none"/>
        </w:rPr>
        <w:t>20</w:t>
      </w:r>
      <w:r>
        <w:rPr>
          <w:rFonts w:hint="eastAsia" w:ascii="仿宋" w:hAnsi="仿宋" w:eastAsia="仿宋"/>
          <w:bCs/>
          <w:color w:val="auto"/>
          <w:sz w:val="32"/>
          <w:szCs w:val="32"/>
          <w:highlight w:val="none"/>
          <w:lang w:val="en-US" w:eastAsia="zh-CN"/>
        </w:rPr>
        <w:t>21</w:t>
      </w:r>
      <w:r>
        <w:rPr>
          <w:rFonts w:hint="eastAsia" w:ascii="仿宋" w:hAnsi="仿宋" w:eastAsia="仿宋"/>
          <w:bCs/>
          <w:color w:val="auto"/>
          <w:sz w:val="32"/>
          <w:szCs w:val="32"/>
          <w:highlight w:val="none"/>
        </w:rPr>
        <w:t>年重点工作完成情况</w:t>
      </w:r>
      <w:bookmarkEnd w:id="19"/>
      <w:bookmarkEnd w:id="20"/>
    </w:p>
    <w:p>
      <w:pPr>
        <w:pStyle w:val="2"/>
        <w:adjustRightInd w:val="0"/>
        <w:snapToGrid w:val="0"/>
        <w:spacing w:before="93" w:line="600" w:lineRule="exact"/>
        <w:ind w:firstLine="672" w:firstLineChars="210"/>
        <w:outlineLvl w:val="3"/>
        <w:rPr>
          <w:rFonts w:hint="eastAsia" w:ascii="仿宋" w:hAnsi="仿宋" w:eastAsia="仿宋"/>
          <w:bCs/>
          <w:color w:val="auto"/>
          <w:sz w:val="32"/>
          <w:szCs w:val="32"/>
          <w:highlight w:val="none"/>
        </w:rPr>
      </w:pPr>
      <w:r>
        <w:rPr>
          <w:rFonts w:hint="eastAsia" w:ascii="仿宋" w:hAnsi="仿宋" w:eastAsia="仿宋"/>
          <w:bCs/>
          <w:color w:val="auto"/>
          <w:sz w:val="32"/>
          <w:szCs w:val="32"/>
          <w:highlight w:val="none"/>
        </w:rPr>
        <w:t>2021年，在市委宣传部和沐川县委的坚强领导、指导下，沐川宣传思想文化工作坚持以习近平新时代中国特色社会主义思想为指导，学习宣传和贯彻落实党中央、省委、市委重大决策部署，切实履行“一个高举、两个巩固、三个建设”根本任务，主动担起举旗帜、聚民心、育新人、兴文化、展形象的历史使命，为开启全面建设社会主义现代化新沐川奠定了坚实的思想基础，营造了良好的舆论氛围。</w:t>
      </w:r>
    </w:p>
    <w:p>
      <w:pPr>
        <w:pStyle w:val="2"/>
        <w:adjustRightInd w:val="0"/>
        <w:snapToGrid w:val="0"/>
        <w:spacing w:before="93" w:line="600" w:lineRule="exact"/>
        <w:ind w:firstLine="672" w:firstLineChars="210"/>
        <w:outlineLvl w:val="3"/>
        <w:rPr>
          <w:rFonts w:hint="eastAsia" w:ascii="仿宋" w:hAnsi="仿宋" w:eastAsia="仿宋"/>
          <w:bCs/>
          <w:color w:val="auto"/>
          <w:sz w:val="32"/>
          <w:szCs w:val="32"/>
          <w:highlight w:val="none"/>
        </w:rPr>
      </w:pPr>
      <w:r>
        <w:rPr>
          <w:rFonts w:hint="eastAsia" w:ascii="仿宋" w:hAnsi="仿宋" w:eastAsia="仿宋"/>
          <w:bCs/>
          <w:color w:val="auto"/>
          <w:sz w:val="32"/>
          <w:szCs w:val="32"/>
          <w:highlight w:val="none"/>
          <w:lang w:val="en-US" w:eastAsia="zh-CN"/>
        </w:rPr>
        <w:t>1.</w:t>
      </w:r>
      <w:r>
        <w:rPr>
          <w:rFonts w:hint="eastAsia" w:ascii="仿宋" w:hAnsi="仿宋" w:eastAsia="仿宋"/>
          <w:bCs/>
          <w:color w:val="auto"/>
          <w:sz w:val="32"/>
          <w:szCs w:val="32"/>
          <w:highlight w:val="none"/>
        </w:rPr>
        <w:t>创新理论作引领。坚持理论学习抓重点学重点，常学常新，一年来重点学习宣传习近平总书记最新系列重要讲话、重要指示、重要文章精神，重点学习宣传“四书”“四史”，重点学习宣传党的十九届五中、六中全会精神，省委十一届八次、九次、十次全会，市委七届十二次全会和第八次党代会精神，并作为全县意识形态工作、思想政治建设、理论宣传教育的主要内容，不断增强全县党员干部政治判断力、政治领悟力、政治执行力，自觉做“两个确立”坚决拥护者和“两个维护”坚定践行者。</w:t>
      </w:r>
    </w:p>
    <w:p>
      <w:pPr>
        <w:pStyle w:val="2"/>
        <w:adjustRightInd w:val="0"/>
        <w:snapToGrid w:val="0"/>
        <w:spacing w:before="93" w:line="600" w:lineRule="exact"/>
        <w:ind w:firstLine="672" w:firstLineChars="210"/>
        <w:outlineLvl w:val="3"/>
        <w:rPr>
          <w:rFonts w:hint="eastAsia" w:ascii="仿宋" w:hAnsi="仿宋" w:eastAsia="仿宋"/>
          <w:bCs/>
          <w:color w:val="auto"/>
          <w:sz w:val="32"/>
          <w:szCs w:val="32"/>
          <w:highlight w:val="none"/>
        </w:rPr>
      </w:pPr>
      <w:r>
        <w:rPr>
          <w:rFonts w:hint="eastAsia" w:ascii="仿宋" w:hAnsi="仿宋" w:eastAsia="仿宋"/>
          <w:bCs/>
          <w:color w:val="auto"/>
          <w:sz w:val="32"/>
          <w:szCs w:val="32"/>
          <w:highlight w:val="none"/>
          <w:lang w:val="en-US" w:eastAsia="zh-CN"/>
        </w:rPr>
        <w:t>2.</w:t>
      </w:r>
      <w:r>
        <w:rPr>
          <w:rFonts w:hint="eastAsia" w:ascii="仿宋" w:hAnsi="仿宋" w:eastAsia="仿宋"/>
          <w:bCs/>
          <w:color w:val="auto"/>
          <w:sz w:val="32"/>
          <w:szCs w:val="32"/>
          <w:highlight w:val="none"/>
        </w:rPr>
        <w:t>县委带头作表率。制发《2021年全县党委（党组）理论学习中心组专题学习安排意见》，提出中心组学习要求，编印《理论学习参阅》3期、《党史学习教育参阅》23期，明确理论学习重点，县委中心组带头开展集中研学、专题讲座、视察考察13次，全县各级党委（党组）中心组开展集中学习6次以上，强化了全县党员干部创新理论武装的意识和能力。</w:t>
      </w:r>
    </w:p>
    <w:p>
      <w:pPr>
        <w:pStyle w:val="2"/>
        <w:adjustRightInd w:val="0"/>
        <w:snapToGrid w:val="0"/>
        <w:spacing w:before="93" w:line="600" w:lineRule="exact"/>
        <w:ind w:firstLine="672" w:firstLineChars="210"/>
        <w:outlineLvl w:val="3"/>
        <w:rPr>
          <w:rFonts w:hint="eastAsia" w:ascii="仿宋" w:hAnsi="仿宋" w:eastAsia="仿宋"/>
          <w:bCs/>
          <w:color w:val="auto"/>
          <w:sz w:val="32"/>
          <w:szCs w:val="32"/>
          <w:highlight w:val="none"/>
        </w:rPr>
      </w:pPr>
      <w:r>
        <w:rPr>
          <w:rFonts w:hint="eastAsia" w:ascii="仿宋" w:hAnsi="仿宋" w:eastAsia="仿宋"/>
          <w:bCs/>
          <w:color w:val="auto"/>
          <w:sz w:val="32"/>
          <w:szCs w:val="32"/>
          <w:highlight w:val="none"/>
          <w:lang w:val="en-US" w:eastAsia="zh-CN"/>
        </w:rPr>
        <w:t>3.</w:t>
      </w:r>
      <w:r>
        <w:rPr>
          <w:rFonts w:hint="eastAsia" w:ascii="仿宋" w:hAnsi="仿宋" w:eastAsia="仿宋"/>
          <w:bCs/>
          <w:color w:val="auto"/>
          <w:sz w:val="32"/>
          <w:szCs w:val="32"/>
          <w:highlight w:val="none"/>
        </w:rPr>
        <w:t>以上率下作示范。邀请省委、市委宣讲团来沐宣讲，组织理论功底强、宣讲水平高的县委党校老师、党员领导干部、文艺社团等成立县委宣讲团，深入乡镇、部门、村组、社区、医院、学校、重点企业等一线宣讲，各乡镇成立宣讲小分队，通过入户走访、院坝会等开展基层宣讲，其中“板凳课堂”宣讲模式被人民网报道。全县先后开展宣讲活动700余场次、受众超过4万余人次，在创新理论的熏陶下，爱党爱国爱社会主义成为沐川人民的普遍共识，建功新时代、共筑中国梦成为沐川人民的自觉行动。</w:t>
      </w:r>
    </w:p>
    <w:p>
      <w:pPr>
        <w:pStyle w:val="2"/>
        <w:adjustRightInd w:val="0"/>
        <w:snapToGrid w:val="0"/>
        <w:spacing w:before="93" w:line="600" w:lineRule="exact"/>
        <w:ind w:firstLine="672" w:firstLineChars="210"/>
        <w:outlineLvl w:val="3"/>
        <w:rPr>
          <w:rFonts w:hint="eastAsia" w:ascii="仿宋" w:hAnsi="仿宋" w:eastAsia="仿宋"/>
          <w:bCs/>
          <w:color w:val="auto"/>
          <w:sz w:val="32"/>
          <w:szCs w:val="32"/>
          <w:highlight w:val="none"/>
        </w:rPr>
      </w:pPr>
      <w:r>
        <w:rPr>
          <w:rFonts w:hint="eastAsia" w:ascii="仿宋" w:hAnsi="仿宋" w:eastAsia="仿宋"/>
          <w:bCs/>
          <w:color w:val="auto"/>
          <w:sz w:val="32"/>
          <w:szCs w:val="32"/>
          <w:highlight w:val="none"/>
          <w:lang w:val="en-US" w:eastAsia="zh-CN"/>
        </w:rPr>
        <w:t>4.</w:t>
      </w:r>
      <w:r>
        <w:rPr>
          <w:rFonts w:hint="eastAsia" w:ascii="仿宋" w:hAnsi="仿宋" w:eastAsia="仿宋"/>
          <w:bCs/>
          <w:color w:val="auto"/>
          <w:sz w:val="32"/>
          <w:szCs w:val="32"/>
          <w:highlight w:val="none"/>
        </w:rPr>
        <w:t>品牌打造作标杆。采取“点餐+送餐”模式，“电话询问、后台留言”互动方式，畅通群众订阅渠道，创新打造线下讲线上播，先进讲讲先进——“理上网来·论道沐川”全媒体理论宣教宣讲品牌栏目，栏目精心制作党的创新理论、百年党史、先进事迹等内容，策划推出“榜样的力量”“平凡的英雄”“唱支山歌给党听”“诗词中的党史”等5个子栏目，通过“沐川发布”“沐源清风”“沐川融媒”等各种网络平台进行宣传推广，阅读量3万余人次，以“润物细无声”的方式，让党的声音“飞入寻常百姓家”。</w:t>
      </w:r>
    </w:p>
    <w:p>
      <w:pPr>
        <w:pStyle w:val="2"/>
        <w:adjustRightInd w:val="0"/>
        <w:snapToGrid w:val="0"/>
        <w:spacing w:before="93" w:line="600" w:lineRule="exact"/>
        <w:ind w:firstLine="672" w:firstLineChars="210"/>
        <w:outlineLvl w:val="3"/>
        <w:rPr>
          <w:rFonts w:hint="eastAsia" w:ascii="仿宋" w:hAnsi="仿宋" w:eastAsia="仿宋"/>
          <w:bCs/>
          <w:color w:val="auto"/>
          <w:sz w:val="32"/>
          <w:szCs w:val="32"/>
          <w:highlight w:val="none"/>
        </w:rPr>
      </w:pPr>
      <w:r>
        <w:rPr>
          <w:rFonts w:hint="eastAsia" w:ascii="仿宋" w:hAnsi="仿宋" w:eastAsia="仿宋"/>
          <w:bCs/>
          <w:color w:val="auto"/>
          <w:sz w:val="32"/>
          <w:szCs w:val="32"/>
          <w:highlight w:val="none"/>
          <w:lang w:val="en-US" w:eastAsia="zh-CN"/>
        </w:rPr>
        <w:t>5.</w:t>
      </w:r>
      <w:r>
        <w:rPr>
          <w:rFonts w:hint="eastAsia" w:ascii="仿宋" w:hAnsi="仿宋" w:eastAsia="仿宋"/>
          <w:bCs/>
          <w:color w:val="auto"/>
          <w:sz w:val="32"/>
          <w:szCs w:val="32"/>
          <w:highlight w:val="none"/>
        </w:rPr>
        <w:t>着力标准化建设，沐川融媒提档升级。投入800余万元推进标准化建设，实现新办公区整体搬迁，建成基础技术平台，多功能演播集成系统、网络视听安全系统等融媒体平台，全面升级全景演播厅、“中央厨房”、媒体云平台，采编播设备高清化率达100%。采取融平台、融管理、融服务、融队伍“四融路径”，实现“一次采集、多种生成、多元传播”新格局，提升了全方位讲述沐川好故事、传播沐川好声音、展示沐川好形象的能力水平。</w:t>
      </w:r>
    </w:p>
    <w:p>
      <w:pPr>
        <w:pStyle w:val="2"/>
        <w:adjustRightInd w:val="0"/>
        <w:snapToGrid w:val="0"/>
        <w:spacing w:before="93" w:line="600" w:lineRule="exact"/>
        <w:ind w:firstLine="672" w:firstLineChars="210"/>
        <w:outlineLvl w:val="3"/>
        <w:rPr>
          <w:rFonts w:hint="eastAsia" w:ascii="仿宋" w:hAnsi="仿宋" w:eastAsia="仿宋"/>
          <w:bCs/>
          <w:color w:val="auto"/>
          <w:sz w:val="32"/>
          <w:szCs w:val="32"/>
          <w:highlight w:val="none"/>
        </w:rPr>
      </w:pPr>
      <w:r>
        <w:rPr>
          <w:rFonts w:hint="eastAsia" w:ascii="仿宋" w:hAnsi="仿宋" w:eastAsia="仿宋"/>
          <w:bCs/>
          <w:color w:val="auto"/>
          <w:sz w:val="32"/>
          <w:szCs w:val="32"/>
          <w:highlight w:val="none"/>
          <w:lang w:val="en-US" w:eastAsia="zh-CN"/>
        </w:rPr>
        <w:t>6.</w:t>
      </w:r>
      <w:r>
        <w:rPr>
          <w:rFonts w:hint="eastAsia" w:ascii="仿宋" w:hAnsi="仿宋" w:eastAsia="仿宋"/>
          <w:bCs/>
          <w:color w:val="auto"/>
          <w:sz w:val="32"/>
          <w:szCs w:val="32"/>
          <w:highlight w:val="none"/>
        </w:rPr>
        <w:t>着力品牌化打造，文旅阵地全面提升。沐川竹海景区重建提升改造，“五一”开门迎客，创建国家4A级景区通过省文旅厅景观资源评价，森态源魔芋工业旅游景区成功创建为国家3A级景区，龙门大峡谷漂流完成灾后恢复重建，“五一”顺利开漂，《乌蒙沐歌》实景剧全面提档升级，永福镇万寿村获评省级乡村旅游重点村，龙门大峡谷漂流、一枝春茶旅基地、璞舍民宿等5个项目在“乐山L10系列评选活动”中获奖，形成“春采茶、夏漂流、秋采摘、冬庖汤”四季主题文游活动品牌，在实施“旅游兴县”战略、推进休闲康养宜居城建设上迈出了一大步。</w:t>
      </w:r>
    </w:p>
    <w:p>
      <w:pPr>
        <w:pStyle w:val="2"/>
        <w:adjustRightInd w:val="0"/>
        <w:snapToGrid w:val="0"/>
        <w:spacing w:before="93" w:line="600" w:lineRule="exact"/>
        <w:ind w:firstLine="672" w:firstLineChars="210"/>
        <w:outlineLvl w:val="3"/>
        <w:rPr>
          <w:rFonts w:hint="eastAsia" w:ascii="仿宋" w:hAnsi="仿宋" w:eastAsia="仿宋"/>
          <w:bCs/>
          <w:color w:val="auto"/>
          <w:sz w:val="32"/>
          <w:szCs w:val="32"/>
          <w:highlight w:val="none"/>
        </w:rPr>
      </w:pPr>
      <w:r>
        <w:rPr>
          <w:rFonts w:hint="eastAsia" w:ascii="仿宋" w:hAnsi="仿宋" w:eastAsia="仿宋"/>
          <w:bCs/>
          <w:color w:val="auto"/>
          <w:sz w:val="32"/>
          <w:szCs w:val="32"/>
          <w:highlight w:val="none"/>
          <w:lang w:val="en-US" w:eastAsia="zh-CN"/>
        </w:rPr>
        <w:t>7.</w:t>
      </w:r>
      <w:r>
        <w:rPr>
          <w:rFonts w:hint="eastAsia" w:ascii="仿宋" w:hAnsi="仿宋" w:eastAsia="仿宋"/>
          <w:bCs/>
          <w:color w:val="auto"/>
          <w:sz w:val="32"/>
          <w:szCs w:val="32"/>
          <w:highlight w:val="none"/>
        </w:rPr>
        <w:t>着力常态化管理，思想政治全面加强。落实“双减”要求，加强校外培训机构监管，加强学校思想政治工作，引导青少年学生树立家国情怀、家园意识、家人心理，充分发挥中小学立德树人、育人育才作用。坚持党校姓党，纵深推进县委党校（行政学校）分类建设改革，办学质量评估全面达标，在全县各级各类干部培训中将意识形态内容纳入学习课程，守住了思想理论建设的重要阵地。</w:t>
      </w:r>
    </w:p>
    <w:p>
      <w:pPr>
        <w:pStyle w:val="2"/>
        <w:adjustRightInd w:val="0"/>
        <w:snapToGrid w:val="0"/>
        <w:spacing w:before="93" w:line="600" w:lineRule="exact"/>
        <w:ind w:firstLine="672" w:firstLineChars="210"/>
        <w:outlineLvl w:val="3"/>
        <w:rPr>
          <w:rFonts w:hint="eastAsia" w:ascii="仿宋" w:hAnsi="仿宋" w:eastAsia="仿宋"/>
          <w:bCs/>
          <w:color w:val="auto"/>
          <w:sz w:val="32"/>
          <w:szCs w:val="32"/>
          <w:highlight w:val="none"/>
        </w:rPr>
      </w:pPr>
      <w:r>
        <w:rPr>
          <w:rFonts w:hint="eastAsia" w:ascii="仿宋" w:hAnsi="仿宋" w:eastAsia="仿宋"/>
          <w:bCs/>
          <w:color w:val="auto"/>
          <w:sz w:val="32"/>
          <w:szCs w:val="32"/>
          <w:highlight w:val="none"/>
          <w:lang w:val="en-US" w:eastAsia="zh-CN"/>
        </w:rPr>
        <w:t>8.</w:t>
      </w:r>
      <w:r>
        <w:rPr>
          <w:rFonts w:hint="eastAsia" w:ascii="仿宋" w:hAnsi="仿宋" w:eastAsia="仿宋"/>
          <w:bCs/>
          <w:color w:val="auto"/>
          <w:sz w:val="32"/>
          <w:szCs w:val="32"/>
          <w:highlight w:val="none"/>
        </w:rPr>
        <w:t>创建沐川模式。借鉴诸暨市创新高地，借用乐山师院人才高地，整合民间资源，发挥新兴媒体优势，积极探索“东（诸暨）西（沐川）宣传共建互动、校（乐山师院）地（沐川）共建互联、传统媒体与新兴媒体互融互通、官方与民间借鉴互赢”沐川外宣模式，成立四川日报乐山全媒体中心沐川工作室、建立“川越融媒大联盟”、与乐山师范学院建立实习基地，拟聘央视知名导演为客座教授，创建“沐川融媒”APP、抖音号、视频号，发稿2600余条，发布专题视频14期，制作专题片12部，沐川发布发稿2828条。诸暨市与我县本地网红制作的“次坞打面和翘脚牛肉”抖音视频促进两地美食影响力，创新了东西协作文化交流模式。为解决自身造血功能，县融媒体中心管理的川融传媒公司也在筹建中。通过创建新模式、新平台，探索一条适合沐川融媒创新发展的新机制新路径。</w:t>
      </w:r>
    </w:p>
    <w:p>
      <w:pPr>
        <w:pStyle w:val="2"/>
        <w:adjustRightInd w:val="0"/>
        <w:snapToGrid w:val="0"/>
        <w:spacing w:before="93" w:line="600" w:lineRule="exact"/>
        <w:ind w:firstLine="672" w:firstLineChars="210"/>
        <w:outlineLvl w:val="3"/>
        <w:rPr>
          <w:rFonts w:hint="eastAsia" w:ascii="仿宋" w:hAnsi="仿宋" w:eastAsia="仿宋"/>
          <w:bCs/>
          <w:color w:val="auto"/>
          <w:sz w:val="32"/>
          <w:szCs w:val="32"/>
          <w:highlight w:val="none"/>
        </w:rPr>
      </w:pPr>
      <w:r>
        <w:rPr>
          <w:rFonts w:hint="eastAsia" w:ascii="仿宋" w:hAnsi="仿宋" w:eastAsia="仿宋"/>
          <w:bCs/>
          <w:color w:val="auto"/>
          <w:sz w:val="32"/>
          <w:szCs w:val="32"/>
          <w:highlight w:val="none"/>
          <w:lang w:val="en-US" w:eastAsia="zh-CN"/>
        </w:rPr>
        <w:t>9.</w:t>
      </w:r>
      <w:r>
        <w:rPr>
          <w:rFonts w:hint="eastAsia" w:ascii="仿宋" w:hAnsi="仿宋" w:eastAsia="仿宋"/>
          <w:bCs/>
          <w:color w:val="auto"/>
          <w:sz w:val="32"/>
          <w:szCs w:val="32"/>
          <w:highlight w:val="none"/>
        </w:rPr>
        <w:t>推介沐川重点。围绕县委政府中心工作，在重要时间节点，突出党史学习教育、疫情防控、森林防火、防汛减灾等宣传重点。如聚焦县乡换届，策划推出《起航“十四五”，乡镇晒蓝图》《喜迎党代会》等栏目；聚焦疫情防控，策划推出一线防控视频、动画短视频、新闻视频17期，捐赠物资驰援河南、守住绿码等均上热搜，浏览人数突破30万人次；聚焦党史教育，根据本土真人真事，选树先进典型61个，“95后女警罗慧琳空手夺刀救人”火遍全网，相关新闻网络浏览阅读量高达3000余万人次，点赞评论110余万条，《全国“最美公务员”、四川省“人民满意公务员”师玉容》《四川乐山：独腿硬汉有担当 网友点赞》在川台播出，反响良好。通过深化内宣和增强外宣工作，起到了引起共鸣、凝聚共识、助推发展的作用。</w:t>
      </w:r>
    </w:p>
    <w:p>
      <w:pPr>
        <w:pStyle w:val="2"/>
        <w:adjustRightInd w:val="0"/>
        <w:snapToGrid w:val="0"/>
        <w:spacing w:before="93" w:line="600" w:lineRule="exact"/>
        <w:ind w:firstLine="672" w:firstLineChars="210"/>
        <w:outlineLvl w:val="3"/>
        <w:rPr>
          <w:rFonts w:hint="eastAsia" w:ascii="仿宋" w:hAnsi="仿宋" w:eastAsia="仿宋"/>
          <w:bCs/>
          <w:color w:val="auto"/>
          <w:sz w:val="32"/>
          <w:szCs w:val="32"/>
          <w:highlight w:val="none"/>
        </w:rPr>
      </w:pPr>
      <w:r>
        <w:rPr>
          <w:rFonts w:hint="eastAsia" w:ascii="仿宋" w:hAnsi="仿宋" w:eastAsia="仿宋"/>
          <w:bCs/>
          <w:color w:val="auto"/>
          <w:sz w:val="32"/>
          <w:szCs w:val="32"/>
          <w:highlight w:val="none"/>
          <w:lang w:val="en-US" w:eastAsia="zh-CN"/>
        </w:rPr>
        <w:t>10.</w:t>
      </w:r>
      <w:r>
        <w:rPr>
          <w:rFonts w:hint="eastAsia" w:ascii="仿宋" w:hAnsi="仿宋" w:eastAsia="仿宋"/>
          <w:bCs/>
          <w:color w:val="auto"/>
          <w:sz w:val="32"/>
          <w:szCs w:val="32"/>
          <w:highlight w:val="none"/>
        </w:rPr>
        <w:t>展示沐川形象。一是主动对外营销推介。借助外力加强协作，全方位对外宣传沐川。沐川融媒与川观新闻共同策划开展的“来沐川、我氧你春播专场”直播，24小时观看量突破1000万人次。携手本土网红举办“穿越时空、畅游沐川”汉服日活动，观看量突破500万人次。通过全媒体推评沐川十佳网红店，展播景区特色旅游产品，打响“竹乡美食”名片。通过拥有700多万粉丝、2400多万点赞量的沐川乡村网红“婵子姐弟”推荐沐川美景美食、乡风民俗，并在CGTN（中国国际电视台）向全球播出。围绕绿色发展推精品，《乡村振兴中国行——四川沐川：竹林深处 生态财富》在央视财经频道播出，创当日、当月收视率第一。《救动物“断嘴”朱鹮 有了人工喙》在央视播出，获评四川新闻奖一等奖（电视系列报道）及四川广播电视新闻类节目“优秀电视作品奖”。2021年涉沐宣传稿件被市级以上主流媒体采用565条，同比增长76%，外宣作品数量、质量大幅提升，沐川外宣工作不断提档升级。二是主动建立良好协作关系。随着沐川知名度、美誉度的不断提升，对外影响力的不断增强，今年以来，中央、省级媒体多次主动来沐公益采访宣传报道，我们禀承沐川人民热情质朴的特质和“来者皆是客”的理念，凡是来沐媒体人士我们都主动协调热情周到地做好后勤保障和组织统筹工作，确保在沐工作圆满顺利，与各级媒体建立了良好的协作关系，构建沐川对外宣传大格局。如央视2台财经频道来沐制作《生财有道》节目，无论是节目效果还是在沐期间的配合都是得到央视导演认可，将于近期专程来沐拍摄制作春节专题节目—《云聚中国年》，以30分钟时长向全国观众展示沐川独特美食、年俗文化，将公益宣传沐川，并于春节期间播出。如由央视10台纪录片团队倾力打造的大型美食文化系列纪录片《最是一抹中国味：川渝篇》栏目，聚焦沐川特色美食——魔芋，制作一期45分钟的专题片，已完成拍摄，进入后期制作阶段，明年将在央视播出，向全国观众展示“中国魔芋之乡”生态名片；四川卫视《花开天下国韵新年演唱会》来沐期间，无论在场地、电力、安保等各方面都积极提供支持，无论哪级媒体来沐采访，我们均积极做好协调配合工作，离沐后保持良好沟通联系，塑造沐川对外良好形象。三是主动孵化推介本土新媒体。在去年收集建库本地网红基础上，今年我们联系各行业部门孵化推介本土新媒体。如对网红“婵子姐弟”椰子文化传媒公司办公场地给予免费、对外宣传推广给予平台、资金项目上给予补助等方式孵化推介本土新媒体文化公司。除了对民间新媒体着力培育，我们也在多次对外推广活动中培育4名官方新媒体主持人，并加强官方与民间新媒体协作，借助官媒平台，发挥民间传媒作用，共同营销推介沐川。</w:t>
      </w:r>
    </w:p>
    <w:p>
      <w:pPr>
        <w:pStyle w:val="2"/>
        <w:adjustRightInd w:val="0"/>
        <w:snapToGrid w:val="0"/>
        <w:spacing w:before="93" w:line="600" w:lineRule="exact"/>
        <w:ind w:firstLine="672" w:firstLineChars="210"/>
        <w:outlineLvl w:val="3"/>
        <w:rPr>
          <w:rFonts w:hint="eastAsia" w:ascii="仿宋" w:hAnsi="仿宋" w:eastAsia="仿宋"/>
          <w:bCs/>
          <w:color w:val="auto"/>
          <w:sz w:val="32"/>
          <w:szCs w:val="32"/>
          <w:highlight w:val="none"/>
        </w:rPr>
      </w:pPr>
      <w:r>
        <w:rPr>
          <w:rFonts w:hint="eastAsia" w:ascii="仿宋" w:hAnsi="仿宋" w:eastAsia="仿宋"/>
          <w:bCs/>
          <w:color w:val="auto"/>
          <w:sz w:val="32"/>
          <w:szCs w:val="32"/>
          <w:highlight w:val="none"/>
          <w:lang w:val="en-US" w:eastAsia="zh-CN"/>
        </w:rPr>
        <w:t>11.</w:t>
      </w:r>
      <w:r>
        <w:rPr>
          <w:rFonts w:hint="eastAsia" w:ascii="仿宋" w:hAnsi="仿宋" w:eastAsia="仿宋"/>
          <w:bCs/>
          <w:color w:val="auto"/>
          <w:sz w:val="32"/>
          <w:szCs w:val="32"/>
          <w:highlight w:val="none"/>
        </w:rPr>
        <w:t>深化思想道德建设。通过探索村（社区）自治、德治、法治、智治相结合的基层治理新模式，加强新时代公民思想道德建设，富新镇太和村探索“积分制管理”很管用，被上级主流媒体报道，受到一致好评，并在全县全市推广。通过“践行十爱·德耀嘉州”活动，加强新时代爱国主义教育，在春节、重阳节等传统佳节开展弘扬传统美德、孝亲敬老系列活动，在建党节、国庆节、青年节等重要节日升国旗、唱国歌，开展入党入团入队仪式，在烈士纪念日、国家公祭日等重要节点到狮子山烈士陵园缅怀先烈。通过实践探索和实践活动，让社会主义思想道德和爱国主义思想牢牢占领沐川思想文化阵地。</w:t>
      </w:r>
    </w:p>
    <w:p>
      <w:pPr>
        <w:pStyle w:val="2"/>
        <w:adjustRightInd w:val="0"/>
        <w:snapToGrid w:val="0"/>
        <w:spacing w:before="93" w:line="600" w:lineRule="exact"/>
        <w:ind w:firstLine="672" w:firstLineChars="210"/>
        <w:outlineLvl w:val="3"/>
        <w:rPr>
          <w:rFonts w:hint="eastAsia" w:ascii="仿宋" w:hAnsi="仿宋" w:eastAsia="仿宋"/>
          <w:bCs/>
          <w:color w:val="auto"/>
          <w:sz w:val="32"/>
          <w:szCs w:val="32"/>
          <w:highlight w:val="none"/>
        </w:rPr>
      </w:pPr>
      <w:r>
        <w:rPr>
          <w:rFonts w:hint="eastAsia" w:ascii="仿宋" w:hAnsi="仿宋" w:eastAsia="仿宋"/>
          <w:bCs/>
          <w:color w:val="auto"/>
          <w:sz w:val="32"/>
          <w:szCs w:val="32"/>
          <w:highlight w:val="none"/>
          <w:lang w:val="en-US" w:eastAsia="zh-CN"/>
        </w:rPr>
        <w:t>12.</w:t>
      </w:r>
      <w:r>
        <w:rPr>
          <w:rFonts w:hint="eastAsia" w:ascii="仿宋" w:hAnsi="仿宋" w:eastAsia="仿宋"/>
          <w:bCs/>
          <w:color w:val="auto"/>
          <w:sz w:val="32"/>
          <w:szCs w:val="32"/>
          <w:highlight w:val="none"/>
        </w:rPr>
        <w:t>深化文明实践建设。积极推进新时代文明实践中心（所、站）建设，1个实践中心、13个乡镇实践所、151个村（社区）实践站全部挂牌并正常运转。指导2个乡镇、4个村创建县级示范村镇。围绕“疫情防控”“疫苗接种”“森林防灭火”“五清”行动等主题，深化“万名党员进社区”“全覆盖联系走访”“志愿者服务”等活动，全覆盖走访群众20余万人次，开展各类志愿服务1万余次，解决问题3000余个。通过阵地建设和实践活动，极大地动员和激励沐川人民积极投身文明实践、全面建设社会主义现代化沐川的新征程。</w:t>
      </w:r>
    </w:p>
    <w:p>
      <w:pPr>
        <w:pStyle w:val="2"/>
        <w:adjustRightInd w:val="0"/>
        <w:snapToGrid w:val="0"/>
        <w:spacing w:before="93" w:line="600" w:lineRule="exact"/>
        <w:ind w:firstLine="672" w:firstLineChars="210"/>
        <w:outlineLvl w:val="3"/>
        <w:rPr>
          <w:rFonts w:hint="eastAsia" w:ascii="黑体" w:hAnsi="黑体" w:eastAsia="黑体" w:cstheme="majorBidi"/>
          <w:b w:val="0"/>
          <w:bCs/>
          <w:color w:val="auto"/>
          <w:kern w:val="2"/>
          <w:sz w:val="32"/>
          <w:szCs w:val="32"/>
          <w:highlight w:val="none"/>
          <w:lang w:val="en-US" w:eastAsia="zh-CN" w:bidi="ar-SA"/>
        </w:rPr>
      </w:pPr>
      <w:r>
        <w:rPr>
          <w:rFonts w:hint="eastAsia" w:ascii="仿宋" w:hAnsi="仿宋" w:eastAsia="仿宋"/>
          <w:bCs/>
          <w:color w:val="auto"/>
          <w:sz w:val="32"/>
          <w:szCs w:val="32"/>
          <w:highlight w:val="none"/>
          <w:lang w:val="en-US" w:eastAsia="zh-CN"/>
        </w:rPr>
        <w:t>13.</w:t>
      </w:r>
      <w:r>
        <w:rPr>
          <w:rFonts w:hint="eastAsia" w:ascii="仿宋" w:hAnsi="仿宋" w:eastAsia="仿宋"/>
          <w:bCs/>
          <w:color w:val="auto"/>
          <w:sz w:val="32"/>
          <w:szCs w:val="32"/>
          <w:highlight w:val="none"/>
        </w:rPr>
        <w:t>深化创建评比活动。全面推进县级文明单位（乡镇、村、社区）创建工作，创建县级文明单位4个、文明乡镇8个、文明村26个、文明社区5个。深化“我推荐我评议身边好人”活动，推荐报送“四川好人”候选人3人、“乐山市文明家庭”2 个、“新时代乐山好少年”10人。乡镇、村（社区）深化“最美家庭”“五好家庭”“勤劳致富”“好儿女”“好媳妇”“好公婆”等示范评比和宣传表彰活动，极大地推动了乡风文明，养成好习惯、形成好风气已成为群众共识和社会现实。</w:t>
      </w:r>
      <w:bookmarkStart w:id="21" w:name="_Toc15377200"/>
      <w:bookmarkStart w:id="22" w:name="_Toc15396601"/>
    </w:p>
    <w:p>
      <w:pPr>
        <w:pStyle w:val="4"/>
        <w:rPr>
          <w:rStyle w:val="25"/>
          <w:b w:val="0"/>
          <w:bCs w:val="0"/>
          <w:color w:val="auto"/>
          <w:highlight w:val="none"/>
        </w:rPr>
      </w:pPr>
      <w:bookmarkStart w:id="23" w:name="_Toc16727"/>
      <w:r>
        <w:rPr>
          <w:rFonts w:hint="eastAsia" w:ascii="黑体" w:eastAsia="黑体"/>
          <w:b w:val="0"/>
          <w:color w:val="auto"/>
          <w:highlight w:val="none"/>
        </w:rPr>
        <w:t>二、</w:t>
      </w:r>
      <w:r>
        <w:rPr>
          <w:rFonts w:hint="eastAsia" w:ascii="黑体" w:hAnsi="黑体" w:eastAsia="黑体"/>
          <w:b w:val="0"/>
          <w:color w:val="auto"/>
          <w:highlight w:val="none"/>
        </w:rPr>
        <w:t>机</w:t>
      </w:r>
      <w:r>
        <w:rPr>
          <w:rStyle w:val="25"/>
          <w:rFonts w:hint="eastAsia" w:ascii="黑体" w:hAnsi="黑体" w:eastAsia="黑体"/>
          <w:b w:val="0"/>
          <w:bCs w:val="0"/>
          <w:color w:val="auto"/>
          <w:highlight w:val="none"/>
        </w:rPr>
        <w:t>构设置</w:t>
      </w:r>
      <w:bookmarkEnd w:id="21"/>
      <w:bookmarkEnd w:id="22"/>
      <w:bookmarkEnd w:id="23"/>
    </w:p>
    <w:p>
      <w:pPr>
        <w:widowControl/>
        <w:ind w:firstLine="640" w:firstLineChars="200"/>
        <w:jc w:val="left"/>
        <w:rPr>
          <w:rFonts w:hint="eastAsia" w:ascii="仿宋_GB2312" w:hAnsi="仿宋" w:eastAsia="仿宋_GB2312"/>
          <w:sz w:val="32"/>
          <w:szCs w:val="32"/>
          <w:lang w:val="en-US" w:eastAsia="zh-CN"/>
        </w:rPr>
      </w:pPr>
      <w:r>
        <w:rPr>
          <w:rFonts w:hint="eastAsia" w:ascii="仿宋_GB2312" w:hAnsi="仿宋" w:eastAsia="仿宋_GB2312"/>
          <w:sz w:val="32"/>
          <w:szCs w:val="32"/>
        </w:rPr>
        <w:t>中共沐川县委宣传部</w:t>
      </w:r>
      <w:r>
        <w:rPr>
          <w:rFonts w:hint="eastAsia" w:ascii="仿宋_GB2312" w:hAnsi="仿宋" w:eastAsia="仿宋_GB2312"/>
          <w:sz w:val="32"/>
          <w:szCs w:val="32"/>
          <w:lang w:eastAsia="zh-CN"/>
        </w:rPr>
        <w:t>下属二级单位</w:t>
      </w:r>
      <w:r>
        <w:rPr>
          <w:rFonts w:hint="eastAsia" w:ascii="仿宋_GB2312" w:hAnsi="仿宋" w:eastAsia="仿宋_GB2312"/>
          <w:sz w:val="32"/>
          <w:szCs w:val="32"/>
          <w:lang w:val="en-US" w:eastAsia="zh-CN"/>
        </w:rPr>
        <w:t>1个，其中行政单位0个，参照公务员法管理的事业单位0个，其他事业单位1个。</w:t>
      </w:r>
    </w:p>
    <w:p>
      <w:pPr>
        <w:pStyle w:val="2"/>
        <w:rPr>
          <w:rFonts w:hint="default"/>
          <w:lang w:val="en-US" w:eastAsia="zh-CN"/>
        </w:rPr>
      </w:pPr>
      <w:r>
        <w:rPr>
          <w:rFonts w:hint="eastAsia" w:hAnsi="仿宋"/>
          <w:sz w:val="32"/>
          <w:szCs w:val="32"/>
          <w:lang w:val="en-US" w:eastAsia="zh-CN"/>
        </w:rPr>
        <w:t xml:space="preserve">    无纳入2021年度部门决算编制范围的二级预算单位。</w:t>
      </w:r>
    </w:p>
    <w:p>
      <w:pPr>
        <w:pStyle w:val="3"/>
        <w:ind w:right="440"/>
        <w:jc w:val="center"/>
        <w:outlineLvl w:val="9"/>
        <w:rPr>
          <w:rFonts w:hint="eastAsia" w:ascii="黑体" w:hAnsi="黑体" w:eastAsia="黑体"/>
          <w:b w:val="0"/>
          <w:bCs/>
          <w:color w:val="auto"/>
          <w:highlight w:val="none"/>
        </w:rPr>
      </w:pPr>
      <w:bookmarkStart w:id="24" w:name="_Toc15377204"/>
      <w:bookmarkStart w:id="25" w:name="_Toc15396602"/>
    </w:p>
    <w:p>
      <w:pPr>
        <w:pStyle w:val="3"/>
        <w:ind w:right="440"/>
        <w:jc w:val="center"/>
        <w:rPr>
          <w:rStyle w:val="24"/>
          <w:rFonts w:ascii="黑体" w:hAnsi="黑体" w:eastAsia="黑体"/>
          <w:b w:val="0"/>
          <w:bCs/>
          <w:color w:val="auto"/>
          <w:highlight w:val="none"/>
        </w:rPr>
      </w:pPr>
      <w:bookmarkStart w:id="26" w:name="_Toc22540"/>
      <w:r>
        <w:rPr>
          <w:rFonts w:hint="eastAsia" w:ascii="黑体" w:hAnsi="黑体" w:eastAsia="黑体"/>
          <w:b w:val="0"/>
          <w:bCs/>
          <w:color w:val="auto"/>
          <w:highlight w:val="none"/>
        </w:rPr>
        <w:t xml:space="preserve">第二部分 </w:t>
      </w:r>
      <w:r>
        <w:rPr>
          <w:rFonts w:hint="eastAsia" w:ascii="黑体" w:hAnsi="黑体" w:eastAsia="黑体"/>
          <w:b w:val="0"/>
          <w:bCs/>
          <w:color w:val="auto"/>
          <w:highlight w:val="none"/>
          <w:lang w:val="en-US" w:eastAsia="zh-CN"/>
        </w:rPr>
        <w:t>2021年度</w:t>
      </w:r>
      <w:r>
        <w:rPr>
          <w:rStyle w:val="24"/>
          <w:rFonts w:hint="eastAsia" w:ascii="黑体" w:hAnsi="黑体" w:eastAsia="黑体"/>
          <w:b w:val="0"/>
          <w:bCs/>
          <w:color w:val="auto"/>
          <w:highlight w:val="none"/>
        </w:rPr>
        <w:t>部门决算情况说明</w:t>
      </w:r>
      <w:bookmarkEnd w:id="24"/>
      <w:bookmarkEnd w:id="25"/>
      <w:bookmarkEnd w:id="26"/>
    </w:p>
    <w:p>
      <w:pPr>
        <w:rPr>
          <w:color w:val="auto"/>
          <w:highlight w:val="none"/>
        </w:rPr>
      </w:pPr>
    </w:p>
    <w:p>
      <w:pPr>
        <w:pStyle w:val="23"/>
        <w:numPr>
          <w:ilvl w:val="0"/>
          <w:numId w:val="1"/>
        </w:numPr>
        <w:spacing w:line="600" w:lineRule="exact"/>
        <w:ind w:firstLineChars="0"/>
        <w:outlineLvl w:val="1"/>
        <w:rPr>
          <w:rStyle w:val="25"/>
          <w:rFonts w:ascii="黑体" w:hAnsi="黑体" w:eastAsia="黑体"/>
          <w:b w:val="0"/>
          <w:color w:val="auto"/>
          <w:highlight w:val="none"/>
        </w:rPr>
      </w:pPr>
      <w:bookmarkStart w:id="27" w:name="_Toc15377205"/>
      <w:bookmarkStart w:id="28" w:name="_Toc3295"/>
      <w:bookmarkStart w:id="29" w:name="_Toc15396603"/>
      <w:r>
        <w:rPr>
          <w:rFonts w:hint="eastAsia" w:ascii="黑体" w:hAnsi="黑体" w:eastAsia="黑体"/>
          <w:color w:val="auto"/>
          <w:sz w:val="32"/>
          <w:szCs w:val="32"/>
          <w:highlight w:val="none"/>
        </w:rPr>
        <w:t>收</w:t>
      </w:r>
      <w:r>
        <w:rPr>
          <w:rStyle w:val="25"/>
          <w:rFonts w:hint="eastAsia" w:ascii="黑体" w:hAnsi="黑体" w:eastAsia="黑体"/>
          <w:b w:val="0"/>
          <w:color w:val="auto"/>
          <w:highlight w:val="none"/>
        </w:rPr>
        <w:t>入支出决算总体情况说明</w:t>
      </w:r>
      <w:bookmarkEnd w:id="27"/>
      <w:bookmarkEnd w:id="28"/>
      <w:bookmarkEnd w:id="29"/>
    </w:p>
    <w:p>
      <w:pPr>
        <w:spacing w:line="600" w:lineRule="exact"/>
        <w:ind w:firstLine="640" w:firstLineChars="200"/>
        <w:rPr>
          <w:rFonts w:hint="eastAsia" w:ascii="仿宋" w:hAnsi="仿宋" w:eastAsia="仿宋"/>
          <w:color w:val="auto"/>
          <w:sz w:val="32"/>
          <w:szCs w:val="32"/>
          <w:highlight w:val="none"/>
          <w:lang w:val="en-US" w:eastAsia="zh-CN"/>
        </w:rPr>
      </w:pPr>
      <w:r>
        <w:rPr>
          <w:rFonts w:hint="eastAsia"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年度收、支总计</w:t>
      </w:r>
      <w:r>
        <w:rPr>
          <w:rFonts w:hint="eastAsia" w:ascii="仿宋" w:hAnsi="仿宋" w:eastAsia="仿宋"/>
          <w:color w:val="auto"/>
          <w:sz w:val="32"/>
          <w:szCs w:val="32"/>
          <w:highlight w:val="none"/>
          <w:lang w:val="en-US" w:eastAsia="zh-CN"/>
        </w:rPr>
        <w:t>2540.74</w:t>
      </w:r>
      <w:r>
        <w:rPr>
          <w:rFonts w:hint="eastAsia" w:ascii="仿宋" w:hAnsi="仿宋" w:eastAsia="仿宋"/>
          <w:color w:val="auto"/>
          <w:sz w:val="32"/>
          <w:szCs w:val="32"/>
          <w:highlight w:val="none"/>
        </w:rPr>
        <w:t>万元。与20</w:t>
      </w:r>
      <w:r>
        <w:rPr>
          <w:rFonts w:hint="eastAsia" w:ascii="仿宋" w:hAnsi="仿宋" w:eastAsia="仿宋"/>
          <w:color w:val="auto"/>
          <w:sz w:val="32"/>
          <w:szCs w:val="32"/>
          <w:highlight w:val="none"/>
          <w:lang w:val="en-US" w:eastAsia="zh-CN"/>
        </w:rPr>
        <w:t>20</w:t>
      </w:r>
      <w:r>
        <w:rPr>
          <w:rFonts w:hint="eastAsia" w:ascii="仿宋" w:hAnsi="仿宋" w:eastAsia="仿宋"/>
          <w:color w:val="auto"/>
          <w:sz w:val="32"/>
          <w:szCs w:val="32"/>
          <w:highlight w:val="none"/>
        </w:rPr>
        <w:t>年相比，收、支总计减少</w:t>
      </w:r>
      <w:r>
        <w:rPr>
          <w:rFonts w:hint="eastAsia" w:ascii="仿宋" w:hAnsi="仿宋" w:eastAsia="仿宋"/>
          <w:color w:val="auto"/>
          <w:sz w:val="32"/>
          <w:szCs w:val="32"/>
          <w:highlight w:val="none"/>
          <w:lang w:val="en-US" w:eastAsia="zh-CN"/>
        </w:rPr>
        <w:t>321.96万元，</w:t>
      </w:r>
      <w:r>
        <w:rPr>
          <w:rFonts w:hint="eastAsia" w:ascii="仿宋" w:hAnsi="仿宋" w:eastAsia="仿宋"/>
          <w:color w:val="auto"/>
          <w:sz w:val="32"/>
          <w:szCs w:val="32"/>
          <w:highlight w:val="none"/>
        </w:rPr>
        <w:t>下降</w:t>
      </w:r>
      <w:r>
        <w:rPr>
          <w:rFonts w:hint="eastAsia" w:ascii="仿宋" w:hAnsi="仿宋" w:eastAsia="仿宋"/>
          <w:color w:val="auto"/>
          <w:sz w:val="32"/>
          <w:szCs w:val="32"/>
          <w:highlight w:val="none"/>
          <w:lang w:val="en-US" w:eastAsia="zh-CN"/>
        </w:rPr>
        <w:t>11.25</w:t>
      </w:r>
      <w:r>
        <w:rPr>
          <w:rFonts w:ascii="仿宋" w:hAnsi="仿宋" w:eastAsia="仿宋"/>
          <w:color w:val="auto"/>
          <w:sz w:val="32"/>
          <w:szCs w:val="32"/>
          <w:highlight w:val="none"/>
        </w:rPr>
        <w:t>%</w:t>
      </w:r>
      <w:r>
        <w:rPr>
          <w:rFonts w:hint="eastAsia" w:ascii="仿宋" w:hAnsi="仿宋" w:eastAsia="仿宋"/>
          <w:color w:val="auto"/>
          <w:sz w:val="32"/>
          <w:szCs w:val="32"/>
          <w:highlight w:val="none"/>
        </w:rPr>
        <w:t>。主要变动原因是</w:t>
      </w:r>
      <w:r>
        <w:rPr>
          <w:rFonts w:hint="eastAsia" w:ascii="仿宋" w:hAnsi="仿宋" w:eastAsia="仿宋"/>
          <w:color w:val="auto"/>
          <w:sz w:val="32"/>
          <w:szCs w:val="32"/>
          <w:highlight w:val="none"/>
          <w:lang w:val="en-US" w:eastAsia="zh-CN"/>
        </w:rPr>
        <w:t>“2019年党报党刊项目经费”在2020年收支，导致2020年收支偏高。</w:t>
      </w:r>
    </w:p>
    <w:p>
      <w:pPr>
        <w:pStyle w:val="2"/>
      </w:pPr>
    </w:p>
    <w:p>
      <w:pPr>
        <w:pStyle w:val="2"/>
      </w:pPr>
      <w:r>
        <w:rPr>
          <w:rFonts w:hint="eastAsia" w:ascii="仿宋" w:hAnsi="仿宋" w:eastAsia="仿宋"/>
          <w:color w:val="auto"/>
          <w:sz w:val="32"/>
          <w:szCs w:val="32"/>
          <w:highlight w:val="none"/>
          <w:lang w:eastAsia="zh-CN"/>
        </w:rPr>
        <w:drawing>
          <wp:inline distT="0" distB="0" distL="114300" distR="114300">
            <wp:extent cx="4090035" cy="3000375"/>
            <wp:effectExtent l="4445" t="4445" r="20320" b="508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w:t>
      </w:r>
      <w:r>
        <w:rPr>
          <w:rFonts w:ascii="仿宋" w:hAnsi="仿宋" w:eastAsia="仿宋"/>
          <w:color w:val="auto"/>
          <w:sz w:val="32"/>
          <w:szCs w:val="32"/>
          <w:highlight w:val="none"/>
        </w:rPr>
        <w:t>1</w:t>
      </w:r>
      <w:r>
        <w:rPr>
          <w:rFonts w:hint="eastAsia" w:ascii="仿宋" w:hAnsi="仿宋" w:eastAsia="仿宋"/>
          <w:color w:val="auto"/>
          <w:sz w:val="32"/>
          <w:szCs w:val="32"/>
          <w:highlight w:val="none"/>
        </w:rPr>
        <w:t>：收、支决算总计变动情况图）（柱状图）</w:t>
      </w:r>
    </w:p>
    <w:p>
      <w:pPr>
        <w:spacing w:line="600" w:lineRule="exact"/>
        <w:ind w:firstLine="640" w:firstLineChars="200"/>
        <w:jc w:val="left"/>
        <w:rPr>
          <w:rFonts w:ascii="仿宋_GB2312" w:eastAsia="仿宋_GB2312"/>
          <w:color w:val="auto"/>
          <w:sz w:val="32"/>
          <w:szCs w:val="32"/>
          <w:highlight w:val="none"/>
        </w:rPr>
      </w:pPr>
    </w:p>
    <w:p>
      <w:pPr>
        <w:pStyle w:val="23"/>
        <w:numPr>
          <w:ilvl w:val="0"/>
          <w:numId w:val="1"/>
        </w:numPr>
        <w:spacing w:line="600" w:lineRule="exact"/>
        <w:ind w:firstLineChars="0"/>
        <w:outlineLvl w:val="1"/>
        <w:rPr>
          <w:rStyle w:val="25"/>
          <w:rFonts w:ascii="黑体" w:hAnsi="黑体" w:eastAsia="黑体"/>
          <w:b w:val="0"/>
          <w:color w:val="auto"/>
          <w:highlight w:val="none"/>
        </w:rPr>
      </w:pPr>
      <w:bookmarkStart w:id="30" w:name="_Toc15396604"/>
      <w:bookmarkStart w:id="31" w:name="_Toc15377206"/>
      <w:bookmarkStart w:id="32" w:name="_Toc1282"/>
      <w:r>
        <w:rPr>
          <w:rFonts w:hint="eastAsia" w:ascii="黑体" w:hAnsi="黑体" w:eastAsia="黑体"/>
          <w:color w:val="auto"/>
          <w:sz w:val="32"/>
          <w:szCs w:val="32"/>
          <w:highlight w:val="none"/>
        </w:rPr>
        <w:t>收</w:t>
      </w:r>
      <w:r>
        <w:rPr>
          <w:rStyle w:val="25"/>
          <w:rFonts w:hint="eastAsia" w:ascii="黑体" w:hAnsi="黑体" w:eastAsia="黑体"/>
          <w:b w:val="0"/>
          <w:color w:val="auto"/>
          <w:highlight w:val="none"/>
        </w:rPr>
        <w:t>入决算情况说明</w:t>
      </w:r>
      <w:bookmarkEnd w:id="30"/>
      <w:bookmarkEnd w:id="31"/>
      <w:bookmarkEnd w:id="32"/>
    </w:p>
    <w:p>
      <w:pPr>
        <w:spacing w:line="600" w:lineRule="exact"/>
        <w:ind w:firstLine="640" w:firstLineChars="200"/>
        <w:outlineLvl w:val="2"/>
        <w:rPr>
          <w:rFonts w:hint="eastAsia" w:ascii="仿宋" w:hAnsi="仿宋" w:eastAsia="仿宋"/>
          <w:color w:val="auto"/>
          <w:sz w:val="32"/>
          <w:szCs w:val="32"/>
          <w:highlight w:val="none"/>
          <w:lang w:eastAsia="zh-CN"/>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年本年收入合计683.59万元，其中：一般公共预算财政拨款收入683.59万元，占</w:t>
      </w:r>
      <w:r>
        <w:rPr>
          <w:rFonts w:hint="eastAsia" w:ascii="仿宋" w:hAnsi="仿宋" w:eastAsia="仿宋"/>
          <w:color w:val="auto"/>
          <w:sz w:val="32"/>
          <w:szCs w:val="32"/>
          <w:highlight w:val="none"/>
          <w:lang w:val="en-US" w:eastAsia="zh-CN"/>
        </w:rPr>
        <w:t>100</w:t>
      </w:r>
      <w:r>
        <w:rPr>
          <w:rFonts w:ascii="仿宋" w:hAnsi="仿宋" w:eastAsia="仿宋"/>
          <w:color w:val="auto"/>
          <w:sz w:val="32"/>
          <w:szCs w:val="32"/>
          <w:highlight w:val="none"/>
        </w:rPr>
        <w:t>%</w:t>
      </w:r>
      <w:r>
        <w:rPr>
          <w:rFonts w:hint="eastAsia" w:ascii="仿宋" w:hAnsi="仿宋" w:eastAsia="仿宋"/>
          <w:color w:val="auto"/>
          <w:sz w:val="32"/>
          <w:szCs w:val="32"/>
          <w:highlight w:val="none"/>
          <w:lang w:eastAsia="zh-CN"/>
        </w:rPr>
        <w:t>。</w:t>
      </w:r>
    </w:p>
    <w:p>
      <w:pPr>
        <w:pStyle w:val="2"/>
        <w:rPr>
          <w:rFonts w:ascii="仿宋" w:hAnsi="仿宋" w:eastAsia="仿宋"/>
          <w:color w:val="auto"/>
          <w:sz w:val="32"/>
          <w:szCs w:val="32"/>
          <w:highlight w:val="none"/>
        </w:rPr>
      </w:pPr>
    </w:p>
    <w:p>
      <w:pPr>
        <w:pStyle w:val="2"/>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lang w:eastAsia="zh-CN"/>
        </w:rPr>
        <w:drawing>
          <wp:inline distT="0" distB="0" distL="114300" distR="114300">
            <wp:extent cx="5080000" cy="3810000"/>
            <wp:effectExtent l="4445" t="4445" r="20955" b="1460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2"/>
        <w:rPr>
          <w:rFonts w:ascii="仿宋" w:hAnsi="仿宋" w:eastAsia="仿宋"/>
          <w:color w:val="auto"/>
          <w:sz w:val="32"/>
          <w:szCs w:val="32"/>
          <w:highlight w:val="none"/>
        </w:rPr>
      </w:pPr>
    </w:p>
    <w:p>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（图2：收入决算结构图）（饼状图）</w:t>
      </w:r>
    </w:p>
    <w:p>
      <w:pPr>
        <w:spacing w:line="600" w:lineRule="exact"/>
        <w:ind w:firstLine="640" w:firstLineChars="200"/>
        <w:rPr>
          <w:rFonts w:ascii="仿宋_GB2312" w:eastAsia="仿宋_GB2312"/>
          <w:color w:val="auto"/>
          <w:sz w:val="32"/>
          <w:szCs w:val="32"/>
          <w:highlight w:val="none"/>
        </w:rPr>
      </w:pPr>
    </w:p>
    <w:p>
      <w:pPr>
        <w:pStyle w:val="23"/>
        <w:numPr>
          <w:ilvl w:val="0"/>
          <w:numId w:val="1"/>
        </w:numPr>
        <w:spacing w:line="600" w:lineRule="exact"/>
        <w:ind w:firstLineChars="0"/>
        <w:outlineLvl w:val="1"/>
        <w:rPr>
          <w:rStyle w:val="25"/>
          <w:rFonts w:ascii="黑体" w:hAnsi="黑体" w:eastAsia="黑体"/>
          <w:b w:val="0"/>
          <w:color w:val="auto"/>
          <w:highlight w:val="none"/>
        </w:rPr>
      </w:pPr>
      <w:bookmarkStart w:id="33" w:name="_Toc15377207"/>
      <w:bookmarkStart w:id="34" w:name="_Toc15396605"/>
      <w:bookmarkStart w:id="35" w:name="_Toc5239"/>
      <w:r>
        <w:rPr>
          <w:rFonts w:hint="eastAsia" w:ascii="黑体" w:hAnsi="黑体" w:eastAsia="黑体"/>
          <w:color w:val="auto"/>
          <w:sz w:val="32"/>
          <w:szCs w:val="32"/>
          <w:highlight w:val="none"/>
        </w:rPr>
        <w:t>支</w:t>
      </w:r>
      <w:r>
        <w:rPr>
          <w:rStyle w:val="25"/>
          <w:rFonts w:hint="eastAsia" w:ascii="黑体" w:hAnsi="黑体" w:eastAsia="黑体"/>
          <w:b w:val="0"/>
          <w:color w:val="auto"/>
          <w:highlight w:val="none"/>
        </w:rPr>
        <w:t>出决算情况说明</w:t>
      </w:r>
      <w:bookmarkEnd w:id="33"/>
      <w:bookmarkEnd w:id="34"/>
      <w:bookmarkEnd w:id="35"/>
    </w:p>
    <w:p>
      <w:pPr>
        <w:spacing w:line="600" w:lineRule="exact"/>
        <w:ind w:firstLine="640" w:firstLineChars="200"/>
        <w:outlineLvl w:val="2"/>
        <w:rPr>
          <w:rFonts w:hint="eastAsia" w:ascii="仿宋" w:hAnsi="仿宋" w:eastAsia="仿宋"/>
          <w:color w:val="auto"/>
          <w:sz w:val="32"/>
          <w:szCs w:val="32"/>
          <w:highlight w:val="none"/>
          <w:lang w:eastAsia="zh-CN"/>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年本年支出合计</w:t>
      </w:r>
      <w:r>
        <w:rPr>
          <w:rFonts w:hint="eastAsia" w:ascii="仿宋" w:hAnsi="仿宋" w:eastAsia="仿宋"/>
          <w:color w:val="auto"/>
          <w:sz w:val="32"/>
          <w:szCs w:val="32"/>
          <w:highlight w:val="none"/>
          <w:lang w:val="en-US" w:eastAsia="zh-CN"/>
        </w:rPr>
        <w:t>1220.37</w:t>
      </w:r>
      <w:r>
        <w:rPr>
          <w:rFonts w:hint="eastAsia" w:ascii="仿宋" w:hAnsi="仿宋" w:eastAsia="仿宋"/>
          <w:color w:val="auto"/>
          <w:sz w:val="32"/>
          <w:szCs w:val="32"/>
          <w:highlight w:val="none"/>
        </w:rPr>
        <w:t>万元，其中：基本支出322.35万元，占</w:t>
      </w:r>
      <w:r>
        <w:rPr>
          <w:rFonts w:hint="eastAsia" w:ascii="仿宋" w:hAnsi="仿宋" w:eastAsia="仿宋"/>
          <w:color w:val="auto"/>
          <w:sz w:val="32"/>
          <w:szCs w:val="32"/>
          <w:highlight w:val="none"/>
          <w:lang w:val="en-US" w:eastAsia="zh-CN"/>
        </w:rPr>
        <w:t>26.4</w:t>
      </w:r>
      <w:r>
        <w:rPr>
          <w:rFonts w:ascii="仿宋" w:hAnsi="仿宋" w:eastAsia="仿宋"/>
          <w:color w:val="auto"/>
          <w:sz w:val="32"/>
          <w:szCs w:val="32"/>
          <w:highlight w:val="none"/>
        </w:rPr>
        <w:t>%</w:t>
      </w:r>
      <w:r>
        <w:rPr>
          <w:rFonts w:hint="eastAsia" w:ascii="仿宋" w:hAnsi="仿宋" w:eastAsia="仿宋"/>
          <w:color w:val="auto"/>
          <w:sz w:val="32"/>
          <w:szCs w:val="32"/>
          <w:highlight w:val="none"/>
        </w:rPr>
        <w:t>；项目支出898.02万元，占</w:t>
      </w:r>
      <w:r>
        <w:rPr>
          <w:rFonts w:hint="eastAsia" w:ascii="仿宋" w:hAnsi="仿宋" w:eastAsia="仿宋"/>
          <w:color w:val="auto"/>
          <w:sz w:val="32"/>
          <w:szCs w:val="32"/>
          <w:highlight w:val="none"/>
          <w:lang w:val="en-US" w:eastAsia="zh-CN"/>
        </w:rPr>
        <w:t>73.6</w:t>
      </w:r>
      <w:r>
        <w:rPr>
          <w:rFonts w:ascii="仿宋" w:hAnsi="仿宋" w:eastAsia="仿宋"/>
          <w:color w:val="auto"/>
          <w:sz w:val="32"/>
          <w:szCs w:val="32"/>
          <w:highlight w:val="none"/>
        </w:rPr>
        <w:t>%</w:t>
      </w:r>
      <w:r>
        <w:rPr>
          <w:rFonts w:hint="eastAsia" w:ascii="仿宋" w:hAnsi="仿宋" w:eastAsia="仿宋"/>
          <w:color w:val="auto"/>
          <w:sz w:val="32"/>
          <w:szCs w:val="32"/>
          <w:highlight w:val="none"/>
          <w:lang w:eastAsia="zh-CN"/>
        </w:rPr>
        <w:t>。</w:t>
      </w:r>
    </w:p>
    <w:p>
      <w:pPr>
        <w:spacing w:line="600" w:lineRule="exact"/>
        <w:ind w:firstLine="640"/>
        <w:rPr>
          <w:rFonts w:ascii="仿宋" w:hAnsi="仿宋" w:eastAsia="仿宋"/>
          <w:color w:val="auto"/>
          <w:sz w:val="32"/>
          <w:szCs w:val="32"/>
          <w:highlight w:val="none"/>
          <w:shd w:val="pct10" w:color="auto" w:fill="FFFFFF"/>
        </w:rPr>
      </w:pPr>
    </w:p>
    <w:p>
      <w:pPr>
        <w:pStyle w:val="2"/>
        <w:rPr>
          <w:rFonts w:ascii="仿宋" w:hAnsi="仿宋" w:eastAsia="仿宋"/>
          <w:color w:val="auto"/>
          <w:sz w:val="32"/>
          <w:szCs w:val="32"/>
          <w:highlight w:val="none"/>
          <w:shd w:val="pct10" w:color="auto" w:fill="FFFFFF"/>
        </w:rPr>
      </w:pPr>
    </w:p>
    <w:p>
      <w:pPr>
        <w:pStyle w:val="2"/>
        <w:rPr>
          <w:rFonts w:ascii="仿宋" w:hAnsi="仿宋" w:eastAsia="仿宋"/>
          <w:color w:val="auto"/>
          <w:sz w:val="32"/>
          <w:szCs w:val="32"/>
          <w:highlight w:val="none"/>
          <w:shd w:val="pct10" w:color="auto" w:fill="FFFFFF"/>
        </w:rPr>
      </w:pPr>
    </w:p>
    <w:p>
      <w:pPr>
        <w:pStyle w:val="2"/>
        <w:rPr>
          <w:rFonts w:ascii="仿宋" w:hAnsi="仿宋" w:eastAsia="仿宋"/>
          <w:color w:val="auto"/>
          <w:sz w:val="32"/>
          <w:szCs w:val="32"/>
          <w:highlight w:val="none"/>
          <w:shd w:val="pct10" w:color="auto" w:fill="FFFFFF"/>
        </w:rPr>
      </w:pPr>
    </w:p>
    <w:p>
      <w:pPr>
        <w:pStyle w:val="2"/>
        <w:rPr>
          <w:rFonts w:ascii="仿宋" w:hAnsi="仿宋" w:eastAsia="仿宋"/>
          <w:color w:val="auto"/>
          <w:sz w:val="32"/>
          <w:szCs w:val="32"/>
          <w:highlight w:val="none"/>
          <w:shd w:val="pct10" w:color="auto" w:fill="FFFFFF"/>
        </w:rPr>
      </w:pPr>
    </w:p>
    <w:p>
      <w:pPr>
        <w:pStyle w:val="2"/>
        <w:rPr>
          <w:rFonts w:ascii="仿宋" w:hAnsi="仿宋" w:eastAsia="仿宋"/>
          <w:color w:val="auto"/>
          <w:sz w:val="32"/>
          <w:szCs w:val="32"/>
          <w:highlight w:val="none"/>
          <w:shd w:val="pct10" w:color="auto" w:fill="FFFFFF"/>
        </w:rPr>
      </w:pPr>
    </w:p>
    <w:p>
      <w:pPr>
        <w:pStyle w:val="2"/>
        <w:rPr>
          <w:rFonts w:hint="eastAsia" w:ascii="仿宋" w:hAnsi="仿宋" w:eastAsia="仿宋"/>
          <w:color w:val="auto"/>
          <w:sz w:val="32"/>
          <w:szCs w:val="32"/>
          <w:highlight w:val="none"/>
          <w:shd w:val="pct10" w:color="auto" w:fill="FFFFFF"/>
          <w:lang w:eastAsia="zh-CN"/>
        </w:rPr>
      </w:pPr>
      <w:r>
        <w:rPr>
          <w:rFonts w:hint="eastAsia" w:ascii="仿宋" w:hAnsi="仿宋" w:eastAsia="仿宋"/>
          <w:color w:val="auto"/>
          <w:sz w:val="32"/>
          <w:szCs w:val="32"/>
          <w:highlight w:val="none"/>
          <w:shd w:val="pct10" w:color="auto" w:fill="FFFFFF"/>
          <w:lang w:eastAsia="zh-CN"/>
        </w:rPr>
        <w:drawing>
          <wp:inline distT="0" distB="0" distL="114300" distR="114300">
            <wp:extent cx="5080000" cy="3810000"/>
            <wp:effectExtent l="4445" t="4445" r="20955" b="1460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（图3：支出决算结构图）（饼状图）</w:t>
      </w:r>
    </w:p>
    <w:p>
      <w:pPr>
        <w:spacing w:line="600" w:lineRule="exact"/>
        <w:ind w:firstLine="640" w:firstLineChars="200"/>
        <w:rPr>
          <w:rFonts w:ascii="仿宋_GB2312" w:eastAsia="仿宋_GB2312"/>
          <w:color w:val="auto"/>
          <w:sz w:val="32"/>
          <w:szCs w:val="32"/>
          <w:highlight w:val="none"/>
        </w:rPr>
      </w:pPr>
    </w:p>
    <w:p>
      <w:pPr>
        <w:spacing w:line="600" w:lineRule="exact"/>
        <w:ind w:firstLine="640" w:firstLineChars="200"/>
        <w:outlineLvl w:val="1"/>
        <w:rPr>
          <w:rStyle w:val="25"/>
          <w:rFonts w:ascii="黑体" w:hAnsi="黑体" w:eastAsia="黑体"/>
          <w:b w:val="0"/>
          <w:color w:val="auto"/>
          <w:highlight w:val="none"/>
        </w:rPr>
      </w:pPr>
      <w:bookmarkStart w:id="36" w:name="_Toc15396606"/>
      <w:bookmarkStart w:id="37" w:name="_Toc15377208"/>
      <w:bookmarkStart w:id="38" w:name="_Toc2924"/>
      <w:r>
        <w:rPr>
          <w:rFonts w:hint="eastAsia" w:ascii="黑体" w:hAnsi="黑体" w:eastAsia="黑体"/>
          <w:color w:val="auto"/>
          <w:sz w:val="32"/>
          <w:szCs w:val="32"/>
          <w:highlight w:val="none"/>
        </w:rPr>
        <w:t>四、财</w:t>
      </w:r>
      <w:r>
        <w:rPr>
          <w:rStyle w:val="25"/>
          <w:rFonts w:hint="eastAsia" w:ascii="黑体" w:hAnsi="黑体" w:eastAsia="黑体"/>
          <w:b w:val="0"/>
          <w:color w:val="auto"/>
          <w:highlight w:val="none"/>
        </w:rPr>
        <w:t>政拨款收入支出决算总体情况说明</w:t>
      </w:r>
      <w:bookmarkEnd w:id="36"/>
      <w:bookmarkEnd w:id="37"/>
      <w:bookmarkEnd w:id="38"/>
    </w:p>
    <w:p>
      <w:pPr>
        <w:spacing w:line="600" w:lineRule="exact"/>
        <w:ind w:firstLine="640" w:firstLineChars="200"/>
        <w:rPr>
          <w:rFonts w:hint="eastAsia" w:ascii="仿宋" w:hAnsi="仿宋" w:eastAsia="仿宋"/>
          <w:color w:val="auto"/>
          <w:sz w:val="32"/>
          <w:szCs w:val="32"/>
          <w:highlight w:val="none"/>
          <w:lang w:val="en-US" w:eastAsia="zh-CN"/>
        </w:rPr>
      </w:pPr>
      <w:r>
        <w:rPr>
          <w:rFonts w:hint="eastAsia"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年财政拨款收、支总计</w:t>
      </w:r>
      <w:r>
        <w:rPr>
          <w:rFonts w:hint="eastAsia" w:ascii="仿宋" w:hAnsi="仿宋" w:eastAsia="仿宋"/>
          <w:color w:val="auto"/>
          <w:sz w:val="32"/>
          <w:szCs w:val="32"/>
          <w:highlight w:val="none"/>
          <w:lang w:val="en-US" w:eastAsia="zh-CN"/>
        </w:rPr>
        <w:t>2540.74</w:t>
      </w:r>
      <w:r>
        <w:rPr>
          <w:rFonts w:hint="eastAsia" w:ascii="仿宋" w:hAnsi="仿宋" w:eastAsia="仿宋"/>
          <w:color w:val="auto"/>
          <w:sz w:val="32"/>
          <w:szCs w:val="32"/>
          <w:highlight w:val="none"/>
        </w:rPr>
        <w:t>万元。与20</w:t>
      </w:r>
      <w:r>
        <w:rPr>
          <w:rFonts w:hint="eastAsia" w:ascii="仿宋" w:hAnsi="仿宋" w:eastAsia="仿宋"/>
          <w:color w:val="auto"/>
          <w:sz w:val="32"/>
          <w:szCs w:val="32"/>
          <w:highlight w:val="none"/>
          <w:lang w:val="en-US" w:eastAsia="zh-CN"/>
        </w:rPr>
        <w:t>20</w:t>
      </w:r>
      <w:r>
        <w:rPr>
          <w:rFonts w:hint="eastAsia" w:ascii="仿宋" w:hAnsi="仿宋" w:eastAsia="仿宋"/>
          <w:color w:val="auto"/>
          <w:sz w:val="32"/>
          <w:szCs w:val="32"/>
          <w:highlight w:val="none"/>
        </w:rPr>
        <w:t>年相比，财政拨款收、支总计减少</w:t>
      </w:r>
      <w:r>
        <w:rPr>
          <w:rFonts w:hint="eastAsia" w:ascii="仿宋" w:hAnsi="仿宋" w:eastAsia="仿宋"/>
          <w:color w:val="auto"/>
          <w:sz w:val="32"/>
          <w:szCs w:val="32"/>
          <w:highlight w:val="none"/>
          <w:lang w:val="en-US" w:eastAsia="zh-CN"/>
        </w:rPr>
        <w:t>319.52万元，</w:t>
      </w:r>
      <w:r>
        <w:rPr>
          <w:rFonts w:hint="eastAsia" w:ascii="仿宋" w:hAnsi="仿宋" w:eastAsia="仿宋"/>
          <w:color w:val="auto"/>
          <w:sz w:val="32"/>
          <w:szCs w:val="32"/>
          <w:highlight w:val="none"/>
        </w:rPr>
        <w:t>下降</w:t>
      </w:r>
      <w:r>
        <w:rPr>
          <w:rFonts w:hint="eastAsia" w:ascii="仿宋" w:hAnsi="仿宋" w:eastAsia="仿宋"/>
          <w:color w:val="auto"/>
          <w:sz w:val="32"/>
          <w:szCs w:val="32"/>
          <w:highlight w:val="none"/>
          <w:lang w:val="en-US" w:eastAsia="zh-CN"/>
        </w:rPr>
        <w:t>11.17</w:t>
      </w:r>
      <w:r>
        <w:rPr>
          <w:rFonts w:ascii="仿宋" w:hAnsi="仿宋" w:eastAsia="仿宋"/>
          <w:color w:val="auto"/>
          <w:sz w:val="32"/>
          <w:szCs w:val="32"/>
          <w:highlight w:val="none"/>
        </w:rPr>
        <w:t>%</w:t>
      </w:r>
      <w:r>
        <w:rPr>
          <w:rFonts w:hint="eastAsia" w:ascii="仿宋" w:hAnsi="仿宋" w:eastAsia="仿宋"/>
          <w:color w:val="auto"/>
          <w:sz w:val="32"/>
          <w:szCs w:val="32"/>
          <w:highlight w:val="none"/>
        </w:rPr>
        <w:t>。主要变动原因是</w:t>
      </w:r>
      <w:r>
        <w:rPr>
          <w:rFonts w:hint="eastAsia" w:ascii="仿宋" w:hAnsi="仿宋" w:eastAsia="仿宋"/>
          <w:color w:val="auto"/>
          <w:sz w:val="32"/>
          <w:szCs w:val="32"/>
          <w:highlight w:val="none"/>
          <w:lang w:val="en-US" w:eastAsia="zh-CN"/>
        </w:rPr>
        <w:t>“2019年党报党刊项目经费”在2020年收支，导致2020年收支偏高。</w:t>
      </w:r>
    </w:p>
    <w:p>
      <w:pPr>
        <w:spacing w:line="600" w:lineRule="exact"/>
        <w:ind w:firstLine="640"/>
        <w:rPr>
          <w:rFonts w:hint="eastAsia" w:ascii="仿宋" w:hAnsi="仿宋" w:eastAsia="仿宋"/>
          <w:b/>
          <w:color w:val="auto"/>
          <w:sz w:val="32"/>
          <w:szCs w:val="32"/>
          <w:highlight w:val="none"/>
        </w:rPr>
      </w:pPr>
    </w:p>
    <w:p>
      <w:pPr>
        <w:spacing w:line="600" w:lineRule="exact"/>
        <w:ind w:firstLine="640"/>
        <w:rPr>
          <w:rFonts w:hint="eastAsia" w:ascii="仿宋" w:hAnsi="仿宋" w:eastAsia="仿宋"/>
          <w:b/>
          <w:color w:val="auto"/>
          <w:sz w:val="32"/>
          <w:szCs w:val="32"/>
          <w:highlight w:val="none"/>
        </w:rPr>
      </w:pPr>
    </w:p>
    <w:p>
      <w:pPr>
        <w:pStyle w:val="2"/>
        <w:rPr>
          <w:rFonts w:hint="eastAsia" w:ascii="仿宋" w:hAnsi="仿宋" w:eastAsia="仿宋"/>
          <w:b/>
          <w:color w:val="auto"/>
          <w:sz w:val="32"/>
          <w:szCs w:val="32"/>
          <w:highlight w:val="none"/>
        </w:rPr>
      </w:pPr>
    </w:p>
    <w:p>
      <w:pPr>
        <w:pStyle w:val="2"/>
        <w:rPr>
          <w:rFonts w:hint="eastAsia" w:ascii="仿宋" w:hAnsi="仿宋" w:eastAsia="仿宋"/>
          <w:b/>
          <w:color w:val="auto"/>
          <w:sz w:val="32"/>
          <w:szCs w:val="32"/>
          <w:highlight w:val="none"/>
        </w:rPr>
      </w:pPr>
    </w:p>
    <w:p>
      <w:pPr>
        <w:pStyle w:val="2"/>
        <w:rPr>
          <w:rFonts w:ascii="仿宋" w:hAnsi="仿宋" w:eastAsia="仿宋"/>
          <w:color w:val="auto"/>
          <w:sz w:val="32"/>
          <w:szCs w:val="32"/>
          <w:highlight w:val="none"/>
        </w:rPr>
      </w:pPr>
      <w:r>
        <w:rPr>
          <w:rFonts w:hint="eastAsia" w:ascii="仿宋" w:hAnsi="仿宋" w:eastAsia="仿宋"/>
          <w:b/>
          <w:color w:val="auto"/>
          <w:sz w:val="32"/>
          <w:szCs w:val="32"/>
          <w:highlight w:val="none"/>
          <w:lang w:eastAsia="zh-CN"/>
        </w:rPr>
        <w:drawing>
          <wp:inline distT="0" distB="0" distL="114300" distR="114300">
            <wp:extent cx="5080000" cy="3810000"/>
            <wp:effectExtent l="4445" t="4445" r="20955" b="1460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（图4：财政拨款收、支决算总计变动情况）（柱状图）</w:t>
      </w:r>
    </w:p>
    <w:p>
      <w:pPr>
        <w:spacing w:line="600" w:lineRule="exact"/>
        <w:ind w:firstLine="640"/>
        <w:rPr>
          <w:rFonts w:ascii="仿宋" w:hAnsi="仿宋" w:eastAsia="仿宋"/>
          <w:b/>
          <w:color w:val="auto"/>
          <w:sz w:val="32"/>
          <w:szCs w:val="32"/>
          <w:highlight w:val="none"/>
        </w:rPr>
      </w:pPr>
    </w:p>
    <w:p>
      <w:pPr>
        <w:spacing w:line="600" w:lineRule="exact"/>
        <w:ind w:firstLine="640" w:firstLineChars="200"/>
        <w:outlineLvl w:val="1"/>
        <w:rPr>
          <w:rStyle w:val="25"/>
          <w:rFonts w:ascii="黑体" w:hAnsi="黑体" w:eastAsia="黑体"/>
          <w:b w:val="0"/>
          <w:color w:val="auto"/>
          <w:highlight w:val="none"/>
        </w:rPr>
      </w:pPr>
      <w:bookmarkStart w:id="39" w:name="_Toc15396607"/>
      <w:bookmarkStart w:id="40" w:name="_Toc15377209"/>
      <w:bookmarkStart w:id="41" w:name="_Toc20416"/>
      <w:r>
        <w:rPr>
          <w:rFonts w:hint="eastAsia" w:ascii="黑体" w:hAnsi="黑体" w:eastAsia="黑体"/>
          <w:color w:val="auto"/>
          <w:sz w:val="32"/>
          <w:szCs w:val="32"/>
          <w:highlight w:val="none"/>
        </w:rPr>
        <w:t>五、</w:t>
      </w:r>
      <w:r>
        <w:rPr>
          <w:rFonts w:hint="eastAsia" w:ascii="黑体" w:hAnsi="黑体" w:eastAsia="黑体"/>
          <w:b/>
          <w:color w:val="auto"/>
          <w:sz w:val="32"/>
          <w:szCs w:val="32"/>
          <w:highlight w:val="none"/>
        </w:rPr>
        <w:t>一</w:t>
      </w:r>
      <w:r>
        <w:rPr>
          <w:rStyle w:val="25"/>
          <w:rFonts w:hint="eastAsia" w:ascii="黑体" w:hAnsi="黑体" w:eastAsia="黑体"/>
          <w:b w:val="0"/>
          <w:color w:val="auto"/>
          <w:highlight w:val="none"/>
        </w:rPr>
        <w:t>般公共预算财政拨款支出决算情况说明</w:t>
      </w:r>
      <w:bookmarkEnd w:id="39"/>
      <w:bookmarkEnd w:id="40"/>
      <w:bookmarkEnd w:id="41"/>
    </w:p>
    <w:p>
      <w:pPr>
        <w:spacing w:line="600" w:lineRule="exact"/>
        <w:ind w:firstLine="643" w:firstLineChars="200"/>
        <w:outlineLvl w:val="2"/>
        <w:rPr>
          <w:rFonts w:ascii="仿宋" w:hAnsi="仿宋" w:eastAsia="仿宋"/>
          <w:b/>
          <w:color w:val="auto"/>
          <w:sz w:val="32"/>
          <w:szCs w:val="32"/>
          <w:highlight w:val="none"/>
        </w:rPr>
      </w:pPr>
      <w:bookmarkStart w:id="42" w:name="_Toc15377210"/>
      <w:r>
        <w:rPr>
          <w:rFonts w:hint="eastAsia" w:ascii="仿宋" w:hAnsi="仿宋" w:eastAsia="仿宋"/>
          <w:b/>
          <w:color w:val="auto"/>
          <w:sz w:val="32"/>
          <w:szCs w:val="32"/>
          <w:highlight w:val="none"/>
        </w:rPr>
        <w:t>（一）一般公共预算财政拨款支出决算总体情况</w:t>
      </w:r>
      <w:bookmarkEnd w:id="42"/>
    </w:p>
    <w:p>
      <w:pPr>
        <w:spacing w:line="600" w:lineRule="exact"/>
        <w:ind w:firstLine="640" w:firstLineChars="200"/>
        <w:rPr>
          <w:rFonts w:hint="eastAsia" w:ascii="仿宋" w:hAnsi="仿宋" w:eastAsia="仿宋"/>
          <w:color w:val="auto"/>
          <w:sz w:val="32"/>
          <w:szCs w:val="32"/>
          <w:highlight w:val="none"/>
          <w:lang w:eastAsia="zh-CN"/>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年一般公共预算财政拨款支出1219.15万元，占本年支出合计的</w:t>
      </w:r>
      <w:r>
        <w:rPr>
          <w:rFonts w:hint="eastAsia" w:ascii="仿宋" w:hAnsi="仿宋" w:eastAsia="仿宋"/>
          <w:color w:val="auto"/>
          <w:sz w:val="32"/>
          <w:szCs w:val="32"/>
          <w:highlight w:val="none"/>
          <w:lang w:val="en-US" w:eastAsia="zh-CN"/>
        </w:rPr>
        <w:t>99.9</w:t>
      </w:r>
      <w:r>
        <w:rPr>
          <w:rFonts w:ascii="仿宋" w:hAnsi="仿宋" w:eastAsia="仿宋"/>
          <w:color w:val="auto"/>
          <w:sz w:val="32"/>
          <w:szCs w:val="32"/>
          <w:highlight w:val="none"/>
        </w:rPr>
        <w:t>%</w:t>
      </w:r>
      <w:r>
        <w:rPr>
          <w:rFonts w:hint="eastAsia" w:ascii="仿宋" w:hAnsi="仿宋" w:eastAsia="仿宋"/>
          <w:color w:val="auto"/>
          <w:sz w:val="32"/>
          <w:szCs w:val="32"/>
          <w:highlight w:val="none"/>
        </w:rPr>
        <w:t>。与</w:t>
      </w: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20</w:t>
      </w:r>
      <w:r>
        <w:rPr>
          <w:rFonts w:hint="eastAsia" w:ascii="仿宋" w:hAnsi="仿宋" w:eastAsia="仿宋"/>
          <w:color w:val="auto"/>
          <w:sz w:val="32"/>
          <w:szCs w:val="32"/>
          <w:highlight w:val="none"/>
        </w:rPr>
        <w:t>年相比，一般公共预算财政拨款</w:t>
      </w:r>
      <w:r>
        <w:rPr>
          <w:rFonts w:hint="eastAsia" w:ascii="仿宋" w:hAnsi="仿宋" w:eastAsia="仿宋"/>
          <w:color w:val="auto"/>
          <w:sz w:val="32"/>
          <w:szCs w:val="32"/>
          <w:highlight w:val="none"/>
          <w:lang w:eastAsia="zh-CN"/>
        </w:rPr>
        <w:t>支出</w:t>
      </w:r>
      <w:r>
        <w:rPr>
          <w:rFonts w:hint="eastAsia" w:ascii="仿宋" w:hAnsi="仿宋" w:eastAsia="仿宋"/>
          <w:color w:val="auto"/>
          <w:sz w:val="32"/>
          <w:szCs w:val="32"/>
          <w:highlight w:val="none"/>
        </w:rPr>
        <w:t>增加</w:t>
      </w:r>
      <w:r>
        <w:rPr>
          <w:rFonts w:hint="eastAsia" w:ascii="仿宋" w:hAnsi="仿宋" w:eastAsia="仿宋"/>
          <w:color w:val="auto"/>
          <w:sz w:val="32"/>
          <w:szCs w:val="32"/>
          <w:highlight w:val="none"/>
          <w:lang w:val="en-US" w:eastAsia="zh-CN"/>
        </w:rPr>
        <w:t>76.77</w:t>
      </w:r>
      <w:r>
        <w:rPr>
          <w:rFonts w:hint="eastAsia" w:ascii="仿宋" w:hAnsi="仿宋" w:eastAsia="仿宋"/>
          <w:color w:val="auto"/>
          <w:sz w:val="32"/>
          <w:szCs w:val="32"/>
          <w:highlight w:val="none"/>
        </w:rPr>
        <w:t>万元，增长</w:t>
      </w:r>
      <w:r>
        <w:rPr>
          <w:rFonts w:hint="eastAsia" w:ascii="仿宋" w:hAnsi="仿宋" w:eastAsia="仿宋"/>
          <w:color w:val="auto"/>
          <w:sz w:val="32"/>
          <w:szCs w:val="32"/>
          <w:highlight w:val="none"/>
          <w:lang w:val="en-US" w:eastAsia="zh-CN"/>
        </w:rPr>
        <w:t>6.7</w:t>
      </w:r>
      <w:r>
        <w:rPr>
          <w:rFonts w:ascii="仿宋" w:hAnsi="仿宋" w:eastAsia="仿宋"/>
          <w:color w:val="auto"/>
          <w:sz w:val="32"/>
          <w:szCs w:val="32"/>
          <w:highlight w:val="none"/>
        </w:rPr>
        <w:t>%</w:t>
      </w:r>
      <w:r>
        <w:rPr>
          <w:rFonts w:hint="eastAsia" w:ascii="仿宋" w:hAnsi="仿宋" w:eastAsia="仿宋"/>
          <w:color w:val="auto"/>
          <w:sz w:val="32"/>
          <w:szCs w:val="32"/>
          <w:highlight w:val="none"/>
        </w:rPr>
        <w:t>。主要变动原因是</w:t>
      </w:r>
      <w:r>
        <w:rPr>
          <w:rFonts w:hint="eastAsia" w:ascii="仿宋" w:hAnsi="仿宋" w:eastAsia="仿宋"/>
          <w:color w:val="auto"/>
          <w:sz w:val="32"/>
          <w:szCs w:val="32"/>
          <w:highlight w:val="none"/>
          <w:lang w:eastAsia="zh-CN"/>
        </w:rPr>
        <w:t>本年新增非常年项目“拍摄沐川形象宣传片”“党史学习教育经费”等支出。</w:t>
      </w:r>
    </w:p>
    <w:p>
      <w:pPr>
        <w:pStyle w:val="2"/>
        <w:rPr>
          <w:rFonts w:hint="eastAsia" w:ascii="仿宋" w:hAnsi="仿宋" w:eastAsia="仿宋"/>
          <w:color w:val="auto"/>
          <w:sz w:val="32"/>
          <w:szCs w:val="32"/>
          <w:highlight w:val="none"/>
          <w:lang w:eastAsia="zh-CN"/>
        </w:rPr>
      </w:pPr>
    </w:p>
    <w:p>
      <w:pPr>
        <w:pStyle w:val="2"/>
        <w:rPr>
          <w:rFonts w:hint="eastAsia" w:ascii="仿宋" w:hAnsi="仿宋" w:eastAsia="仿宋"/>
          <w:color w:val="auto"/>
          <w:sz w:val="32"/>
          <w:szCs w:val="32"/>
          <w:highlight w:val="none"/>
          <w:lang w:eastAsia="zh-CN"/>
        </w:rPr>
      </w:pPr>
    </w:p>
    <w:p>
      <w:pPr>
        <w:pStyle w:val="2"/>
        <w:rPr>
          <w:rFonts w:hint="eastAsia" w:ascii="仿宋" w:hAnsi="仿宋" w:eastAsia="仿宋"/>
          <w:color w:val="auto"/>
          <w:sz w:val="32"/>
          <w:szCs w:val="32"/>
          <w:highlight w:val="none"/>
          <w:lang w:eastAsia="zh-CN"/>
        </w:rPr>
      </w:pPr>
    </w:p>
    <w:p>
      <w:pPr>
        <w:pStyle w:val="2"/>
        <w:rPr>
          <w:rFonts w:ascii="仿宋" w:hAnsi="仿宋" w:eastAsia="仿宋"/>
          <w:color w:val="auto"/>
          <w:sz w:val="32"/>
          <w:szCs w:val="32"/>
          <w:highlight w:val="none"/>
        </w:rPr>
      </w:pPr>
      <w:r>
        <w:rPr>
          <w:rFonts w:hint="eastAsia" w:ascii="仿宋" w:hAnsi="仿宋" w:eastAsia="仿宋"/>
          <w:b/>
          <w:color w:val="auto"/>
          <w:sz w:val="32"/>
          <w:szCs w:val="32"/>
          <w:highlight w:val="none"/>
          <w:lang w:eastAsia="zh-CN"/>
        </w:rPr>
        <w:drawing>
          <wp:inline distT="0" distB="0" distL="114300" distR="114300">
            <wp:extent cx="5080000" cy="3810000"/>
            <wp:effectExtent l="4445" t="4445" r="20955" b="1460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（图5：一般公共预算财政拨款支出决算变动情况）（柱状图）</w:t>
      </w:r>
    </w:p>
    <w:p>
      <w:pPr>
        <w:spacing w:line="600" w:lineRule="exact"/>
        <w:ind w:firstLine="640" w:firstLineChars="200"/>
        <w:rPr>
          <w:rFonts w:ascii="仿宋" w:hAnsi="仿宋" w:eastAsia="仿宋"/>
          <w:color w:val="auto"/>
          <w:sz w:val="32"/>
          <w:szCs w:val="32"/>
          <w:highlight w:val="none"/>
        </w:rPr>
      </w:pPr>
    </w:p>
    <w:p>
      <w:pPr>
        <w:spacing w:line="600" w:lineRule="exact"/>
        <w:ind w:firstLine="643" w:firstLineChars="200"/>
        <w:outlineLvl w:val="2"/>
        <w:rPr>
          <w:rFonts w:ascii="仿宋" w:hAnsi="仿宋" w:eastAsia="仿宋"/>
          <w:b/>
          <w:color w:val="auto"/>
          <w:sz w:val="32"/>
          <w:szCs w:val="32"/>
          <w:highlight w:val="none"/>
        </w:rPr>
      </w:pPr>
      <w:bookmarkStart w:id="43" w:name="_Toc15377211"/>
      <w:r>
        <w:rPr>
          <w:rFonts w:hint="eastAsia" w:ascii="仿宋" w:hAnsi="仿宋" w:eastAsia="仿宋"/>
          <w:b/>
          <w:color w:val="auto"/>
          <w:sz w:val="32"/>
          <w:szCs w:val="32"/>
          <w:highlight w:val="none"/>
        </w:rPr>
        <w:t>（二）一般公共预算财政拨款支出决算结构情况</w:t>
      </w:r>
      <w:bookmarkEnd w:id="43"/>
    </w:p>
    <w:p>
      <w:pPr>
        <w:spacing w:line="600" w:lineRule="exact"/>
        <w:ind w:firstLine="640"/>
        <w:rPr>
          <w:rFonts w:hint="eastAsia"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年一般公共预算财政拨款支出1219.15万元，主要用于以下方面</w:t>
      </w:r>
      <w:r>
        <w:rPr>
          <w:rFonts w:ascii="仿宋" w:hAnsi="仿宋" w:eastAsia="仿宋"/>
          <w:color w:val="auto"/>
          <w:sz w:val="32"/>
          <w:szCs w:val="32"/>
          <w:highlight w:val="none"/>
        </w:rPr>
        <w:t>:</w:t>
      </w:r>
      <w:r>
        <w:rPr>
          <w:rFonts w:hint="eastAsia" w:ascii="仿宋" w:hAnsi="仿宋" w:eastAsia="仿宋"/>
          <w:b/>
          <w:color w:val="auto"/>
          <w:sz w:val="32"/>
          <w:szCs w:val="32"/>
          <w:highlight w:val="none"/>
        </w:rPr>
        <w:t>一般公共服务（类）</w:t>
      </w:r>
      <w:r>
        <w:rPr>
          <w:rFonts w:hint="eastAsia" w:ascii="仿宋" w:hAnsi="仿宋" w:eastAsia="仿宋"/>
          <w:color w:val="auto"/>
          <w:sz w:val="32"/>
          <w:szCs w:val="32"/>
          <w:highlight w:val="none"/>
        </w:rPr>
        <w:t>支出1096.81万元，占</w:t>
      </w:r>
      <w:r>
        <w:rPr>
          <w:rFonts w:hint="eastAsia" w:ascii="仿宋" w:hAnsi="仿宋" w:eastAsia="仿宋"/>
          <w:color w:val="auto"/>
          <w:sz w:val="32"/>
          <w:szCs w:val="32"/>
          <w:highlight w:val="none"/>
          <w:lang w:val="en-US" w:eastAsia="zh-CN"/>
        </w:rPr>
        <w:t>90.0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bCs/>
          <w:color w:val="auto"/>
          <w:sz w:val="32"/>
          <w:szCs w:val="32"/>
          <w:highlight w:val="none"/>
        </w:rPr>
        <w:t>文化旅游体育与传媒（类）</w:t>
      </w:r>
      <w:r>
        <w:rPr>
          <w:rFonts w:hint="eastAsia" w:ascii="仿宋" w:hAnsi="仿宋" w:eastAsia="仿宋"/>
          <w:color w:val="auto"/>
          <w:sz w:val="32"/>
          <w:szCs w:val="32"/>
          <w:highlight w:val="none"/>
        </w:rPr>
        <w:t>支出84.36万元，占</w:t>
      </w:r>
      <w:r>
        <w:rPr>
          <w:rFonts w:hint="eastAsia" w:ascii="仿宋" w:hAnsi="仿宋" w:eastAsia="仿宋"/>
          <w:color w:val="auto"/>
          <w:sz w:val="32"/>
          <w:szCs w:val="32"/>
          <w:highlight w:val="none"/>
          <w:lang w:val="en-US" w:eastAsia="zh-CN"/>
        </w:rPr>
        <w:t>6.9</w:t>
      </w:r>
      <w:r>
        <w:rPr>
          <w:rFonts w:hint="eastAsia" w:ascii="仿宋" w:hAnsi="仿宋" w:eastAsia="仿宋"/>
          <w:color w:val="auto"/>
          <w:sz w:val="32"/>
          <w:szCs w:val="32"/>
          <w:highlight w:val="none"/>
        </w:rPr>
        <w:t>%；</w:t>
      </w:r>
      <w:r>
        <w:rPr>
          <w:rFonts w:hint="eastAsia" w:ascii="仿宋" w:hAnsi="仿宋" w:eastAsia="仿宋"/>
          <w:b/>
          <w:color w:val="auto"/>
          <w:sz w:val="32"/>
          <w:szCs w:val="32"/>
          <w:highlight w:val="none"/>
        </w:rPr>
        <w:t>社会保障和就业（类）</w:t>
      </w:r>
      <w:r>
        <w:rPr>
          <w:rFonts w:hint="eastAsia" w:ascii="仿宋" w:hAnsi="仿宋" w:eastAsia="仿宋"/>
          <w:color w:val="auto"/>
          <w:sz w:val="32"/>
          <w:szCs w:val="32"/>
          <w:highlight w:val="none"/>
        </w:rPr>
        <w:t>支出14.54万元，占</w:t>
      </w:r>
      <w:r>
        <w:rPr>
          <w:rFonts w:hint="eastAsia" w:ascii="仿宋" w:hAnsi="仿宋" w:eastAsia="仿宋"/>
          <w:color w:val="auto"/>
          <w:sz w:val="32"/>
          <w:szCs w:val="32"/>
          <w:highlight w:val="none"/>
          <w:lang w:val="en-US" w:eastAsia="zh-CN"/>
        </w:rPr>
        <w:t>1.2</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bCs/>
          <w:color w:val="auto"/>
          <w:sz w:val="32"/>
          <w:szCs w:val="32"/>
          <w:highlight w:val="none"/>
        </w:rPr>
        <w:t>卫生健康</w:t>
      </w:r>
      <w:r>
        <w:rPr>
          <w:rFonts w:hint="eastAsia" w:ascii="仿宋" w:hAnsi="仿宋" w:eastAsia="仿宋"/>
          <w:b/>
          <w:bCs/>
          <w:color w:val="auto"/>
          <w:sz w:val="32"/>
          <w:szCs w:val="32"/>
          <w:highlight w:val="none"/>
          <w:lang w:eastAsia="zh-CN"/>
        </w:rPr>
        <w:t>（类）</w:t>
      </w:r>
      <w:r>
        <w:rPr>
          <w:rFonts w:hint="eastAsia" w:ascii="仿宋" w:hAnsi="仿宋" w:eastAsia="仿宋"/>
          <w:color w:val="auto"/>
          <w:sz w:val="32"/>
          <w:szCs w:val="32"/>
          <w:highlight w:val="none"/>
        </w:rPr>
        <w:t>支出4.82万元，占</w:t>
      </w:r>
      <w:r>
        <w:rPr>
          <w:rFonts w:hint="eastAsia" w:ascii="仿宋" w:hAnsi="仿宋" w:eastAsia="仿宋"/>
          <w:color w:val="auto"/>
          <w:sz w:val="32"/>
          <w:szCs w:val="32"/>
          <w:highlight w:val="none"/>
          <w:lang w:val="en-US" w:eastAsia="zh-CN"/>
        </w:rPr>
        <w:t>0.4</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bCs/>
          <w:color w:val="auto"/>
          <w:sz w:val="32"/>
          <w:szCs w:val="32"/>
          <w:highlight w:val="none"/>
        </w:rPr>
        <w:t>住房保障</w:t>
      </w:r>
      <w:r>
        <w:rPr>
          <w:rFonts w:hint="eastAsia" w:ascii="仿宋" w:hAnsi="仿宋" w:eastAsia="仿宋"/>
          <w:b/>
          <w:bCs/>
          <w:color w:val="auto"/>
          <w:sz w:val="32"/>
          <w:szCs w:val="32"/>
          <w:highlight w:val="none"/>
          <w:lang w:eastAsia="zh-CN"/>
        </w:rPr>
        <w:t>（类）</w:t>
      </w:r>
      <w:r>
        <w:rPr>
          <w:rFonts w:hint="eastAsia" w:ascii="仿宋" w:hAnsi="仿宋" w:eastAsia="仿宋"/>
          <w:color w:val="auto"/>
          <w:sz w:val="32"/>
          <w:szCs w:val="32"/>
          <w:highlight w:val="none"/>
        </w:rPr>
        <w:t>支出18.61万元，占</w:t>
      </w:r>
      <w:r>
        <w:rPr>
          <w:rFonts w:hint="eastAsia" w:ascii="仿宋" w:hAnsi="仿宋" w:eastAsia="仿宋"/>
          <w:color w:val="auto"/>
          <w:sz w:val="32"/>
          <w:szCs w:val="32"/>
          <w:highlight w:val="none"/>
          <w:lang w:val="en-US" w:eastAsia="zh-CN"/>
        </w:rPr>
        <w:t>1.5</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p>
    <w:p>
      <w:pPr>
        <w:spacing w:line="600" w:lineRule="exact"/>
        <w:ind w:firstLine="640"/>
        <w:rPr>
          <w:rFonts w:ascii="仿宋" w:hAnsi="仿宋" w:eastAsia="仿宋"/>
          <w:color w:val="auto"/>
          <w:sz w:val="32"/>
          <w:szCs w:val="32"/>
          <w:highlight w:val="none"/>
        </w:rPr>
      </w:pPr>
    </w:p>
    <w:p>
      <w:pPr>
        <w:pStyle w:val="2"/>
        <w:rPr>
          <w:rFonts w:ascii="仿宋" w:hAnsi="仿宋" w:eastAsia="仿宋"/>
          <w:color w:val="auto"/>
          <w:sz w:val="32"/>
          <w:szCs w:val="32"/>
          <w:highlight w:val="none"/>
        </w:rPr>
      </w:pPr>
    </w:p>
    <w:p>
      <w:pPr>
        <w:pStyle w:val="2"/>
        <w:rPr>
          <w:rFonts w:ascii="仿宋" w:hAnsi="仿宋" w:eastAsia="仿宋"/>
          <w:color w:val="auto"/>
          <w:sz w:val="32"/>
          <w:szCs w:val="32"/>
          <w:highlight w:val="none"/>
        </w:rPr>
      </w:pPr>
      <w:r>
        <w:rPr>
          <w:rFonts w:hint="eastAsia" w:ascii="仿宋" w:hAnsi="仿宋" w:eastAsia="仿宋"/>
          <w:color w:val="auto"/>
          <w:sz w:val="32"/>
          <w:szCs w:val="32"/>
          <w:highlight w:val="none"/>
          <w:lang w:eastAsia="zh-CN"/>
        </w:rPr>
        <w:drawing>
          <wp:inline distT="0" distB="0" distL="114300" distR="114300">
            <wp:extent cx="5080000" cy="3810000"/>
            <wp:effectExtent l="4445" t="4445" r="20955" b="1460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（图6：一般公共预算财政拨款支出决算结构）（饼状图）</w:t>
      </w:r>
    </w:p>
    <w:p>
      <w:pPr>
        <w:spacing w:line="600" w:lineRule="exact"/>
        <w:ind w:firstLine="640" w:firstLineChars="200"/>
        <w:rPr>
          <w:rFonts w:ascii="仿宋" w:hAnsi="仿宋" w:eastAsia="仿宋"/>
          <w:color w:val="auto"/>
          <w:sz w:val="32"/>
          <w:szCs w:val="32"/>
          <w:highlight w:val="none"/>
        </w:rPr>
      </w:pPr>
    </w:p>
    <w:p>
      <w:pPr>
        <w:spacing w:line="600" w:lineRule="exact"/>
        <w:ind w:firstLine="643" w:firstLineChars="200"/>
        <w:outlineLvl w:val="2"/>
        <w:rPr>
          <w:rFonts w:ascii="仿宋" w:hAnsi="仿宋" w:eastAsia="仿宋"/>
          <w:b/>
          <w:color w:val="auto"/>
          <w:sz w:val="32"/>
          <w:szCs w:val="32"/>
          <w:highlight w:val="none"/>
        </w:rPr>
      </w:pPr>
      <w:bookmarkStart w:id="44" w:name="_Toc15377212"/>
      <w:r>
        <w:rPr>
          <w:rFonts w:hint="eastAsia" w:ascii="仿宋" w:hAnsi="仿宋" w:eastAsia="仿宋"/>
          <w:b/>
          <w:color w:val="auto"/>
          <w:sz w:val="32"/>
          <w:szCs w:val="32"/>
          <w:highlight w:val="none"/>
        </w:rPr>
        <w:t>（三）一般公共预算财政拨款支出决算具体情况</w:t>
      </w:r>
      <w:bookmarkEnd w:id="44"/>
    </w:p>
    <w:p>
      <w:pPr>
        <w:spacing w:line="600" w:lineRule="exact"/>
        <w:ind w:firstLine="643" w:firstLineChars="200"/>
        <w:outlineLvl w:val="2"/>
        <w:rPr>
          <w:rFonts w:ascii="仿宋" w:hAnsi="仿宋" w:eastAsia="仿宋"/>
          <w:color w:val="auto"/>
          <w:sz w:val="32"/>
          <w:szCs w:val="32"/>
          <w:highlight w:val="none"/>
        </w:rPr>
      </w:pPr>
      <w:bookmarkStart w:id="45" w:name="_Toc15378460"/>
      <w:bookmarkStart w:id="46" w:name="_Toc15377213"/>
      <w:bookmarkStart w:id="47" w:name="_Toc15377444"/>
      <w:r>
        <w:rPr>
          <w:rFonts w:hint="eastAsia" w:ascii="仿宋" w:hAnsi="仿宋" w:eastAsia="仿宋"/>
          <w:b/>
          <w:color w:val="auto"/>
          <w:sz w:val="32"/>
          <w:szCs w:val="32"/>
          <w:highlight w:val="none"/>
        </w:rPr>
        <w:t>20</w:t>
      </w:r>
      <w:r>
        <w:rPr>
          <w:rFonts w:hint="eastAsia" w:ascii="仿宋" w:hAnsi="仿宋" w:eastAsia="仿宋"/>
          <w:b/>
          <w:color w:val="auto"/>
          <w:sz w:val="32"/>
          <w:szCs w:val="32"/>
          <w:highlight w:val="none"/>
          <w:lang w:val="en-US" w:eastAsia="zh-CN"/>
        </w:rPr>
        <w:t>21</w:t>
      </w:r>
      <w:r>
        <w:rPr>
          <w:rFonts w:hint="eastAsia" w:ascii="仿宋" w:hAnsi="仿宋" w:eastAsia="仿宋"/>
          <w:b/>
          <w:color w:val="auto"/>
          <w:sz w:val="32"/>
          <w:szCs w:val="32"/>
          <w:highlight w:val="none"/>
        </w:rPr>
        <w:t>年</w:t>
      </w:r>
      <w:r>
        <w:rPr>
          <w:rFonts w:hint="eastAsia" w:ascii="仿宋" w:hAnsi="仿宋" w:eastAsia="仿宋"/>
          <w:b/>
          <w:color w:val="auto"/>
          <w:sz w:val="32"/>
          <w:szCs w:val="32"/>
          <w:highlight w:val="none"/>
          <w:lang w:eastAsia="zh-CN"/>
        </w:rPr>
        <w:t>一</w:t>
      </w:r>
      <w:r>
        <w:rPr>
          <w:rFonts w:hint="eastAsia" w:ascii="仿宋" w:hAnsi="仿宋" w:eastAsia="仿宋"/>
          <w:b/>
          <w:color w:val="auto"/>
          <w:sz w:val="32"/>
          <w:szCs w:val="32"/>
          <w:highlight w:val="none"/>
        </w:rPr>
        <w:t>般公共预算支出决算数为</w:t>
      </w:r>
      <w:r>
        <w:rPr>
          <w:rFonts w:hint="eastAsia" w:ascii="仿宋" w:hAnsi="仿宋" w:eastAsia="仿宋"/>
          <w:color w:val="auto"/>
          <w:sz w:val="32"/>
          <w:szCs w:val="32"/>
          <w:highlight w:val="none"/>
        </w:rPr>
        <w:t>1219.15，</w:t>
      </w:r>
      <w:r>
        <w:rPr>
          <w:rStyle w:val="14"/>
          <w:rFonts w:hint="eastAsia" w:ascii="仿宋" w:hAnsi="仿宋" w:eastAsia="仿宋"/>
          <w:bCs/>
          <w:color w:val="auto"/>
          <w:sz w:val="32"/>
          <w:szCs w:val="32"/>
          <w:highlight w:val="none"/>
        </w:rPr>
        <w:t>完成预算</w:t>
      </w:r>
      <w:r>
        <w:rPr>
          <w:rStyle w:val="14"/>
          <w:rFonts w:hint="eastAsia" w:ascii="仿宋" w:hAnsi="仿宋" w:eastAsia="仿宋"/>
          <w:bCs/>
          <w:color w:val="auto"/>
          <w:sz w:val="32"/>
          <w:szCs w:val="32"/>
          <w:highlight w:val="none"/>
          <w:lang w:val="en-US" w:eastAsia="zh-CN"/>
        </w:rPr>
        <w:t>96</w:t>
      </w:r>
      <w:r>
        <w:rPr>
          <w:rStyle w:val="14"/>
          <w:rFonts w:ascii="仿宋" w:hAnsi="仿宋" w:eastAsia="仿宋"/>
          <w:bCs/>
          <w:color w:val="auto"/>
          <w:sz w:val="32"/>
          <w:szCs w:val="32"/>
          <w:highlight w:val="none"/>
        </w:rPr>
        <w:t>%</w:t>
      </w:r>
      <w:r>
        <w:rPr>
          <w:rStyle w:val="14"/>
          <w:rFonts w:hint="eastAsia" w:ascii="仿宋" w:hAnsi="仿宋" w:eastAsia="仿宋"/>
          <w:bCs/>
          <w:color w:val="auto"/>
          <w:sz w:val="32"/>
          <w:szCs w:val="32"/>
          <w:highlight w:val="none"/>
        </w:rPr>
        <w:t>。其中：</w:t>
      </w:r>
      <w:bookmarkEnd w:id="45"/>
      <w:bookmarkEnd w:id="46"/>
      <w:bookmarkEnd w:id="47"/>
    </w:p>
    <w:p>
      <w:pPr>
        <w:numPr>
          <w:ilvl w:val="0"/>
          <w:numId w:val="2"/>
        </w:numPr>
        <w:spacing w:line="600" w:lineRule="exact"/>
        <w:ind w:left="-13" w:leftChars="0" w:firstLine="643" w:firstLineChars="0"/>
        <w:rPr>
          <w:rStyle w:val="14"/>
          <w:rFonts w:hint="eastAsia" w:ascii="仿宋" w:hAnsi="仿宋" w:eastAsia="仿宋"/>
          <w:b w:val="0"/>
          <w:bCs/>
          <w:color w:val="auto"/>
          <w:sz w:val="32"/>
          <w:szCs w:val="32"/>
          <w:highlight w:val="none"/>
          <w:lang w:eastAsia="zh-CN"/>
        </w:rPr>
      </w:pPr>
      <w:r>
        <w:rPr>
          <w:rStyle w:val="14"/>
          <w:rFonts w:hint="eastAsia" w:ascii="仿宋" w:hAnsi="仿宋" w:eastAsia="仿宋"/>
          <w:bCs/>
          <w:color w:val="auto"/>
          <w:sz w:val="32"/>
          <w:szCs w:val="32"/>
          <w:highlight w:val="none"/>
        </w:rPr>
        <w:t>一般公共服务（类）</w:t>
      </w:r>
      <w:r>
        <w:rPr>
          <w:rStyle w:val="14"/>
          <w:rFonts w:hint="eastAsia" w:ascii="仿宋" w:hAnsi="仿宋" w:eastAsia="仿宋"/>
          <w:bCs/>
          <w:color w:val="auto"/>
          <w:sz w:val="32"/>
          <w:szCs w:val="32"/>
          <w:highlight w:val="none"/>
          <w:lang w:eastAsia="zh-CN"/>
        </w:rPr>
        <w:t>宣传事务</w:t>
      </w:r>
      <w:r>
        <w:rPr>
          <w:rStyle w:val="14"/>
          <w:rFonts w:hint="eastAsia" w:ascii="仿宋" w:hAnsi="仿宋" w:eastAsia="仿宋"/>
          <w:bCs/>
          <w:color w:val="auto"/>
          <w:sz w:val="32"/>
          <w:szCs w:val="32"/>
          <w:highlight w:val="none"/>
        </w:rPr>
        <w:t>（款）</w:t>
      </w:r>
      <w:r>
        <w:rPr>
          <w:rStyle w:val="14"/>
          <w:rFonts w:hint="eastAsia" w:ascii="仿宋" w:hAnsi="仿宋" w:eastAsia="仿宋"/>
          <w:bCs/>
          <w:color w:val="auto"/>
          <w:sz w:val="32"/>
          <w:szCs w:val="32"/>
          <w:highlight w:val="none"/>
          <w:lang w:eastAsia="zh-CN"/>
        </w:rPr>
        <w:t>行政运行</w:t>
      </w:r>
      <w:r>
        <w:rPr>
          <w:rStyle w:val="14"/>
          <w:rFonts w:hint="eastAsia" w:ascii="仿宋" w:hAnsi="仿宋" w:eastAsia="仿宋"/>
          <w:bCs/>
          <w:color w:val="auto"/>
          <w:sz w:val="32"/>
          <w:szCs w:val="32"/>
          <w:highlight w:val="none"/>
        </w:rPr>
        <w:t>（项）</w:t>
      </w:r>
      <w:r>
        <w:rPr>
          <w:rStyle w:val="14"/>
          <w:rFonts w:ascii="仿宋" w:hAnsi="仿宋" w:eastAsia="仿宋"/>
          <w:bCs/>
          <w:color w:val="auto"/>
          <w:sz w:val="32"/>
          <w:szCs w:val="32"/>
          <w:highlight w:val="none"/>
        </w:rPr>
        <w:t>:</w:t>
      </w:r>
      <w:r>
        <w:rPr>
          <w:rStyle w:val="14"/>
          <w:rFonts w:ascii="仿宋" w:hAnsi="仿宋" w:eastAsia="仿宋"/>
          <w:b w:val="0"/>
          <w:bCs/>
          <w:color w:val="auto"/>
          <w:sz w:val="32"/>
          <w:szCs w:val="32"/>
          <w:highlight w:val="none"/>
        </w:rPr>
        <w:t xml:space="preserve"> </w:t>
      </w:r>
      <w:r>
        <w:rPr>
          <w:rStyle w:val="14"/>
          <w:rFonts w:hint="eastAsia" w:ascii="仿宋" w:hAnsi="仿宋" w:eastAsia="仿宋"/>
          <w:b w:val="0"/>
          <w:bCs/>
          <w:color w:val="auto"/>
          <w:sz w:val="32"/>
          <w:szCs w:val="32"/>
          <w:highlight w:val="none"/>
        </w:rPr>
        <w:t>支出决算为</w:t>
      </w:r>
      <w:r>
        <w:rPr>
          <w:rStyle w:val="14"/>
          <w:rFonts w:hint="eastAsia" w:ascii="仿宋" w:hAnsi="仿宋" w:eastAsia="仿宋"/>
          <w:b w:val="0"/>
          <w:bCs/>
          <w:color w:val="auto"/>
          <w:sz w:val="32"/>
          <w:szCs w:val="32"/>
          <w:highlight w:val="none"/>
          <w:lang w:val="en-US" w:eastAsia="zh-CN"/>
        </w:rPr>
        <w:t>132.88</w:t>
      </w:r>
      <w:r>
        <w:rPr>
          <w:rStyle w:val="14"/>
          <w:rFonts w:hint="eastAsia" w:ascii="仿宋" w:hAnsi="仿宋" w:eastAsia="仿宋"/>
          <w:b w:val="0"/>
          <w:bCs/>
          <w:color w:val="auto"/>
          <w:sz w:val="32"/>
          <w:szCs w:val="32"/>
          <w:highlight w:val="none"/>
        </w:rPr>
        <w:t>万元，完成预算</w:t>
      </w:r>
      <w:r>
        <w:rPr>
          <w:rStyle w:val="14"/>
          <w:rFonts w:hint="eastAsia" w:ascii="仿宋" w:hAnsi="仿宋" w:eastAsia="仿宋"/>
          <w:b w:val="0"/>
          <w:bCs/>
          <w:color w:val="auto"/>
          <w:sz w:val="32"/>
          <w:szCs w:val="32"/>
          <w:highlight w:val="none"/>
          <w:lang w:val="en-US" w:eastAsia="zh-CN"/>
        </w:rPr>
        <w:t>100</w:t>
      </w:r>
      <w:r>
        <w:rPr>
          <w:rStyle w:val="14"/>
          <w:rFonts w:ascii="仿宋" w:hAnsi="仿宋" w:eastAsia="仿宋"/>
          <w:b w:val="0"/>
          <w:bCs/>
          <w:color w:val="auto"/>
          <w:sz w:val="32"/>
          <w:szCs w:val="32"/>
          <w:highlight w:val="none"/>
        </w:rPr>
        <w:t>%</w:t>
      </w:r>
      <w:r>
        <w:rPr>
          <w:rStyle w:val="14"/>
          <w:rFonts w:hint="eastAsia" w:ascii="仿宋" w:hAnsi="仿宋" w:eastAsia="仿宋"/>
          <w:b w:val="0"/>
          <w:bCs/>
          <w:color w:val="auto"/>
          <w:sz w:val="32"/>
          <w:szCs w:val="32"/>
          <w:highlight w:val="none"/>
          <w:lang w:eastAsia="zh-CN"/>
        </w:rPr>
        <w:t>。</w:t>
      </w:r>
    </w:p>
    <w:p>
      <w:pPr>
        <w:numPr>
          <w:ilvl w:val="0"/>
          <w:numId w:val="2"/>
        </w:numPr>
        <w:spacing w:line="600" w:lineRule="exact"/>
        <w:ind w:left="-13" w:leftChars="0" w:firstLine="643" w:firstLineChars="0"/>
        <w:rPr>
          <w:rStyle w:val="14"/>
          <w:rFonts w:hint="eastAsia" w:ascii="仿宋" w:hAnsi="仿宋" w:eastAsia="仿宋"/>
          <w:b w:val="0"/>
          <w:bCs/>
          <w:color w:val="auto"/>
          <w:sz w:val="32"/>
          <w:szCs w:val="32"/>
          <w:highlight w:val="none"/>
          <w:lang w:eastAsia="zh-CN"/>
        </w:rPr>
      </w:pPr>
      <w:r>
        <w:rPr>
          <w:rStyle w:val="14"/>
          <w:rFonts w:hint="eastAsia" w:ascii="仿宋" w:hAnsi="仿宋" w:eastAsia="仿宋"/>
          <w:bCs/>
          <w:color w:val="auto"/>
          <w:sz w:val="32"/>
          <w:szCs w:val="32"/>
          <w:highlight w:val="none"/>
        </w:rPr>
        <w:t>一般公共服务（类）</w:t>
      </w:r>
      <w:r>
        <w:rPr>
          <w:rStyle w:val="14"/>
          <w:rFonts w:hint="eastAsia" w:ascii="仿宋" w:hAnsi="仿宋" w:eastAsia="仿宋"/>
          <w:bCs/>
          <w:color w:val="auto"/>
          <w:sz w:val="32"/>
          <w:szCs w:val="32"/>
          <w:highlight w:val="none"/>
          <w:lang w:eastAsia="zh-CN"/>
        </w:rPr>
        <w:t>宣传事务</w:t>
      </w:r>
      <w:r>
        <w:rPr>
          <w:rStyle w:val="14"/>
          <w:rFonts w:hint="eastAsia" w:ascii="仿宋" w:hAnsi="仿宋" w:eastAsia="仿宋"/>
          <w:bCs/>
          <w:color w:val="auto"/>
          <w:sz w:val="32"/>
          <w:szCs w:val="32"/>
          <w:highlight w:val="none"/>
        </w:rPr>
        <w:t>（款）</w:t>
      </w:r>
      <w:r>
        <w:rPr>
          <w:rStyle w:val="14"/>
          <w:rFonts w:hint="eastAsia" w:ascii="仿宋" w:hAnsi="仿宋" w:eastAsia="仿宋"/>
          <w:bCs/>
          <w:color w:val="auto"/>
          <w:sz w:val="32"/>
          <w:szCs w:val="32"/>
          <w:highlight w:val="none"/>
          <w:lang w:eastAsia="zh-CN"/>
        </w:rPr>
        <w:t>一般行政管理事务</w:t>
      </w:r>
      <w:r>
        <w:rPr>
          <w:rStyle w:val="14"/>
          <w:rFonts w:hint="eastAsia" w:ascii="仿宋" w:hAnsi="仿宋" w:eastAsia="仿宋"/>
          <w:bCs/>
          <w:color w:val="auto"/>
          <w:sz w:val="32"/>
          <w:szCs w:val="32"/>
          <w:highlight w:val="none"/>
        </w:rPr>
        <w:t>（项）</w:t>
      </w:r>
      <w:r>
        <w:rPr>
          <w:rStyle w:val="14"/>
          <w:rFonts w:ascii="仿宋" w:hAnsi="仿宋" w:eastAsia="仿宋"/>
          <w:bCs/>
          <w:color w:val="auto"/>
          <w:sz w:val="32"/>
          <w:szCs w:val="32"/>
          <w:highlight w:val="none"/>
        </w:rPr>
        <w:t>:</w:t>
      </w:r>
      <w:r>
        <w:rPr>
          <w:rStyle w:val="14"/>
          <w:rFonts w:ascii="仿宋" w:hAnsi="仿宋" w:eastAsia="仿宋"/>
          <w:b w:val="0"/>
          <w:bCs/>
          <w:color w:val="auto"/>
          <w:sz w:val="32"/>
          <w:szCs w:val="32"/>
          <w:highlight w:val="none"/>
        </w:rPr>
        <w:t xml:space="preserve"> </w:t>
      </w:r>
      <w:r>
        <w:rPr>
          <w:rStyle w:val="14"/>
          <w:rFonts w:hint="eastAsia" w:ascii="仿宋" w:hAnsi="仿宋" w:eastAsia="仿宋"/>
          <w:b w:val="0"/>
          <w:bCs/>
          <w:color w:val="auto"/>
          <w:sz w:val="32"/>
          <w:szCs w:val="32"/>
          <w:highlight w:val="none"/>
        </w:rPr>
        <w:t>支出决算为</w:t>
      </w:r>
      <w:r>
        <w:rPr>
          <w:rStyle w:val="14"/>
          <w:rFonts w:hint="eastAsia" w:ascii="仿宋" w:hAnsi="仿宋" w:eastAsia="仿宋"/>
          <w:b w:val="0"/>
          <w:bCs/>
          <w:color w:val="auto"/>
          <w:sz w:val="32"/>
          <w:szCs w:val="32"/>
          <w:highlight w:val="none"/>
          <w:lang w:val="en-US" w:eastAsia="zh-CN"/>
        </w:rPr>
        <w:t>727.00</w:t>
      </w:r>
      <w:r>
        <w:rPr>
          <w:rStyle w:val="14"/>
          <w:rFonts w:hint="eastAsia" w:ascii="仿宋" w:hAnsi="仿宋" w:eastAsia="仿宋"/>
          <w:b w:val="0"/>
          <w:bCs/>
          <w:color w:val="auto"/>
          <w:sz w:val="32"/>
          <w:szCs w:val="32"/>
          <w:highlight w:val="none"/>
        </w:rPr>
        <w:t>万元，完成预算</w:t>
      </w:r>
      <w:r>
        <w:rPr>
          <w:rStyle w:val="14"/>
          <w:rFonts w:hint="eastAsia" w:ascii="仿宋" w:hAnsi="仿宋" w:eastAsia="仿宋"/>
          <w:b w:val="0"/>
          <w:bCs/>
          <w:color w:val="auto"/>
          <w:sz w:val="32"/>
          <w:szCs w:val="32"/>
          <w:highlight w:val="none"/>
          <w:lang w:val="en-US" w:eastAsia="zh-CN"/>
        </w:rPr>
        <w:t>100</w:t>
      </w:r>
      <w:r>
        <w:rPr>
          <w:rStyle w:val="14"/>
          <w:rFonts w:ascii="仿宋" w:hAnsi="仿宋" w:eastAsia="仿宋"/>
          <w:b w:val="0"/>
          <w:bCs/>
          <w:color w:val="auto"/>
          <w:sz w:val="32"/>
          <w:szCs w:val="32"/>
          <w:highlight w:val="none"/>
        </w:rPr>
        <w:t>%</w:t>
      </w:r>
      <w:r>
        <w:rPr>
          <w:rStyle w:val="14"/>
          <w:rFonts w:hint="eastAsia" w:ascii="仿宋" w:hAnsi="仿宋" w:eastAsia="仿宋"/>
          <w:b w:val="0"/>
          <w:bCs/>
          <w:color w:val="auto"/>
          <w:sz w:val="32"/>
          <w:szCs w:val="32"/>
          <w:highlight w:val="none"/>
          <w:lang w:eastAsia="zh-CN"/>
        </w:rPr>
        <w:t>。</w:t>
      </w:r>
    </w:p>
    <w:p>
      <w:pPr>
        <w:numPr>
          <w:ilvl w:val="0"/>
          <w:numId w:val="2"/>
        </w:numPr>
        <w:spacing w:line="600" w:lineRule="exact"/>
        <w:ind w:left="-13" w:leftChars="0" w:firstLine="643" w:firstLineChars="0"/>
        <w:rPr>
          <w:rStyle w:val="14"/>
          <w:rFonts w:hint="eastAsia" w:ascii="仿宋" w:hAnsi="仿宋" w:eastAsia="仿宋"/>
          <w:b w:val="0"/>
          <w:bCs/>
          <w:color w:val="auto"/>
          <w:sz w:val="32"/>
          <w:szCs w:val="32"/>
          <w:highlight w:val="none"/>
          <w:lang w:eastAsia="zh-CN"/>
        </w:rPr>
      </w:pPr>
      <w:r>
        <w:rPr>
          <w:rStyle w:val="14"/>
          <w:rFonts w:hint="eastAsia" w:ascii="仿宋" w:hAnsi="仿宋" w:eastAsia="仿宋"/>
          <w:bCs/>
          <w:color w:val="auto"/>
          <w:sz w:val="32"/>
          <w:szCs w:val="32"/>
          <w:highlight w:val="none"/>
        </w:rPr>
        <w:t>一般公共服务（类）</w:t>
      </w:r>
      <w:r>
        <w:rPr>
          <w:rStyle w:val="14"/>
          <w:rFonts w:hint="eastAsia" w:ascii="仿宋" w:hAnsi="仿宋" w:eastAsia="仿宋"/>
          <w:bCs/>
          <w:color w:val="auto"/>
          <w:sz w:val="32"/>
          <w:szCs w:val="32"/>
          <w:highlight w:val="none"/>
          <w:lang w:eastAsia="zh-CN"/>
        </w:rPr>
        <w:t>宣传事务</w:t>
      </w:r>
      <w:r>
        <w:rPr>
          <w:rStyle w:val="14"/>
          <w:rFonts w:hint="eastAsia" w:ascii="仿宋" w:hAnsi="仿宋" w:eastAsia="仿宋"/>
          <w:bCs/>
          <w:color w:val="auto"/>
          <w:sz w:val="32"/>
          <w:szCs w:val="32"/>
          <w:highlight w:val="none"/>
        </w:rPr>
        <w:t>（款）</w:t>
      </w:r>
      <w:r>
        <w:rPr>
          <w:rStyle w:val="14"/>
          <w:rFonts w:hint="eastAsia" w:ascii="仿宋" w:hAnsi="仿宋" w:eastAsia="仿宋"/>
          <w:bCs/>
          <w:color w:val="auto"/>
          <w:sz w:val="32"/>
          <w:szCs w:val="32"/>
          <w:highlight w:val="none"/>
          <w:lang w:eastAsia="zh-CN"/>
        </w:rPr>
        <w:t>事业运行</w:t>
      </w:r>
      <w:r>
        <w:rPr>
          <w:rStyle w:val="14"/>
          <w:rFonts w:hint="eastAsia" w:ascii="仿宋" w:hAnsi="仿宋" w:eastAsia="仿宋"/>
          <w:bCs/>
          <w:color w:val="auto"/>
          <w:sz w:val="32"/>
          <w:szCs w:val="32"/>
          <w:highlight w:val="none"/>
        </w:rPr>
        <w:t>（项）</w:t>
      </w:r>
      <w:r>
        <w:rPr>
          <w:rStyle w:val="14"/>
          <w:rFonts w:ascii="仿宋" w:hAnsi="仿宋" w:eastAsia="仿宋"/>
          <w:bCs/>
          <w:color w:val="auto"/>
          <w:sz w:val="32"/>
          <w:szCs w:val="32"/>
          <w:highlight w:val="none"/>
        </w:rPr>
        <w:t>:</w:t>
      </w:r>
      <w:r>
        <w:rPr>
          <w:rStyle w:val="14"/>
          <w:rFonts w:ascii="仿宋" w:hAnsi="仿宋" w:eastAsia="仿宋"/>
          <w:b w:val="0"/>
          <w:bCs/>
          <w:color w:val="auto"/>
          <w:sz w:val="32"/>
          <w:szCs w:val="32"/>
          <w:highlight w:val="none"/>
        </w:rPr>
        <w:t xml:space="preserve"> </w:t>
      </w:r>
      <w:r>
        <w:rPr>
          <w:rStyle w:val="14"/>
          <w:rFonts w:hint="eastAsia" w:ascii="仿宋" w:hAnsi="仿宋" w:eastAsia="仿宋"/>
          <w:b w:val="0"/>
          <w:bCs/>
          <w:color w:val="auto"/>
          <w:sz w:val="32"/>
          <w:szCs w:val="32"/>
          <w:highlight w:val="none"/>
        </w:rPr>
        <w:t>支出决算为</w:t>
      </w:r>
      <w:r>
        <w:rPr>
          <w:rStyle w:val="14"/>
          <w:rFonts w:hint="eastAsia" w:ascii="仿宋" w:hAnsi="仿宋" w:eastAsia="仿宋"/>
          <w:b w:val="0"/>
          <w:bCs/>
          <w:color w:val="auto"/>
          <w:sz w:val="32"/>
          <w:szCs w:val="32"/>
          <w:highlight w:val="none"/>
          <w:lang w:val="en-US" w:eastAsia="zh-CN"/>
        </w:rPr>
        <w:t>151.49</w:t>
      </w:r>
      <w:r>
        <w:rPr>
          <w:rStyle w:val="14"/>
          <w:rFonts w:hint="eastAsia" w:ascii="仿宋" w:hAnsi="仿宋" w:eastAsia="仿宋"/>
          <w:b w:val="0"/>
          <w:bCs/>
          <w:color w:val="auto"/>
          <w:sz w:val="32"/>
          <w:szCs w:val="32"/>
          <w:highlight w:val="none"/>
        </w:rPr>
        <w:t>万元，完成预算</w:t>
      </w:r>
      <w:r>
        <w:rPr>
          <w:rStyle w:val="14"/>
          <w:rFonts w:hint="eastAsia" w:ascii="仿宋" w:hAnsi="仿宋" w:eastAsia="仿宋"/>
          <w:b w:val="0"/>
          <w:bCs/>
          <w:color w:val="auto"/>
          <w:sz w:val="32"/>
          <w:szCs w:val="32"/>
          <w:highlight w:val="none"/>
          <w:lang w:val="en-US" w:eastAsia="zh-CN"/>
        </w:rPr>
        <w:t>100</w:t>
      </w:r>
      <w:r>
        <w:rPr>
          <w:rStyle w:val="14"/>
          <w:rFonts w:ascii="仿宋" w:hAnsi="仿宋" w:eastAsia="仿宋"/>
          <w:b w:val="0"/>
          <w:bCs/>
          <w:color w:val="auto"/>
          <w:sz w:val="32"/>
          <w:szCs w:val="32"/>
          <w:highlight w:val="none"/>
        </w:rPr>
        <w:t>%</w:t>
      </w:r>
      <w:r>
        <w:rPr>
          <w:rStyle w:val="14"/>
          <w:rFonts w:hint="eastAsia" w:ascii="仿宋" w:hAnsi="仿宋" w:eastAsia="仿宋"/>
          <w:b w:val="0"/>
          <w:bCs/>
          <w:color w:val="auto"/>
          <w:sz w:val="32"/>
          <w:szCs w:val="32"/>
          <w:highlight w:val="none"/>
          <w:lang w:eastAsia="zh-CN"/>
        </w:rPr>
        <w:t>。</w:t>
      </w:r>
    </w:p>
    <w:p>
      <w:pPr>
        <w:numPr>
          <w:ilvl w:val="0"/>
          <w:numId w:val="2"/>
        </w:numPr>
        <w:spacing w:line="600" w:lineRule="exact"/>
        <w:ind w:left="-13" w:leftChars="0" w:firstLine="643" w:firstLineChars="0"/>
        <w:rPr>
          <w:rStyle w:val="14"/>
          <w:rFonts w:hint="eastAsia" w:ascii="仿宋" w:hAnsi="仿宋" w:eastAsia="仿宋"/>
          <w:b w:val="0"/>
          <w:bCs/>
          <w:color w:val="auto"/>
          <w:sz w:val="32"/>
          <w:szCs w:val="32"/>
          <w:highlight w:val="none"/>
          <w:lang w:eastAsia="zh-CN"/>
        </w:rPr>
      </w:pPr>
      <w:r>
        <w:rPr>
          <w:rStyle w:val="14"/>
          <w:rFonts w:hint="eastAsia" w:ascii="仿宋" w:hAnsi="仿宋" w:eastAsia="仿宋"/>
          <w:bCs/>
          <w:color w:val="auto"/>
          <w:sz w:val="32"/>
          <w:szCs w:val="32"/>
          <w:highlight w:val="none"/>
        </w:rPr>
        <w:t>一般公共服务（类）</w:t>
      </w:r>
      <w:r>
        <w:rPr>
          <w:rStyle w:val="14"/>
          <w:rFonts w:hint="eastAsia" w:ascii="仿宋" w:hAnsi="仿宋" w:eastAsia="仿宋"/>
          <w:bCs/>
          <w:color w:val="auto"/>
          <w:sz w:val="32"/>
          <w:szCs w:val="32"/>
          <w:highlight w:val="none"/>
          <w:lang w:eastAsia="zh-CN"/>
        </w:rPr>
        <w:t>宣传事务</w:t>
      </w:r>
      <w:r>
        <w:rPr>
          <w:rStyle w:val="14"/>
          <w:rFonts w:hint="eastAsia" w:ascii="仿宋" w:hAnsi="仿宋" w:eastAsia="仿宋"/>
          <w:bCs/>
          <w:color w:val="auto"/>
          <w:sz w:val="32"/>
          <w:szCs w:val="32"/>
          <w:highlight w:val="none"/>
        </w:rPr>
        <w:t>（款）</w:t>
      </w:r>
      <w:r>
        <w:rPr>
          <w:rStyle w:val="14"/>
          <w:rFonts w:hint="eastAsia" w:ascii="仿宋" w:hAnsi="仿宋" w:eastAsia="仿宋"/>
          <w:bCs/>
          <w:color w:val="auto"/>
          <w:sz w:val="32"/>
          <w:szCs w:val="32"/>
          <w:highlight w:val="none"/>
          <w:lang w:eastAsia="zh-CN"/>
        </w:rPr>
        <w:t>其他宣传事务支出</w:t>
      </w:r>
      <w:r>
        <w:rPr>
          <w:rStyle w:val="14"/>
          <w:rFonts w:hint="eastAsia" w:ascii="仿宋" w:hAnsi="仿宋" w:eastAsia="仿宋"/>
          <w:bCs/>
          <w:color w:val="auto"/>
          <w:sz w:val="32"/>
          <w:szCs w:val="32"/>
          <w:highlight w:val="none"/>
        </w:rPr>
        <w:t>（项）</w:t>
      </w:r>
      <w:r>
        <w:rPr>
          <w:rStyle w:val="14"/>
          <w:rFonts w:ascii="仿宋" w:hAnsi="仿宋" w:eastAsia="仿宋"/>
          <w:bCs/>
          <w:color w:val="auto"/>
          <w:sz w:val="32"/>
          <w:szCs w:val="32"/>
          <w:highlight w:val="none"/>
        </w:rPr>
        <w:t>:</w:t>
      </w:r>
      <w:r>
        <w:rPr>
          <w:rStyle w:val="14"/>
          <w:rFonts w:ascii="仿宋" w:hAnsi="仿宋" w:eastAsia="仿宋"/>
          <w:b w:val="0"/>
          <w:bCs/>
          <w:color w:val="auto"/>
          <w:sz w:val="32"/>
          <w:szCs w:val="32"/>
          <w:highlight w:val="none"/>
        </w:rPr>
        <w:t xml:space="preserve"> </w:t>
      </w:r>
      <w:r>
        <w:rPr>
          <w:rStyle w:val="14"/>
          <w:rFonts w:hint="eastAsia" w:ascii="仿宋" w:hAnsi="仿宋" w:eastAsia="仿宋"/>
          <w:b w:val="0"/>
          <w:bCs/>
          <w:color w:val="auto"/>
          <w:sz w:val="32"/>
          <w:szCs w:val="32"/>
          <w:highlight w:val="none"/>
        </w:rPr>
        <w:t>支出决算为</w:t>
      </w:r>
      <w:r>
        <w:rPr>
          <w:rStyle w:val="14"/>
          <w:rFonts w:hint="eastAsia" w:ascii="仿宋" w:hAnsi="仿宋" w:eastAsia="仿宋"/>
          <w:b w:val="0"/>
          <w:bCs/>
          <w:color w:val="auto"/>
          <w:sz w:val="32"/>
          <w:szCs w:val="32"/>
          <w:highlight w:val="none"/>
          <w:lang w:val="en-US" w:eastAsia="zh-CN"/>
        </w:rPr>
        <w:t>85.44</w:t>
      </w:r>
      <w:r>
        <w:rPr>
          <w:rStyle w:val="14"/>
          <w:rFonts w:hint="eastAsia" w:ascii="仿宋" w:hAnsi="仿宋" w:eastAsia="仿宋"/>
          <w:b w:val="0"/>
          <w:bCs/>
          <w:color w:val="auto"/>
          <w:sz w:val="32"/>
          <w:szCs w:val="32"/>
          <w:highlight w:val="none"/>
        </w:rPr>
        <w:t>万元，完成预算</w:t>
      </w:r>
      <w:r>
        <w:rPr>
          <w:rStyle w:val="14"/>
          <w:rFonts w:hint="eastAsia" w:ascii="仿宋" w:hAnsi="仿宋" w:eastAsia="仿宋"/>
          <w:b w:val="0"/>
          <w:bCs/>
          <w:color w:val="auto"/>
          <w:sz w:val="32"/>
          <w:szCs w:val="32"/>
          <w:highlight w:val="none"/>
          <w:lang w:val="en-US" w:eastAsia="zh-CN"/>
        </w:rPr>
        <w:t>100</w:t>
      </w:r>
      <w:r>
        <w:rPr>
          <w:rStyle w:val="14"/>
          <w:rFonts w:ascii="仿宋" w:hAnsi="仿宋" w:eastAsia="仿宋"/>
          <w:b w:val="0"/>
          <w:bCs/>
          <w:color w:val="auto"/>
          <w:sz w:val="32"/>
          <w:szCs w:val="32"/>
          <w:highlight w:val="none"/>
        </w:rPr>
        <w:t>%</w:t>
      </w:r>
      <w:r>
        <w:rPr>
          <w:rStyle w:val="14"/>
          <w:rFonts w:hint="eastAsia" w:ascii="仿宋" w:hAnsi="仿宋" w:eastAsia="仿宋"/>
          <w:b w:val="0"/>
          <w:bCs/>
          <w:color w:val="auto"/>
          <w:sz w:val="32"/>
          <w:szCs w:val="32"/>
          <w:highlight w:val="none"/>
          <w:lang w:eastAsia="zh-CN"/>
        </w:rPr>
        <w:t>。</w:t>
      </w:r>
    </w:p>
    <w:p>
      <w:pPr>
        <w:spacing w:line="600" w:lineRule="exact"/>
        <w:ind w:firstLine="643" w:firstLineChars="200"/>
        <w:rPr>
          <w:rFonts w:ascii="仿宋" w:hAnsi="仿宋" w:eastAsia="仿宋"/>
          <w:b/>
          <w:color w:val="auto"/>
          <w:sz w:val="32"/>
          <w:szCs w:val="32"/>
          <w:highlight w:val="none"/>
        </w:rPr>
      </w:pPr>
      <w:r>
        <w:rPr>
          <w:rStyle w:val="14"/>
          <w:rFonts w:hint="eastAsia" w:ascii="仿宋" w:hAnsi="仿宋" w:eastAsia="仿宋"/>
          <w:bCs/>
          <w:color w:val="auto"/>
          <w:sz w:val="32"/>
          <w:szCs w:val="32"/>
          <w:highlight w:val="none"/>
          <w:lang w:val="en-US" w:eastAsia="zh-CN"/>
        </w:rPr>
        <w:t>5</w:t>
      </w:r>
      <w:r>
        <w:rPr>
          <w:rStyle w:val="14"/>
          <w:rFonts w:ascii="仿宋" w:hAnsi="仿宋" w:eastAsia="仿宋"/>
          <w:bCs/>
          <w:color w:val="auto"/>
          <w:sz w:val="32"/>
          <w:szCs w:val="32"/>
          <w:highlight w:val="none"/>
        </w:rPr>
        <w:t>.</w:t>
      </w:r>
      <w:r>
        <w:rPr>
          <w:rStyle w:val="14"/>
          <w:rFonts w:hint="eastAsia" w:ascii="仿宋" w:hAnsi="仿宋" w:eastAsia="仿宋"/>
          <w:bCs/>
          <w:color w:val="auto"/>
          <w:sz w:val="32"/>
          <w:szCs w:val="32"/>
          <w:highlight w:val="none"/>
        </w:rPr>
        <w:t>文化旅游体育与传媒（类）</w:t>
      </w:r>
      <w:r>
        <w:rPr>
          <w:rStyle w:val="14"/>
          <w:rFonts w:hint="eastAsia" w:ascii="仿宋" w:hAnsi="仿宋" w:eastAsia="仿宋"/>
          <w:bCs/>
          <w:color w:val="auto"/>
          <w:sz w:val="32"/>
          <w:szCs w:val="32"/>
          <w:highlight w:val="none"/>
          <w:lang w:eastAsia="zh-CN"/>
        </w:rPr>
        <w:t>文化和旅游</w:t>
      </w:r>
      <w:r>
        <w:rPr>
          <w:rStyle w:val="14"/>
          <w:rFonts w:hint="eastAsia" w:ascii="仿宋" w:hAnsi="仿宋" w:eastAsia="仿宋"/>
          <w:bCs/>
          <w:color w:val="auto"/>
          <w:sz w:val="32"/>
          <w:szCs w:val="32"/>
          <w:highlight w:val="none"/>
        </w:rPr>
        <w:t>（款）</w:t>
      </w:r>
      <w:r>
        <w:rPr>
          <w:rStyle w:val="14"/>
          <w:rFonts w:hint="eastAsia" w:ascii="仿宋" w:hAnsi="仿宋" w:eastAsia="仿宋"/>
          <w:bCs/>
          <w:color w:val="auto"/>
          <w:sz w:val="32"/>
          <w:szCs w:val="32"/>
          <w:highlight w:val="none"/>
          <w:lang w:eastAsia="zh-CN"/>
        </w:rPr>
        <w:t>其他文化和旅游支出</w:t>
      </w:r>
      <w:r>
        <w:rPr>
          <w:rStyle w:val="14"/>
          <w:rFonts w:hint="eastAsia" w:ascii="仿宋" w:hAnsi="仿宋" w:eastAsia="仿宋"/>
          <w:bCs/>
          <w:color w:val="auto"/>
          <w:sz w:val="32"/>
          <w:szCs w:val="32"/>
          <w:highlight w:val="none"/>
        </w:rPr>
        <w:t>（项）</w:t>
      </w:r>
      <w:r>
        <w:rPr>
          <w:rStyle w:val="14"/>
          <w:rFonts w:ascii="仿宋" w:hAnsi="仿宋" w:eastAsia="仿宋"/>
          <w:bCs/>
          <w:color w:val="auto"/>
          <w:sz w:val="32"/>
          <w:szCs w:val="32"/>
          <w:highlight w:val="none"/>
        </w:rPr>
        <w:t>:</w:t>
      </w:r>
      <w:r>
        <w:rPr>
          <w:rStyle w:val="14"/>
          <w:rFonts w:ascii="仿宋" w:hAnsi="仿宋" w:eastAsia="仿宋"/>
          <w:b w:val="0"/>
          <w:bCs/>
          <w:color w:val="auto"/>
          <w:sz w:val="32"/>
          <w:szCs w:val="32"/>
          <w:highlight w:val="none"/>
        </w:rPr>
        <w:t xml:space="preserve"> </w:t>
      </w:r>
      <w:r>
        <w:rPr>
          <w:rStyle w:val="14"/>
          <w:rFonts w:hint="eastAsia" w:ascii="仿宋" w:hAnsi="仿宋" w:eastAsia="仿宋"/>
          <w:b w:val="0"/>
          <w:bCs/>
          <w:color w:val="auto"/>
          <w:sz w:val="32"/>
          <w:szCs w:val="32"/>
          <w:highlight w:val="none"/>
        </w:rPr>
        <w:t>支出决算为</w:t>
      </w:r>
      <w:r>
        <w:rPr>
          <w:rStyle w:val="14"/>
          <w:rFonts w:hint="eastAsia" w:ascii="仿宋" w:hAnsi="仿宋" w:eastAsia="仿宋"/>
          <w:b w:val="0"/>
          <w:bCs/>
          <w:color w:val="auto"/>
          <w:sz w:val="32"/>
          <w:szCs w:val="32"/>
          <w:highlight w:val="none"/>
          <w:lang w:val="en-US" w:eastAsia="zh-CN"/>
        </w:rPr>
        <w:t>0</w:t>
      </w:r>
      <w:r>
        <w:rPr>
          <w:rStyle w:val="14"/>
          <w:rFonts w:hint="eastAsia" w:ascii="仿宋" w:hAnsi="仿宋" w:eastAsia="仿宋"/>
          <w:b w:val="0"/>
          <w:bCs/>
          <w:color w:val="auto"/>
          <w:sz w:val="32"/>
          <w:szCs w:val="32"/>
          <w:highlight w:val="none"/>
        </w:rPr>
        <w:t>万元，完成预算</w:t>
      </w:r>
      <w:r>
        <w:rPr>
          <w:rStyle w:val="14"/>
          <w:rFonts w:hint="eastAsia" w:ascii="仿宋" w:hAnsi="仿宋" w:eastAsia="仿宋"/>
          <w:b w:val="0"/>
          <w:bCs/>
          <w:color w:val="auto"/>
          <w:sz w:val="32"/>
          <w:szCs w:val="32"/>
          <w:highlight w:val="none"/>
          <w:lang w:val="en-US" w:eastAsia="zh-CN"/>
        </w:rPr>
        <w:t>0</w:t>
      </w:r>
      <w:r>
        <w:rPr>
          <w:rStyle w:val="14"/>
          <w:rFonts w:ascii="仿宋" w:hAnsi="仿宋" w:eastAsia="仿宋"/>
          <w:b w:val="0"/>
          <w:bCs/>
          <w:color w:val="auto"/>
          <w:sz w:val="32"/>
          <w:szCs w:val="32"/>
          <w:highlight w:val="none"/>
        </w:rPr>
        <w:t>%</w:t>
      </w:r>
      <w:r>
        <w:rPr>
          <w:rStyle w:val="14"/>
          <w:rFonts w:hint="eastAsia" w:ascii="仿宋" w:hAnsi="仿宋" w:eastAsia="仿宋"/>
          <w:b w:val="0"/>
          <w:bCs/>
          <w:color w:val="auto"/>
          <w:sz w:val="32"/>
          <w:szCs w:val="32"/>
          <w:highlight w:val="none"/>
        </w:rPr>
        <w:t>，决算数小于预算数的主要原因是</w:t>
      </w:r>
      <w:r>
        <w:rPr>
          <w:rStyle w:val="14"/>
          <w:rFonts w:hint="eastAsia" w:ascii="仿宋" w:hAnsi="仿宋" w:eastAsia="仿宋"/>
          <w:b w:val="0"/>
          <w:bCs/>
          <w:color w:val="auto"/>
          <w:sz w:val="32"/>
          <w:szCs w:val="32"/>
          <w:highlight w:val="none"/>
          <w:lang w:eastAsia="zh-CN"/>
        </w:rPr>
        <w:t>新时达文明实践中心建设项目经费结转下年使用</w:t>
      </w:r>
      <w:r>
        <w:rPr>
          <w:rStyle w:val="14"/>
          <w:rFonts w:hint="eastAsia" w:ascii="仿宋" w:hAnsi="仿宋" w:eastAsia="仿宋"/>
          <w:b w:val="0"/>
          <w:bCs/>
          <w:color w:val="auto"/>
          <w:sz w:val="32"/>
          <w:szCs w:val="32"/>
          <w:highlight w:val="none"/>
        </w:rPr>
        <w:t>。</w:t>
      </w:r>
    </w:p>
    <w:p>
      <w:pPr>
        <w:spacing w:line="600" w:lineRule="exact"/>
        <w:ind w:firstLine="643" w:firstLineChars="200"/>
        <w:rPr>
          <w:rFonts w:hint="eastAsia" w:ascii="仿宋" w:hAnsi="仿宋" w:eastAsia="仿宋"/>
          <w:b/>
          <w:color w:val="auto"/>
          <w:sz w:val="32"/>
          <w:szCs w:val="32"/>
          <w:highlight w:val="none"/>
          <w:lang w:val="en-US" w:eastAsia="zh-CN"/>
        </w:rPr>
      </w:pPr>
      <w:r>
        <w:rPr>
          <w:rStyle w:val="14"/>
          <w:rFonts w:hint="eastAsia" w:ascii="仿宋" w:hAnsi="仿宋" w:eastAsia="仿宋"/>
          <w:bCs/>
          <w:color w:val="auto"/>
          <w:sz w:val="32"/>
          <w:szCs w:val="32"/>
          <w:highlight w:val="none"/>
          <w:lang w:val="en-US" w:eastAsia="zh-CN"/>
        </w:rPr>
        <w:t>6</w:t>
      </w:r>
      <w:r>
        <w:rPr>
          <w:rStyle w:val="14"/>
          <w:rFonts w:ascii="仿宋" w:hAnsi="仿宋" w:eastAsia="仿宋"/>
          <w:bCs/>
          <w:color w:val="auto"/>
          <w:sz w:val="32"/>
          <w:szCs w:val="32"/>
          <w:highlight w:val="none"/>
        </w:rPr>
        <w:t>.</w:t>
      </w:r>
      <w:r>
        <w:rPr>
          <w:rStyle w:val="14"/>
          <w:rFonts w:hint="eastAsia" w:ascii="仿宋" w:hAnsi="仿宋" w:eastAsia="仿宋"/>
          <w:bCs/>
          <w:color w:val="auto"/>
          <w:sz w:val="32"/>
          <w:szCs w:val="32"/>
          <w:highlight w:val="none"/>
        </w:rPr>
        <w:t>文化旅游体育与传媒（类）</w:t>
      </w:r>
      <w:r>
        <w:rPr>
          <w:rStyle w:val="14"/>
          <w:rFonts w:hint="eastAsia" w:ascii="仿宋" w:hAnsi="仿宋" w:eastAsia="仿宋"/>
          <w:bCs/>
          <w:color w:val="auto"/>
          <w:sz w:val="32"/>
          <w:szCs w:val="32"/>
          <w:highlight w:val="none"/>
          <w:lang w:eastAsia="zh-CN"/>
        </w:rPr>
        <w:t>新闻出版电影</w:t>
      </w:r>
      <w:r>
        <w:rPr>
          <w:rStyle w:val="14"/>
          <w:rFonts w:hint="eastAsia" w:ascii="仿宋" w:hAnsi="仿宋" w:eastAsia="仿宋"/>
          <w:bCs/>
          <w:color w:val="auto"/>
          <w:sz w:val="32"/>
          <w:szCs w:val="32"/>
          <w:highlight w:val="none"/>
        </w:rPr>
        <w:t>（款）</w:t>
      </w:r>
      <w:r>
        <w:rPr>
          <w:rStyle w:val="14"/>
          <w:rFonts w:hint="eastAsia" w:ascii="仿宋" w:hAnsi="仿宋" w:eastAsia="仿宋"/>
          <w:bCs/>
          <w:color w:val="auto"/>
          <w:sz w:val="32"/>
          <w:szCs w:val="32"/>
          <w:highlight w:val="none"/>
          <w:lang w:eastAsia="zh-CN"/>
        </w:rPr>
        <w:t>电影</w:t>
      </w:r>
      <w:r>
        <w:rPr>
          <w:rStyle w:val="14"/>
          <w:rFonts w:hint="eastAsia" w:ascii="仿宋" w:hAnsi="仿宋" w:eastAsia="仿宋"/>
          <w:bCs/>
          <w:color w:val="auto"/>
          <w:sz w:val="32"/>
          <w:szCs w:val="32"/>
          <w:highlight w:val="none"/>
        </w:rPr>
        <w:t>（项）</w:t>
      </w:r>
      <w:r>
        <w:rPr>
          <w:rStyle w:val="14"/>
          <w:rFonts w:ascii="仿宋" w:hAnsi="仿宋" w:eastAsia="仿宋"/>
          <w:bCs/>
          <w:color w:val="auto"/>
          <w:sz w:val="32"/>
          <w:szCs w:val="32"/>
          <w:highlight w:val="none"/>
        </w:rPr>
        <w:t>:</w:t>
      </w:r>
      <w:r>
        <w:rPr>
          <w:rStyle w:val="14"/>
          <w:rFonts w:ascii="仿宋" w:hAnsi="仿宋" w:eastAsia="仿宋"/>
          <w:b w:val="0"/>
          <w:bCs/>
          <w:color w:val="auto"/>
          <w:sz w:val="32"/>
          <w:szCs w:val="32"/>
          <w:highlight w:val="none"/>
        </w:rPr>
        <w:t xml:space="preserve"> </w:t>
      </w:r>
      <w:r>
        <w:rPr>
          <w:rStyle w:val="14"/>
          <w:rFonts w:hint="eastAsia" w:ascii="仿宋" w:hAnsi="仿宋" w:eastAsia="仿宋"/>
          <w:b w:val="0"/>
          <w:bCs/>
          <w:color w:val="auto"/>
          <w:sz w:val="32"/>
          <w:szCs w:val="32"/>
          <w:highlight w:val="none"/>
        </w:rPr>
        <w:t>支出决算为</w:t>
      </w:r>
      <w:r>
        <w:rPr>
          <w:rStyle w:val="14"/>
          <w:rFonts w:hint="eastAsia" w:ascii="仿宋" w:hAnsi="仿宋" w:eastAsia="仿宋"/>
          <w:b w:val="0"/>
          <w:bCs/>
          <w:color w:val="auto"/>
          <w:sz w:val="32"/>
          <w:szCs w:val="32"/>
          <w:highlight w:val="none"/>
          <w:lang w:val="en-US" w:eastAsia="zh-CN"/>
        </w:rPr>
        <w:t>3.86</w:t>
      </w:r>
      <w:r>
        <w:rPr>
          <w:rStyle w:val="14"/>
          <w:rFonts w:hint="eastAsia" w:ascii="仿宋" w:hAnsi="仿宋" w:eastAsia="仿宋"/>
          <w:b w:val="0"/>
          <w:bCs/>
          <w:color w:val="auto"/>
          <w:sz w:val="32"/>
          <w:szCs w:val="32"/>
          <w:highlight w:val="none"/>
        </w:rPr>
        <w:t>万元，完成预算</w:t>
      </w:r>
      <w:r>
        <w:rPr>
          <w:rStyle w:val="14"/>
          <w:rFonts w:hint="eastAsia" w:ascii="仿宋" w:hAnsi="仿宋" w:eastAsia="仿宋"/>
          <w:b w:val="0"/>
          <w:bCs/>
          <w:color w:val="auto"/>
          <w:sz w:val="32"/>
          <w:szCs w:val="32"/>
          <w:highlight w:val="none"/>
          <w:lang w:val="en-US" w:eastAsia="zh-CN"/>
        </w:rPr>
        <w:t>100</w:t>
      </w:r>
      <w:r>
        <w:rPr>
          <w:rStyle w:val="14"/>
          <w:rFonts w:ascii="仿宋" w:hAnsi="仿宋" w:eastAsia="仿宋"/>
          <w:b w:val="0"/>
          <w:bCs/>
          <w:color w:val="auto"/>
          <w:sz w:val="32"/>
          <w:szCs w:val="32"/>
          <w:highlight w:val="none"/>
        </w:rPr>
        <w:t>%</w:t>
      </w:r>
      <w:r>
        <w:rPr>
          <w:rStyle w:val="14"/>
          <w:rFonts w:hint="eastAsia" w:ascii="仿宋" w:hAnsi="仿宋" w:eastAsia="仿宋"/>
          <w:b w:val="0"/>
          <w:bCs/>
          <w:color w:val="auto"/>
          <w:sz w:val="32"/>
          <w:szCs w:val="32"/>
          <w:highlight w:val="none"/>
          <w:lang w:eastAsia="zh-CN"/>
        </w:rPr>
        <w:t>。</w:t>
      </w:r>
    </w:p>
    <w:p>
      <w:pPr>
        <w:spacing w:line="600" w:lineRule="exact"/>
        <w:ind w:firstLine="643" w:firstLineChars="200"/>
        <w:rPr>
          <w:rStyle w:val="14"/>
          <w:rFonts w:hint="eastAsia" w:ascii="仿宋" w:hAnsi="仿宋" w:eastAsia="仿宋"/>
          <w:b w:val="0"/>
          <w:bCs/>
          <w:color w:val="auto"/>
          <w:sz w:val="32"/>
          <w:szCs w:val="32"/>
          <w:highlight w:val="none"/>
          <w:lang w:eastAsia="zh-CN"/>
        </w:rPr>
      </w:pPr>
      <w:r>
        <w:rPr>
          <w:rStyle w:val="14"/>
          <w:rFonts w:hint="eastAsia" w:ascii="仿宋" w:hAnsi="仿宋" w:eastAsia="仿宋"/>
          <w:bCs/>
          <w:color w:val="auto"/>
          <w:sz w:val="32"/>
          <w:szCs w:val="32"/>
          <w:highlight w:val="none"/>
          <w:lang w:val="en-US" w:eastAsia="zh-CN"/>
        </w:rPr>
        <w:t>7</w:t>
      </w:r>
      <w:r>
        <w:rPr>
          <w:rStyle w:val="14"/>
          <w:rFonts w:ascii="仿宋" w:hAnsi="仿宋" w:eastAsia="仿宋"/>
          <w:bCs/>
          <w:color w:val="auto"/>
          <w:sz w:val="32"/>
          <w:szCs w:val="32"/>
          <w:highlight w:val="none"/>
        </w:rPr>
        <w:t>.</w:t>
      </w:r>
      <w:r>
        <w:rPr>
          <w:rStyle w:val="14"/>
          <w:rFonts w:hint="eastAsia" w:ascii="仿宋" w:hAnsi="仿宋" w:eastAsia="仿宋"/>
          <w:bCs/>
          <w:color w:val="auto"/>
          <w:sz w:val="32"/>
          <w:szCs w:val="32"/>
          <w:highlight w:val="none"/>
        </w:rPr>
        <w:t>文化旅游体育与传媒（类）</w:t>
      </w:r>
      <w:r>
        <w:rPr>
          <w:rStyle w:val="14"/>
          <w:rFonts w:hint="eastAsia" w:ascii="仿宋" w:hAnsi="仿宋" w:eastAsia="仿宋"/>
          <w:bCs/>
          <w:color w:val="auto"/>
          <w:sz w:val="32"/>
          <w:szCs w:val="32"/>
          <w:highlight w:val="none"/>
          <w:lang w:eastAsia="zh-CN"/>
        </w:rPr>
        <w:t>新闻出版电影</w:t>
      </w:r>
      <w:r>
        <w:rPr>
          <w:rStyle w:val="14"/>
          <w:rFonts w:hint="eastAsia" w:ascii="仿宋" w:hAnsi="仿宋" w:eastAsia="仿宋"/>
          <w:bCs/>
          <w:color w:val="auto"/>
          <w:sz w:val="32"/>
          <w:szCs w:val="32"/>
          <w:highlight w:val="none"/>
        </w:rPr>
        <w:t>（款）</w:t>
      </w:r>
      <w:r>
        <w:rPr>
          <w:rStyle w:val="14"/>
          <w:rFonts w:hint="eastAsia" w:ascii="仿宋" w:hAnsi="仿宋" w:eastAsia="仿宋"/>
          <w:bCs/>
          <w:color w:val="auto"/>
          <w:sz w:val="32"/>
          <w:szCs w:val="32"/>
          <w:highlight w:val="none"/>
          <w:lang w:eastAsia="zh-CN"/>
        </w:rPr>
        <w:t>其他新闻出版电影支出</w:t>
      </w:r>
      <w:r>
        <w:rPr>
          <w:rStyle w:val="14"/>
          <w:rFonts w:hint="eastAsia" w:ascii="仿宋" w:hAnsi="仿宋" w:eastAsia="仿宋"/>
          <w:bCs/>
          <w:color w:val="auto"/>
          <w:sz w:val="32"/>
          <w:szCs w:val="32"/>
          <w:highlight w:val="none"/>
        </w:rPr>
        <w:t>（项）</w:t>
      </w:r>
      <w:r>
        <w:rPr>
          <w:rStyle w:val="14"/>
          <w:rFonts w:ascii="仿宋" w:hAnsi="仿宋" w:eastAsia="仿宋"/>
          <w:bCs/>
          <w:color w:val="auto"/>
          <w:sz w:val="32"/>
          <w:szCs w:val="32"/>
          <w:highlight w:val="none"/>
        </w:rPr>
        <w:t>:</w:t>
      </w:r>
      <w:r>
        <w:rPr>
          <w:rStyle w:val="14"/>
          <w:rFonts w:ascii="仿宋" w:hAnsi="仿宋" w:eastAsia="仿宋"/>
          <w:b w:val="0"/>
          <w:bCs/>
          <w:color w:val="auto"/>
          <w:sz w:val="32"/>
          <w:szCs w:val="32"/>
          <w:highlight w:val="none"/>
        </w:rPr>
        <w:t xml:space="preserve"> </w:t>
      </w:r>
      <w:r>
        <w:rPr>
          <w:rStyle w:val="14"/>
          <w:rFonts w:hint="eastAsia" w:ascii="仿宋" w:hAnsi="仿宋" w:eastAsia="仿宋"/>
          <w:b w:val="0"/>
          <w:bCs/>
          <w:color w:val="auto"/>
          <w:sz w:val="32"/>
          <w:szCs w:val="32"/>
          <w:highlight w:val="none"/>
        </w:rPr>
        <w:t>支出决算为</w:t>
      </w:r>
      <w:r>
        <w:rPr>
          <w:rStyle w:val="14"/>
          <w:rFonts w:hint="eastAsia" w:ascii="仿宋" w:hAnsi="仿宋" w:eastAsia="仿宋"/>
          <w:b w:val="0"/>
          <w:bCs/>
          <w:color w:val="auto"/>
          <w:sz w:val="32"/>
          <w:szCs w:val="32"/>
          <w:highlight w:val="none"/>
          <w:lang w:val="en-US" w:eastAsia="zh-CN"/>
        </w:rPr>
        <w:t>5</w:t>
      </w:r>
      <w:r>
        <w:rPr>
          <w:rStyle w:val="14"/>
          <w:rFonts w:hint="eastAsia" w:ascii="仿宋" w:hAnsi="仿宋" w:eastAsia="仿宋"/>
          <w:b w:val="0"/>
          <w:bCs/>
          <w:color w:val="auto"/>
          <w:sz w:val="32"/>
          <w:szCs w:val="32"/>
          <w:highlight w:val="none"/>
        </w:rPr>
        <w:t>万元，完成预算</w:t>
      </w:r>
      <w:r>
        <w:rPr>
          <w:rStyle w:val="14"/>
          <w:rFonts w:hint="eastAsia" w:ascii="仿宋" w:hAnsi="仿宋" w:eastAsia="仿宋"/>
          <w:b w:val="0"/>
          <w:bCs/>
          <w:color w:val="auto"/>
          <w:sz w:val="32"/>
          <w:szCs w:val="32"/>
          <w:highlight w:val="none"/>
          <w:lang w:val="en-US" w:eastAsia="zh-CN"/>
        </w:rPr>
        <w:t>100</w:t>
      </w:r>
      <w:r>
        <w:rPr>
          <w:rStyle w:val="14"/>
          <w:rFonts w:ascii="仿宋" w:hAnsi="仿宋" w:eastAsia="仿宋"/>
          <w:b w:val="0"/>
          <w:bCs/>
          <w:color w:val="auto"/>
          <w:sz w:val="32"/>
          <w:szCs w:val="32"/>
          <w:highlight w:val="none"/>
        </w:rPr>
        <w:t>%</w:t>
      </w:r>
      <w:r>
        <w:rPr>
          <w:rStyle w:val="14"/>
          <w:rFonts w:hint="eastAsia" w:ascii="仿宋" w:hAnsi="仿宋" w:eastAsia="仿宋"/>
          <w:b w:val="0"/>
          <w:bCs/>
          <w:color w:val="auto"/>
          <w:sz w:val="32"/>
          <w:szCs w:val="32"/>
          <w:highlight w:val="none"/>
          <w:lang w:eastAsia="zh-CN"/>
        </w:rPr>
        <w:t>。</w:t>
      </w:r>
    </w:p>
    <w:p>
      <w:pPr>
        <w:spacing w:line="600" w:lineRule="exact"/>
        <w:ind w:firstLine="643" w:firstLineChars="200"/>
        <w:rPr>
          <w:rStyle w:val="14"/>
          <w:rFonts w:hint="eastAsia" w:ascii="仿宋" w:hAnsi="仿宋" w:eastAsia="仿宋"/>
          <w:b w:val="0"/>
          <w:bCs/>
          <w:color w:val="auto"/>
          <w:sz w:val="32"/>
          <w:szCs w:val="32"/>
          <w:highlight w:val="none"/>
          <w:lang w:eastAsia="zh-CN"/>
        </w:rPr>
      </w:pPr>
      <w:r>
        <w:rPr>
          <w:rStyle w:val="14"/>
          <w:rFonts w:hint="eastAsia" w:ascii="仿宋" w:hAnsi="仿宋" w:eastAsia="仿宋"/>
          <w:bCs/>
          <w:color w:val="auto"/>
          <w:sz w:val="32"/>
          <w:szCs w:val="32"/>
          <w:highlight w:val="none"/>
          <w:lang w:val="en-US" w:eastAsia="zh-CN"/>
        </w:rPr>
        <w:t>8</w:t>
      </w:r>
      <w:r>
        <w:rPr>
          <w:rStyle w:val="14"/>
          <w:rFonts w:ascii="仿宋" w:hAnsi="仿宋" w:eastAsia="仿宋"/>
          <w:bCs/>
          <w:color w:val="auto"/>
          <w:sz w:val="32"/>
          <w:szCs w:val="32"/>
          <w:highlight w:val="none"/>
        </w:rPr>
        <w:t>.</w:t>
      </w:r>
      <w:r>
        <w:rPr>
          <w:rStyle w:val="14"/>
          <w:rFonts w:hint="eastAsia" w:ascii="仿宋" w:hAnsi="仿宋" w:eastAsia="仿宋"/>
          <w:bCs/>
          <w:color w:val="auto"/>
          <w:sz w:val="32"/>
          <w:szCs w:val="32"/>
          <w:highlight w:val="none"/>
        </w:rPr>
        <w:t>文化旅游体育与传媒（类）</w:t>
      </w:r>
      <w:r>
        <w:rPr>
          <w:rStyle w:val="14"/>
          <w:rFonts w:hint="eastAsia" w:ascii="仿宋" w:hAnsi="仿宋" w:eastAsia="仿宋"/>
          <w:bCs/>
          <w:color w:val="auto"/>
          <w:sz w:val="32"/>
          <w:szCs w:val="32"/>
          <w:highlight w:val="none"/>
          <w:lang w:eastAsia="zh-CN"/>
        </w:rPr>
        <w:t>其他文化旅游体育与传媒支出</w:t>
      </w:r>
      <w:r>
        <w:rPr>
          <w:rStyle w:val="14"/>
          <w:rFonts w:hint="eastAsia" w:ascii="仿宋" w:hAnsi="仿宋" w:eastAsia="仿宋"/>
          <w:bCs/>
          <w:color w:val="auto"/>
          <w:sz w:val="32"/>
          <w:szCs w:val="32"/>
          <w:highlight w:val="none"/>
        </w:rPr>
        <w:t>（款）</w:t>
      </w:r>
      <w:r>
        <w:rPr>
          <w:rStyle w:val="14"/>
          <w:rFonts w:hint="eastAsia" w:ascii="仿宋" w:hAnsi="仿宋" w:eastAsia="仿宋"/>
          <w:bCs/>
          <w:color w:val="auto"/>
          <w:sz w:val="32"/>
          <w:szCs w:val="32"/>
          <w:highlight w:val="none"/>
          <w:lang w:eastAsia="zh-CN"/>
        </w:rPr>
        <w:t>文化产业发展专项支出</w:t>
      </w:r>
      <w:r>
        <w:rPr>
          <w:rStyle w:val="14"/>
          <w:rFonts w:hint="eastAsia" w:ascii="仿宋" w:hAnsi="仿宋" w:eastAsia="仿宋"/>
          <w:bCs/>
          <w:color w:val="auto"/>
          <w:sz w:val="32"/>
          <w:szCs w:val="32"/>
          <w:highlight w:val="none"/>
        </w:rPr>
        <w:t>（项）</w:t>
      </w:r>
      <w:r>
        <w:rPr>
          <w:rStyle w:val="14"/>
          <w:rFonts w:ascii="仿宋" w:hAnsi="仿宋" w:eastAsia="仿宋"/>
          <w:bCs/>
          <w:color w:val="auto"/>
          <w:sz w:val="32"/>
          <w:szCs w:val="32"/>
          <w:highlight w:val="none"/>
        </w:rPr>
        <w:t>:</w:t>
      </w:r>
      <w:r>
        <w:rPr>
          <w:rStyle w:val="14"/>
          <w:rFonts w:ascii="仿宋" w:hAnsi="仿宋" w:eastAsia="仿宋"/>
          <w:b w:val="0"/>
          <w:bCs/>
          <w:color w:val="auto"/>
          <w:sz w:val="32"/>
          <w:szCs w:val="32"/>
          <w:highlight w:val="none"/>
        </w:rPr>
        <w:t xml:space="preserve"> </w:t>
      </w:r>
      <w:r>
        <w:rPr>
          <w:rStyle w:val="14"/>
          <w:rFonts w:hint="eastAsia" w:ascii="仿宋" w:hAnsi="仿宋" w:eastAsia="仿宋"/>
          <w:b w:val="0"/>
          <w:bCs/>
          <w:color w:val="auto"/>
          <w:sz w:val="32"/>
          <w:szCs w:val="32"/>
          <w:highlight w:val="none"/>
        </w:rPr>
        <w:t>支出决算为</w:t>
      </w:r>
      <w:r>
        <w:rPr>
          <w:rStyle w:val="14"/>
          <w:rFonts w:hint="eastAsia" w:ascii="仿宋" w:hAnsi="仿宋" w:eastAsia="仿宋"/>
          <w:b w:val="0"/>
          <w:bCs/>
          <w:color w:val="auto"/>
          <w:sz w:val="32"/>
          <w:szCs w:val="32"/>
          <w:highlight w:val="none"/>
          <w:lang w:val="en-US" w:eastAsia="zh-CN"/>
        </w:rPr>
        <w:t>3</w:t>
      </w:r>
      <w:r>
        <w:rPr>
          <w:rStyle w:val="14"/>
          <w:rFonts w:hint="eastAsia" w:ascii="仿宋" w:hAnsi="仿宋" w:eastAsia="仿宋"/>
          <w:b w:val="0"/>
          <w:bCs/>
          <w:color w:val="auto"/>
          <w:sz w:val="32"/>
          <w:szCs w:val="32"/>
          <w:highlight w:val="none"/>
        </w:rPr>
        <w:t>万元，完成预算</w:t>
      </w:r>
      <w:r>
        <w:rPr>
          <w:rStyle w:val="14"/>
          <w:rFonts w:hint="eastAsia" w:ascii="仿宋" w:hAnsi="仿宋" w:eastAsia="仿宋"/>
          <w:b w:val="0"/>
          <w:bCs/>
          <w:color w:val="auto"/>
          <w:sz w:val="32"/>
          <w:szCs w:val="32"/>
          <w:highlight w:val="none"/>
          <w:lang w:val="en-US" w:eastAsia="zh-CN"/>
        </w:rPr>
        <w:t>100</w:t>
      </w:r>
      <w:r>
        <w:rPr>
          <w:rStyle w:val="14"/>
          <w:rFonts w:ascii="仿宋" w:hAnsi="仿宋" w:eastAsia="仿宋"/>
          <w:b w:val="0"/>
          <w:bCs/>
          <w:color w:val="auto"/>
          <w:sz w:val="32"/>
          <w:szCs w:val="32"/>
          <w:highlight w:val="none"/>
        </w:rPr>
        <w:t>%</w:t>
      </w:r>
      <w:r>
        <w:rPr>
          <w:rStyle w:val="14"/>
          <w:rFonts w:hint="eastAsia" w:ascii="仿宋" w:hAnsi="仿宋" w:eastAsia="仿宋"/>
          <w:b w:val="0"/>
          <w:bCs/>
          <w:color w:val="auto"/>
          <w:sz w:val="32"/>
          <w:szCs w:val="32"/>
          <w:highlight w:val="none"/>
          <w:lang w:eastAsia="zh-CN"/>
        </w:rPr>
        <w:t>。</w:t>
      </w:r>
    </w:p>
    <w:p>
      <w:pPr>
        <w:spacing w:line="600" w:lineRule="exact"/>
        <w:ind w:firstLine="643" w:firstLineChars="200"/>
        <w:rPr>
          <w:rStyle w:val="14"/>
          <w:rFonts w:hint="eastAsia" w:ascii="仿宋" w:hAnsi="仿宋" w:eastAsia="仿宋"/>
          <w:b w:val="0"/>
          <w:bCs/>
          <w:color w:val="auto"/>
          <w:sz w:val="32"/>
          <w:szCs w:val="32"/>
          <w:highlight w:val="none"/>
          <w:lang w:eastAsia="zh-CN"/>
        </w:rPr>
      </w:pPr>
      <w:r>
        <w:rPr>
          <w:rStyle w:val="14"/>
          <w:rFonts w:hint="eastAsia" w:ascii="仿宋" w:hAnsi="仿宋" w:eastAsia="仿宋"/>
          <w:bCs/>
          <w:color w:val="auto"/>
          <w:sz w:val="32"/>
          <w:szCs w:val="32"/>
          <w:highlight w:val="none"/>
          <w:lang w:val="en-US" w:eastAsia="zh-CN"/>
        </w:rPr>
        <w:t>9</w:t>
      </w:r>
      <w:r>
        <w:rPr>
          <w:rStyle w:val="14"/>
          <w:rFonts w:ascii="仿宋" w:hAnsi="仿宋" w:eastAsia="仿宋"/>
          <w:bCs/>
          <w:color w:val="auto"/>
          <w:sz w:val="32"/>
          <w:szCs w:val="32"/>
          <w:highlight w:val="none"/>
        </w:rPr>
        <w:t>.</w:t>
      </w:r>
      <w:r>
        <w:rPr>
          <w:rStyle w:val="14"/>
          <w:rFonts w:hint="eastAsia" w:ascii="仿宋" w:hAnsi="仿宋" w:eastAsia="仿宋"/>
          <w:bCs/>
          <w:color w:val="auto"/>
          <w:sz w:val="32"/>
          <w:szCs w:val="32"/>
          <w:highlight w:val="none"/>
        </w:rPr>
        <w:t>文化旅游体育与传媒（类）</w:t>
      </w:r>
      <w:r>
        <w:rPr>
          <w:rStyle w:val="14"/>
          <w:rFonts w:hint="eastAsia" w:ascii="仿宋" w:hAnsi="仿宋" w:eastAsia="仿宋"/>
          <w:bCs/>
          <w:color w:val="auto"/>
          <w:sz w:val="32"/>
          <w:szCs w:val="32"/>
          <w:highlight w:val="none"/>
          <w:lang w:eastAsia="zh-CN"/>
        </w:rPr>
        <w:t>其他文化旅游体育与传媒支出</w:t>
      </w:r>
      <w:r>
        <w:rPr>
          <w:rStyle w:val="14"/>
          <w:rFonts w:hint="eastAsia" w:ascii="仿宋" w:hAnsi="仿宋" w:eastAsia="仿宋"/>
          <w:bCs/>
          <w:color w:val="auto"/>
          <w:sz w:val="32"/>
          <w:szCs w:val="32"/>
          <w:highlight w:val="none"/>
        </w:rPr>
        <w:t>（款）</w:t>
      </w:r>
      <w:r>
        <w:rPr>
          <w:rStyle w:val="14"/>
          <w:rFonts w:hint="eastAsia" w:ascii="仿宋" w:hAnsi="仿宋" w:eastAsia="仿宋"/>
          <w:bCs/>
          <w:color w:val="auto"/>
          <w:sz w:val="32"/>
          <w:szCs w:val="32"/>
          <w:highlight w:val="none"/>
          <w:lang w:eastAsia="zh-CN"/>
        </w:rPr>
        <w:t>其他文化旅游体育与传媒支出</w:t>
      </w:r>
      <w:r>
        <w:rPr>
          <w:rStyle w:val="14"/>
          <w:rFonts w:hint="eastAsia" w:ascii="仿宋" w:hAnsi="仿宋" w:eastAsia="仿宋"/>
          <w:bCs/>
          <w:color w:val="auto"/>
          <w:sz w:val="32"/>
          <w:szCs w:val="32"/>
          <w:highlight w:val="none"/>
        </w:rPr>
        <w:t>（项）</w:t>
      </w:r>
      <w:r>
        <w:rPr>
          <w:rStyle w:val="14"/>
          <w:rFonts w:ascii="仿宋" w:hAnsi="仿宋" w:eastAsia="仿宋"/>
          <w:bCs/>
          <w:color w:val="auto"/>
          <w:sz w:val="32"/>
          <w:szCs w:val="32"/>
          <w:highlight w:val="none"/>
        </w:rPr>
        <w:t>:</w:t>
      </w:r>
      <w:r>
        <w:rPr>
          <w:rStyle w:val="14"/>
          <w:rFonts w:ascii="仿宋" w:hAnsi="仿宋" w:eastAsia="仿宋"/>
          <w:b w:val="0"/>
          <w:bCs/>
          <w:color w:val="auto"/>
          <w:sz w:val="32"/>
          <w:szCs w:val="32"/>
          <w:highlight w:val="none"/>
        </w:rPr>
        <w:t xml:space="preserve"> </w:t>
      </w:r>
      <w:r>
        <w:rPr>
          <w:rStyle w:val="14"/>
          <w:rFonts w:hint="eastAsia" w:ascii="仿宋" w:hAnsi="仿宋" w:eastAsia="仿宋"/>
          <w:b w:val="0"/>
          <w:bCs/>
          <w:color w:val="auto"/>
          <w:sz w:val="32"/>
          <w:szCs w:val="32"/>
          <w:highlight w:val="none"/>
        </w:rPr>
        <w:t>支出决算为</w:t>
      </w:r>
      <w:r>
        <w:rPr>
          <w:rStyle w:val="14"/>
          <w:rFonts w:hint="eastAsia" w:ascii="仿宋" w:hAnsi="仿宋" w:eastAsia="仿宋"/>
          <w:b w:val="0"/>
          <w:bCs/>
          <w:color w:val="auto"/>
          <w:sz w:val="32"/>
          <w:szCs w:val="32"/>
          <w:highlight w:val="none"/>
          <w:lang w:val="en-US" w:eastAsia="zh-CN"/>
        </w:rPr>
        <w:t>72.5</w:t>
      </w:r>
      <w:r>
        <w:rPr>
          <w:rStyle w:val="14"/>
          <w:rFonts w:hint="eastAsia" w:ascii="仿宋" w:hAnsi="仿宋" w:eastAsia="仿宋"/>
          <w:b w:val="0"/>
          <w:bCs/>
          <w:color w:val="auto"/>
          <w:sz w:val="32"/>
          <w:szCs w:val="32"/>
          <w:highlight w:val="none"/>
        </w:rPr>
        <w:t>万元，完成预算</w:t>
      </w:r>
      <w:r>
        <w:rPr>
          <w:rStyle w:val="14"/>
          <w:rFonts w:hint="eastAsia" w:ascii="仿宋" w:hAnsi="仿宋" w:eastAsia="仿宋"/>
          <w:b w:val="0"/>
          <w:bCs/>
          <w:color w:val="auto"/>
          <w:sz w:val="32"/>
          <w:szCs w:val="32"/>
          <w:highlight w:val="none"/>
          <w:lang w:val="en-US" w:eastAsia="zh-CN"/>
        </w:rPr>
        <w:t>100</w:t>
      </w:r>
      <w:r>
        <w:rPr>
          <w:rStyle w:val="14"/>
          <w:rFonts w:ascii="仿宋" w:hAnsi="仿宋" w:eastAsia="仿宋"/>
          <w:b w:val="0"/>
          <w:bCs/>
          <w:color w:val="auto"/>
          <w:sz w:val="32"/>
          <w:szCs w:val="32"/>
          <w:highlight w:val="none"/>
        </w:rPr>
        <w:t>%</w:t>
      </w:r>
      <w:r>
        <w:rPr>
          <w:rStyle w:val="14"/>
          <w:rFonts w:hint="eastAsia" w:ascii="仿宋" w:hAnsi="仿宋" w:eastAsia="仿宋"/>
          <w:b w:val="0"/>
          <w:bCs/>
          <w:color w:val="auto"/>
          <w:sz w:val="32"/>
          <w:szCs w:val="32"/>
          <w:highlight w:val="none"/>
          <w:lang w:eastAsia="zh-CN"/>
        </w:rPr>
        <w:t>。</w:t>
      </w:r>
    </w:p>
    <w:p>
      <w:pPr>
        <w:spacing w:line="600" w:lineRule="exact"/>
        <w:ind w:firstLine="643" w:firstLineChars="200"/>
        <w:rPr>
          <w:rStyle w:val="14"/>
          <w:rFonts w:hint="eastAsia" w:ascii="仿宋" w:hAnsi="仿宋" w:eastAsia="仿宋"/>
          <w:b w:val="0"/>
          <w:bCs/>
          <w:color w:val="auto"/>
          <w:sz w:val="32"/>
          <w:szCs w:val="32"/>
          <w:highlight w:val="none"/>
          <w:lang w:eastAsia="zh-CN"/>
        </w:rPr>
      </w:pPr>
      <w:r>
        <w:rPr>
          <w:rStyle w:val="14"/>
          <w:rFonts w:hint="eastAsia" w:ascii="仿宋" w:hAnsi="仿宋" w:eastAsia="仿宋"/>
          <w:bCs/>
          <w:color w:val="auto"/>
          <w:sz w:val="32"/>
          <w:szCs w:val="32"/>
          <w:highlight w:val="none"/>
          <w:lang w:val="en-US" w:eastAsia="zh-CN"/>
        </w:rPr>
        <w:t>10.社会保障和就业支出</w:t>
      </w:r>
      <w:r>
        <w:rPr>
          <w:rStyle w:val="14"/>
          <w:rFonts w:hint="eastAsia" w:ascii="仿宋" w:hAnsi="仿宋" w:eastAsia="仿宋"/>
          <w:bCs/>
          <w:color w:val="auto"/>
          <w:sz w:val="32"/>
          <w:szCs w:val="32"/>
          <w:highlight w:val="none"/>
        </w:rPr>
        <w:t>（类）</w:t>
      </w:r>
      <w:r>
        <w:rPr>
          <w:rStyle w:val="14"/>
          <w:rFonts w:hint="eastAsia" w:ascii="仿宋" w:hAnsi="仿宋" w:eastAsia="仿宋"/>
          <w:bCs/>
          <w:color w:val="auto"/>
          <w:sz w:val="32"/>
          <w:szCs w:val="32"/>
          <w:highlight w:val="none"/>
          <w:lang w:eastAsia="zh-CN"/>
        </w:rPr>
        <w:t>行政事业单位养老支出</w:t>
      </w:r>
      <w:r>
        <w:rPr>
          <w:rStyle w:val="14"/>
          <w:rFonts w:hint="eastAsia" w:ascii="仿宋" w:hAnsi="仿宋" w:eastAsia="仿宋"/>
          <w:bCs/>
          <w:color w:val="auto"/>
          <w:sz w:val="32"/>
          <w:szCs w:val="32"/>
          <w:highlight w:val="none"/>
        </w:rPr>
        <w:t>（款）</w:t>
      </w:r>
      <w:r>
        <w:rPr>
          <w:rStyle w:val="14"/>
          <w:rFonts w:hint="eastAsia" w:ascii="仿宋" w:hAnsi="仿宋" w:eastAsia="仿宋"/>
          <w:bCs/>
          <w:color w:val="auto"/>
          <w:sz w:val="32"/>
          <w:szCs w:val="32"/>
          <w:highlight w:val="none"/>
          <w:lang w:eastAsia="zh-CN"/>
        </w:rPr>
        <w:t>机关事业单位基本养老保险缴费支出</w:t>
      </w:r>
      <w:r>
        <w:rPr>
          <w:rStyle w:val="14"/>
          <w:rFonts w:hint="eastAsia" w:ascii="仿宋" w:hAnsi="仿宋" w:eastAsia="仿宋"/>
          <w:bCs/>
          <w:color w:val="auto"/>
          <w:sz w:val="32"/>
          <w:szCs w:val="32"/>
          <w:highlight w:val="none"/>
        </w:rPr>
        <w:t>（项）</w:t>
      </w:r>
      <w:r>
        <w:rPr>
          <w:rStyle w:val="14"/>
          <w:rFonts w:ascii="仿宋" w:hAnsi="仿宋" w:eastAsia="仿宋"/>
          <w:bCs/>
          <w:color w:val="auto"/>
          <w:sz w:val="32"/>
          <w:szCs w:val="32"/>
          <w:highlight w:val="none"/>
        </w:rPr>
        <w:t>:</w:t>
      </w:r>
      <w:r>
        <w:rPr>
          <w:rStyle w:val="14"/>
          <w:rFonts w:ascii="仿宋" w:hAnsi="仿宋" w:eastAsia="仿宋"/>
          <w:b w:val="0"/>
          <w:bCs/>
          <w:color w:val="auto"/>
          <w:sz w:val="32"/>
          <w:szCs w:val="32"/>
          <w:highlight w:val="none"/>
        </w:rPr>
        <w:t xml:space="preserve"> </w:t>
      </w:r>
      <w:r>
        <w:rPr>
          <w:rStyle w:val="14"/>
          <w:rFonts w:hint="eastAsia" w:ascii="仿宋" w:hAnsi="仿宋" w:eastAsia="仿宋"/>
          <w:b w:val="0"/>
          <w:bCs/>
          <w:color w:val="auto"/>
          <w:sz w:val="32"/>
          <w:szCs w:val="32"/>
          <w:highlight w:val="none"/>
        </w:rPr>
        <w:t>支出决算为</w:t>
      </w:r>
      <w:r>
        <w:rPr>
          <w:rStyle w:val="14"/>
          <w:rFonts w:hint="eastAsia" w:ascii="仿宋" w:hAnsi="仿宋" w:eastAsia="仿宋"/>
          <w:b w:val="0"/>
          <w:bCs/>
          <w:color w:val="auto"/>
          <w:sz w:val="32"/>
          <w:szCs w:val="32"/>
          <w:highlight w:val="none"/>
          <w:lang w:val="en-US" w:eastAsia="zh-CN"/>
        </w:rPr>
        <w:t>12.26</w:t>
      </w:r>
      <w:r>
        <w:rPr>
          <w:rStyle w:val="14"/>
          <w:rFonts w:hint="eastAsia" w:ascii="仿宋" w:hAnsi="仿宋" w:eastAsia="仿宋"/>
          <w:b w:val="0"/>
          <w:bCs/>
          <w:color w:val="auto"/>
          <w:sz w:val="32"/>
          <w:szCs w:val="32"/>
          <w:highlight w:val="none"/>
        </w:rPr>
        <w:t>万元，完成预算</w:t>
      </w:r>
      <w:r>
        <w:rPr>
          <w:rStyle w:val="14"/>
          <w:rFonts w:hint="eastAsia" w:ascii="仿宋" w:hAnsi="仿宋" w:eastAsia="仿宋"/>
          <w:b w:val="0"/>
          <w:bCs/>
          <w:color w:val="auto"/>
          <w:sz w:val="32"/>
          <w:szCs w:val="32"/>
          <w:highlight w:val="none"/>
          <w:lang w:val="en-US" w:eastAsia="zh-CN"/>
        </w:rPr>
        <w:t>100</w:t>
      </w:r>
      <w:r>
        <w:rPr>
          <w:rStyle w:val="14"/>
          <w:rFonts w:ascii="仿宋" w:hAnsi="仿宋" w:eastAsia="仿宋"/>
          <w:b w:val="0"/>
          <w:bCs/>
          <w:color w:val="auto"/>
          <w:sz w:val="32"/>
          <w:szCs w:val="32"/>
          <w:highlight w:val="none"/>
        </w:rPr>
        <w:t>%</w:t>
      </w:r>
      <w:r>
        <w:rPr>
          <w:rStyle w:val="14"/>
          <w:rFonts w:hint="eastAsia" w:ascii="仿宋" w:hAnsi="仿宋" w:eastAsia="仿宋"/>
          <w:b w:val="0"/>
          <w:bCs/>
          <w:color w:val="auto"/>
          <w:sz w:val="32"/>
          <w:szCs w:val="32"/>
          <w:highlight w:val="none"/>
          <w:lang w:eastAsia="zh-CN"/>
        </w:rPr>
        <w:t>。</w:t>
      </w:r>
    </w:p>
    <w:p>
      <w:pPr>
        <w:spacing w:line="600" w:lineRule="exact"/>
        <w:ind w:firstLine="643" w:firstLineChars="200"/>
        <w:rPr>
          <w:rStyle w:val="14"/>
          <w:rFonts w:hint="eastAsia" w:ascii="仿宋" w:hAnsi="仿宋" w:eastAsia="仿宋"/>
          <w:b w:val="0"/>
          <w:bCs/>
          <w:color w:val="auto"/>
          <w:sz w:val="32"/>
          <w:szCs w:val="32"/>
          <w:highlight w:val="none"/>
          <w:lang w:eastAsia="zh-CN"/>
        </w:rPr>
      </w:pPr>
      <w:r>
        <w:rPr>
          <w:rStyle w:val="14"/>
          <w:rFonts w:hint="eastAsia" w:ascii="仿宋" w:hAnsi="仿宋" w:eastAsia="仿宋"/>
          <w:bCs/>
          <w:color w:val="auto"/>
          <w:sz w:val="32"/>
          <w:szCs w:val="32"/>
          <w:highlight w:val="none"/>
          <w:lang w:val="en-US" w:eastAsia="zh-CN"/>
        </w:rPr>
        <w:t>11.社会保障和就业支出</w:t>
      </w:r>
      <w:r>
        <w:rPr>
          <w:rStyle w:val="14"/>
          <w:rFonts w:hint="eastAsia" w:ascii="仿宋" w:hAnsi="仿宋" w:eastAsia="仿宋"/>
          <w:bCs/>
          <w:color w:val="auto"/>
          <w:sz w:val="32"/>
          <w:szCs w:val="32"/>
          <w:highlight w:val="none"/>
        </w:rPr>
        <w:t>（类）</w:t>
      </w:r>
      <w:r>
        <w:rPr>
          <w:rStyle w:val="14"/>
          <w:rFonts w:hint="eastAsia" w:ascii="仿宋" w:hAnsi="仿宋" w:eastAsia="仿宋"/>
          <w:bCs/>
          <w:color w:val="auto"/>
          <w:sz w:val="32"/>
          <w:szCs w:val="32"/>
          <w:highlight w:val="none"/>
          <w:lang w:eastAsia="zh-CN"/>
        </w:rPr>
        <w:t>行政事业单位养老支出</w:t>
      </w:r>
      <w:r>
        <w:rPr>
          <w:rStyle w:val="14"/>
          <w:rFonts w:hint="eastAsia" w:ascii="仿宋" w:hAnsi="仿宋" w:eastAsia="仿宋"/>
          <w:bCs/>
          <w:color w:val="auto"/>
          <w:sz w:val="32"/>
          <w:szCs w:val="32"/>
          <w:highlight w:val="none"/>
        </w:rPr>
        <w:t>（款）</w:t>
      </w:r>
      <w:r>
        <w:rPr>
          <w:rStyle w:val="14"/>
          <w:rFonts w:hint="eastAsia" w:ascii="仿宋" w:hAnsi="仿宋" w:eastAsia="仿宋"/>
          <w:bCs/>
          <w:color w:val="auto"/>
          <w:sz w:val="32"/>
          <w:szCs w:val="32"/>
          <w:highlight w:val="none"/>
          <w:lang w:eastAsia="zh-CN"/>
        </w:rPr>
        <w:t>其他行政事业单位养老支出</w:t>
      </w:r>
      <w:r>
        <w:rPr>
          <w:rStyle w:val="14"/>
          <w:rFonts w:hint="eastAsia" w:ascii="仿宋" w:hAnsi="仿宋" w:eastAsia="仿宋"/>
          <w:bCs/>
          <w:color w:val="auto"/>
          <w:sz w:val="32"/>
          <w:szCs w:val="32"/>
          <w:highlight w:val="none"/>
        </w:rPr>
        <w:t>（项）</w:t>
      </w:r>
      <w:r>
        <w:rPr>
          <w:rStyle w:val="14"/>
          <w:rFonts w:ascii="仿宋" w:hAnsi="仿宋" w:eastAsia="仿宋"/>
          <w:bCs/>
          <w:color w:val="auto"/>
          <w:sz w:val="32"/>
          <w:szCs w:val="32"/>
          <w:highlight w:val="none"/>
        </w:rPr>
        <w:t>:</w:t>
      </w:r>
      <w:r>
        <w:rPr>
          <w:rStyle w:val="14"/>
          <w:rFonts w:ascii="仿宋" w:hAnsi="仿宋" w:eastAsia="仿宋"/>
          <w:b w:val="0"/>
          <w:bCs/>
          <w:color w:val="auto"/>
          <w:sz w:val="32"/>
          <w:szCs w:val="32"/>
          <w:highlight w:val="none"/>
        </w:rPr>
        <w:t xml:space="preserve"> </w:t>
      </w:r>
      <w:r>
        <w:rPr>
          <w:rStyle w:val="14"/>
          <w:rFonts w:hint="eastAsia" w:ascii="仿宋" w:hAnsi="仿宋" w:eastAsia="仿宋"/>
          <w:b w:val="0"/>
          <w:bCs/>
          <w:color w:val="auto"/>
          <w:sz w:val="32"/>
          <w:szCs w:val="32"/>
          <w:highlight w:val="none"/>
        </w:rPr>
        <w:t>支出决算为</w:t>
      </w:r>
      <w:r>
        <w:rPr>
          <w:rStyle w:val="14"/>
          <w:rFonts w:hint="eastAsia" w:ascii="仿宋" w:hAnsi="仿宋" w:eastAsia="仿宋"/>
          <w:b w:val="0"/>
          <w:bCs/>
          <w:color w:val="auto"/>
          <w:sz w:val="32"/>
          <w:szCs w:val="32"/>
          <w:highlight w:val="none"/>
          <w:lang w:val="en-US" w:eastAsia="zh-CN"/>
        </w:rPr>
        <w:t>2.28</w:t>
      </w:r>
      <w:r>
        <w:rPr>
          <w:rStyle w:val="14"/>
          <w:rFonts w:hint="eastAsia" w:ascii="仿宋" w:hAnsi="仿宋" w:eastAsia="仿宋"/>
          <w:b w:val="0"/>
          <w:bCs/>
          <w:color w:val="auto"/>
          <w:sz w:val="32"/>
          <w:szCs w:val="32"/>
          <w:highlight w:val="none"/>
        </w:rPr>
        <w:t>万元，完成预算</w:t>
      </w:r>
      <w:r>
        <w:rPr>
          <w:rStyle w:val="14"/>
          <w:rFonts w:hint="eastAsia" w:ascii="仿宋" w:hAnsi="仿宋" w:eastAsia="仿宋"/>
          <w:b w:val="0"/>
          <w:bCs/>
          <w:color w:val="auto"/>
          <w:sz w:val="32"/>
          <w:szCs w:val="32"/>
          <w:highlight w:val="none"/>
          <w:lang w:val="en-US" w:eastAsia="zh-CN"/>
        </w:rPr>
        <w:t>100</w:t>
      </w:r>
      <w:r>
        <w:rPr>
          <w:rStyle w:val="14"/>
          <w:rFonts w:ascii="仿宋" w:hAnsi="仿宋" w:eastAsia="仿宋"/>
          <w:b w:val="0"/>
          <w:bCs/>
          <w:color w:val="auto"/>
          <w:sz w:val="32"/>
          <w:szCs w:val="32"/>
          <w:highlight w:val="none"/>
        </w:rPr>
        <w:t>%</w:t>
      </w:r>
      <w:r>
        <w:rPr>
          <w:rStyle w:val="14"/>
          <w:rFonts w:hint="eastAsia" w:ascii="仿宋" w:hAnsi="仿宋" w:eastAsia="仿宋"/>
          <w:b w:val="0"/>
          <w:bCs/>
          <w:color w:val="auto"/>
          <w:sz w:val="32"/>
          <w:szCs w:val="32"/>
          <w:highlight w:val="none"/>
          <w:lang w:eastAsia="zh-CN"/>
        </w:rPr>
        <w:t>。</w:t>
      </w:r>
    </w:p>
    <w:p>
      <w:pPr>
        <w:spacing w:line="600" w:lineRule="exact"/>
        <w:ind w:firstLine="643" w:firstLineChars="200"/>
        <w:rPr>
          <w:rStyle w:val="14"/>
          <w:rFonts w:hint="eastAsia" w:ascii="仿宋" w:hAnsi="仿宋" w:eastAsia="仿宋"/>
          <w:b w:val="0"/>
          <w:bCs/>
          <w:color w:val="auto"/>
          <w:sz w:val="32"/>
          <w:szCs w:val="32"/>
          <w:highlight w:val="none"/>
          <w:lang w:eastAsia="zh-CN"/>
        </w:rPr>
      </w:pPr>
      <w:r>
        <w:rPr>
          <w:rStyle w:val="14"/>
          <w:rFonts w:hint="eastAsia" w:ascii="仿宋" w:hAnsi="仿宋" w:eastAsia="仿宋"/>
          <w:bCs/>
          <w:color w:val="auto"/>
          <w:sz w:val="32"/>
          <w:szCs w:val="32"/>
          <w:highlight w:val="none"/>
          <w:lang w:val="en-US" w:eastAsia="zh-CN"/>
        </w:rPr>
        <w:t>12.卫生健康支出</w:t>
      </w:r>
      <w:r>
        <w:rPr>
          <w:rStyle w:val="14"/>
          <w:rFonts w:hint="eastAsia" w:ascii="仿宋" w:hAnsi="仿宋" w:eastAsia="仿宋"/>
          <w:bCs/>
          <w:color w:val="auto"/>
          <w:sz w:val="32"/>
          <w:szCs w:val="32"/>
          <w:highlight w:val="none"/>
        </w:rPr>
        <w:t>（类）</w:t>
      </w:r>
      <w:r>
        <w:rPr>
          <w:rStyle w:val="14"/>
          <w:rFonts w:hint="eastAsia" w:ascii="仿宋" w:hAnsi="仿宋" w:eastAsia="仿宋"/>
          <w:bCs/>
          <w:color w:val="auto"/>
          <w:sz w:val="32"/>
          <w:szCs w:val="32"/>
          <w:highlight w:val="none"/>
          <w:lang w:eastAsia="zh-CN"/>
        </w:rPr>
        <w:t>行政事业单位医疗</w:t>
      </w:r>
      <w:r>
        <w:rPr>
          <w:rStyle w:val="14"/>
          <w:rFonts w:hint="eastAsia" w:ascii="仿宋" w:hAnsi="仿宋" w:eastAsia="仿宋"/>
          <w:bCs/>
          <w:color w:val="auto"/>
          <w:sz w:val="32"/>
          <w:szCs w:val="32"/>
          <w:highlight w:val="none"/>
        </w:rPr>
        <w:t>（款）</w:t>
      </w:r>
      <w:r>
        <w:rPr>
          <w:rStyle w:val="14"/>
          <w:rFonts w:hint="eastAsia" w:ascii="仿宋" w:hAnsi="仿宋" w:eastAsia="仿宋"/>
          <w:bCs/>
          <w:color w:val="auto"/>
          <w:sz w:val="32"/>
          <w:szCs w:val="32"/>
          <w:highlight w:val="none"/>
          <w:lang w:eastAsia="zh-CN"/>
        </w:rPr>
        <w:t>行政单位医疗</w:t>
      </w:r>
      <w:r>
        <w:rPr>
          <w:rStyle w:val="14"/>
          <w:rFonts w:hint="eastAsia" w:ascii="仿宋" w:hAnsi="仿宋" w:eastAsia="仿宋"/>
          <w:bCs/>
          <w:color w:val="auto"/>
          <w:sz w:val="32"/>
          <w:szCs w:val="32"/>
          <w:highlight w:val="none"/>
        </w:rPr>
        <w:t>（项）</w:t>
      </w:r>
      <w:r>
        <w:rPr>
          <w:rStyle w:val="14"/>
          <w:rFonts w:ascii="仿宋" w:hAnsi="仿宋" w:eastAsia="仿宋"/>
          <w:bCs/>
          <w:color w:val="auto"/>
          <w:sz w:val="32"/>
          <w:szCs w:val="32"/>
          <w:highlight w:val="none"/>
        </w:rPr>
        <w:t>:</w:t>
      </w:r>
      <w:r>
        <w:rPr>
          <w:rStyle w:val="14"/>
          <w:rFonts w:ascii="仿宋" w:hAnsi="仿宋" w:eastAsia="仿宋"/>
          <w:b w:val="0"/>
          <w:bCs/>
          <w:color w:val="auto"/>
          <w:sz w:val="32"/>
          <w:szCs w:val="32"/>
          <w:highlight w:val="none"/>
        </w:rPr>
        <w:t xml:space="preserve"> </w:t>
      </w:r>
      <w:r>
        <w:rPr>
          <w:rStyle w:val="14"/>
          <w:rFonts w:hint="eastAsia" w:ascii="仿宋" w:hAnsi="仿宋" w:eastAsia="仿宋"/>
          <w:b w:val="0"/>
          <w:bCs/>
          <w:color w:val="auto"/>
          <w:sz w:val="32"/>
          <w:szCs w:val="32"/>
          <w:highlight w:val="none"/>
        </w:rPr>
        <w:t>支出决算为</w:t>
      </w:r>
      <w:r>
        <w:rPr>
          <w:rStyle w:val="14"/>
          <w:rFonts w:hint="eastAsia" w:ascii="仿宋" w:hAnsi="仿宋" w:eastAsia="仿宋"/>
          <w:b w:val="0"/>
          <w:bCs/>
          <w:color w:val="auto"/>
          <w:sz w:val="32"/>
          <w:szCs w:val="32"/>
          <w:highlight w:val="none"/>
          <w:lang w:val="en-US" w:eastAsia="zh-CN"/>
        </w:rPr>
        <w:t>3.23</w:t>
      </w:r>
      <w:r>
        <w:rPr>
          <w:rStyle w:val="14"/>
          <w:rFonts w:hint="eastAsia" w:ascii="仿宋" w:hAnsi="仿宋" w:eastAsia="仿宋"/>
          <w:b w:val="0"/>
          <w:bCs/>
          <w:color w:val="auto"/>
          <w:sz w:val="32"/>
          <w:szCs w:val="32"/>
          <w:highlight w:val="none"/>
        </w:rPr>
        <w:t>万元，完成预算</w:t>
      </w:r>
      <w:r>
        <w:rPr>
          <w:rStyle w:val="14"/>
          <w:rFonts w:hint="eastAsia" w:ascii="仿宋" w:hAnsi="仿宋" w:eastAsia="仿宋"/>
          <w:b w:val="0"/>
          <w:bCs/>
          <w:color w:val="auto"/>
          <w:sz w:val="32"/>
          <w:szCs w:val="32"/>
          <w:highlight w:val="none"/>
          <w:lang w:val="en-US" w:eastAsia="zh-CN"/>
        </w:rPr>
        <w:t>100</w:t>
      </w:r>
      <w:r>
        <w:rPr>
          <w:rStyle w:val="14"/>
          <w:rFonts w:ascii="仿宋" w:hAnsi="仿宋" w:eastAsia="仿宋"/>
          <w:b w:val="0"/>
          <w:bCs/>
          <w:color w:val="auto"/>
          <w:sz w:val="32"/>
          <w:szCs w:val="32"/>
          <w:highlight w:val="none"/>
        </w:rPr>
        <w:t>%</w:t>
      </w:r>
      <w:r>
        <w:rPr>
          <w:rStyle w:val="14"/>
          <w:rFonts w:hint="eastAsia" w:ascii="仿宋" w:hAnsi="仿宋" w:eastAsia="仿宋"/>
          <w:b w:val="0"/>
          <w:bCs/>
          <w:color w:val="auto"/>
          <w:sz w:val="32"/>
          <w:szCs w:val="32"/>
          <w:highlight w:val="none"/>
          <w:lang w:eastAsia="zh-CN"/>
        </w:rPr>
        <w:t>。</w:t>
      </w:r>
    </w:p>
    <w:p>
      <w:pPr>
        <w:spacing w:line="600" w:lineRule="exact"/>
        <w:ind w:firstLine="643" w:firstLineChars="200"/>
        <w:rPr>
          <w:rStyle w:val="14"/>
          <w:rFonts w:hint="eastAsia" w:ascii="仿宋" w:hAnsi="仿宋" w:eastAsia="仿宋"/>
          <w:b w:val="0"/>
          <w:bCs/>
          <w:color w:val="auto"/>
          <w:sz w:val="32"/>
          <w:szCs w:val="32"/>
          <w:highlight w:val="none"/>
          <w:lang w:eastAsia="zh-CN"/>
        </w:rPr>
      </w:pPr>
      <w:r>
        <w:rPr>
          <w:rStyle w:val="14"/>
          <w:rFonts w:hint="eastAsia" w:ascii="仿宋" w:hAnsi="仿宋" w:eastAsia="仿宋"/>
          <w:bCs/>
          <w:color w:val="auto"/>
          <w:sz w:val="32"/>
          <w:szCs w:val="32"/>
          <w:highlight w:val="none"/>
          <w:lang w:val="en-US" w:eastAsia="zh-CN"/>
        </w:rPr>
        <w:t>13.卫生健康支出</w:t>
      </w:r>
      <w:r>
        <w:rPr>
          <w:rStyle w:val="14"/>
          <w:rFonts w:hint="eastAsia" w:ascii="仿宋" w:hAnsi="仿宋" w:eastAsia="仿宋"/>
          <w:bCs/>
          <w:color w:val="auto"/>
          <w:sz w:val="32"/>
          <w:szCs w:val="32"/>
          <w:highlight w:val="none"/>
        </w:rPr>
        <w:t>（类）</w:t>
      </w:r>
      <w:r>
        <w:rPr>
          <w:rStyle w:val="14"/>
          <w:rFonts w:hint="eastAsia" w:ascii="仿宋" w:hAnsi="仿宋" w:eastAsia="仿宋"/>
          <w:bCs/>
          <w:color w:val="auto"/>
          <w:sz w:val="32"/>
          <w:szCs w:val="32"/>
          <w:highlight w:val="none"/>
          <w:lang w:eastAsia="zh-CN"/>
        </w:rPr>
        <w:t>行政事业单位医疗</w:t>
      </w:r>
      <w:r>
        <w:rPr>
          <w:rStyle w:val="14"/>
          <w:rFonts w:hint="eastAsia" w:ascii="仿宋" w:hAnsi="仿宋" w:eastAsia="仿宋"/>
          <w:bCs/>
          <w:color w:val="auto"/>
          <w:sz w:val="32"/>
          <w:szCs w:val="32"/>
          <w:highlight w:val="none"/>
        </w:rPr>
        <w:t>（款）</w:t>
      </w:r>
      <w:r>
        <w:rPr>
          <w:rStyle w:val="14"/>
          <w:rFonts w:hint="eastAsia" w:ascii="仿宋" w:hAnsi="仿宋" w:eastAsia="仿宋"/>
          <w:bCs/>
          <w:color w:val="auto"/>
          <w:sz w:val="32"/>
          <w:szCs w:val="32"/>
          <w:highlight w:val="none"/>
          <w:lang w:eastAsia="zh-CN"/>
        </w:rPr>
        <w:t>事业单位医疗</w:t>
      </w:r>
      <w:r>
        <w:rPr>
          <w:rStyle w:val="14"/>
          <w:rFonts w:hint="eastAsia" w:ascii="仿宋" w:hAnsi="仿宋" w:eastAsia="仿宋"/>
          <w:bCs/>
          <w:color w:val="auto"/>
          <w:sz w:val="32"/>
          <w:szCs w:val="32"/>
          <w:highlight w:val="none"/>
        </w:rPr>
        <w:t>（项）</w:t>
      </w:r>
      <w:r>
        <w:rPr>
          <w:rStyle w:val="14"/>
          <w:rFonts w:ascii="仿宋" w:hAnsi="仿宋" w:eastAsia="仿宋"/>
          <w:bCs/>
          <w:color w:val="auto"/>
          <w:sz w:val="32"/>
          <w:szCs w:val="32"/>
          <w:highlight w:val="none"/>
        </w:rPr>
        <w:t>:</w:t>
      </w:r>
      <w:r>
        <w:rPr>
          <w:rStyle w:val="14"/>
          <w:rFonts w:ascii="仿宋" w:hAnsi="仿宋" w:eastAsia="仿宋"/>
          <w:b w:val="0"/>
          <w:bCs/>
          <w:color w:val="auto"/>
          <w:sz w:val="32"/>
          <w:szCs w:val="32"/>
          <w:highlight w:val="none"/>
        </w:rPr>
        <w:t xml:space="preserve"> </w:t>
      </w:r>
      <w:r>
        <w:rPr>
          <w:rStyle w:val="14"/>
          <w:rFonts w:hint="eastAsia" w:ascii="仿宋" w:hAnsi="仿宋" w:eastAsia="仿宋"/>
          <w:b w:val="0"/>
          <w:bCs/>
          <w:color w:val="auto"/>
          <w:sz w:val="32"/>
          <w:szCs w:val="32"/>
          <w:highlight w:val="none"/>
        </w:rPr>
        <w:t>支出决算为</w:t>
      </w:r>
      <w:r>
        <w:rPr>
          <w:rStyle w:val="14"/>
          <w:rFonts w:hint="eastAsia" w:ascii="仿宋" w:hAnsi="仿宋" w:eastAsia="仿宋"/>
          <w:b w:val="0"/>
          <w:bCs/>
          <w:color w:val="auto"/>
          <w:sz w:val="32"/>
          <w:szCs w:val="32"/>
          <w:highlight w:val="none"/>
          <w:lang w:val="en-US" w:eastAsia="zh-CN"/>
        </w:rPr>
        <w:t>1.60</w:t>
      </w:r>
      <w:r>
        <w:rPr>
          <w:rStyle w:val="14"/>
          <w:rFonts w:hint="eastAsia" w:ascii="仿宋" w:hAnsi="仿宋" w:eastAsia="仿宋"/>
          <w:b w:val="0"/>
          <w:bCs/>
          <w:color w:val="auto"/>
          <w:sz w:val="32"/>
          <w:szCs w:val="32"/>
          <w:highlight w:val="none"/>
        </w:rPr>
        <w:t>万元，完成预算</w:t>
      </w:r>
      <w:r>
        <w:rPr>
          <w:rStyle w:val="14"/>
          <w:rFonts w:hint="eastAsia" w:ascii="仿宋" w:hAnsi="仿宋" w:eastAsia="仿宋"/>
          <w:b w:val="0"/>
          <w:bCs/>
          <w:color w:val="auto"/>
          <w:sz w:val="32"/>
          <w:szCs w:val="32"/>
          <w:highlight w:val="none"/>
          <w:lang w:val="en-US" w:eastAsia="zh-CN"/>
        </w:rPr>
        <w:t>100</w:t>
      </w:r>
      <w:r>
        <w:rPr>
          <w:rStyle w:val="14"/>
          <w:rFonts w:ascii="仿宋" w:hAnsi="仿宋" w:eastAsia="仿宋"/>
          <w:b w:val="0"/>
          <w:bCs/>
          <w:color w:val="auto"/>
          <w:sz w:val="32"/>
          <w:szCs w:val="32"/>
          <w:highlight w:val="none"/>
        </w:rPr>
        <w:t>%</w:t>
      </w:r>
      <w:r>
        <w:rPr>
          <w:rStyle w:val="14"/>
          <w:rFonts w:hint="eastAsia" w:ascii="仿宋" w:hAnsi="仿宋" w:eastAsia="仿宋"/>
          <w:b w:val="0"/>
          <w:bCs/>
          <w:color w:val="auto"/>
          <w:sz w:val="32"/>
          <w:szCs w:val="32"/>
          <w:highlight w:val="none"/>
          <w:lang w:eastAsia="zh-CN"/>
        </w:rPr>
        <w:t>。</w:t>
      </w:r>
    </w:p>
    <w:p>
      <w:pPr>
        <w:spacing w:line="600" w:lineRule="exact"/>
        <w:ind w:firstLine="643" w:firstLineChars="200"/>
        <w:rPr>
          <w:rFonts w:ascii="仿宋" w:hAnsi="仿宋" w:eastAsia="仿宋"/>
          <w:color w:val="auto"/>
          <w:sz w:val="32"/>
          <w:szCs w:val="32"/>
          <w:highlight w:val="none"/>
        </w:rPr>
      </w:pPr>
      <w:r>
        <w:rPr>
          <w:rStyle w:val="14"/>
          <w:rFonts w:hint="eastAsia" w:ascii="仿宋" w:hAnsi="仿宋" w:eastAsia="仿宋"/>
          <w:bCs/>
          <w:color w:val="auto"/>
          <w:sz w:val="32"/>
          <w:szCs w:val="32"/>
          <w:highlight w:val="none"/>
          <w:lang w:val="en-US" w:eastAsia="zh-CN"/>
        </w:rPr>
        <w:t>14.住房保障支出</w:t>
      </w:r>
      <w:r>
        <w:rPr>
          <w:rStyle w:val="14"/>
          <w:rFonts w:hint="eastAsia" w:ascii="仿宋" w:hAnsi="仿宋" w:eastAsia="仿宋"/>
          <w:bCs/>
          <w:color w:val="auto"/>
          <w:sz w:val="32"/>
          <w:szCs w:val="32"/>
          <w:highlight w:val="none"/>
        </w:rPr>
        <w:t>（类）</w:t>
      </w:r>
      <w:r>
        <w:rPr>
          <w:rStyle w:val="14"/>
          <w:rFonts w:hint="eastAsia" w:ascii="仿宋" w:hAnsi="仿宋" w:eastAsia="仿宋"/>
          <w:bCs/>
          <w:color w:val="auto"/>
          <w:sz w:val="32"/>
          <w:szCs w:val="32"/>
          <w:highlight w:val="none"/>
          <w:lang w:eastAsia="zh-CN"/>
        </w:rPr>
        <w:t>住房改革支出</w:t>
      </w:r>
      <w:r>
        <w:rPr>
          <w:rStyle w:val="14"/>
          <w:rFonts w:hint="eastAsia" w:ascii="仿宋" w:hAnsi="仿宋" w:eastAsia="仿宋"/>
          <w:bCs/>
          <w:color w:val="auto"/>
          <w:sz w:val="32"/>
          <w:szCs w:val="32"/>
          <w:highlight w:val="none"/>
        </w:rPr>
        <w:t>（款）</w:t>
      </w:r>
      <w:r>
        <w:rPr>
          <w:rStyle w:val="14"/>
          <w:rFonts w:hint="eastAsia" w:ascii="仿宋" w:hAnsi="仿宋" w:eastAsia="仿宋"/>
          <w:bCs/>
          <w:color w:val="auto"/>
          <w:sz w:val="32"/>
          <w:szCs w:val="32"/>
          <w:highlight w:val="none"/>
          <w:lang w:eastAsia="zh-CN"/>
        </w:rPr>
        <w:t>住房公积金</w:t>
      </w:r>
      <w:r>
        <w:rPr>
          <w:rStyle w:val="14"/>
          <w:rFonts w:hint="eastAsia" w:ascii="仿宋" w:hAnsi="仿宋" w:eastAsia="仿宋"/>
          <w:bCs/>
          <w:color w:val="auto"/>
          <w:sz w:val="32"/>
          <w:szCs w:val="32"/>
          <w:highlight w:val="none"/>
        </w:rPr>
        <w:t>（项）</w:t>
      </w:r>
      <w:r>
        <w:rPr>
          <w:rStyle w:val="14"/>
          <w:rFonts w:ascii="仿宋" w:hAnsi="仿宋" w:eastAsia="仿宋"/>
          <w:bCs/>
          <w:color w:val="auto"/>
          <w:sz w:val="32"/>
          <w:szCs w:val="32"/>
          <w:highlight w:val="none"/>
        </w:rPr>
        <w:t>:</w:t>
      </w:r>
      <w:r>
        <w:rPr>
          <w:rStyle w:val="14"/>
          <w:rFonts w:ascii="仿宋" w:hAnsi="仿宋" w:eastAsia="仿宋"/>
          <w:b w:val="0"/>
          <w:bCs/>
          <w:color w:val="auto"/>
          <w:sz w:val="32"/>
          <w:szCs w:val="32"/>
          <w:highlight w:val="none"/>
        </w:rPr>
        <w:t xml:space="preserve"> </w:t>
      </w:r>
      <w:r>
        <w:rPr>
          <w:rStyle w:val="14"/>
          <w:rFonts w:hint="eastAsia" w:ascii="仿宋" w:hAnsi="仿宋" w:eastAsia="仿宋"/>
          <w:b w:val="0"/>
          <w:bCs/>
          <w:color w:val="auto"/>
          <w:sz w:val="32"/>
          <w:szCs w:val="32"/>
          <w:highlight w:val="none"/>
        </w:rPr>
        <w:t>支出决算为</w:t>
      </w:r>
      <w:r>
        <w:rPr>
          <w:rStyle w:val="14"/>
          <w:rFonts w:hint="eastAsia" w:ascii="仿宋" w:hAnsi="仿宋" w:eastAsia="仿宋"/>
          <w:b w:val="0"/>
          <w:bCs/>
          <w:color w:val="auto"/>
          <w:sz w:val="32"/>
          <w:szCs w:val="32"/>
          <w:highlight w:val="none"/>
          <w:lang w:val="en-US" w:eastAsia="zh-CN"/>
        </w:rPr>
        <w:t>18.61</w:t>
      </w:r>
      <w:r>
        <w:rPr>
          <w:rStyle w:val="14"/>
          <w:rFonts w:hint="eastAsia" w:ascii="仿宋" w:hAnsi="仿宋" w:eastAsia="仿宋"/>
          <w:b w:val="0"/>
          <w:bCs/>
          <w:color w:val="auto"/>
          <w:sz w:val="32"/>
          <w:szCs w:val="32"/>
          <w:highlight w:val="none"/>
        </w:rPr>
        <w:t>万元，完成预算</w:t>
      </w:r>
      <w:r>
        <w:rPr>
          <w:rStyle w:val="14"/>
          <w:rFonts w:hint="eastAsia" w:ascii="仿宋" w:hAnsi="仿宋" w:eastAsia="仿宋"/>
          <w:b w:val="0"/>
          <w:bCs/>
          <w:color w:val="auto"/>
          <w:sz w:val="32"/>
          <w:szCs w:val="32"/>
          <w:highlight w:val="none"/>
          <w:lang w:val="en-US" w:eastAsia="zh-CN"/>
        </w:rPr>
        <w:t>100</w:t>
      </w:r>
      <w:r>
        <w:rPr>
          <w:rStyle w:val="14"/>
          <w:rFonts w:ascii="仿宋" w:hAnsi="仿宋" w:eastAsia="仿宋"/>
          <w:b w:val="0"/>
          <w:bCs/>
          <w:color w:val="auto"/>
          <w:sz w:val="32"/>
          <w:szCs w:val="32"/>
          <w:highlight w:val="none"/>
        </w:rPr>
        <w:t>%</w:t>
      </w:r>
      <w:r>
        <w:rPr>
          <w:rStyle w:val="14"/>
          <w:rFonts w:hint="eastAsia" w:ascii="仿宋" w:hAnsi="仿宋" w:eastAsia="仿宋"/>
          <w:b w:val="0"/>
          <w:bCs/>
          <w:color w:val="auto"/>
          <w:sz w:val="32"/>
          <w:szCs w:val="32"/>
          <w:highlight w:val="none"/>
          <w:lang w:eastAsia="zh-CN"/>
        </w:rPr>
        <w:t>。</w:t>
      </w:r>
    </w:p>
    <w:p>
      <w:pPr>
        <w:spacing w:line="600" w:lineRule="exact"/>
        <w:rPr>
          <w:rFonts w:ascii="仿宋" w:hAnsi="仿宋" w:eastAsia="仿宋"/>
          <w:b/>
          <w:color w:val="auto"/>
          <w:sz w:val="32"/>
          <w:szCs w:val="32"/>
          <w:highlight w:val="none"/>
        </w:rPr>
      </w:pPr>
    </w:p>
    <w:p>
      <w:pPr>
        <w:tabs>
          <w:tab w:val="right" w:pos="8306"/>
        </w:tabs>
        <w:spacing w:line="600" w:lineRule="exact"/>
        <w:ind w:firstLine="640"/>
        <w:outlineLvl w:val="1"/>
        <w:rPr>
          <w:rStyle w:val="25"/>
          <w:color w:val="auto"/>
          <w:highlight w:val="none"/>
        </w:rPr>
      </w:pPr>
      <w:bookmarkStart w:id="48" w:name="_Toc15377214"/>
      <w:bookmarkStart w:id="49" w:name="_Toc15396608"/>
      <w:bookmarkStart w:id="50" w:name="_Toc31643"/>
      <w:r>
        <w:rPr>
          <w:rFonts w:hint="eastAsia" w:ascii="黑体" w:eastAsia="黑体"/>
          <w:color w:val="auto"/>
          <w:sz w:val="32"/>
          <w:szCs w:val="32"/>
          <w:highlight w:val="none"/>
        </w:rPr>
        <w:t>六</w:t>
      </w:r>
      <w:r>
        <w:rPr>
          <w:rFonts w:hint="eastAsia" w:ascii="黑体" w:eastAsia="黑体"/>
          <w:b/>
          <w:color w:val="auto"/>
          <w:sz w:val="32"/>
          <w:szCs w:val="32"/>
          <w:highlight w:val="none"/>
        </w:rPr>
        <w:t>、</w:t>
      </w:r>
      <w:r>
        <w:rPr>
          <w:rFonts w:hint="eastAsia" w:ascii="黑体" w:hAnsi="黑体" w:eastAsia="黑体"/>
          <w:b/>
          <w:color w:val="auto"/>
          <w:sz w:val="32"/>
          <w:szCs w:val="32"/>
          <w:highlight w:val="none"/>
        </w:rPr>
        <w:t>一</w:t>
      </w:r>
      <w:r>
        <w:rPr>
          <w:rStyle w:val="25"/>
          <w:rFonts w:hint="eastAsia" w:ascii="黑体" w:hAnsi="黑体" w:eastAsia="黑体"/>
          <w:b w:val="0"/>
          <w:color w:val="auto"/>
          <w:highlight w:val="none"/>
        </w:rPr>
        <w:t>般公共预算财政拨款基本支出决算情况说明</w:t>
      </w:r>
      <w:bookmarkEnd w:id="48"/>
      <w:bookmarkEnd w:id="49"/>
      <w:bookmarkEnd w:id="50"/>
      <w:r>
        <w:rPr>
          <w:rStyle w:val="25"/>
          <w:rFonts w:ascii="黑体" w:hAnsi="黑体" w:eastAsia="黑体"/>
          <w:b w:val="0"/>
          <w:color w:val="auto"/>
          <w:highlight w:val="none"/>
        </w:rPr>
        <w:tab/>
      </w:r>
    </w:p>
    <w:p>
      <w:pPr>
        <w:spacing w:line="600" w:lineRule="exact"/>
        <w:ind w:firstLine="645"/>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年一般公共预算财政拨款基本支出322.35万元，其中：</w:t>
      </w:r>
    </w:p>
    <w:p>
      <w:pPr>
        <w:spacing w:line="600" w:lineRule="exact"/>
        <w:ind w:firstLine="645"/>
        <w:rPr>
          <w:rFonts w:ascii="仿宋" w:hAnsi="仿宋" w:eastAsia="仿宋"/>
          <w:color w:val="auto"/>
          <w:sz w:val="32"/>
          <w:szCs w:val="32"/>
          <w:highlight w:val="none"/>
        </w:rPr>
      </w:pPr>
      <w:r>
        <w:rPr>
          <w:rFonts w:hint="eastAsia" w:ascii="仿宋" w:hAnsi="仿宋" w:eastAsia="仿宋"/>
          <w:color w:val="auto"/>
          <w:sz w:val="32"/>
          <w:szCs w:val="32"/>
          <w:highlight w:val="none"/>
        </w:rPr>
        <w:t>人员经费</w:t>
      </w:r>
      <w:r>
        <w:rPr>
          <w:rFonts w:hint="eastAsia" w:ascii="仿宋" w:hAnsi="仿宋" w:eastAsia="仿宋"/>
          <w:color w:val="auto"/>
          <w:sz w:val="32"/>
          <w:szCs w:val="32"/>
          <w:highlight w:val="none"/>
          <w:lang w:val="en-US" w:eastAsia="zh-CN"/>
        </w:rPr>
        <w:t>293.37</w:t>
      </w:r>
      <w:r>
        <w:rPr>
          <w:rFonts w:hint="eastAsia" w:ascii="仿宋" w:hAnsi="仿宋" w:eastAsia="仿宋"/>
          <w:color w:val="auto"/>
          <w:sz w:val="32"/>
          <w:szCs w:val="32"/>
          <w:highlight w:val="none"/>
        </w:rPr>
        <w:t>万元，主要包括：基本工资、津贴补贴、奖金、绩效工资、机关事业单位基本养老保险缴费、其他社会保障缴费、其他工资福利支出、生活补助、奖励金、住房公积金、其他对个人和家庭的补助支出等。</w:t>
      </w:r>
      <w:r>
        <w:rPr>
          <w:rFonts w:ascii="仿宋" w:hAnsi="仿宋" w:eastAsia="仿宋"/>
          <w:color w:val="auto"/>
          <w:sz w:val="32"/>
          <w:szCs w:val="32"/>
          <w:highlight w:val="none"/>
        </w:rPr>
        <w:br w:type="textWrapping"/>
      </w:r>
      <w:r>
        <w:rPr>
          <w:rFonts w:hint="eastAsia" w:ascii="仿宋" w:hAnsi="仿宋" w:eastAsia="仿宋"/>
          <w:color w:val="auto"/>
          <w:sz w:val="32"/>
          <w:szCs w:val="32"/>
          <w:highlight w:val="none"/>
        </w:rPr>
        <w:t>　　公用经费</w:t>
      </w:r>
      <w:r>
        <w:rPr>
          <w:rFonts w:hint="eastAsia" w:ascii="仿宋" w:hAnsi="仿宋" w:eastAsia="仿宋"/>
          <w:color w:val="auto"/>
          <w:sz w:val="32"/>
          <w:szCs w:val="32"/>
          <w:highlight w:val="none"/>
          <w:lang w:val="en-US" w:eastAsia="zh-CN"/>
        </w:rPr>
        <w:t>28.98</w:t>
      </w:r>
      <w:r>
        <w:rPr>
          <w:rFonts w:hint="eastAsia" w:ascii="仿宋" w:hAnsi="仿宋" w:eastAsia="仿宋"/>
          <w:color w:val="auto"/>
          <w:sz w:val="32"/>
          <w:szCs w:val="32"/>
          <w:highlight w:val="none"/>
        </w:rPr>
        <w:t>万元，主要包括：办公费、印刷费、水费、电费、邮电费、差旅费、会议费、公务接待费、劳务费、委托业务费、工会经费、福利费、其他交通费、其他商品和服务支出等。</w:t>
      </w:r>
    </w:p>
    <w:p>
      <w:pPr>
        <w:spacing w:line="600" w:lineRule="exact"/>
        <w:ind w:firstLine="640"/>
        <w:rPr>
          <w:rFonts w:ascii="仿宋" w:hAnsi="仿宋" w:eastAsia="仿宋"/>
          <w:b/>
          <w:color w:val="auto"/>
          <w:sz w:val="32"/>
          <w:szCs w:val="32"/>
          <w:highlight w:val="none"/>
        </w:rPr>
      </w:pPr>
    </w:p>
    <w:p>
      <w:pPr>
        <w:spacing w:line="600" w:lineRule="exact"/>
        <w:ind w:firstLine="640"/>
        <w:outlineLvl w:val="1"/>
        <w:rPr>
          <w:rStyle w:val="25"/>
          <w:rFonts w:ascii="黑体" w:hAnsi="黑体" w:eastAsia="黑体"/>
          <w:b w:val="0"/>
          <w:color w:val="auto"/>
          <w:highlight w:val="none"/>
        </w:rPr>
      </w:pPr>
      <w:bookmarkStart w:id="51" w:name="_Toc15396609"/>
      <w:bookmarkStart w:id="52" w:name="_Toc15377215"/>
      <w:bookmarkStart w:id="53" w:name="_Toc28720"/>
      <w:r>
        <w:rPr>
          <w:rFonts w:hint="eastAsia" w:ascii="黑体" w:eastAsia="黑体"/>
          <w:color w:val="auto"/>
          <w:sz w:val="32"/>
          <w:szCs w:val="32"/>
          <w:highlight w:val="none"/>
        </w:rPr>
        <w:t>七、</w:t>
      </w:r>
      <w:r>
        <w:rPr>
          <w:rStyle w:val="25"/>
          <w:rFonts w:hint="eastAsia" w:ascii="黑体" w:hAnsi="黑体" w:eastAsia="黑体"/>
          <w:color w:val="auto"/>
          <w:highlight w:val="none"/>
        </w:rPr>
        <w:t>“</w:t>
      </w:r>
      <w:r>
        <w:rPr>
          <w:rStyle w:val="25"/>
          <w:rFonts w:hint="eastAsia" w:ascii="黑体" w:hAnsi="黑体" w:eastAsia="黑体"/>
          <w:b w:val="0"/>
          <w:color w:val="auto"/>
          <w:highlight w:val="none"/>
        </w:rPr>
        <w:t>三公”经费财政拨款支出决算情况说明</w:t>
      </w:r>
      <w:bookmarkEnd w:id="51"/>
      <w:bookmarkEnd w:id="52"/>
      <w:bookmarkEnd w:id="53"/>
    </w:p>
    <w:p>
      <w:pPr>
        <w:spacing w:line="600" w:lineRule="exact"/>
        <w:ind w:firstLine="640"/>
        <w:outlineLvl w:val="2"/>
        <w:rPr>
          <w:rFonts w:ascii="仿宋" w:hAnsi="仿宋" w:eastAsia="仿宋"/>
          <w:b/>
          <w:color w:val="auto"/>
          <w:sz w:val="32"/>
          <w:szCs w:val="32"/>
          <w:highlight w:val="none"/>
        </w:rPr>
      </w:pPr>
      <w:bookmarkStart w:id="54" w:name="_Toc15377216"/>
      <w:r>
        <w:rPr>
          <w:rFonts w:hint="eastAsia" w:ascii="仿宋" w:hAnsi="仿宋" w:eastAsia="仿宋"/>
          <w:b/>
          <w:color w:val="auto"/>
          <w:sz w:val="32"/>
          <w:szCs w:val="32"/>
          <w:highlight w:val="none"/>
        </w:rPr>
        <w:t>（一）“三公”经费财政拨款支出决算总体情况说明</w:t>
      </w:r>
      <w:bookmarkEnd w:id="54"/>
    </w:p>
    <w:p>
      <w:pPr>
        <w:spacing w:line="600" w:lineRule="exact"/>
        <w:ind w:firstLine="640"/>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年“三公”经费财政拨款支出决算为</w:t>
      </w:r>
      <w:r>
        <w:rPr>
          <w:rFonts w:hint="eastAsia" w:ascii="仿宋" w:hAnsi="仿宋" w:eastAsia="仿宋"/>
          <w:color w:val="auto"/>
          <w:sz w:val="32"/>
          <w:szCs w:val="32"/>
          <w:highlight w:val="none"/>
          <w:lang w:val="en-US" w:eastAsia="zh-CN"/>
        </w:rPr>
        <w:t>3.5</w:t>
      </w:r>
      <w:r>
        <w:rPr>
          <w:rFonts w:hint="eastAsia" w:ascii="仿宋" w:hAnsi="仿宋" w:eastAsia="仿宋"/>
          <w:color w:val="auto"/>
          <w:sz w:val="32"/>
          <w:szCs w:val="32"/>
          <w:highlight w:val="none"/>
        </w:rPr>
        <w:t>万元，完成预算</w:t>
      </w:r>
      <w:r>
        <w:rPr>
          <w:rFonts w:hint="eastAsia" w:ascii="仿宋" w:hAnsi="仿宋" w:eastAsia="仿宋"/>
          <w:color w:val="auto"/>
          <w:sz w:val="32"/>
          <w:szCs w:val="32"/>
          <w:highlight w:val="none"/>
          <w:lang w:val="en-US" w:eastAsia="zh-CN"/>
        </w:rPr>
        <w:t>100</w:t>
      </w:r>
      <w:r>
        <w:rPr>
          <w:rFonts w:ascii="仿宋" w:hAnsi="仿宋" w:eastAsia="仿宋"/>
          <w:color w:val="auto"/>
          <w:sz w:val="32"/>
          <w:szCs w:val="32"/>
          <w:highlight w:val="none"/>
        </w:rPr>
        <w:t>%</w:t>
      </w:r>
      <w:r>
        <w:rPr>
          <w:rFonts w:hint="eastAsia" w:ascii="仿宋" w:hAnsi="仿宋" w:eastAsia="仿宋"/>
          <w:color w:val="auto"/>
          <w:sz w:val="32"/>
          <w:szCs w:val="32"/>
          <w:highlight w:val="none"/>
        </w:rPr>
        <w:t>，与预算数持平。</w:t>
      </w:r>
    </w:p>
    <w:p>
      <w:pPr>
        <w:spacing w:line="600" w:lineRule="exact"/>
        <w:ind w:firstLine="640"/>
        <w:outlineLvl w:val="2"/>
        <w:rPr>
          <w:rFonts w:ascii="仿宋" w:hAnsi="仿宋" w:eastAsia="仿宋"/>
          <w:b/>
          <w:color w:val="auto"/>
          <w:sz w:val="32"/>
          <w:szCs w:val="32"/>
          <w:highlight w:val="none"/>
        </w:rPr>
      </w:pPr>
      <w:bookmarkStart w:id="55" w:name="_Toc15377217"/>
      <w:r>
        <w:rPr>
          <w:rFonts w:hint="eastAsia" w:ascii="仿宋" w:hAnsi="仿宋" w:eastAsia="仿宋"/>
          <w:b/>
          <w:color w:val="auto"/>
          <w:sz w:val="32"/>
          <w:szCs w:val="32"/>
          <w:highlight w:val="none"/>
        </w:rPr>
        <w:t>（二）“三公”经费财政拨款支出决算具体情况说明</w:t>
      </w:r>
      <w:bookmarkEnd w:id="55"/>
    </w:p>
    <w:p>
      <w:pPr>
        <w:spacing w:line="600" w:lineRule="exact"/>
        <w:ind w:firstLine="640"/>
        <w:rPr>
          <w:rFonts w:hint="eastAsia"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年“三公”经费财政拨款支出决算中，因公出国（境）费支出决算</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；公务用车购置及运行维护费支出决算</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；公务接待费支出决算</w:t>
      </w:r>
      <w:r>
        <w:rPr>
          <w:rFonts w:hint="eastAsia" w:ascii="仿宋" w:hAnsi="仿宋" w:eastAsia="仿宋"/>
          <w:color w:val="auto"/>
          <w:sz w:val="32"/>
          <w:szCs w:val="32"/>
          <w:highlight w:val="none"/>
          <w:lang w:val="en-US" w:eastAsia="zh-CN"/>
        </w:rPr>
        <w:t>3.5</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100</w:t>
      </w:r>
      <w:r>
        <w:rPr>
          <w:rFonts w:ascii="仿宋" w:hAnsi="仿宋" w:eastAsia="仿宋"/>
          <w:color w:val="auto"/>
          <w:sz w:val="32"/>
          <w:szCs w:val="32"/>
          <w:highlight w:val="none"/>
        </w:rPr>
        <w:t>%</w:t>
      </w:r>
      <w:r>
        <w:rPr>
          <w:rFonts w:hint="eastAsia" w:ascii="仿宋" w:hAnsi="仿宋" w:eastAsia="仿宋"/>
          <w:color w:val="auto"/>
          <w:sz w:val="32"/>
          <w:szCs w:val="32"/>
          <w:highlight w:val="none"/>
        </w:rPr>
        <w:t>。具体情况如下：</w:t>
      </w:r>
    </w:p>
    <w:p>
      <w:pPr>
        <w:pStyle w:val="2"/>
        <w:rPr>
          <w:rFonts w:hint="eastAsia" w:ascii="仿宋" w:hAnsi="仿宋" w:eastAsia="仿宋"/>
          <w:color w:val="auto"/>
          <w:sz w:val="32"/>
          <w:szCs w:val="32"/>
          <w:highlight w:val="none"/>
        </w:rPr>
      </w:pPr>
      <w:r>
        <w:rPr>
          <w:rFonts w:hint="eastAsia" w:ascii="仿宋" w:hAnsi="仿宋" w:eastAsia="仿宋"/>
          <w:color w:val="auto"/>
          <w:sz w:val="32"/>
          <w:szCs w:val="32"/>
          <w:highlight w:val="none"/>
          <w:lang w:eastAsia="zh-CN"/>
        </w:rPr>
        <w:drawing>
          <wp:inline distT="0" distB="0" distL="114300" distR="114300">
            <wp:extent cx="5080000" cy="3810000"/>
            <wp:effectExtent l="4445" t="4445" r="20955" b="1460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Fonts w:ascii="仿宋" w:hAnsi="仿宋" w:eastAsia="仿宋"/>
          <w:color w:val="auto"/>
          <w:sz w:val="32"/>
          <w:szCs w:val="32"/>
          <w:highlight w:val="none"/>
        </w:rPr>
      </w:pPr>
      <w:r>
        <w:rPr>
          <w:rFonts w:hint="eastAsia" w:ascii="仿宋" w:hAnsi="仿宋" w:eastAsia="仿宋"/>
          <w:color w:val="auto"/>
          <w:sz w:val="32"/>
          <w:szCs w:val="32"/>
          <w:highlight w:val="none"/>
        </w:rPr>
        <w:t>（图7：“三公”经费财政拨款支出结构）（饼状图）</w:t>
      </w:r>
    </w:p>
    <w:p>
      <w:pPr>
        <w:spacing w:line="600" w:lineRule="exact"/>
        <w:ind w:firstLine="640"/>
        <w:rPr>
          <w:rFonts w:ascii="仿宋_GB2312" w:eastAsia="仿宋_GB2312"/>
          <w:b/>
          <w:color w:val="auto"/>
          <w:sz w:val="32"/>
          <w:szCs w:val="32"/>
          <w:highlight w:val="none"/>
        </w:rPr>
      </w:pPr>
      <w:r>
        <w:rPr>
          <w:rFonts w:ascii="仿宋_GB2312" w:eastAsia="仿宋_GB2312"/>
          <w:b/>
          <w:color w:val="auto"/>
          <w:sz w:val="32"/>
          <w:szCs w:val="32"/>
          <w:highlight w:val="none"/>
        </w:rPr>
        <w:t>1.</w:t>
      </w:r>
      <w:r>
        <w:rPr>
          <w:rFonts w:hint="eastAsia" w:ascii="仿宋_GB2312" w:eastAsia="仿宋_GB2312"/>
          <w:b/>
          <w:color w:val="auto"/>
          <w:sz w:val="32"/>
          <w:szCs w:val="32"/>
          <w:highlight w:val="none"/>
        </w:rPr>
        <w:t>因公出国（境）经费支出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Style w:val="14"/>
          <w:rFonts w:hint="eastAsia" w:ascii="仿宋" w:hAnsi="仿宋" w:eastAsia="仿宋"/>
          <w:b w:val="0"/>
          <w:bCs/>
          <w:color w:val="auto"/>
          <w:sz w:val="32"/>
          <w:szCs w:val="32"/>
          <w:highlight w:val="none"/>
        </w:rPr>
        <w:t>完成预算</w:t>
      </w:r>
      <w:r>
        <w:rPr>
          <w:rStyle w:val="14"/>
          <w:rFonts w:hint="eastAsia" w:ascii="仿宋" w:hAnsi="仿宋" w:eastAsia="仿宋"/>
          <w:b w:val="0"/>
          <w:bCs/>
          <w:color w:val="auto"/>
          <w:sz w:val="32"/>
          <w:szCs w:val="32"/>
          <w:highlight w:val="none"/>
          <w:lang w:val="en-US" w:eastAsia="zh-CN"/>
        </w:rPr>
        <w:t>100</w:t>
      </w:r>
      <w:r>
        <w:rPr>
          <w:rStyle w:val="14"/>
          <w:rFonts w:ascii="仿宋" w:hAnsi="仿宋" w:eastAsia="仿宋"/>
          <w:b w:val="0"/>
          <w:bCs/>
          <w:color w:val="auto"/>
          <w:sz w:val="32"/>
          <w:szCs w:val="32"/>
          <w:highlight w:val="none"/>
        </w:rPr>
        <w:t>%</w:t>
      </w:r>
      <w:r>
        <w:rPr>
          <w:rStyle w:val="14"/>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全年安排因公出国（境）团组</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次，出国（境）</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人。因公出国（境）支出决算</w:t>
      </w:r>
      <w:r>
        <w:rPr>
          <w:rFonts w:hint="eastAsia" w:ascii="仿宋_GB2312" w:eastAsia="仿宋_GB2312"/>
          <w:color w:val="auto"/>
          <w:sz w:val="32"/>
          <w:szCs w:val="32"/>
          <w:highlight w:val="none"/>
          <w:lang w:eastAsia="zh-CN"/>
        </w:rPr>
        <w:t>与</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20</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持平</w:t>
      </w:r>
      <w:r>
        <w:rPr>
          <w:rFonts w:hint="eastAsia" w:ascii="仿宋_GB2312" w:eastAsia="仿宋_GB2312"/>
          <w:color w:val="auto"/>
          <w:sz w:val="32"/>
          <w:szCs w:val="32"/>
          <w:highlight w:val="none"/>
        </w:rPr>
        <w:t>。</w:t>
      </w:r>
    </w:p>
    <w:p>
      <w:pPr>
        <w:spacing w:line="600" w:lineRule="exact"/>
        <w:ind w:firstLine="640"/>
        <w:rPr>
          <w:rFonts w:ascii="仿宋_GB2312" w:eastAsia="仿宋_GB2312"/>
          <w:b/>
          <w:color w:val="auto"/>
          <w:sz w:val="32"/>
          <w:szCs w:val="32"/>
          <w:highlight w:val="none"/>
        </w:rPr>
      </w:pPr>
      <w:r>
        <w:rPr>
          <w:rFonts w:ascii="仿宋_GB2312" w:eastAsia="仿宋_GB2312"/>
          <w:b/>
          <w:color w:val="auto"/>
          <w:sz w:val="32"/>
          <w:szCs w:val="32"/>
          <w:highlight w:val="none"/>
        </w:rPr>
        <w:t>2.</w:t>
      </w:r>
      <w:r>
        <w:rPr>
          <w:rFonts w:hint="eastAsia" w:ascii="仿宋_GB2312" w:eastAsia="仿宋_GB2312"/>
          <w:b/>
          <w:color w:val="auto"/>
          <w:sz w:val="32"/>
          <w:szCs w:val="32"/>
          <w:highlight w:val="none"/>
        </w:rPr>
        <w:t>公务用车购置及运行维护费支出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Style w:val="14"/>
          <w:rFonts w:hint="eastAsia" w:ascii="仿宋" w:hAnsi="仿宋" w:eastAsia="仿宋"/>
          <w:b w:val="0"/>
          <w:bCs/>
          <w:color w:val="auto"/>
          <w:sz w:val="32"/>
          <w:szCs w:val="32"/>
          <w:highlight w:val="none"/>
        </w:rPr>
        <w:t>完成预算</w:t>
      </w:r>
      <w:r>
        <w:rPr>
          <w:rStyle w:val="14"/>
          <w:rFonts w:hint="eastAsia" w:ascii="仿宋" w:hAnsi="仿宋" w:eastAsia="仿宋"/>
          <w:b w:val="0"/>
          <w:bCs/>
          <w:color w:val="auto"/>
          <w:sz w:val="32"/>
          <w:szCs w:val="32"/>
          <w:highlight w:val="none"/>
          <w:lang w:val="en-US" w:eastAsia="zh-CN"/>
        </w:rPr>
        <w:t>100</w:t>
      </w:r>
      <w:r>
        <w:rPr>
          <w:rStyle w:val="14"/>
          <w:rFonts w:ascii="仿宋" w:hAnsi="仿宋" w:eastAsia="仿宋"/>
          <w:b w:val="0"/>
          <w:bCs/>
          <w:color w:val="auto"/>
          <w:sz w:val="32"/>
          <w:szCs w:val="32"/>
          <w:highlight w:val="none"/>
        </w:rPr>
        <w:t>%</w:t>
      </w:r>
      <w:r>
        <w:rPr>
          <w:rStyle w:val="14"/>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公务用车购置及运行维护费支出决算比</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20</w:t>
      </w:r>
      <w:r>
        <w:rPr>
          <w:rFonts w:hint="eastAsia" w:ascii="仿宋_GB2312" w:eastAsia="仿宋_GB2312"/>
          <w:color w:val="auto"/>
          <w:sz w:val="32"/>
          <w:szCs w:val="32"/>
          <w:highlight w:val="none"/>
        </w:rPr>
        <w:t>年减少</w:t>
      </w:r>
      <w:r>
        <w:rPr>
          <w:rFonts w:hint="eastAsia" w:ascii="仿宋_GB2312" w:eastAsia="仿宋_GB2312"/>
          <w:color w:val="auto"/>
          <w:sz w:val="32"/>
          <w:szCs w:val="32"/>
          <w:highlight w:val="none"/>
          <w:lang w:val="en-US" w:eastAsia="zh-CN"/>
        </w:rPr>
        <w:t>4.5</w:t>
      </w:r>
      <w:r>
        <w:rPr>
          <w:rFonts w:hint="eastAsia" w:ascii="仿宋_GB2312" w:eastAsia="仿宋_GB2312"/>
          <w:color w:val="auto"/>
          <w:sz w:val="32"/>
          <w:szCs w:val="32"/>
          <w:highlight w:val="none"/>
        </w:rPr>
        <w:t>万元，下降</w:t>
      </w:r>
      <w:r>
        <w:rPr>
          <w:rFonts w:hint="eastAsia" w:ascii="仿宋_GB2312" w:eastAsia="仿宋_GB2312"/>
          <w:color w:val="auto"/>
          <w:sz w:val="32"/>
          <w:szCs w:val="32"/>
          <w:highlight w:val="none"/>
          <w:lang w:val="en-US" w:eastAsia="zh-CN"/>
        </w:rPr>
        <w:t>100</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。主要原因是</w:t>
      </w:r>
      <w:r>
        <w:rPr>
          <w:rFonts w:hint="eastAsia" w:ascii="仿宋_GB2312" w:eastAsia="仿宋_GB2312"/>
          <w:color w:val="auto"/>
          <w:sz w:val="32"/>
          <w:szCs w:val="32"/>
          <w:highlight w:val="none"/>
          <w:lang w:eastAsia="zh-CN"/>
        </w:rPr>
        <w:t>公务车统一收机关事务局管理</w:t>
      </w:r>
      <w:r>
        <w:rPr>
          <w:rFonts w:hint="eastAsia" w:ascii="仿宋_GB2312" w:eastAsia="仿宋_GB2312"/>
          <w:color w:val="auto"/>
          <w:sz w:val="32"/>
          <w:szCs w:val="32"/>
          <w:highlight w:val="none"/>
        </w:rPr>
        <w:t>。</w:t>
      </w:r>
    </w:p>
    <w:p>
      <w:pPr>
        <w:spacing w:line="600" w:lineRule="exact"/>
        <w:ind w:firstLine="640" w:firstLineChars="200"/>
        <w:rPr>
          <w:rFonts w:hint="eastAsia" w:ascii="仿宋_GB2312" w:eastAsia="仿宋_GB2312"/>
          <w:b/>
          <w:color w:val="auto"/>
          <w:sz w:val="32"/>
          <w:szCs w:val="32"/>
          <w:highlight w:val="none"/>
          <w:lang w:eastAsia="zh-CN"/>
        </w:rPr>
      </w:pPr>
      <w:r>
        <w:rPr>
          <w:rFonts w:hint="eastAsia" w:ascii="仿宋_GB2312" w:eastAsia="仿宋_GB2312"/>
          <w:color w:val="auto"/>
          <w:sz w:val="32"/>
          <w:szCs w:val="32"/>
          <w:highlight w:val="none"/>
        </w:rPr>
        <w:t>其中：</w:t>
      </w:r>
      <w:r>
        <w:rPr>
          <w:rFonts w:hint="eastAsia" w:ascii="仿宋_GB2312" w:eastAsia="仿宋_GB2312"/>
          <w:b/>
          <w:color w:val="auto"/>
          <w:sz w:val="32"/>
          <w:szCs w:val="32"/>
          <w:highlight w:val="none"/>
        </w:rPr>
        <w:t>公务用车购置支出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万元。全年</w:t>
      </w:r>
      <w:r>
        <w:rPr>
          <w:rFonts w:hint="eastAsia" w:ascii="仿宋_GB2312" w:eastAsia="仿宋_GB2312"/>
          <w:color w:val="auto"/>
          <w:sz w:val="32"/>
          <w:szCs w:val="32"/>
          <w:highlight w:val="none"/>
          <w:lang w:eastAsia="zh-CN"/>
        </w:rPr>
        <w:t>未</w:t>
      </w:r>
      <w:r>
        <w:rPr>
          <w:rFonts w:hint="eastAsia" w:ascii="仿宋_GB2312" w:eastAsia="仿宋_GB2312"/>
          <w:color w:val="auto"/>
          <w:sz w:val="32"/>
          <w:szCs w:val="32"/>
          <w:highlight w:val="none"/>
        </w:rPr>
        <w:t>购置公务用车</w:t>
      </w:r>
      <w:r>
        <w:rPr>
          <w:rFonts w:hint="eastAsia" w:ascii="仿宋_GB2312" w:eastAsia="仿宋_GB2312"/>
          <w:color w:val="auto"/>
          <w:sz w:val="32"/>
          <w:szCs w:val="32"/>
          <w:highlight w:val="none"/>
          <w:lang w:eastAsia="zh-CN"/>
        </w:rPr>
        <w:t>。</w:t>
      </w:r>
    </w:p>
    <w:p>
      <w:pPr>
        <w:spacing w:line="600" w:lineRule="exact"/>
        <w:ind w:firstLine="640"/>
        <w:rPr>
          <w:rFonts w:hint="eastAsia" w:ascii="仿宋_GB2312" w:eastAsia="仿宋_GB2312"/>
          <w:color w:val="auto"/>
          <w:sz w:val="32"/>
          <w:szCs w:val="32"/>
          <w:highlight w:val="none"/>
        </w:rPr>
      </w:pPr>
      <w:r>
        <w:rPr>
          <w:rFonts w:hint="eastAsia" w:ascii="仿宋_GB2312" w:eastAsia="仿宋_GB2312"/>
          <w:b/>
          <w:color w:val="auto"/>
          <w:sz w:val="32"/>
          <w:szCs w:val="32"/>
          <w:highlight w:val="none"/>
        </w:rPr>
        <w:t>公务用车运行维护费支出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p>
    <w:p>
      <w:pPr>
        <w:spacing w:line="600" w:lineRule="exact"/>
        <w:ind w:firstLine="640"/>
        <w:rPr>
          <w:rFonts w:ascii="仿宋_GB2312" w:eastAsia="仿宋_GB2312"/>
          <w:color w:val="auto"/>
          <w:sz w:val="32"/>
          <w:szCs w:val="32"/>
          <w:highlight w:val="none"/>
        </w:rPr>
      </w:pPr>
      <w:r>
        <w:rPr>
          <w:rFonts w:ascii="仿宋_GB2312" w:eastAsia="仿宋_GB2312"/>
          <w:b/>
          <w:color w:val="auto"/>
          <w:sz w:val="32"/>
          <w:szCs w:val="32"/>
          <w:highlight w:val="none"/>
        </w:rPr>
        <w:t>3.</w:t>
      </w:r>
      <w:r>
        <w:rPr>
          <w:rFonts w:hint="eastAsia" w:ascii="仿宋_GB2312" w:eastAsia="仿宋_GB2312"/>
          <w:b/>
          <w:color w:val="auto"/>
          <w:sz w:val="32"/>
          <w:szCs w:val="32"/>
          <w:highlight w:val="none"/>
        </w:rPr>
        <w:t>公务接待费支出</w:t>
      </w:r>
      <w:r>
        <w:rPr>
          <w:rFonts w:hint="eastAsia" w:ascii="仿宋_GB2312" w:eastAsia="仿宋_GB2312"/>
          <w:color w:val="auto"/>
          <w:sz w:val="32"/>
          <w:szCs w:val="32"/>
          <w:highlight w:val="none"/>
          <w:lang w:val="en-US" w:eastAsia="zh-CN"/>
        </w:rPr>
        <w:t>3.5</w:t>
      </w:r>
      <w:r>
        <w:rPr>
          <w:rFonts w:hint="eastAsia" w:ascii="仿宋_GB2312" w:eastAsia="仿宋_GB2312"/>
          <w:color w:val="auto"/>
          <w:sz w:val="32"/>
          <w:szCs w:val="32"/>
          <w:highlight w:val="none"/>
        </w:rPr>
        <w:t>万元，</w:t>
      </w:r>
      <w:r>
        <w:rPr>
          <w:rStyle w:val="14"/>
          <w:rFonts w:hint="eastAsia" w:ascii="仿宋" w:hAnsi="仿宋" w:eastAsia="仿宋"/>
          <w:b w:val="0"/>
          <w:bCs/>
          <w:color w:val="auto"/>
          <w:sz w:val="32"/>
          <w:szCs w:val="32"/>
          <w:highlight w:val="none"/>
        </w:rPr>
        <w:t>完成预算</w:t>
      </w:r>
      <w:r>
        <w:rPr>
          <w:rStyle w:val="14"/>
          <w:rFonts w:hint="eastAsia" w:ascii="仿宋" w:hAnsi="仿宋" w:eastAsia="仿宋"/>
          <w:b w:val="0"/>
          <w:bCs/>
          <w:color w:val="auto"/>
          <w:sz w:val="32"/>
          <w:szCs w:val="32"/>
          <w:highlight w:val="none"/>
          <w:lang w:val="en-US" w:eastAsia="zh-CN"/>
        </w:rPr>
        <w:t>100</w:t>
      </w:r>
      <w:r>
        <w:rPr>
          <w:rStyle w:val="14"/>
          <w:rFonts w:ascii="仿宋" w:hAnsi="仿宋" w:eastAsia="仿宋"/>
          <w:b w:val="0"/>
          <w:bCs/>
          <w:color w:val="auto"/>
          <w:sz w:val="32"/>
          <w:szCs w:val="32"/>
          <w:highlight w:val="none"/>
        </w:rPr>
        <w:t>%</w:t>
      </w:r>
      <w:r>
        <w:rPr>
          <w:rStyle w:val="14"/>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公务接待费支出决算比</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20</w:t>
      </w:r>
      <w:r>
        <w:rPr>
          <w:rFonts w:hint="eastAsia" w:ascii="仿宋_GB2312" w:eastAsia="仿宋_GB2312"/>
          <w:color w:val="auto"/>
          <w:sz w:val="32"/>
          <w:szCs w:val="32"/>
          <w:highlight w:val="none"/>
        </w:rPr>
        <w:t>年增加</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万元，增长</w:t>
      </w:r>
      <w:r>
        <w:rPr>
          <w:rFonts w:hint="eastAsia" w:ascii="仿宋_GB2312" w:eastAsia="仿宋_GB2312"/>
          <w:color w:val="auto"/>
          <w:sz w:val="32"/>
          <w:szCs w:val="32"/>
          <w:highlight w:val="none"/>
          <w:lang w:val="en-US" w:eastAsia="zh-CN"/>
        </w:rPr>
        <w:t>40</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。主要原因是</w:t>
      </w:r>
      <w:r>
        <w:rPr>
          <w:rFonts w:hint="eastAsia" w:ascii="仿宋_GB2312" w:eastAsia="仿宋_GB2312"/>
          <w:color w:val="auto"/>
          <w:sz w:val="32"/>
          <w:szCs w:val="32"/>
          <w:highlight w:val="none"/>
          <w:lang w:eastAsia="zh-CN"/>
        </w:rPr>
        <w:t>用于</w:t>
      </w:r>
      <w:r>
        <w:rPr>
          <w:rFonts w:hint="eastAsia" w:ascii="仿宋_GB2312" w:eastAsia="仿宋_GB2312"/>
          <w:color w:val="auto"/>
          <w:sz w:val="32"/>
          <w:szCs w:val="32"/>
          <w:highlight w:val="none"/>
          <w:lang w:val="en-US" w:eastAsia="zh-CN"/>
        </w:rPr>
        <w:t>2021年中央电视台来沐拍摄节目</w:t>
      </w:r>
      <w:r>
        <w:rPr>
          <w:rFonts w:hint="eastAsia" w:ascii="仿宋_GB2312" w:eastAsia="仿宋_GB2312"/>
          <w:color w:val="auto"/>
          <w:sz w:val="32"/>
          <w:szCs w:val="32"/>
          <w:highlight w:val="none"/>
        </w:rPr>
        <w:t>。其中：</w:t>
      </w:r>
    </w:p>
    <w:p>
      <w:pPr>
        <w:spacing w:line="600" w:lineRule="exact"/>
        <w:ind w:firstLine="640"/>
        <w:rPr>
          <w:rFonts w:ascii="仿宋_GB2312" w:eastAsia="仿宋_GB2312"/>
          <w:color w:val="auto"/>
          <w:sz w:val="32"/>
          <w:szCs w:val="32"/>
          <w:highlight w:val="none"/>
        </w:rPr>
      </w:pPr>
      <w:r>
        <w:rPr>
          <w:rFonts w:hint="eastAsia" w:ascii="仿宋" w:hAnsi="仿宋" w:eastAsia="仿宋"/>
          <w:b/>
          <w:color w:val="auto"/>
          <w:sz w:val="32"/>
          <w:szCs w:val="32"/>
          <w:highlight w:val="none"/>
        </w:rPr>
        <w:t>国内公务接待支出</w:t>
      </w:r>
      <w:r>
        <w:rPr>
          <w:rFonts w:hint="eastAsia" w:ascii="仿宋" w:hAnsi="仿宋" w:eastAsia="仿宋"/>
          <w:b/>
          <w:color w:val="auto"/>
          <w:sz w:val="32"/>
          <w:szCs w:val="32"/>
          <w:highlight w:val="none"/>
          <w:lang w:val="en-US" w:eastAsia="zh-CN"/>
        </w:rPr>
        <w:t>3.5</w:t>
      </w:r>
      <w:r>
        <w:rPr>
          <w:rFonts w:hint="eastAsia" w:ascii="仿宋_GB2312" w:eastAsia="仿宋_GB2312"/>
          <w:color w:val="auto"/>
          <w:sz w:val="32"/>
          <w:szCs w:val="32"/>
          <w:highlight w:val="none"/>
        </w:rPr>
        <w:t>万元，主要用于开展业务活动开支的住宿费、用餐费等)。国内公务接待</w:t>
      </w:r>
      <w:r>
        <w:rPr>
          <w:rFonts w:hint="eastAsia" w:ascii="仿宋_GB2312" w:eastAsia="仿宋_GB2312"/>
          <w:color w:val="auto"/>
          <w:sz w:val="32"/>
          <w:szCs w:val="32"/>
          <w:highlight w:val="none"/>
          <w:lang w:val="en-US" w:eastAsia="zh-CN"/>
        </w:rPr>
        <w:t>32</w:t>
      </w:r>
      <w:r>
        <w:rPr>
          <w:rFonts w:hint="eastAsia" w:ascii="仿宋_GB2312" w:eastAsia="仿宋_GB2312"/>
          <w:color w:val="auto"/>
          <w:sz w:val="32"/>
          <w:szCs w:val="32"/>
          <w:highlight w:val="none"/>
        </w:rPr>
        <w:t>批次，</w:t>
      </w:r>
      <w:r>
        <w:rPr>
          <w:rFonts w:hint="eastAsia" w:ascii="仿宋_GB2312" w:eastAsia="仿宋_GB2312"/>
          <w:color w:val="auto"/>
          <w:sz w:val="32"/>
          <w:szCs w:val="32"/>
          <w:highlight w:val="none"/>
          <w:lang w:val="en-US" w:eastAsia="zh-CN"/>
        </w:rPr>
        <w:t>261</w:t>
      </w:r>
      <w:r>
        <w:rPr>
          <w:rFonts w:hint="eastAsia" w:ascii="仿宋_GB2312" w:eastAsia="仿宋_GB2312"/>
          <w:color w:val="auto"/>
          <w:sz w:val="32"/>
          <w:szCs w:val="32"/>
          <w:highlight w:val="none"/>
        </w:rPr>
        <w:t>人次（不包括陪同人员），共计支出</w:t>
      </w:r>
      <w:r>
        <w:rPr>
          <w:rFonts w:hint="eastAsia" w:ascii="仿宋_GB2312" w:eastAsia="仿宋_GB2312"/>
          <w:color w:val="auto"/>
          <w:sz w:val="32"/>
          <w:szCs w:val="32"/>
          <w:highlight w:val="none"/>
          <w:lang w:val="en-US" w:eastAsia="zh-CN"/>
        </w:rPr>
        <w:t>3.5</w:t>
      </w:r>
      <w:r>
        <w:rPr>
          <w:rFonts w:hint="eastAsia" w:ascii="仿宋_GB2312" w:eastAsia="仿宋_GB2312"/>
          <w:color w:val="auto"/>
          <w:sz w:val="32"/>
          <w:szCs w:val="32"/>
          <w:highlight w:val="none"/>
        </w:rPr>
        <w:t>万元，具体内容包括：乐山日报社洽谈重大典型宣传事宜</w:t>
      </w:r>
      <w:r>
        <w:rPr>
          <w:rFonts w:hint="eastAsia" w:ascii="仿宋_GB2312" w:eastAsia="仿宋_GB2312"/>
          <w:color w:val="auto"/>
          <w:sz w:val="32"/>
          <w:szCs w:val="32"/>
          <w:highlight w:val="none"/>
          <w:lang w:val="en-US" w:eastAsia="zh-CN"/>
        </w:rPr>
        <w:t>0.05万元，乐山日报社开展“最美公务员师玉容”典型宣传报道0.26万元，乐山川报网络文化传播有限公司开展“沐川氧你 沐川专场直播”工作0.39万元，中央广播电视总台英语环球节目中心新媒体直播系列节目《你好，中国》节目组踩点0.18万元，党史学习教育省委第六巡回指导组来沐指导党史学习教育工作0.42万元等</w:t>
      </w:r>
      <w:r>
        <w:rPr>
          <w:rFonts w:hint="eastAsia" w:ascii="仿宋_GB2312" w:eastAsia="仿宋_GB2312"/>
          <w:color w:val="auto"/>
          <w:sz w:val="32"/>
          <w:szCs w:val="32"/>
          <w:highlight w:val="none"/>
        </w:rPr>
        <w:t>。</w:t>
      </w:r>
    </w:p>
    <w:p>
      <w:pPr>
        <w:spacing w:line="600" w:lineRule="exact"/>
        <w:ind w:firstLine="643" w:firstLineChars="200"/>
        <w:rPr>
          <w:rFonts w:ascii="黑体" w:eastAsia="黑体"/>
          <w:color w:val="auto"/>
          <w:sz w:val="32"/>
          <w:szCs w:val="32"/>
          <w:highlight w:val="none"/>
        </w:rPr>
      </w:pPr>
      <w:r>
        <w:rPr>
          <w:rFonts w:hint="eastAsia" w:ascii="仿宋" w:hAnsi="仿宋" w:eastAsia="仿宋"/>
          <w:b/>
          <w:color w:val="auto"/>
          <w:sz w:val="32"/>
          <w:szCs w:val="32"/>
          <w:highlight w:val="none"/>
        </w:rPr>
        <w:t>外事接待支出</w:t>
      </w:r>
      <w:r>
        <w:rPr>
          <w:rFonts w:hint="eastAsia" w:ascii="仿宋" w:hAnsi="仿宋" w:eastAsia="仿宋"/>
          <w:color w:val="auto"/>
          <w:sz w:val="32"/>
          <w:szCs w:val="32"/>
          <w:highlight w:val="none"/>
          <w:lang w:val="en-US" w:eastAsia="zh-CN"/>
        </w:rPr>
        <w:t>0</w:t>
      </w:r>
      <w:r>
        <w:rPr>
          <w:rFonts w:hint="eastAsia" w:ascii="仿宋_GB2312" w:eastAsia="仿宋_GB2312"/>
          <w:color w:val="auto"/>
          <w:sz w:val="32"/>
          <w:szCs w:val="32"/>
          <w:highlight w:val="none"/>
        </w:rPr>
        <w:t>万元，外事接待</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批次，</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人，共计支出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w:t>
      </w:r>
      <w:bookmarkStart w:id="56" w:name="_Toc15377218"/>
      <w:bookmarkStart w:id="57" w:name="_Toc15396610"/>
    </w:p>
    <w:p>
      <w:pPr>
        <w:spacing w:line="600" w:lineRule="exact"/>
        <w:ind w:firstLine="640"/>
        <w:outlineLvl w:val="1"/>
        <w:rPr>
          <w:rStyle w:val="25"/>
          <w:rFonts w:ascii="黑体" w:hAnsi="黑体" w:eastAsia="黑体"/>
          <w:color w:val="auto"/>
          <w:highlight w:val="none"/>
        </w:rPr>
      </w:pPr>
      <w:bookmarkStart w:id="58" w:name="_Toc16883"/>
      <w:r>
        <w:rPr>
          <w:rFonts w:hint="eastAsia" w:ascii="黑体" w:eastAsia="黑体"/>
          <w:color w:val="auto"/>
          <w:sz w:val="32"/>
          <w:szCs w:val="32"/>
          <w:highlight w:val="none"/>
        </w:rPr>
        <w:t>八、</w:t>
      </w:r>
      <w:r>
        <w:rPr>
          <w:rStyle w:val="25"/>
          <w:rFonts w:hint="eastAsia" w:ascii="黑体" w:hAnsi="黑体" w:eastAsia="黑体"/>
          <w:b w:val="0"/>
          <w:color w:val="auto"/>
          <w:highlight w:val="none"/>
        </w:rPr>
        <w:t>政府性基金预算支出决算情况说明</w:t>
      </w:r>
      <w:bookmarkEnd w:id="56"/>
      <w:bookmarkEnd w:id="57"/>
      <w:bookmarkEnd w:id="58"/>
    </w:p>
    <w:p>
      <w:pPr>
        <w:spacing w:line="600" w:lineRule="exact"/>
        <w:ind w:firstLine="640"/>
        <w:rPr>
          <w:rFonts w:ascii="仿宋_GB2312" w:eastAsia="仿宋_GB2312"/>
          <w:color w:val="auto"/>
          <w:sz w:val="32"/>
          <w:szCs w:val="32"/>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年政府性基金预算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拨款支出1.22万元。</w:t>
      </w:r>
    </w:p>
    <w:p>
      <w:pPr>
        <w:spacing w:line="600" w:lineRule="exact"/>
        <w:ind w:firstLine="640"/>
        <w:rPr>
          <w:rFonts w:ascii="仿宋_GB2312" w:eastAsia="仿宋_GB2312"/>
          <w:color w:val="auto"/>
          <w:sz w:val="32"/>
          <w:szCs w:val="32"/>
          <w:highlight w:val="none"/>
        </w:rPr>
      </w:pPr>
    </w:p>
    <w:p>
      <w:pPr>
        <w:numPr>
          <w:ilvl w:val="0"/>
          <w:numId w:val="3"/>
        </w:numPr>
        <w:spacing w:line="600" w:lineRule="exact"/>
        <w:ind w:firstLine="640"/>
        <w:outlineLvl w:val="1"/>
        <w:rPr>
          <w:rStyle w:val="25"/>
          <w:rFonts w:ascii="黑体" w:hAnsi="黑体" w:eastAsia="黑体"/>
          <w:b w:val="0"/>
          <w:color w:val="auto"/>
          <w:highlight w:val="none"/>
        </w:rPr>
      </w:pPr>
      <w:bookmarkStart w:id="59" w:name="_Toc15396611"/>
      <w:bookmarkStart w:id="60" w:name="_Toc15377219"/>
      <w:bookmarkStart w:id="61" w:name="_Toc13913"/>
      <w:r>
        <w:rPr>
          <w:rStyle w:val="25"/>
          <w:rFonts w:hint="eastAsia" w:ascii="黑体" w:hAnsi="黑体" w:eastAsia="黑体"/>
          <w:b w:val="0"/>
          <w:color w:val="auto"/>
          <w:highlight w:val="none"/>
        </w:rPr>
        <w:t>国有资本经营预算支出决算情况说明</w:t>
      </w:r>
      <w:bookmarkEnd w:id="59"/>
      <w:bookmarkEnd w:id="60"/>
      <w:bookmarkEnd w:id="61"/>
    </w:p>
    <w:p>
      <w:pPr>
        <w:spacing w:line="600" w:lineRule="exact"/>
        <w:ind w:firstLine="640"/>
        <w:rPr>
          <w:rFonts w:ascii="仿宋_GB2312" w:eastAsia="仿宋_GB2312"/>
          <w:color w:val="auto"/>
          <w:sz w:val="32"/>
          <w:szCs w:val="32"/>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年国有资本经营预算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p>
    <w:p>
      <w:pPr>
        <w:spacing w:line="580" w:lineRule="exact"/>
        <w:jc w:val="center"/>
        <w:rPr>
          <w:rFonts w:ascii="方正小标宋简体" w:hAnsi="方正小标宋简体" w:eastAsia="方正小标宋简体" w:cs="方正小标宋简体"/>
          <w:color w:val="auto"/>
          <w:sz w:val="44"/>
          <w:szCs w:val="44"/>
          <w:highlight w:val="none"/>
        </w:rPr>
      </w:pPr>
    </w:p>
    <w:p>
      <w:pPr>
        <w:numPr>
          <w:ilvl w:val="0"/>
          <w:numId w:val="3"/>
        </w:numPr>
        <w:spacing w:line="600" w:lineRule="exact"/>
        <w:ind w:firstLine="640"/>
        <w:outlineLvl w:val="1"/>
        <w:rPr>
          <w:rStyle w:val="25"/>
          <w:rFonts w:hint="eastAsia" w:ascii="黑体" w:hAnsi="黑体" w:eastAsia="黑体"/>
          <w:b w:val="0"/>
          <w:color w:val="auto"/>
          <w:highlight w:val="none"/>
        </w:rPr>
      </w:pPr>
      <w:bookmarkStart w:id="62" w:name="_Toc15396612"/>
      <w:bookmarkStart w:id="63" w:name="_Toc15377221"/>
      <w:bookmarkStart w:id="64" w:name="_Toc29577"/>
      <w:r>
        <w:rPr>
          <w:rStyle w:val="25"/>
          <w:rFonts w:hint="eastAsia" w:ascii="黑体" w:hAnsi="黑体" w:eastAsia="黑体"/>
          <w:b w:val="0"/>
          <w:color w:val="auto"/>
          <w:highlight w:val="none"/>
        </w:rPr>
        <w:t>其他重要事项的情况说明</w:t>
      </w:r>
      <w:bookmarkEnd w:id="62"/>
      <w:bookmarkEnd w:id="63"/>
      <w:bookmarkEnd w:id="64"/>
    </w:p>
    <w:p>
      <w:pPr>
        <w:spacing w:line="600" w:lineRule="exact"/>
        <w:ind w:firstLine="643" w:firstLineChars="200"/>
        <w:outlineLvl w:val="2"/>
        <w:rPr>
          <w:rFonts w:ascii="仿宋" w:hAnsi="仿宋" w:eastAsia="仿宋"/>
          <w:color w:val="auto"/>
          <w:sz w:val="32"/>
          <w:szCs w:val="32"/>
          <w:highlight w:val="none"/>
        </w:rPr>
      </w:pPr>
      <w:bookmarkStart w:id="65" w:name="_Toc15377222"/>
      <w:r>
        <w:rPr>
          <w:rFonts w:hint="eastAsia" w:ascii="仿宋" w:hAnsi="仿宋" w:eastAsia="仿宋"/>
          <w:b/>
          <w:color w:val="auto"/>
          <w:sz w:val="32"/>
          <w:szCs w:val="32"/>
          <w:highlight w:val="none"/>
        </w:rPr>
        <w:t>（一）机关运行经费支出情况</w:t>
      </w:r>
      <w:bookmarkEnd w:id="65"/>
    </w:p>
    <w:p>
      <w:pPr>
        <w:spacing w:line="60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w:t>
      </w:r>
      <w:r>
        <w:rPr>
          <w:rFonts w:hint="eastAsia" w:ascii="仿宋_GB2312" w:eastAsia="仿宋_GB2312"/>
          <w:color w:val="000000"/>
          <w:sz w:val="32"/>
          <w:szCs w:val="32"/>
        </w:rPr>
        <w:t>中共沐川县委宣传部</w:t>
      </w:r>
      <w:r>
        <w:rPr>
          <w:rFonts w:hint="eastAsia" w:ascii="仿宋_GB2312" w:eastAsia="仿宋_GB2312"/>
          <w:color w:val="auto"/>
          <w:sz w:val="32"/>
          <w:szCs w:val="32"/>
          <w:highlight w:val="none"/>
        </w:rPr>
        <w:t>机关运行经费支出</w:t>
      </w:r>
      <w:r>
        <w:rPr>
          <w:rFonts w:hint="eastAsia" w:ascii="仿宋_GB2312" w:eastAsia="仿宋_GB2312"/>
          <w:color w:val="auto"/>
          <w:sz w:val="32"/>
          <w:szCs w:val="32"/>
          <w:highlight w:val="none"/>
          <w:lang w:val="en-US" w:eastAsia="zh-CN"/>
        </w:rPr>
        <w:t>28.98</w:t>
      </w:r>
      <w:r>
        <w:rPr>
          <w:rFonts w:hint="eastAsia" w:ascii="仿宋_GB2312" w:eastAsia="仿宋_GB2312"/>
          <w:color w:val="auto"/>
          <w:sz w:val="32"/>
          <w:szCs w:val="32"/>
          <w:highlight w:val="none"/>
        </w:rPr>
        <w:t>万元，比</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20</w:t>
      </w:r>
      <w:r>
        <w:rPr>
          <w:rFonts w:hint="eastAsia" w:ascii="仿宋_GB2312" w:eastAsia="仿宋_GB2312"/>
          <w:color w:val="auto"/>
          <w:sz w:val="32"/>
          <w:szCs w:val="32"/>
          <w:highlight w:val="none"/>
        </w:rPr>
        <w:t>年减少</w:t>
      </w:r>
      <w:r>
        <w:rPr>
          <w:rFonts w:hint="eastAsia" w:ascii="仿宋_GB2312" w:eastAsia="仿宋_GB2312"/>
          <w:color w:val="auto"/>
          <w:sz w:val="32"/>
          <w:szCs w:val="32"/>
          <w:highlight w:val="none"/>
          <w:lang w:val="en-US" w:eastAsia="zh-CN"/>
        </w:rPr>
        <w:t>1.5</w:t>
      </w:r>
      <w:r>
        <w:rPr>
          <w:rFonts w:hint="eastAsia" w:ascii="仿宋_GB2312" w:eastAsia="仿宋_GB2312"/>
          <w:color w:val="auto"/>
          <w:sz w:val="32"/>
          <w:szCs w:val="32"/>
          <w:highlight w:val="none"/>
        </w:rPr>
        <w:t>万元，下降</w:t>
      </w:r>
      <w:r>
        <w:rPr>
          <w:rFonts w:hint="eastAsia" w:ascii="仿宋_GB2312" w:eastAsia="仿宋_GB2312"/>
          <w:color w:val="auto"/>
          <w:sz w:val="32"/>
          <w:szCs w:val="32"/>
          <w:highlight w:val="none"/>
          <w:lang w:val="en-US" w:eastAsia="zh-CN"/>
        </w:rPr>
        <w:t>4.9</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w:t>
      </w:r>
      <w:r>
        <w:rPr>
          <w:rFonts w:hint="eastAsia" w:ascii="仿宋_GB2312" w:eastAsia="仿宋_GB2312"/>
          <w:color w:val="000000"/>
          <w:sz w:val="32"/>
          <w:szCs w:val="32"/>
        </w:rPr>
        <w:t>一是单位厉行节约，二是公务用车划归机关事务局统一管理，减少了公务用车运行维护支出。</w:t>
      </w:r>
    </w:p>
    <w:p>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bookmarkStart w:id="66" w:name="_Toc15377223"/>
      <w:r>
        <w:rPr>
          <w:rFonts w:hint="eastAsia" w:ascii="仿宋" w:hAnsi="仿宋" w:eastAsia="仿宋"/>
          <w:b/>
          <w:color w:val="auto"/>
          <w:sz w:val="32"/>
          <w:szCs w:val="32"/>
          <w:highlight w:val="none"/>
        </w:rPr>
        <w:t>（二）政府采购支出情况</w:t>
      </w:r>
      <w:bookmarkEnd w:id="66"/>
    </w:p>
    <w:p>
      <w:pPr>
        <w:spacing w:line="600" w:lineRule="exact"/>
        <w:ind w:firstLine="640" w:firstLineChars="200"/>
        <w:rPr>
          <w:rFonts w:hint="eastAsia"/>
          <w:lang w:val="en-US" w:eastAsia="zh-CN"/>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w:t>
      </w:r>
      <w:r>
        <w:rPr>
          <w:rFonts w:hint="eastAsia" w:ascii="仿宋_GB2312" w:eastAsia="仿宋_GB2312"/>
          <w:color w:val="000000"/>
          <w:sz w:val="32"/>
          <w:szCs w:val="32"/>
        </w:rPr>
        <w:t>中共沐川县委宣传部</w:t>
      </w:r>
      <w:r>
        <w:rPr>
          <w:rFonts w:hint="eastAsia" w:ascii="仿宋_GB2312" w:eastAsia="仿宋_GB2312"/>
          <w:color w:val="000000"/>
          <w:sz w:val="32"/>
          <w:szCs w:val="32"/>
          <w:lang w:eastAsia="zh-CN"/>
        </w:rPr>
        <w:t>机关</w:t>
      </w:r>
      <w:r>
        <w:rPr>
          <w:rFonts w:hint="eastAsia" w:ascii="仿宋_GB2312" w:eastAsia="仿宋_GB2312"/>
          <w:color w:val="auto"/>
          <w:sz w:val="32"/>
          <w:szCs w:val="32"/>
          <w:highlight w:val="none"/>
        </w:rPr>
        <w:t>政府采购支出总额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w:t>
      </w:r>
    </w:p>
    <w:p>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bookmarkStart w:id="67" w:name="_Toc15377224"/>
      <w:r>
        <w:rPr>
          <w:rFonts w:hint="eastAsia" w:ascii="仿宋" w:hAnsi="仿宋" w:eastAsia="仿宋"/>
          <w:b/>
          <w:color w:val="auto"/>
          <w:sz w:val="32"/>
          <w:szCs w:val="32"/>
          <w:highlight w:val="none"/>
        </w:rPr>
        <w:t>（三）国有资产占有使用情况</w:t>
      </w:r>
      <w:bookmarkEnd w:id="67"/>
    </w:p>
    <w:p>
      <w:pPr>
        <w:autoSpaceDE w:val="0"/>
        <w:autoSpaceDN w:val="0"/>
        <w:adjustRightInd w:val="0"/>
        <w:spacing w:line="600" w:lineRule="exact"/>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截至</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w:t>
      </w:r>
      <w:r>
        <w:rPr>
          <w:rFonts w:ascii="仿宋_GB2312" w:eastAsia="仿宋_GB2312"/>
          <w:color w:val="auto"/>
          <w:sz w:val="32"/>
          <w:szCs w:val="32"/>
          <w:highlight w:val="none"/>
        </w:rPr>
        <w:t>31</w:t>
      </w:r>
      <w:r>
        <w:rPr>
          <w:rFonts w:hint="eastAsia" w:ascii="仿宋_GB2312" w:eastAsia="仿宋_GB2312"/>
          <w:color w:val="auto"/>
          <w:sz w:val="32"/>
          <w:szCs w:val="32"/>
          <w:highlight w:val="none"/>
        </w:rPr>
        <w:t>日，</w:t>
      </w:r>
      <w:r>
        <w:rPr>
          <w:rFonts w:hint="eastAsia" w:ascii="仿宋_GB2312" w:eastAsia="仿宋_GB2312"/>
          <w:color w:val="000000"/>
          <w:sz w:val="32"/>
          <w:szCs w:val="32"/>
        </w:rPr>
        <w:t>中共沐川县委宣传部机关</w:t>
      </w:r>
      <w:r>
        <w:rPr>
          <w:rFonts w:hint="eastAsia" w:ascii="仿宋_GB2312" w:eastAsia="仿宋_GB2312"/>
          <w:color w:val="auto"/>
          <w:sz w:val="32"/>
          <w:szCs w:val="32"/>
          <w:highlight w:val="none"/>
        </w:rPr>
        <w:t>共有车辆</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辆，单价</w:t>
      </w:r>
      <w:r>
        <w:rPr>
          <w:rFonts w:ascii="仿宋_GB2312" w:eastAsia="仿宋_GB2312"/>
          <w:color w:val="auto"/>
          <w:sz w:val="32"/>
          <w:szCs w:val="32"/>
          <w:highlight w:val="none"/>
        </w:rPr>
        <w:t>50</w:t>
      </w:r>
      <w:r>
        <w:rPr>
          <w:rFonts w:hint="eastAsia" w:ascii="仿宋_GB2312" w:eastAsia="仿宋_GB2312"/>
          <w:color w:val="auto"/>
          <w:sz w:val="32"/>
          <w:szCs w:val="32"/>
          <w:highlight w:val="none"/>
        </w:rPr>
        <w:t>万元以上通用设备</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台（套），单价</w:t>
      </w:r>
      <w:r>
        <w:rPr>
          <w:rFonts w:ascii="仿宋_GB2312" w:eastAsia="仿宋_GB2312"/>
          <w:color w:val="auto"/>
          <w:sz w:val="32"/>
          <w:szCs w:val="32"/>
          <w:highlight w:val="none"/>
        </w:rPr>
        <w:t>100</w:t>
      </w:r>
      <w:r>
        <w:rPr>
          <w:rFonts w:hint="eastAsia" w:ascii="仿宋_GB2312" w:eastAsia="仿宋_GB2312"/>
          <w:color w:val="auto"/>
          <w:sz w:val="32"/>
          <w:szCs w:val="32"/>
          <w:highlight w:val="none"/>
        </w:rPr>
        <w:t>万元以上专用设备</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台（套）。</w:t>
      </w:r>
    </w:p>
    <w:p>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r>
        <w:rPr>
          <w:rFonts w:hint="eastAsia" w:ascii="仿宋" w:hAnsi="仿宋" w:eastAsia="仿宋"/>
          <w:b/>
          <w:color w:val="auto"/>
          <w:sz w:val="32"/>
          <w:szCs w:val="32"/>
          <w:highlight w:val="none"/>
        </w:rPr>
        <w:t>（四）预算绩效管理情况</w:t>
      </w:r>
    </w:p>
    <w:p>
      <w:pP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根据预算绩效管理要求，本部门在</w:t>
      </w:r>
      <w:r>
        <w:rPr>
          <w:rFonts w:hint="eastAsia" w:ascii="仿宋_GB2312" w:hAnsi="仿宋_GB2312" w:eastAsia="仿宋_GB2312" w:cs="仿宋_GB2312"/>
          <w:color w:val="auto"/>
          <w:sz w:val="32"/>
          <w:szCs w:val="32"/>
          <w:highlight w:val="none"/>
          <w:lang w:val="en-US" w:eastAsia="zh-CN"/>
        </w:rPr>
        <w:t>2021年度</w:t>
      </w:r>
      <w:r>
        <w:rPr>
          <w:rFonts w:hint="eastAsia" w:ascii="仿宋_GB2312" w:hAnsi="仿宋_GB2312" w:eastAsia="仿宋_GB2312" w:cs="仿宋_GB2312"/>
          <w:color w:val="auto"/>
          <w:sz w:val="32"/>
          <w:szCs w:val="32"/>
          <w:highlight w:val="none"/>
        </w:rPr>
        <w:t>预算编制阶段，组织对</w:t>
      </w:r>
      <w:r>
        <w:rPr>
          <w:rFonts w:hint="eastAsia" w:ascii="仿宋_GB2312" w:hAnsi="仿宋_GB2312" w:eastAsia="仿宋_GB2312" w:cs="仿宋_GB2312"/>
          <w:sz w:val="32"/>
          <w:szCs w:val="32"/>
        </w:rPr>
        <w:t>各单位征订党报党刊款</w:t>
      </w:r>
      <w:r>
        <w:rPr>
          <w:rFonts w:hint="eastAsia" w:ascii="仿宋_GB2312" w:hAnsi="仿宋_GB2312" w:eastAsia="仿宋_GB2312" w:cs="仿宋_GB2312"/>
          <w:color w:val="auto"/>
          <w:sz w:val="32"/>
          <w:szCs w:val="32"/>
          <w:highlight w:val="none"/>
        </w:rPr>
        <w:t>项目</w:t>
      </w:r>
      <w:r>
        <w:rPr>
          <w:rFonts w:hint="eastAsia" w:ascii="仿宋_GB2312" w:hAnsi="仿宋_GB2312" w:eastAsia="仿宋_GB2312" w:cs="仿宋_GB2312"/>
          <w:color w:val="auto"/>
          <w:sz w:val="32"/>
          <w:szCs w:val="32"/>
          <w:highlight w:val="none"/>
          <w:lang w:eastAsia="zh-CN"/>
        </w:rPr>
        <w:t>等</w:t>
      </w:r>
      <w:r>
        <w:rPr>
          <w:rFonts w:hint="eastAsia" w:ascii="仿宋_GB2312" w:hAnsi="仿宋_GB2312" w:eastAsia="仿宋_GB2312" w:cs="仿宋_GB2312"/>
          <w:color w:val="auto"/>
          <w:sz w:val="32"/>
          <w:szCs w:val="32"/>
          <w:highlight w:val="none"/>
          <w:lang w:val="en-US" w:eastAsia="zh-CN"/>
        </w:rPr>
        <w:t>18个项目</w:t>
      </w:r>
      <w:r>
        <w:rPr>
          <w:rFonts w:hint="eastAsia" w:ascii="仿宋_GB2312" w:hAnsi="仿宋_GB2312" w:eastAsia="仿宋_GB2312" w:cs="仿宋_GB2312"/>
          <w:color w:val="auto"/>
          <w:sz w:val="32"/>
          <w:szCs w:val="32"/>
          <w:highlight w:val="none"/>
        </w:rPr>
        <w:t>开展了预算事前绩效评估，对</w:t>
      </w:r>
      <w:r>
        <w:rPr>
          <w:rFonts w:hint="eastAsia" w:ascii="仿宋_GB2312" w:hAnsi="仿宋_GB2312" w:eastAsia="仿宋_GB2312" w:cs="仿宋_GB2312"/>
          <w:color w:val="auto"/>
          <w:sz w:val="32"/>
          <w:szCs w:val="32"/>
          <w:highlight w:val="none"/>
          <w:lang w:val="en-US" w:eastAsia="zh-CN"/>
        </w:rPr>
        <w:t>18</w:t>
      </w:r>
      <w:r>
        <w:rPr>
          <w:rFonts w:hint="eastAsia" w:ascii="仿宋_GB2312" w:hAnsi="仿宋_GB2312" w:eastAsia="仿宋_GB2312" w:cs="仿宋_GB2312"/>
          <w:color w:val="auto"/>
          <w:sz w:val="32"/>
          <w:szCs w:val="32"/>
          <w:highlight w:val="none"/>
        </w:rPr>
        <w:t>个项目编制了绩效目标，预算执行过程中，选取</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个项目开展绩效监控，年终执行完毕后，对</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个项目开展了绩效自评</w:t>
      </w:r>
      <w:r>
        <w:rPr>
          <w:rFonts w:hint="eastAsia" w:ascii="仿宋_GB2312" w:hAnsi="仿宋_GB2312" w:eastAsia="仿宋_GB2312" w:cs="仿宋_GB2312"/>
          <w:color w:val="auto"/>
          <w:sz w:val="32"/>
          <w:szCs w:val="32"/>
          <w:highlight w:val="none"/>
          <w:lang w:eastAsia="zh-CN"/>
        </w:rPr>
        <w:t>。同时，</w:t>
      </w:r>
      <w:r>
        <w:rPr>
          <w:rFonts w:hint="eastAsia" w:ascii="仿宋_GB2312" w:hAnsi="仿宋_GB2312" w:eastAsia="仿宋_GB2312" w:cs="仿宋_GB2312"/>
          <w:color w:val="auto"/>
          <w:sz w:val="32"/>
          <w:szCs w:val="32"/>
          <w:highlight w:val="none"/>
        </w:rPr>
        <w:t>本部门对20</w:t>
      </w:r>
      <w:r>
        <w:rPr>
          <w:rFonts w:hint="eastAsia" w:ascii="仿宋_GB2312" w:hAnsi="仿宋_GB2312" w:eastAsia="仿宋_GB2312" w:cs="仿宋_GB2312"/>
          <w:color w:val="auto"/>
          <w:sz w:val="32"/>
          <w:szCs w:val="32"/>
          <w:highlight w:val="none"/>
          <w:lang w:val="en-US" w:eastAsia="zh-CN"/>
        </w:rPr>
        <w:t>21</w:t>
      </w:r>
      <w:r>
        <w:rPr>
          <w:rFonts w:hint="eastAsia" w:ascii="仿宋_GB2312" w:hAnsi="仿宋_GB2312" w:eastAsia="仿宋_GB2312" w:cs="仿宋_GB2312"/>
          <w:color w:val="auto"/>
          <w:sz w:val="32"/>
          <w:szCs w:val="32"/>
          <w:highlight w:val="none"/>
        </w:rPr>
        <w:t>年部门整体开展绩效自评，《202</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eastAsia="zh-CN"/>
        </w:rPr>
        <w:t>中共沐川县委宣传部</w:t>
      </w:r>
      <w:r>
        <w:rPr>
          <w:rFonts w:hint="eastAsia" w:ascii="仿宋_GB2312" w:hAnsi="仿宋_GB2312" w:eastAsia="仿宋_GB2312" w:cs="仿宋_GB2312"/>
          <w:color w:val="auto"/>
          <w:sz w:val="32"/>
          <w:szCs w:val="32"/>
          <w:highlight w:val="none"/>
        </w:rPr>
        <w:t>部门整体绩效评价报告》见附件（</w:t>
      </w:r>
      <w:r>
        <w:rPr>
          <w:rFonts w:hint="eastAsia" w:ascii="仿宋_GB2312" w:hAnsi="仿宋_GB2312" w:eastAsia="仿宋_GB2312" w:cs="仿宋_GB2312"/>
          <w:color w:val="auto"/>
          <w:sz w:val="32"/>
          <w:szCs w:val="32"/>
          <w:highlight w:val="none"/>
          <w:lang w:eastAsia="zh-CN"/>
        </w:rPr>
        <w:t>第四部分</w:t>
      </w:r>
      <w:r>
        <w:rPr>
          <w:rFonts w:hint="eastAsia" w:ascii="仿宋_GB2312" w:hAnsi="仿宋_GB2312" w:eastAsia="仿宋_GB2312" w:cs="仿宋_GB2312"/>
          <w:color w:val="auto"/>
          <w:sz w:val="32"/>
          <w:szCs w:val="32"/>
          <w:highlight w:val="none"/>
        </w:rPr>
        <w:t>）。</w:t>
      </w:r>
    </w:p>
    <w:p>
      <w:pPr>
        <w:widowControl/>
        <w:jc w:val="left"/>
        <w:rPr>
          <w:rFonts w:ascii="仿宋_GB2312" w:eastAsia="仿宋_GB2312"/>
          <w:b/>
          <w:color w:val="auto"/>
          <w:sz w:val="32"/>
          <w:szCs w:val="32"/>
          <w:highlight w:val="none"/>
        </w:rPr>
      </w:pPr>
      <w:r>
        <w:rPr>
          <w:rFonts w:ascii="仿宋_GB2312" w:eastAsia="仿宋_GB2312"/>
          <w:b/>
          <w:color w:val="auto"/>
          <w:sz w:val="32"/>
          <w:szCs w:val="32"/>
          <w:highlight w:val="none"/>
        </w:rPr>
        <w:br w:type="page"/>
      </w:r>
    </w:p>
    <w:p>
      <w:pPr>
        <w:numPr>
          <w:ilvl w:val="0"/>
          <w:numId w:val="4"/>
        </w:numPr>
        <w:spacing w:line="600" w:lineRule="exact"/>
        <w:ind w:firstLine="660" w:firstLineChars="150"/>
        <w:jc w:val="center"/>
        <w:outlineLvl w:val="0"/>
        <w:rPr>
          <w:rStyle w:val="24"/>
          <w:rFonts w:ascii="黑体" w:hAnsi="黑体" w:eastAsia="黑体"/>
          <w:b w:val="0"/>
          <w:color w:val="auto"/>
          <w:highlight w:val="none"/>
        </w:rPr>
      </w:pPr>
      <w:bookmarkStart w:id="68" w:name="_Toc15377225"/>
      <w:bookmarkStart w:id="69" w:name="_Toc15396613"/>
      <w:bookmarkStart w:id="70" w:name="_Toc9855"/>
      <w:r>
        <w:rPr>
          <w:rFonts w:hint="eastAsia" w:ascii="黑体" w:hAnsi="黑体" w:eastAsia="黑体"/>
          <w:color w:val="auto"/>
          <w:sz w:val="44"/>
          <w:szCs w:val="44"/>
          <w:highlight w:val="none"/>
        </w:rPr>
        <w:t>名</w:t>
      </w:r>
      <w:r>
        <w:rPr>
          <w:rStyle w:val="24"/>
          <w:rFonts w:hint="eastAsia" w:ascii="黑体" w:hAnsi="黑体" w:eastAsia="黑体"/>
          <w:b w:val="0"/>
          <w:color w:val="auto"/>
          <w:highlight w:val="none"/>
        </w:rPr>
        <w:t>词解释</w:t>
      </w:r>
      <w:bookmarkEnd w:id="68"/>
      <w:bookmarkEnd w:id="69"/>
      <w:bookmarkEnd w:id="70"/>
    </w:p>
    <w:p>
      <w:pPr>
        <w:spacing w:line="600" w:lineRule="exact"/>
        <w:jc w:val="left"/>
        <w:rPr>
          <w:rFonts w:ascii="宋体"/>
          <w:b/>
          <w:color w:val="auto"/>
          <w:sz w:val="44"/>
          <w:szCs w:val="44"/>
          <w:highlight w:val="none"/>
        </w:rPr>
      </w:pPr>
    </w:p>
    <w:p>
      <w:pPr>
        <w:pStyle w:val="22"/>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1.</w:t>
      </w:r>
      <w:r>
        <w:rPr>
          <w:rFonts w:hint="eastAsia" w:ascii="仿宋_GB2312" w:eastAsia="仿宋_GB2312"/>
          <w:color w:val="auto"/>
          <w:sz w:val="32"/>
          <w:szCs w:val="32"/>
          <w:highlight w:val="none"/>
        </w:rPr>
        <w:t>财政拨款收入：指单位从同级财政部门取得的财政预算资金。</w:t>
      </w:r>
    </w:p>
    <w:p>
      <w:pPr>
        <w:pStyle w:val="22"/>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w:t>
      </w:r>
      <w:r>
        <w:rPr>
          <w:rFonts w:hint="eastAsia" w:ascii="仿宋_GB2312" w:eastAsia="仿宋_GB2312"/>
          <w:color w:val="auto"/>
          <w:sz w:val="32"/>
          <w:szCs w:val="32"/>
          <w:highlight w:val="none"/>
        </w:rPr>
        <w:t>事业收入：指事业单位开展专业业务活动及辅助活动取得的收入。</w:t>
      </w:r>
    </w:p>
    <w:p>
      <w:pPr>
        <w:pStyle w:val="22"/>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3.</w:t>
      </w:r>
      <w:r>
        <w:rPr>
          <w:rFonts w:hint="eastAsia" w:ascii="仿宋_GB2312" w:eastAsia="仿宋_GB2312"/>
          <w:color w:val="auto"/>
          <w:sz w:val="32"/>
          <w:szCs w:val="32"/>
          <w:highlight w:val="none"/>
        </w:rPr>
        <w:t>经营收入：指事业单位在专业业务活动及其辅助活动之外开展非独立核算经营活动取得的收入。</w:t>
      </w:r>
    </w:p>
    <w:p>
      <w:pPr>
        <w:pStyle w:val="22"/>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4.</w:t>
      </w:r>
      <w:r>
        <w:rPr>
          <w:rFonts w:hint="eastAsia" w:ascii="仿宋_GB2312" w:eastAsia="仿宋_GB2312"/>
          <w:color w:val="auto"/>
          <w:sz w:val="32"/>
          <w:szCs w:val="32"/>
          <w:highlight w:val="none"/>
        </w:rPr>
        <w:t>其他收入：指单位取得的除上述收入以外的各项收入。</w:t>
      </w:r>
    </w:p>
    <w:p>
      <w:pPr>
        <w:pStyle w:val="22"/>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5.</w:t>
      </w:r>
      <w:r>
        <w:rPr>
          <w:rFonts w:hint="eastAsia" w:ascii="仿宋_GB2312" w:eastAsia="仿宋_GB2312"/>
          <w:color w:val="auto"/>
          <w:sz w:val="32"/>
          <w:szCs w:val="32"/>
          <w:highlight w:val="none"/>
          <w:lang w:eastAsia="zh-CN"/>
        </w:rPr>
        <w:t>使用非财政拨款结余</w:t>
      </w:r>
      <w:r>
        <w:rPr>
          <w:rFonts w:hint="eastAsia" w:ascii="仿宋_GB2312" w:eastAsia="仿宋_GB2312"/>
          <w:color w:val="auto"/>
          <w:sz w:val="32"/>
          <w:szCs w:val="32"/>
          <w:highlight w:val="none"/>
        </w:rPr>
        <w:t>：指事业单位</w:t>
      </w:r>
      <w:r>
        <w:rPr>
          <w:rFonts w:hint="eastAsia" w:ascii="仿宋_GB2312" w:eastAsia="仿宋_GB2312"/>
          <w:color w:val="auto"/>
          <w:sz w:val="32"/>
          <w:szCs w:val="32"/>
          <w:highlight w:val="none"/>
          <w:lang w:eastAsia="zh-CN"/>
        </w:rPr>
        <w:t>使用以前年度积累的非财政拨款结余弥补当年收支差额的金额。</w:t>
      </w:r>
      <w:r>
        <w:rPr>
          <w:rFonts w:ascii="仿宋_GB2312" w:eastAsia="仿宋_GB2312"/>
          <w:color w:val="auto"/>
          <w:sz w:val="32"/>
          <w:szCs w:val="32"/>
          <w:highlight w:val="none"/>
        </w:rPr>
        <w:t xml:space="preserve"> </w:t>
      </w:r>
    </w:p>
    <w:p>
      <w:pPr>
        <w:pStyle w:val="22"/>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6.</w:t>
      </w:r>
      <w:r>
        <w:rPr>
          <w:rFonts w:hint="eastAsia" w:ascii="仿宋_GB2312" w:eastAsia="仿宋_GB2312"/>
          <w:color w:val="auto"/>
          <w:sz w:val="32"/>
          <w:szCs w:val="32"/>
          <w:highlight w:val="none"/>
        </w:rPr>
        <w:t>年初结转和结余：指以前年度尚未完成、结转到本年按有关规定继续使用的资金。</w:t>
      </w:r>
      <w:r>
        <w:rPr>
          <w:rFonts w:ascii="仿宋_GB2312" w:eastAsia="仿宋_GB2312"/>
          <w:color w:val="auto"/>
          <w:sz w:val="32"/>
          <w:szCs w:val="32"/>
          <w:highlight w:val="none"/>
        </w:rPr>
        <w:t xml:space="preserve"> </w:t>
      </w:r>
    </w:p>
    <w:p>
      <w:pPr>
        <w:pStyle w:val="22"/>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7.</w:t>
      </w:r>
      <w:r>
        <w:rPr>
          <w:rFonts w:hint="eastAsia" w:ascii="仿宋_GB2312" w:eastAsia="仿宋_GB2312"/>
          <w:color w:val="auto"/>
          <w:sz w:val="32"/>
          <w:szCs w:val="32"/>
          <w:highlight w:val="none"/>
        </w:rPr>
        <w:t>结余分配：指事业单位按照会计制度规定</w:t>
      </w:r>
      <w:r>
        <w:rPr>
          <w:rFonts w:hint="eastAsia" w:ascii="仿宋_GB2312" w:eastAsia="仿宋_GB2312"/>
          <w:color w:val="auto"/>
          <w:sz w:val="32"/>
          <w:szCs w:val="32"/>
          <w:highlight w:val="none"/>
          <w:lang w:eastAsia="zh-CN"/>
        </w:rPr>
        <w:t>缴纳的所得税、提取的专用结余以及转入非财政拨款结余的金额</w:t>
      </w:r>
      <w:r>
        <w:rPr>
          <w:rFonts w:hint="eastAsia" w:ascii="仿宋_GB2312" w:eastAsia="仿宋_GB2312"/>
          <w:color w:val="auto"/>
          <w:sz w:val="32"/>
          <w:szCs w:val="32"/>
          <w:highlight w:val="none"/>
        </w:rPr>
        <w:t>等。</w:t>
      </w:r>
    </w:p>
    <w:p>
      <w:pPr>
        <w:pStyle w:val="22"/>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8</w:t>
      </w:r>
      <w:r>
        <w:rPr>
          <w:rFonts w:hint="eastAsia" w:ascii="仿宋_GB2312" w:eastAsia="仿宋_GB2312"/>
          <w:color w:val="auto"/>
          <w:sz w:val="32"/>
          <w:szCs w:val="32"/>
          <w:highlight w:val="none"/>
        </w:rPr>
        <w:t>、年末结转和结余：指单位按有关规定结转到下年或以后年度继续使用的资金。</w:t>
      </w:r>
    </w:p>
    <w:p>
      <w:pPr>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9、</w:t>
      </w:r>
      <w:r>
        <w:rPr>
          <w:rFonts w:hint="eastAsia" w:ascii="仿宋_GB2312" w:eastAsia="仿宋_GB2312"/>
          <w:color w:val="auto"/>
          <w:sz w:val="32"/>
          <w:szCs w:val="32"/>
          <w:highlight w:val="none"/>
        </w:rPr>
        <w:t>一般公共服务（类）宣传事务（款）行政运行（项）：指用于保障县委宣传部机关正常运转，为完成特定的工作任务，用于行政运行方面的经费支出。</w:t>
      </w:r>
    </w:p>
    <w:p>
      <w:pPr>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10</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一般公共服务（类）宣传事务（款）一般行政管理事务（项）：指用于保障县委宣传部机关正常运转，用于一般行政管理事务方面的经费支出。</w:t>
      </w:r>
    </w:p>
    <w:p>
      <w:pPr>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11</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一般公共服务（类）宣传事务（款）事业运行（项）：指用于保障事业单位正常运转，用于事业运行方面的经费支出。</w:t>
      </w:r>
    </w:p>
    <w:p>
      <w:pPr>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12</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一般公共服务（类）宣传事务（款）</w:t>
      </w:r>
      <w:r>
        <w:rPr>
          <w:rFonts w:hint="eastAsia" w:ascii="仿宋_GB2312" w:eastAsia="仿宋_GB2312"/>
          <w:color w:val="auto"/>
          <w:sz w:val="32"/>
          <w:szCs w:val="32"/>
          <w:highlight w:val="none"/>
          <w:lang w:eastAsia="zh-CN"/>
        </w:rPr>
        <w:t>其他宣传事务支出</w:t>
      </w:r>
      <w:r>
        <w:rPr>
          <w:rFonts w:hint="eastAsia" w:ascii="仿宋_GB2312" w:eastAsia="仿宋_GB2312"/>
          <w:color w:val="auto"/>
          <w:sz w:val="32"/>
          <w:szCs w:val="32"/>
          <w:highlight w:val="none"/>
        </w:rPr>
        <w:t>（项）：指用于保障</w:t>
      </w:r>
      <w:r>
        <w:rPr>
          <w:rFonts w:hint="eastAsia" w:ascii="仿宋_GB2312" w:eastAsia="仿宋_GB2312"/>
          <w:color w:val="auto"/>
          <w:sz w:val="32"/>
          <w:szCs w:val="32"/>
          <w:highlight w:val="none"/>
          <w:lang w:eastAsia="zh-CN"/>
        </w:rPr>
        <w:t>单位开展其他宣传事务</w:t>
      </w:r>
      <w:r>
        <w:rPr>
          <w:rFonts w:hint="eastAsia" w:ascii="仿宋_GB2312" w:eastAsia="仿宋_GB2312"/>
          <w:color w:val="auto"/>
          <w:sz w:val="32"/>
          <w:szCs w:val="32"/>
          <w:highlight w:val="none"/>
        </w:rPr>
        <w:t>，用于</w:t>
      </w:r>
      <w:r>
        <w:rPr>
          <w:rFonts w:hint="eastAsia" w:ascii="仿宋_GB2312" w:eastAsia="仿宋_GB2312"/>
          <w:color w:val="auto"/>
          <w:sz w:val="32"/>
          <w:szCs w:val="32"/>
          <w:highlight w:val="none"/>
          <w:lang w:eastAsia="zh-CN"/>
        </w:rPr>
        <w:t>其他宣传事务</w:t>
      </w:r>
      <w:r>
        <w:rPr>
          <w:rFonts w:hint="eastAsia" w:ascii="仿宋_GB2312" w:eastAsia="仿宋_GB2312"/>
          <w:color w:val="auto"/>
          <w:sz w:val="32"/>
          <w:szCs w:val="32"/>
          <w:highlight w:val="none"/>
        </w:rPr>
        <w:t>方面的经费支出。</w:t>
      </w:r>
    </w:p>
    <w:p>
      <w:pPr>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1</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文化</w:t>
      </w:r>
      <w:r>
        <w:rPr>
          <w:rFonts w:hint="eastAsia" w:ascii="仿宋_GB2312" w:eastAsia="仿宋_GB2312"/>
          <w:color w:val="auto"/>
          <w:sz w:val="32"/>
          <w:szCs w:val="32"/>
          <w:highlight w:val="none"/>
          <w:lang w:eastAsia="zh-CN"/>
        </w:rPr>
        <w:t>旅游</w:t>
      </w:r>
      <w:r>
        <w:rPr>
          <w:rFonts w:hint="eastAsia" w:ascii="仿宋_GB2312" w:eastAsia="仿宋_GB2312"/>
          <w:color w:val="auto"/>
          <w:sz w:val="32"/>
          <w:szCs w:val="32"/>
          <w:highlight w:val="none"/>
        </w:rPr>
        <w:t>体育与传媒支出（类）</w:t>
      </w:r>
      <w:r>
        <w:rPr>
          <w:rFonts w:hint="eastAsia" w:ascii="仿宋_GB2312" w:eastAsia="仿宋_GB2312"/>
          <w:color w:val="auto"/>
          <w:sz w:val="32"/>
          <w:szCs w:val="32"/>
          <w:highlight w:val="none"/>
          <w:lang w:eastAsia="zh-CN"/>
        </w:rPr>
        <w:t>文化和旅游</w:t>
      </w:r>
      <w:r>
        <w:rPr>
          <w:rFonts w:hint="eastAsia" w:ascii="仿宋_GB2312" w:eastAsia="仿宋_GB2312"/>
          <w:color w:val="auto"/>
          <w:sz w:val="32"/>
          <w:szCs w:val="32"/>
          <w:highlight w:val="none"/>
        </w:rPr>
        <w:t>（款）</w:t>
      </w:r>
      <w:r>
        <w:rPr>
          <w:rFonts w:hint="eastAsia" w:ascii="仿宋_GB2312" w:eastAsia="仿宋_GB2312"/>
          <w:color w:val="auto"/>
          <w:sz w:val="32"/>
          <w:szCs w:val="32"/>
          <w:highlight w:val="none"/>
          <w:lang w:eastAsia="zh-CN"/>
        </w:rPr>
        <w:t>其他文化和旅游支出</w:t>
      </w:r>
      <w:r>
        <w:rPr>
          <w:rFonts w:hint="eastAsia" w:ascii="仿宋_GB2312" w:eastAsia="仿宋_GB2312"/>
          <w:color w:val="auto"/>
          <w:sz w:val="32"/>
          <w:szCs w:val="32"/>
          <w:highlight w:val="none"/>
        </w:rPr>
        <w:t>（项）：指用于保障</w:t>
      </w:r>
      <w:r>
        <w:rPr>
          <w:rFonts w:hint="eastAsia" w:ascii="仿宋_GB2312" w:eastAsia="仿宋_GB2312"/>
          <w:color w:val="auto"/>
          <w:sz w:val="32"/>
          <w:szCs w:val="32"/>
          <w:highlight w:val="none"/>
          <w:lang w:eastAsia="zh-CN"/>
        </w:rPr>
        <w:t>其他文化和旅游</w:t>
      </w:r>
      <w:r>
        <w:rPr>
          <w:rFonts w:hint="eastAsia" w:ascii="仿宋_GB2312" w:eastAsia="仿宋_GB2312"/>
          <w:color w:val="auto"/>
          <w:sz w:val="32"/>
          <w:szCs w:val="32"/>
          <w:highlight w:val="none"/>
        </w:rPr>
        <w:t>工作方面的经费支出。</w:t>
      </w:r>
    </w:p>
    <w:p>
      <w:pPr>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1</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文化</w:t>
      </w:r>
      <w:r>
        <w:rPr>
          <w:rFonts w:hint="eastAsia" w:ascii="仿宋_GB2312" w:eastAsia="仿宋_GB2312"/>
          <w:color w:val="auto"/>
          <w:sz w:val="32"/>
          <w:szCs w:val="32"/>
          <w:highlight w:val="none"/>
          <w:lang w:eastAsia="zh-CN"/>
        </w:rPr>
        <w:t>旅游</w:t>
      </w:r>
      <w:r>
        <w:rPr>
          <w:rFonts w:hint="eastAsia" w:ascii="仿宋_GB2312" w:eastAsia="仿宋_GB2312"/>
          <w:color w:val="auto"/>
          <w:sz w:val="32"/>
          <w:szCs w:val="32"/>
          <w:highlight w:val="none"/>
        </w:rPr>
        <w:t>体育与传媒支出（类）</w:t>
      </w:r>
      <w:r>
        <w:rPr>
          <w:rFonts w:hint="eastAsia" w:ascii="仿宋_GB2312" w:eastAsia="仿宋_GB2312"/>
          <w:color w:val="auto"/>
          <w:sz w:val="32"/>
          <w:szCs w:val="32"/>
          <w:highlight w:val="none"/>
          <w:lang w:eastAsia="zh-CN"/>
        </w:rPr>
        <w:t>新闻出版电影</w:t>
      </w:r>
      <w:r>
        <w:rPr>
          <w:rFonts w:hint="eastAsia" w:ascii="仿宋_GB2312" w:eastAsia="仿宋_GB2312"/>
          <w:color w:val="auto"/>
          <w:sz w:val="32"/>
          <w:szCs w:val="32"/>
          <w:highlight w:val="none"/>
        </w:rPr>
        <w:t>（款）</w:t>
      </w:r>
      <w:r>
        <w:rPr>
          <w:rFonts w:hint="eastAsia" w:ascii="仿宋_GB2312" w:eastAsia="仿宋_GB2312"/>
          <w:color w:val="auto"/>
          <w:sz w:val="32"/>
          <w:szCs w:val="32"/>
          <w:highlight w:val="none"/>
          <w:lang w:eastAsia="zh-CN"/>
        </w:rPr>
        <w:t>电影</w:t>
      </w:r>
      <w:r>
        <w:rPr>
          <w:rFonts w:hint="eastAsia" w:ascii="仿宋_GB2312" w:eastAsia="仿宋_GB2312"/>
          <w:color w:val="auto"/>
          <w:sz w:val="32"/>
          <w:szCs w:val="32"/>
          <w:highlight w:val="none"/>
        </w:rPr>
        <w:t>（项）：指用于保障</w:t>
      </w:r>
      <w:r>
        <w:rPr>
          <w:rFonts w:hint="eastAsia" w:ascii="仿宋_GB2312" w:eastAsia="仿宋_GB2312"/>
          <w:color w:val="auto"/>
          <w:sz w:val="32"/>
          <w:szCs w:val="32"/>
          <w:highlight w:val="none"/>
          <w:lang w:eastAsia="zh-CN"/>
        </w:rPr>
        <w:t>电影</w:t>
      </w:r>
      <w:r>
        <w:rPr>
          <w:rFonts w:hint="eastAsia" w:ascii="仿宋_GB2312" w:eastAsia="仿宋_GB2312"/>
          <w:color w:val="auto"/>
          <w:sz w:val="32"/>
          <w:szCs w:val="32"/>
          <w:highlight w:val="none"/>
        </w:rPr>
        <w:t>工作方面的经费支出。</w:t>
      </w:r>
    </w:p>
    <w:p>
      <w:pPr>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1</w:t>
      </w:r>
      <w:r>
        <w:rPr>
          <w:rFonts w:hint="eastAsia" w:ascii="仿宋_GB2312" w:eastAsia="仿宋_GB2312"/>
          <w:color w:val="auto"/>
          <w:sz w:val="32"/>
          <w:szCs w:val="32"/>
          <w:highlight w:val="none"/>
          <w:lang w:val="en-US" w:eastAsia="zh-CN"/>
        </w:rPr>
        <w:t>5</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文化</w:t>
      </w:r>
      <w:r>
        <w:rPr>
          <w:rFonts w:hint="eastAsia" w:ascii="仿宋_GB2312" w:eastAsia="仿宋_GB2312"/>
          <w:color w:val="auto"/>
          <w:sz w:val="32"/>
          <w:szCs w:val="32"/>
          <w:highlight w:val="none"/>
          <w:lang w:eastAsia="zh-CN"/>
        </w:rPr>
        <w:t>旅游</w:t>
      </w:r>
      <w:r>
        <w:rPr>
          <w:rFonts w:hint="eastAsia" w:ascii="仿宋_GB2312" w:eastAsia="仿宋_GB2312"/>
          <w:color w:val="auto"/>
          <w:sz w:val="32"/>
          <w:szCs w:val="32"/>
          <w:highlight w:val="none"/>
        </w:rPr>
        <w:t>体育与传媒支出（类）</w:t>
      </w:r>
      <w:r>
        <w:rPr>
          <w:rFonts w:hint="eastAsia" w:ascii="仿宋_GB2312" w:eastAsia="仿宋_GB2312"/>
          <w:color w:val="auto"/>
          <w:sz w:val="32"/>
          <w:szCs w:val="32"/>
          <w:highlight w:val="none"/>
          <w:lang w:eastAsia="zh-CN"/>
        </w:rPr>
        <w:t>新闻出版电影</w:t>
      </w:r>
      <w:r>
        <w:rPr>
          <w:rFonts w:hint="eastAsia" w:ascii="仿宋_GB2312" w:eastAsia="仿宋_GB2312"/>
          <w:color w:val="auto"/>
          <w:sz w:val="32"/>
          <w:szCs w:val="32"/>
          <w:highlight w:val="none"/>
        </w:rPr>
        <w:t>（款）</w:t>
      </w:r>
      <w:r>
        <w:rPr>
          <w:rFonts w:hint="eastAsia" w:ascii="仿宋_GB2312" w:eastAsia="仿宋_GB2312"/>
          <w:color w:val="auto"/>
          <w:sz w:val="32"/>
          <w:szCs w:val="32"/>
          <w:highlight w:val="none"/>
          <w:lang w:eastAsia="zh-CN"/>
        </w:rPr>
        <w:t>其他新闻出版电影支出</w:t>
      </w:r>
      <w:r>
        <w:rPr>
          <w:rFonts w:hint="eastAsia" w:ascii="仿宋_GB2312" w:eastAsia="仿宋_GB2312"/>
          <w:color w:val="auto"/>
          <w:sz w:val="32"/>
          <w:szCs w:val="32"/>
          <w:highlight w:val="none"/>
        </w:rPr>
        <w:t>（项）：指用于保障</w:t>
      </w:r>
      <w:r>
        <w:rPr>
          <w:rFonts w:hint="eastAsia" w:ascii="仿宋_GB2312" w:eastAsia="仿宋_GB2312"/>
          <w:color w:val="auto"/>
          <w:sz w:val="32"/>
          <w:szCs w:val="32"/>
          <w:highlight w:val="none"/>
          <w:lang w:eastAsia="zh-CN"/>
        </w:rPr>
        <w:t>其他新闻出版电影</w:t>
      </w:r>
      <w:r>
        <w:rPr>
          <w:rFonts w:hint="eastAsia" w:ascii="仿宋_GB2312" w:eastAsia="仿宋_GB2312"/>
          <w:color w:val="auto"/>
          <w:sz w:val="32"/>
          <w:szCs w:val="32"/>
          <w:highlight w:val="none"/>
        </w:rPr>
        <w:t>工作方面的经费支出。</w:t>
      </w:r>
    </w:p>
    <w:p>
      <w:pPr>
        <w:ind w:firstLine="640" w:firstLineChars="200"/>
        <w:rPr>
          <w:rFonts w:hint="eastAsia"/>
        </w:rPr>
      </w:pPr>
      <w:r>
        <w:rPr>
          <w:rFonts w:hint="eastAsia" w:ascii="仿宋_GB2312" w:eastAsia="仿宋_GB2312"/>
          <w:color w:val="auto"/>
          <w:sz w:val="32"/>
          <w:szCs w:val="32"/>
          <w:highlight w:val="none"/>
        </w:rPr>
        <w:t>1</w:t>
      </w:r>
      <w:r>
        <w:rPr>
          <w:rFonts w:hint="eastAsia" w:ascii="仿宋_GB2312" w:eastAsia="仿宋_GB2312"/>
          <w:color w:val="auto"/>
          <w:sz w:val="32"/>
          <w:szCs w:val="32"/>
          <w:highlight w:val="none"/>
          <w:lang w:val="en-US" w:eastAsia="zh-CN"/>
        </w:rPr>
        <w:t>6</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文化</w:t>
      </w:r>
      <w:r>
        <w:rPr>
          <w:rFonts w:hint="eastAsia" w:ascii="仿宋_GB2312" w:eastAsia="仿宋_GB2312"/>
          <w:color w:val="auto"/>
          <w:sz w:val="32"/>
          <w:szCs w:val="32"/>
          <w:highlight w:val="none"/>
          <w:lang w:eastAsia="zh-CN"/>
        </w:rPr>
        <w:t>旅游</w:t>
      </w:r>
      <w:r>
        <w:rPr>
          <w:rFonts w:hint="eastAsia" w:ascii="仿宋_GB2312" w:eastAsia="仿宋_GB2312"/>
          <w:color w:val="auto"/>
          <w:sz w:val="32"/>
          <w:szCs w:val="32"/>
          <w:highlight w:val="none"/>
        </w:rPr>
        <w:t>体育与传媒支出（类）</w:t>
      </w:r>
      <w:r>
        <w:rPr>
          <w:rFonts w:hint="eastAsia" w:ascii="仿宋_GB2312" w:eastAsia="仿宋_GB2312"/>
          <w:color w:val="auto"/>
          <w:sz w:val="32"/>
          <w:szCs w:val="32"/>
          <w:highlight w:val="none"/>
          <w:lang w:eastAsia="zh-CN"/>
        </w:rPr>
        <w:t>其他文化旅游体育与传媒支出</w:t>
      </w:r>
      <w:r>
        <w:rPr>
          <w:rFonts w:hint="eastAsia" w:ascii="仿宋_GB2312" w:eastAsia="仿宋_GB2312"/>
          <w:color w:val="auto"/>
          <w:sz w:val="32"/>
          <w:szCs w:val="32"/>
          <w:highlight w:val="none"/>
        </w:rPr>
        <w:t>（款）</w:t>
      </w:r>
      <w:r>
        <w:rPr>
          <w:rFonts w:hint="eastAsia" w:ascii="仿宋_GB2312" w:eastAsia="仿宋_GB2312"/>
          <w:color w:val="auto"/>
          <w:sz w:val="32"/>
          <w:szCs w:val="32"/>
          <w:highlight w:val="none"/>
          <w:lang w:eastAsia="zh-CN"/>
        </w:rPr>
        <w:t>文化产业发展专项支出</w:t>
      </w:r>
      <w:r>
        <w:rPr>
          <w:rFonts w:hint="eastAsia" w:ascii="仿宋_GB2312" w:eastAsia="仿宋_GB2312"/>
          <w:color w:val="auto"/>
          <w:sz w:val="32"/>
          <w:szCs w:val="32"/>
          <w:highlight w:val="none"/>
        </w:rPr>
        <w:t>（项）：指用于保障</w:t>
      </w:r>
      <w:r>
        <w:rPr>
          <w:rFonts w:hint="eastAsia" w:ascii="仿宋_GB2312" w:eastAsia="仿宋_GB2312"/>
          <w:color w:val="auto"/>
          <w:sz w:val="32"/>
          <w:szCs w:val="32"/>
          <w:highlight w:val="none"/>
          <w:lang w:eastAsia="zh-CN"/>
        </w:rPr>
        <w:t>文化产业发展专项</w:t>
      </w:r>
      <w:r>
        <w:rPr>
          <w:rFonts w:hint="eastAsia" w:ascii="仿宋_GB2312" w:eastAsia="仿宋_GB2312"/>
          <w:color w:val="auto"/>
          <w:sz w:val="32"/>
          <w:szCs w:val="32"/>
          <w:highlight w:val="none"/>
        </w:rPr>
        <w:t>工作方面的经费支出。</w:t>
      </w:r>
    </w:p>
    <w:p>
      <w:pPr>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1</w:t>
      </w:r>
      <w:r>
        <w:rPr>
          <w:rFonts w:hint="eastAsia" w:ascii="仿宋_GB2312" w:eastAsia="仿宋_GB2312"/>
          <w:color w:val="auto"/>
          <w:sz w:val="32"/>
          <w:szCs w:val="32"/>
          <w:highlight w:val="none"/>
          <w:lang w:val="en-US" w:eastAsia="zh-CN"/>
        </w:rPr>
        <w:t>7</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文化</w:t>
      </w:r>
      <w:r>
        <w:rPr>
          <w:rFonts w:hint="eastAsia" w:ascii="仿宋_GB2312" w:eastAsia="仿宋_GB2312"/>
          <w:color w:val="auto"/>
          <w:sz w:val="32"/>
          <w:szCs w:val="32"/>
          <w:highlight w:val="none"/>
          <w:lang w:eastAsia="zh-CN"/>
        </w:rPr>
        <w:t>旅游</w:t>
      </w:r>
      <w:r>
        <w:rPr>
          <w:rFonts w:hint="eastAsia" w:ascii="仿宋_GB2312" w:eastAsia="仿宋_GB2312"/>
          <w:color w:val="auto"/>
          <w:sz w:val="32"/>
          <w:szCs w:val="32"/>
          <w:highlight w:val="none"/>
        </w:rPr>
        <w:t>体育与传媒支出（类）</w:t>
      </w:r>
      <w:r>
        <w:rPr>
          <w:rFonts w:hint="eastAsia" w:ascii="仿宋_GB2312" w:eastAsia="仿宋_GB2312"/>
          <w:color w:val="auto"/>
          <w:sz w:val="32"/>
          <w:szCs w:val="32"/>
          <w:highlight w:val="none"/>
          <w:lang w:eastAsia="zh-CN"/>
        </w:rPr>
        <w:t>其他文化旅游体育与传媒支出</w:t>
      </w:r>
      <w:r>
        <w:rPr>
          <w:rFonts w:hint="eastAsia" w:ascii="仿宋_GB2312" w:eastAsia="仿宋_GB2312"/>
          <w:color w:val="auto"/>
          <w:sz w:val="32"/>
          <w:szCs w:val="32"/>
          <w:highlight w:val="none"/>
        </w:rPr>
        <w:t>（款）</w:t>
      </w:r>
      <w:r>
        <w:rPr>
          <w:rFonts w:hint="eastAsia" w:ascii="仿宋_GB2312" w:eastAsia="仿宋_GB2312"/>
          <w:color w:val="auto"/>
          <w:sz w:val="32"/>
          <w:szCs w:val="32"/>
          <w:highlight w:val="none"/>
          <w:lang w:eastAsia="zh-CN"/>
        </w:rPr>
        <w:t>其他文化旅游体育与传媒支出</w:t>
      </w:r>
      <w:r>
        <w:rPr>
          <w:rFonts w:hint="eastAsia" w:ascii="仿宋_GB2312" w:eastAsia="仿宋_GB2312"/>
          <w:color w:val="auto"/>
          <w:sz w:val="32"/>
          <w:szCs w:val="32"/>
          <w:highlight w:val="none"/>
        </w:rPr>
        <w:t>（项）：指用于保障</w:t>
      </w:r>
      <w:r>
        <w:rPr>
          <w:rFonts w:hint="eastAsia" w:ascii="仿宋_GB2312" w:eastAsia="仿宋_GB2312"/>
          <w:color w:val="auto"/>
          <w:sz w:val="32"/>
          <w:szCs w:val="32"/>
          <w:highlight w:val="none"/>
          <w:lang w:eastAsia="zh-CN"/>
        </w:rPr>
        <w:t>其他文化旅游体育与传媒</w:t>
      </w:r>
      <w:r>
        <w:rPr>
          <w:rFonts w:hint="eastAsia" w:ascii="仿宋_GB2312" w:eastAsia="仿宋_GB2312"/>
          <w:color w:val="auto"/>
          <w:sz w:val="32"/>
          <w:szCs w:val="32"/>
          <w:highlight w:val="none"/>
        </w:rPr>
        <w:t>工作方面的经费支出。</w:t>
      </w:r>
    </w:p>
    <w:p>
      <w:pPr>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18、</w:t>
      </w:r>
      <w:r>
        <w:rPr>
          <w:rFonts w:hint="eastAsia" w:ascii="仿宋_GB2312" w:eastAsia="仿宋_GB2312"/>
          <w:color w:val="auto"/>
          <w:sz w:val="32"/>
          <w:szCs w:val="32"/>
          <w:highlight w:val="none"/>
        </w:rPr>
        <w:t>社会保障和就业支出（类）行政事业单位</w:t>
      </w:r>
      <w:r>
        <w:rPr>
          <w:rFonts w:hint="eastAsia" w:ascii="仿宋_GB2312" w:eastAsia="仿宋_GB2312"/>
          <w:color w:val="auto"/>
          <w:sz w:val="32"/>
          <w:szCs w:val="32"/>
          <w:highlight w:val="none"/>
          <w:lang w:eastAsia="zh-CN"/>
        </w:rPr>
        <w:t>养老支出</w:t>
      </w:r>
      <w:r>
        <w:rPr>
          <w:rFonts w:hint="eastAsia" w:ascii="仿宋_GB2312" w:eastAsia="仿宋_GB2312"/>
          <w:color w:val="auto"/>
          <w:sz w:val="32"/>
          <w:szCs w:val="32"/>
          <w:highlight w:val="none"/>
        </w:rPr>
        <w:t>（款）机关事业单位基本养老保险缴费支出（项）：指用于机关事业单位基本养老保险缴费支出。</w:t>
      </w:r>
    </w:p>
    <w:p>
      <w:pPr>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19、</w:t>
      </w:r>
      <w:r>
        <w:rPr>
          <w:rFonts w:hint="eastAsia" w:ascii="仿宋_GB2312" w:eastAsia="仿宋_GB2312"/>
          <w:color w:val="auto"/>
          <w:sz w:val="32"/>
          <w:szCs w:val="32"/>
          <w:highlight w:val="none"/>
        </w:rPr>
        <w:t>社会保障和就业支出（类）行政事业单位</w:t>
      </w:r>
      <w:r>
        <w:rPr>
          <w:rFonts w:hint="eastAsia" w:ascii="仿宋_GB2312" w:eastAsia="仿宋_GB2312"/>
          <w:color w:val="auto"/>
          <w:sz w:val="32"/>
          <w:szCs w:val="32"/>
          <w:highlight w:val="none"/>
          <w:lang w:eastAsia="zh-CN"/>
        </w:rPr>
        <w:t>养老支出</w:t>
      </w:r>
      <w:r>
        <w:rPr>
          <w:rFonts w:hint="eastAsia" w:ascii="仿宋_GB2312" w:eastAsia="仿宋_GB2312"/>
          <w:color w:val="auto"/>
          <w:sz w:val="32"/>
          <w:szCs w:val="32"/>
          <w:highlight w:val="none"/>
        </w:rPr>
        <w:t>（款）</w:t>
      </w:r>
      <w:r>
        <w:rPr>
          <w:rFonts w:hint="eastAsia" w:ascii="仿宋_GB2312" w:eastAsia="仿宋_GB2312"/>
          <w:color w:val="auto"/>
          <w:sz w:val="32"/>
          <w:szCs w:val="32"/>
          <w:highlight w:val="none"/>
          <w:lang w:eastAsia="zh-CN"/>
        </w:rPr>
        <w:t>其他行政事业单位养老支出</w:t>
      </w:r>
      <w:r>
        <w:rPr>
          <w:rFonts w:hint="eastAsia" w:ascii="仿宋_GB2312" w:eastAsia="仿宋_GB2312"/>
          <w:color w:val="auto"/>
          <w:sz w:val="32"/>
          <w:szCs w:val="32"/>
          <w:highlight w:val="none"/>
        </w:rPr>
        <w:t>（项）：指用于</w:t>
      </w:r>
      <w:r>
        <w:rPr>
          <w:rFonts w:hint="eastAsia" w:ascii="仿宋_GB2312" w:eastAsia="仿宋_GB2312"/>
          <w:color w:val="auto"/>
          <w:sz w:val="32"/>
          <w:szCs w:val="32"/>
          <w:highlight w:val="none"/>
          <w:lang w:eastAsia="zh-CN"/>
        </w:rPr>
        <w:t>其他行政事业单位养老</w:t>
      </w:r>
      <w:r>
        <w:rPr>
          <w:rFonts w:hint="eastAsia" w:ascii="仿宋_GB2312" w:eastAsia="仿宋_GB2312"/>
          <w:color w:val="auto"/>
          <w:sz w:val="32"/>
          <w:szCs w:val="32"/>
          <w:highlight w:val="none"/>
        </w:rPr>
        <w:t>支出。</w:t>
      </w:r>
    </w:p>
    <w:p>
      <w:pPr>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20</w:t>
      </w:r>
      <w:r>
        <w:rPr>
          <w:rFonts w:hint="eastAsia" w:ascii="仿宋_GB2312" w:eastAsia="仿宋_GB2312"/>
          <w:color w:val="auto"/>
          <w:sz w:val="32"/>
          <w:szCs w:val="32"/>
          <w:highlight w:val="none"/>
          <w:lang w:eastAsia="zh-CN"/>
        </w:rPr>
        <w:t>、卫生健康支出</w:t>
      </w:r>
      <w:r>
        <w:rPr>
          <w:rFonts w:hint="eastAsia" w:ascii="仿宋_GB2312" w:eastAsia="仿宋_GB2312"/>
          <w:color w:val="auto"/>
          <w:sz w:val="32"/>
          <w:szCs w:val="32"/>
          <w:highlight w:val="none"/>
        </w:rPr>
        <w:t>（类）行政事业单位医疗（款）</w:t>
      </w:r>
      <w:r>
        <w:rPr>
          <w:rFonts w:hint="eastAsia" w:ascii="仿宋_GB2312" w:eastAsia="仿宋_GB2312"/>
          <w:color w:val="auto"/>
          <w:sz w:val="32"/>
          <w:szCs w:val="32"/>
          <w:highlight w:val="none"/>
          <w:lang w:eastAsia="zh-CN"/>
        </w:rPr>
        <w:t>事业</w:t>
      </w:r>
      <w:r>
        <w:rPr>
          <w:rFonts w:hint="eastAsia" w:ascii="仿宋_GB2312" w:eastAsia="仿宋_GB2312"/>
          <w:color w:val="auto"/>
          <w:sz w:val="32"/>
          <w:szCs w:val="32"/>
          <w:highlight w:val="none"/>
        </w:rPr>
        <w:t>单位医疗（项）：指用于</w:t>
      </w:r>
      <w:r>
        <w:rPr>
          <w:rFonts w:hint="eastAsia" w:ascii="仿宋_GB2312" w:eastAsia="仿宋_GB2312"/>
          <w:color w:val="auto"/>
          <w:sz w:val="32"/>
          <w:szCs w:val="32"/>
          <w:highlight w:val="none"/>
          <w:lang w:eastAsia="zh-CN"/>
        </w:rPr>
        <w:t>事业</w:t>
      </w:r>
      <w:r>
        <w:rPr>
          <w:rFonts w:hint="eastAsia" w:ascii="仿宋_GB2312" w:eastAsia="仿宋_GB2312"/>
          <w:color w:val="auto"/>
          <w:sz w:val="32"/>
          <w:szCs w:val="32"/>
          <w:highlight w:val="none"/>
        </w:rPr>
        <w:t>单位医疗保险缴费支出。</w:t>
      </w:r>
    </w:p>
    <w:p>
      <w:pPr>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2</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lang w:eastAsia="zh-CN"/>
        </w:rPr>
        <w:t>卫生健康支出</w:t>
      </w:r>
      <w:r>
        <w:rPr>
          <w:rFonts w:hint="eastAsia" w:ascii="仿宋_GB2312" w:eastAsia="仿宋_GB2312"/>
          <w:color w:val="auto"/>
          <w:sz w:val="32"/>
          <w:szCs w:val="32"/>
          <w:highlight w:val="none"/>
        </w:rPr>
        <w:t>（类）行政事业单位医疗（款）</w:t>
      </w:r>
      <w:r>
        <w:rPr>
          <w:rFonts w:hint="eastAsia" w:ascii="仿宋_GB2312" w:eastAsia="仿宋_GB2312"/>
          <w:color w:val="auto"/>
          <w:sz w:val="32"/>
          <w:szCs w:val="32"/>
          <w:highlight w:val="none"/>
          <w:lang w:eastAsia="zh-CN"/>
        </w:rPr>
        <w:t>行政</w:t>
      </w:r>
      <w:r>
        <w:rPr>
          <w:rFonts w:hint="eastAsia" w:ascii="仿宋_GB2312" w:eastAsia="仿宋_GB2312"/>
          <w:color w:val="auto"/>
          <w:sz w:val="32"/>
          <w:szCs w:val="32"/>
          <w:highlight w:val="none"/>
        </w:rPr>
        <w:t>单位医疗（项）：指用于</w:t>
      </w:r>
      <w:r>
        <w:rPr>
          <w:rFonts w:hint="eastAsia" w:ascii="仿宋_GB2312" w:eastAsia="仿宋_GB2312"/>
          <w:color w:val="auto"/>
          <w:sz w:val="32"/>
          <w:szCs w:val="32"/>
          <w:highlight w:val="none"/>
          <w:lang w:eastAsia="zh-CN"/>
        </w:rPr>
        <w:t>行政</w:t>
      </w:r>
      <w:r>
        <w:rPr>
          <w:rFonts w:hint="eastAsia" w:ascii="仿宋_GB2312" w:eastAsia="仿宋_GB2312"/>
          <w:color w:val="auto"/>
          <w:sz w:val="32"/>
          <w:szCs w:val="32"/>
          <w:highlight w:val="none"/>
        </w:rPr>
        <w:t>单位医疗保险缴费支出。</w:t>
      </w:r>
    </w:p>
    <w:p>
      <w:pPr>
        <w:ind w:firstLine="640" w:firstLineChars="200"/>
        <w:rPr>
          <w:rFonts w:hint="eastAsia"/>
        </w:rPr>
      </w:pPr>
      <w:r>
        <w:rPr>
          <w:rFonts w:hint="eastAsia" w:ascii="仿宋_GB2312" w:eastAsia="仿宋_GB2312"/>
          <w:color w:val="auto"/>
          <w:sz w:val="32"/>
          <w:szCs w:val="32"/>
          <w:highlight w:val="none"/>
        </w:rPr>
        <w:t>2</w:t>
      </w:r>
      <w:r>
        <w:rPr>
          <w:rFonts w:hint="eastAsia" w:ascii="仿宋_GB2312" w:eastAsia="仿宋_GB2312"/>
          <w:color w:val="auto"/>
          <w:sz w:val="32"/>
          <w:szCs w:val="32"/>
          <w:highlight w:val="none"/>
          <w:lang w:val="en-US" w:eastAsia="zh-CN"/>
        </w:rPr>
        <w:t>2、</w:t>
      </w:r>
      <w:r>
        <w:rPr>
          <w:rFonts w:hint="eastAsia" w:ascii="仿宋_GB2312" w:eastAsia="仿宋_GB2312"/>
          <w:color w:val="auto"/>
          <w:sz w:val="32"/>
          <w:szCs w:val="32"/>
          <w:highlight w:val="none"/>
          <w:lang w:eastAsia="zh-CN"/>
        </w:rPr>
        <w:t>住房保障支出</w:t>
      </w:r>
      <w:r>
        <w:rPr>
          <w:rFonts w:hint="eastAsia" w:ascii="仿宋_GB2312" w:eastAsia="仿宋_GB2312"/>
          <w:color w:val="auto"/>
          <w:sz w:val="32"/>
          <w:szCs w:val="32"/>
          <w:highlight w:val="none"/>
        </w:rPr>
        <w:t>（类）</w:t>
      </w:r>
      <w:r>
        <w:rPr>
          <w:rFonts w:hint="eastAsia" w:ascii="仿宋_GB2312" w:eastAsia="仿宋_GB2312"/>
          <w:color w:val="auto"/>
          <w:sz w:val="32"/>
          <w:szCs w:val="32"/>
          <w:highlight w:val="none"/>
          <w:lang w:eastAsia="zh-CN"/>
        </w:rPr>
        <w:t>住房改革支出</w:t>
      </w:r>
      <w:r>
        <w:rPr>
          <w:rFonts w:hint="eastAsia" w:ascii="仿宋_GB2312" w:eastAsia="仿宋_GB2312"/>
          <w:color w:val="auto"/>
          <w:sz w:val="32"/>
          <w:szCs w:val="32"/>
          <w:highlight w:val="none"/>
        </w:rPr>
        <w:t>（款）</w:t>
      </w:r>
      <w:r>
        <w:rPr>
          <w:rFonts w:hint="eastAsia" w:ascii="仿宋_GB2312" w:eastAsia="仿宋_GB2312"/>
          <w:color w:val="auto"/>
          <w:sz w:val="32"/>
          <w:szCs w:val="32"/>
          <w:highlight w:val="none"/>
          <w:lang w:eastAsia="zh-CN"/>
        </w:rPr>
        <w:t>住房公积金</w:t>
      </w:r>
      <w:r>
        <w:rPr>
          <w:rFonts w:hint="eastAsia" w:ascii="仿宋_GB2312" w:eastAsia="仿宋_GB2312"/>
          <w:color w:val="auto"/>
          <w:sz w:val="32"/>
          <w:szCs w:val="32"/>
          <w:highlight w:val="none"/>
        </w:rPr>
        <w:t>（项）：指用于</w:t>
      </w:r>
      <w:r>
        <w:rPr>
          <w:rFonts w:hint="eastAsia" w:ascii="仿宋_GB2312" w:eastAsia="仿宋_GB2312"/>
          <w:color w:val="auto"/>
          <w:sz w:val="32"/>
          <w:szCs w:val="32"/>
          <w:highlight w:val="none"/>
          <w:lang w:eastAsia="zh-CN"/>
        </w:rPr>
        <w:t>住房公积金</w:t>
      </w:r>
      <w:r>
        <w:rPr>
          <w:rFonts w:hint="eastAsia" w:ascii="仿宋_GB2312" w:eastAsia="仿宋_GB2312"/>
          <w:color w:val="auto"/>
          <w:sz w:val="32"/>
          <w:szCs w:val="32"/>
          <w:highlight w:val="none"/>
        </w:rPr>
        <w:t>缴费支出。</w:t>
      </w:r>
    </w:p>
    <w:p>
      <w:pPr>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基本支出：指为保障机构正常运转、完成日常工作任务而发生的人员支出和公用支出。</w:t>
      </w:r>
    </w:p>
    <w:p>
      <w:pPr>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项目支出：指在基本支出之外为完成特定行政任务和事业发展目标所发生的支出。</w:t>
      </w:r>
      <w:r>
        <w:rPr>
          <w:rFonts w:ascii="仿宋_GB2312" w:eastAsia="仿宋_GB2312"/>
          <w:color w:val="auto"/>
          <w:sz w:val="32"/>
          <w:szCs w:val="32"/>
          <w:highlight w:val="none"/>
        </w:rPr>
        <w:t xml:space="preserve"> </w:t>
      </w:r>
    </w:p>
    <w:p>
      <w:pPr>
        <w:pStyle w:val="22"/>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25</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26</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4"/>
          <w:rFonts w:hint="eastAsia" w:ascii="黑体" w:hAnsi="黑体" w:eastAsia="黑体"/>
          <w:b w:val="0"/>
          <w:color w:val="auto"/>
          <w:highlight w:val="none"/>
          <w:lang w:eastAsia="zh-CN"/>
        </w:rPr>
      </w:pPr>
      <w:bookmarkStart w:id="71" w:name="_Toc15377226"/>
      <w:r>
        <w:rPr>
          <w:rFonts w:ascii="宋体"/>
          <w:b/>
          <w:color w:val="auto"/>
          <w:sz w:val="44"/>
          <w:szCs w:val="44"/>
          <w:highlight w:val="none"/>
        </w:rPr>
        <w:br w:type="page"/>
      </w:r>
      <w:bookmarkStart w:id="72" w:name="_Toc15396614"/>
      <w:bookmarkStart w:id="73" w:name="_Toc24822"/>
      <w:r>
        <w:rPr>
          <w:rFonts w:hint="eastAsia" w:ascii="黑体" w:hAnsi="黑体" w:eastAsia="黑体"/>
          <w:color w:val="auto"/>
          <w:sz w:val="44"/>
          <w:szCs w:val="44"/>
          <w:highlight w:val="none"/>
        </w:rPr>
        <w:t>第</w:t>
      </w:r>
      <w:r>
        <w:rPr>
          <w:rStyle w:val="24"/>
          <w:rFonts w:hint="eastAsia" w:ascii="黑体" w:hAnsi="黑体" w:eastAsia="黑体"/>
          <w:b w:val="0"/>
          <w:color w:val="auto"/>
          <w:highlight w:val="none"/>
        </w:rPr>
        <w:t>四部分 附件</w:t>
      </w:r>
      <w:bookmarkEnd w:id="72"/>
      <w:bookmarkEnd w:id="73"/>
    </w:p>
    <w:p>
      <w:pPr>
        <w:keepNext w:val="0"/>
        <w:keepLines w:val="0"/>
        <w:pageBreakBefore w:val="0"/>
        <w:kinsoku/>
        <w:wordWrap/>
        <w:overflowPunct/>
        <w:topLinePunct w:val="0"/>
        <w:autoSpaceDE/>
        <w:autoSpaceDN/>
        <w:bidi w:val="0"/>
        <w:spacing w:line="572" w:lineRule="exact"/>
        <w:jc w:val="left"/>
        <w:textAlignment w:val="auto"/>
        <w:outlineLvl w:val="2"/>
        <w:rPr>
          <w:rFonts w:ascii="方正小标宋简体" w:hAnsi="方正小标宋简体" w:eastAsia="方正小标宋简体" w:cs="方正小标宋简体"/>
          <w:color w:val="auto"/>
          <w:sz w:val="44"/>
          <w:szCs w:val="44"/>
          <w:highlight w:val="none"/>
        </w:rPr>
      </w:pPr>
      <w:r>
        <w:rPr>
          <w:rFonts w:hint="eastAsia" w:ascii="黑体" w:hAnsi="黑体" w:eastAsia="黑体" w:cs="黑体"/>
          <w:color w:val="auto"/>
          <w:sz w:val="32"/>
          <w:szCs w:val="32"/>
          <w:highlight w:val="none"/>
        </w:rPr>
        <w:t>附件</w:t>
      </w:r>
    </w:p>
    <w:p>
      <w:pPr>
        <w:keepNext w:val="0"/>
        <w:keepLines w:val="0"/>
        <w:pageBreakBefore w:val="0"/>
        <w:kinsoku/>
        <w:wordWrap/>
        <w:overflowPunct/>
        <w:topLinePunct w:val="0"/>
        <w:autoSpaceDE/>
        <w:autoSpaceDN/>
        <w:bidi w:val="0"/>
        <w:spacing w:line="572" w:lineRule="exact"/>
        <w:jc w:val="center"/>
        <w:textAlignment w:val="auto"/>
        <w:rPr>
          <w:rFonts w:hint="eastAsia" w:ascii="方正小标宋简体" w:hAnsi="宋体" w:eastAsia="方正小标宋简体"/>
          <w:color w:val="auto"/>
          <w:kern w:val="0"/>
          <w:sz w:val="40"/>
          <w:szCs w:val="44"/>
          <w:highlight w:val="none"/>
          <w:lang w:eastAsia="zh-CN"/>
        </w:rPr>
      </w:pPr>
      <w:r>
        <w:rPr>
          <w:rFonts w:hint="eastAsia" w:ascii="方正小标宋简体" w:hAnsi="宋体" w:eastAsia="方正小标宋简体"/>
          <w:color w:val="auto"/>
          <w:kern w:val="0"/>
          <w:sz w:val="40"/>
          <w:szCs w:val="44"/>
          <w:highlight w:val="none"/>
        </w:rPr>
        <w:t>202</w:t>
      </w:r>
      <w:r>
        <w:rPr>
          <w:rFonts w:hint="eastAsia" w:ascii="方正小标宋简体" w:hAnsi="宋体" w:eastAsia="方正小标宋简体"/>
          <w:color w:val="auto"/>
          <w:kern w:val="0"/>
          <w:sz w:val="40"/>
          <w:szCs w:val="44"/>
          <w:highlight w:val="none"/>
          <w:lang w:val="en-US" w:eastAsia="zh-CN"/>
        </w:rPr>
        <w:t>1</w:t>
      </w:r>
      <w:r>
        <w:rPr>
          <w:rFonts w:hint="eastAsia" w:ascii="方正小标宋简体" w:hAnsi="宋体" w:eastAsia="方正小标宋简体"/>
          <w:color w:val="auto"/>
          <w:kern w:val="0"/>
          <w:sz w:val="40"/>
          <w:szCs w:val="44"/>
          <w:highlight w:val="none"/>
        </w:rPr>
        <w:t>年</w:t>
      </w:r>
      <w:r>
        <w:rPr>
          <w:rFonts w:hint="eastAsia" w:ascii="方正小标宋简体" w:hAnsi="宋体" w:eastAsia="方正小标宋简体"/>
          <w:color w:val="auto"/>
          <w:kern w:val="0"/>
          <w:sz w:val="40"/>
          <w:szCs w:val="44"/>
          <w:highlight w:val="none"/>
          <w:lang w:eastAsia="zh-CN"/>
        </w:rPr>
        <w:t>中共沐川县委宣传部</w:t>
      </w:r>
    </w:p>
    <w:p>
      <w:pPr>
        <w:keepNext w:val="0"/>
        <w:keepLines w:val="0"/>
        <w:pageBreakBefore w:val="0"/>
        <w:kinsoku/>
        <w:wordWrap/>
        <w:overflowPunct/>
        <w:topLinePunct w:val="0"/>
        <w:autoSpaceDE/>
        <w:autoSpaceDN/>
        <w:bidi w:val="0"/>
        <w:spacing w:line="572" w:lineRule="exact"/>
        <w:jc w:val="center"/>
        <w:textAlignment w:val="auto"/>
        <w:rPr>
          <w:rFonts w:ascii="方正小标宋简体" w:hAnsi="宋体" w:eastAsia="方正小标宋简体"/>
          <w:color w:val="auto"/>
          <w:kern w:val="0"/>
          <w:sz w:val="40"/>
          <w:szCs w:val="44"/>
          <w:highlight w:val="none"/>
          <w:lang w:val="zh-CN"/>
        </w:rPr>
      </w:pPr>
      <w:r>
        <w:rPr>
          <w:rFonts w:hint="eastAsia" w:ascii="方正小标宋简体" w:hAnsi="宋体" w:eastAsia="方正小标宋简体"/>
          <w:color w:val="auto"/>
          <w:kern w:val="0"/>
          <w:sz w:val="40"/>
          <w:szCs w:val="44"/>
          <w:highlight w:val="none"/>
        </w:rPr>
        <w:t>部门整体绩效评价报告</w:t>
      </w:r>
    </w:p>
    <w:p>
      <w:pPr>
        <w:keepNext w:val="0"/>
        <w:keepLines w:val="0"/>
        <w:pageBreakBefore w:val="0"/>
        <w:widowControl/>
        <w:kinsoku/>
        <w:wordWrap/>
        <w:overflowPunct/>
        <w:topLinePunct w:val="0"/>
        <w:autoSpaceDE/>
        <w:autoSpaceDN/>
        <w:bidi w:val="0"/>
        <w:adjustRightInd w:val="0"/>
        <w:snapToGrid w:val="0"/>
        <w:spacing w:line="572" w:lineRule="exact"/>
        <w:ind w:firstLine="480" w:firstLineChars="200"/>
        <w:contextualSpacing/>
        <w:jc w:val="left"/>
        <w:textAlignment w:val="auto"/>
        <w:rPr>
          <w:rFonts w:ascii="黑体" w:hAnsi="宋体" w:eastAsia="黑体" w:cs="宋体"/>
          <w:color w:val="auto"/>
          <w:kern w:val="0"/>
          <w:sz w:val="24"/>
          <w:szCs w:val="32"/>
          <w:highlight w:val="none"/>
          <w:shd w:val="clear" w:color="auto" w:fill="FFFFFF"/>
        </w:rPr>
      </w:pP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ascii="黑体" w:hAnsi="宋体" w:eastAsia="黑体" w:cs="宋体"/>
          <w:color w:val="auto"/>
          <w:kern w:val="0"/>
          <w:sz w:val="32"/>
          <w:szCs w:val="32"/>
          <w:highlight w:val="none"/>
          <w:shd w:val="clear" w:color="auto" w:fill="FFFFFF"/>
          <w:lang w:val="zh-CN"/>
        </w:rPr>
      </w:pPr>
      <w:r>
        <w:rPr>
          <w:rFonts w:hint="eastAsia" w:ascii="黑体" w:hAnsi="宋体" w:eastAsia="黑体" w:cs="宋体"/>
          <w:color w:val="auto"/>
          <w:kern w:val="0"/>
          <w:sz w:val="32"/>
          <w:szCs w:val="32"/>
          <w:highlight w:val="none"/>
          <w:shd w:val="clear" w:color="auto" w:fill="FFFFFF"/>
        </w:rPr>
        <w:t>一、</w:t>
      </w:r>
      <w:r>
        <w:rPr>
          <w:rFonts w:hint="eastAsia" w:ascii="黑体" w:hAnsi="宋体" w:eastAsia="黑体" w:cs="宋体"/>
          <w:color w:val="auto"/>
          <w:kern w:val="0"/>
          <w:sz w:val="32"/>
          <w:szCs w:val="32"/>
          <w:highlight w:val="none"/>
          <w:shd w:val="clear" w:color="auto" w:fill="FFFFFF"/>
          <w:lang w:val="zh-CN"/>
        </w:rPr>
        <w:t>部门概况</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hint="eastAsia" w:ascii="楷体_GB2312" w:hAnsi="楷体_GB2312" w:eastAsia="楷体_GB2312" w:cs="楷体_GB2312"/>
          <w:color w:val="auto"/>
          <w:kern w:val="0"/>
          <w:sz w:val="32"/>
          <w:szCs w:val="32"/>
          <w:highlight w:val="none"/>
          <w:shd w:val="clear" w:color="auto" w:fill="FFFFFF"/>
          <w:lang w:val="zh-CN"/>
        </w:rPr>
      </w:pPr>
      <w:r>
        <w:rPr>
          <w:rFonts w:hint="eastAsia" w:ascii="楷体_GB2312" w:hAnsi="楷体_GB2312" w:eastAsia="楷体_GB2312" w:cs="楷体_GB2312"/>
          <w:color w:val="auto"/>
          <w:kern w:val="0"/>
          <w:sz w:val="32"/>
          <w:szCs w:val="32"/>
          <w:highlight w:val="none"/>
          <w:shd w:val="clear" w:color="auto" w:fill="FFFFFF"/>
          <w:lang w:val="zh-CN"/>
        </w:rPr>
        <w:t>（一）机构组成</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中共沐川县委宣传部为一级预算单位，无下属二级预算单位。</w:t>
      </w:r>
    </w:p>
    <w:p>
      <w:pPr>
        <w:widowControl/>
        <w:numPr>
          <w:ilvl w:val="0"/>
          <w:numId w:val="5"/>
        </w:numPr>
        <w:adjustRightInd w:val="0"/>
        <w:snapToGrid w:val="0"/>
        <w:spacing w:line="580" w:lineRule="exact"/>
        <w:ind w:firstLine="640" w:firstLineChars="200"/>
        <w:contextualSpacing/>
        <w:jc w:val="left"/>
        <w:rPr>
          <w:rFonts w:hint="eastAsia"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lang w:val="zh-CN"/>
        </w:rPr>
        <w:t>机构职能</w:t>
      </w:r>
    </w:p>
    <w:p>
      <w:pPr>
        <w:widowControl/>
        <w:numPr>
          <w:ilvl w:val="0"/>
          <w:numId w:val="0"/>
        </w:numPr>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贯彻执行中央和各级党委及上级宣传部门有关的重大理论、方针、政策，指导全县宣传、思想和精神文明建设工作。负责组织、指导全县的理论学习、理论研究、理论宣传工作；负责党的路线、方针、政策教育和形势任务教育、思想道德教育、国防教育以及党的重要会议精神的学习贯彻。了解掌握有关社会政治动态、思想动态、理论动态，及时汇报并提出对策意见、建议；抓好群众性宣传教育、先进典型人物的宣传教育，指导协调群众性文化、体育活动。负责提出全县宣传文化事业发展的指导方针；指导宣传文化系统制定政策、法规；按照县委部署，对宣传文化系统各部门之间的工作进行协调。配合县委组织部党员教育工作；开发编审党员教育教材；指导全县党员学习。负责从宏观上指导全县中小学校德育、政治理论教学和思想政治工作。负责全县对外、对港澳的宣传工作和联络工作；指导协调全县对外文化交流工作。负责引导社会舆论，指导协调新闻、出版、文化和社会科学研究部门的工作。受县委委托，会同县委组织部管理县级宣传、广播电视、文化体育、教育、卫生等部门领导班子的建设。负责指导、协调、组织全县社会主义精神文明建设活动，参与制定精神文明建设长远规划和年度计划，指导全县性重大精神文明建设活动的开展。</w:t>
      </w:r>
    </w:p>
    <w:p>
      <w:pPr>
        <w:widowControl/>
        <w:numPr>
          <w:ilvl w:val="0"/>
          <w:numId w:val="5"/>
        </w:numPr>
        <w:adjustRightInd w:val="0"/>
        <w:snapToGrid w:val="0"/>
        <w:spacing w:line="580" w:lineRule="exact"/>
        <w:ind w:left="0" w:leftChars="0" w:firstLine="640" w:firstLineChars="200"/>
        <w:contextualSpacing/>
        <w:jc w:val="left"/>
        <w:rPr>
          <w:rFonts w:hint="eastAsia"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lang w:val="zh-CN"/>
        </w:rPr>
        <w:t>人员概况</w:t>
      </w:r>
    </w:p>
    <w:p>
      <w:pPr>
        <w:widowControl/>
        <w:numPr>
          <w:ilvl w:val="0"/>
          <w:numId w:val="0"/>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default" w:ascii="Times New Roman" w:hAnsi="Times New Roman" w:eastAsia="仿宋_GB2312" w:cs="Times New Roman"/>
          <w:color w:val="000000"/>
          <w:kern w:val="0"/>
          <w:sz w:val="32"/>
          <w:szCs w:val="32"/>
          <w:shd w:val="clear" w:color="auto" w:fill="FFFFFF"/>
          <w:lang w:val="zh-CN"/>
        </w:rPr>
        <w:t>截至2021年底，中共沐川县委宣传部在职人员总数11人，其中：行政7人（其中行政工勤人员1人），事业4人，2021年末与2020年末人数相同。</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ascii="黑体" w:hAnsi="宋体" w:eastAsia="黑体" w:cs="宋体"/>
          <w:color w:val="auto"/>
          <w:kern w:val="0"/>
          <w:sz w:val="32"/>
          <w:szCs w:val="32"/>
          <w:highlight w:val="none"/>
          <w:shd w:val="clear" w:color="auto" w:fill="FFFFFF"/>
        </w:rPr>
      </w:pPr>
      <w:r>
        <w:rPr>
          <w:rFonts w:hint="eastAsia" w:ascii="黑体" w:hAnsi="宋体" w:eastAsia="黑体" w:cs="宋体"/>
          <w:color w:val="auto"/>
          <w:kern w:val="0"/>
          <w:sz w:val="32"/>
          <w:szCs w:val="32"/>
          <w:highlight w:val="none"/>
          <w:shd w:val="clear" w:color="auto" w:fill="FFFFFF"/>
        </w:rPr>
        <w:t>二、部门财政资金收支情况</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hint="eastAsia" w:ascii="楷体_GB2312" w:hAnsi="楷体_GB2312" w:eastAsia="楷体_GB2312" w:cs="楷体_GB2312"/>
          <w:color w:val="auto"/>
          <w:kern w:val="0"/>
          <w:sz w:val="32"/>
          <w:szCs w:val="32"/>
          <w:highlight w:val="none"/>
          <w:shd w:val="clear" w:color="auto" w:fill="FFFFFF"/>
          <w:lang w:val="zh-CN"/>
        </w:rPr>
      </w:pPr>
      <w:r>
        <w:rPr>
          <w:rFonts w:hint="eastAsia" w:ascii="楷体_GB2312" w:hAnsi="楷体_GB2312" w:eastAsia="楷体_GB2312" w:cs="楷体_GB2312"/>
          <w:color w:val="auto"/>
          <w:kern w:val="0"/>
          <w:sz w:val="32"/>
          <w:szCs w:val="32"/>
          <w:highlight w:val="none"/>
          <w:shd w:val="clear" w:color="auto" w:fill="FFFFFF"/>
          <w:lang w:val="zh-CN"/>
        </w:rPr>
        <w:t>（一）部门财政资金收入情况</w:t>
      </w:r>
    </w:p>
    <w:p>
      <w:pPr>
        <w:widowControl/>
        <w:shd w:val="clear" w:color="auto" w:fill="FFFFFF"/>
        <w:spacing w:line="600" w:lineRule="exact"/>
        <w:ind w:firstLine="640" w:firstLineChars="200"/>
        <w:rPr>
          <w:rFonts w:hint="eastAsia" w:ascii="仿宋_GB2312" w:hAnsi="仿宋_GB2312" w:eastAsia="仿宋_GB2312" w:cs="仿宋_GB2312"/>
          <w:color w:val="000000"/>
          <w:kern w:val="0"/>
          <w:sz w:val="32"/>
          <w:szCs w:val="32"/>
          <w:shd w:val="clear" w:color="auto" w:fill="FFFFFF"/>
          <w:lang w:val="zh-CN" w:eastAsia="zh-CN"/>
        </w:rPr>
      </w:pPr>
      <w:r>
        <w:rPr>
          <w:rFonts w:hint="eastAsia" w:eastAsia="仿宋_GB2312"/>
          <w:color w:val="000000"/>
          <w:kern w:val="0"/>
          <w:sz w:val="32"/>
          <w:szCs w:val="32"/>
          <w:shd w:val="clear" w:color="auto" w:fill="FFFFFF"/>
          <w:lang w:val="zh-CN"/>
        </w:rPr>
        <w:t>202</w:t>
      </w:r>
      <w:r>
        <w:rPr>
          <w:rFonts w:hint="eastAsia" w:eastAsia="仿宋_GB2312"/>
          <w:color w:val="000000"/>
          <w:kern w:val="0"/>
          <w:sz w:val="32"/>
          <w:szCs w:val="32"/>
          <w:shd w:val="clear" w:color="auto" w:fill="FFFFFF"/>
          <w:lang w:val="en-US" w:eastAsia="zh-CN"/>
        </w:rPr>
        <w:t>1</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color w:val="000000"/>
          <w:kern w:val="0"/>
          <w:sz w:val="32"/>
          <w:szCs w:val="32"/>
          <w:lang w:eastAsia="zh-CN"/>
        </w:rPr>
        <w:t>部门财政资金收入</w:t>
      </w:r>
      <w:r>
        <w:rPr>
          <w:rFonts w:hint="eastAsia" w:eastAsia="仿宋_GB2312"/>
          <w:color w:val="000000"/>
          <w:kern w:val="0"/>
          <w:sz w:val="32"/>
          <w:szCs w:val="32"/>
          <w:shd w:val="clear" w:color="auto" w:fill="FFFFFF"/>
          <w:lang w:val="zh-CN"/>
        </w:rPr>
        <w:t>683.59</w:t>
      </w:r>
      <w:r>
        <w:rPr>
          <w:rFonts w:hint="eastAsia" w:ascii="仿宋_GB2312" w:hAnsi="仿宋_GB2312" w:eastAsia="仿宋_GB2312" w:cs="仿宋_GB2312"/>
          <w:color w:val="000000"/>
          <w:kern w:val="0"/>
          <w:sz w:val="32"/>
          <w:szCs w:val="32"/>
        </w:rPr>
        <w:t>万元，</w:t>
      </w:r>
      <w:r>
        <w:rPr>
          <w:rFonts w:hint="eastAsia" w:ascii="仿宋_GB2312" w:hAnsi="仿宋_GB2312" w:eastAsia="仿宋_GB2312" w:cs="仿宋_GB2312"/>
          <w:color w:val="000000"/>
          <w:kern w:val="0"/>
          <w:sz w:val="32"/>
          <w:szCs w:val="32"/>
          <w:lang w:eastAsia="zh-CN"/>
        </w:rPr>
        <w:t>其中一般公共预算</w:t>
      </w:r>
      <w:r>
        <w:rPr>
          <w:rFonts w:hint="eastAsia" w:ascii="仿宋_GB2312" w:hAnsi="仿宋_GB2312" w:eastAsia="仿宋_GB2312" w:cs="仿宋_GB2312"/>
          <w:color w:val="000000"/>
          <w:kern w:val="0"/>
          <w:sz w:val="32"/>
          <w:szCs w:val="32"/>
        </w:rPr>
        <w:t>财政拨款</w:t>
      </w:r>
      <w:r>
        <w:rPr>
          <w:rFonts w:hint="eastAsia" w:ascii="仿宋_GB2312" w:hAnsi="仿宋_GB2312" w:eastAsia="仿宋_GB2312" w:cs="仿宋_GB2312"/>
          <w:color w:val="000000"/>
          <w:kern w:val="0"/>
          <w:sz w:val="32"/>
          <w:szCs w:val="32"/>
          <w:lang w:eastAsia="zh-CN"/>
        </w:rPr>
        <w:t>收入</w:t>
      </w:r>
      <w:r>
        <w:rPr>
          <w:rFonts w:hint="eastAsia" w:eastAsia="仿宋_GB2312"/>
          <w:color w:val="000000"/>
          <w:kern w:val="0"/>
          <w:sz w:val="32"/>
          <w:szCs w:val="32"/>
          <w:shd w:val="clear" w:color="auto" w:fill="FFFFFF"/>
          <w:lang w:val="zh-CN"/>
        </w:rPr>
        <w:t>683.59</w:t>
      </w:r>
      <w:r>
        <w:rPr>
          <w:rFonts w:hint="eastAsia" w:ascii="仿宋_GB2312" w:hAnsi="仿宋_GB2312" w:eastAsia="仿宋_GB2312" w:cs="仿宋_GB2312"/>
          <w:color w:val="000000"/>
          <w:kern w:val="0"/>
          <w:sz w:val="32"/>
          <w:szCs w:val="32"/>
        </w:rPr>
        <w:t>万元</w:t>
      </w:r>
      <w:r>
        <w:rPr>
          <w:rFonts w:hint="eastAsia" w:ascii="仿宋_GB2312" w:hAnsi="仿宋_GB2312" w:eastAsia="仿宋_GB2312" w:cs="仿宋_GB2312"/>
          <w:color w:val="000000"/>
          <w:kern w:val="0"/>
          <w:sz w:val="32"/>
          <w:szCs w:val="32"/>
          <w:lang w:eastAsia="zh-CN"/>
        </w:rPr>
        <w:t>。</w:t>
      </w:r>
    </w:p>
    <w:p>
      <w:pPr>
        <w:widowControl/>
        <w:numPr>
          <w:ilvl w:val="0"/>
          <w:numId w:val="6"/>
        </w:numPr>
        <w:adjustRightInd w:val="0"/>
        <w:snapToGrid w:val="0"/>
        <w:spacing w:line="580" w:lineRule="exact"/>
        <w:ind w:firstLine="640" w:firstLineChars="200"/>
        <w:contextualSpacing/>
        <w:jc w:val="left"/>
        <w:rPr>
          <w:rFonts w:hint="eastAsia"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lang w:val="zh-CN"/>
        </w:rPr>
        <w:t>部门财政资金支出情况</w:t>
      </w:r>
    </w:p>
    <w:p>
      <w:pPr>
        <w:widowControl/>
        <w:numPr>
          <w:ilvl w:val="0"/>
          <w:numId w:val="0"/>
        </w:numPr>
        <w:adjustRightInd w:val="0"/>
        <w:snapToGrid w:val="0"/>
        <w:spacing w:line="580" w:lineRule="exact"/>
        <w:ind w:firstLine="640" w:firstLineChars="200"/>
        <w:contextualSpacing/>
        <w:jc w:val="left"/>
        <w:rPr>
          <w:lang w:val="zh-CN"/>
        </w:rPr>
      </w:pPr>
      <w:r>
        <w:rPr>
          <w:rFonts w:hint="default" w:ascii="Times New Roman" w:hAnsi="Times New Roman" w:eastAsia="楷体_GB2312" w:cs="Times New Roman"/>
          <w:color w:val="000000"/>
          <w:kern w:val="0"/>
          <w:sz w:val="32"/>
          <w:szCs w:val="32"/>
          <w:shd w:val="clear" w:color="auto" w:fill="FFFFFF"/>
          <w:lang w:val="en-US" w:eastAsia="zh-CN"/>
        </w:rPr>
        <w:t>2021</w:t>
      </w:r>
      <w:r>
        <w:rPr>
          <w:rFonts w:hint="default" w:ascii="Times New Roman" w:hAnsi="Times New Roman" w:eastAsia="仿宋_GB2312" w:cs="Times New Roman"/>
          <w:sz w:val="32"/>
          <w:szCs w:val="32"/>
          <w:lang w:val="en-US" w:eastAsia="zh-CN"/>
        </w:rPr>
        <w:t>年度共计支出1220.37万元，其中基本支出322.35万元（包括一般公共服务支出、社会保障和就业支出、卫生健康支出和住房保障支出），项目支出898.02万元（包括：一般公共服务支出、文化旅游体育与传媒支出）。</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ascii="黑体" w:hAnsi="宋体" w:eastAsia="黑体" w:cs="宋体"/>
          <w:color w:val="auto"/>
          <w:kern w:val="0"/>
          <w:sz w:val="32"/>
          <w:szCs w:val="32"/>
          <w:highlight w:val="none"/>
          <w:shd w:val="clear" w:color="auto" w:fill="FFFFFF"/>
        </w:rPr>
      </w:pPr>
      <w:r>
        <w:rPr>
          <w:rFonts w:hint="eastAsia" w:ascii="黑体" w:hAnsi="宋体" w:eastAsia="黑体" w:cs="宋体"/>
          <w:color w:val="auto"/>
          <w:kern w:val="0"/>
          <w:sz w:val="32"/>
          <w:szCs w:val="32"/>
          <w:highlight w:val="none"/>
          <w:shd w:val="clear" w:color="auto" w:fill="FFFFFF"/>
        </w:rPr>
        <w:t>三、</w:t>
      </w:r>
      <w:r>
        <w:rPr>
          <w:rFonts w:hint="eastAsia" w:ascii="黑体" w:hAnsi="宋体" w:eastAsia="黑体" w:cs="宋体"/>
          <w:color w:val="auto"/>
          <w:kern w:val="0"/>
          <w:sz w:val="32"/>
          <w:szCs w:val="32"/>
          <w:highlight w:val="none"/>
          <w:u w:val="none"/>
          <w:shd w:val="clear" w:color="auto" w:fill="FFFFFF"/>
        </w:rPr>
        <w:t>部门整体预算绩效管理情况</w:t>
      </w:r>
    </w:p>
    <w:p>
      <w:pPr>
        <w:widowControl/>
        <w:adjustRightInd w:val="0"/>
        <w:snapToGrid w:val="0"/>
        <w:spacing w:line="580" w:lineRule="exact"/>
        <w:ind w:firstLine="640" w:firstLineChars="200"/>
        <w:contextualSpacing/>
        <w:jc w:val="left"/>
        <w:rPr>
          <w:rFonts w:hint="default" w:ascii="Times New Roman" w:hAnsi="Times New Roman" w:eastAsia="楷体_GB2312" w:cs="Times New Roman"/>
          <w:color w:val="000000"/>
          <w:kern w:val="0"/>
          <w:sz w:val="32"/>
          <w:szCs w:val="32"/>
          <w:shd w:val="clear" w:color="auto" w:fill="FFFFFF"/>
          <w:lang w:val="zh-CN"/>
        </w:rPr>
      </w:pPr>
      <w:r>
        <w:rPr>
          <w:rFonts w:hint="default" w:ascii="Times New Roman" w:hAnsi="Times New Roman" w:eastAsia="楷体_GB2312" w:cs="Times New Roman"/>
          <w:color w:val="000000"/>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color w:val="000000"/>
          <w:kern w:val="0"/>
          <w:sz w:val="32"/>
          <w:szCs w:val="32"/>
          <w:shd w:val="clear" w:color="auto" w:fill="FFFFFF"/>
          <w:lang w:val="zh-CN"/>
        </w:rPr>
        <w:t>本部门按要求对2021年部门整体支出开展绩效自评，从评价情况来看，本部门在县委县政府和上级宣传部门的正确领导下，认真贯彻落实习近平新时代中国特色社会主义思想，守正创新，以强烈的责任担当推动全县宣传文化事业迈上新台阶、开创新局面，马克思主义在意识形态领域的指导地位更加巩固，全县干部群众团结奋斗的共同思想基础更加巩固。无违规记录。</w:t>
      </w:r>
    </w:p>
    <w:p>
      <w:pPr>
        <w:widowControl/>
        <w:adjustRightInd w:val="0"/>
        <w:snapToGrid w:val="0"/>
        <w:spacing w:line="580" w:lineRule="exact"/>
        <w:ind w:firstLine="640" w:firstLineChars="200"/>
        <w:contextualSpacing/>
        <w:jc w:val="left"/>
        <w:rPr>
          <w:rFonts w:hint="default" w:ascii="Times New Roman" w:hAnsi="Times New Roman" w:eastAsia="楷体_GB2312" w:cs="Times New Roman"/>
          <w:color w:val="000000"/>
          <w:kern w:val="0"/>
          <w:sz w:val="32"/>
          <w:szCs w:val="32"/>
          <w:shd w:val="clear" w:color="auto" w:fill="FFFFFF"/>
          <w:lang w:val="zh-CN"/>
        </w:rPr>
      </w:pPr>
      <w:r>
        <w:rPr>
          <w:rFonts w:hint="default" w:ascii="Times New Roman" w:hAnsi="Times New Roman" w:eastAsia="楷体_GB2312" w:cs="Times New Roman"/>
          <w:color w:val="000000"/>
          <w:kern w:val="0"/>
          <w:sz w:val="32"/>
          <w:szCs w:val="32"/>
          <w:shd w:val="clear" w:color="auto" w:fill="FFFFFF"/>
          <w:lang w:val="zh-CN"/>
        </w:rPr>
        <w:t>（二）项目预算管理</w:t>
      </w:r>
    </w:p>
    <w:p>
      <w:pPr>
        <w:widowControl/>
        <w:adjustRightInd w:val="0"/>
        <w:snapToGrid w:val="0"/>
        <w:spacing w:line="580"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color w:val="000000"/>
          <w:kern w:val="0"/>
          <w:sz w:val="32"/>
          <w:szCs w:val="32"/>
          <w:shd w:val="clear" w:color="auto" w:fill="FFFFFF"/>
          <w:lang w:val="zh-CN"/>
        </w:rPr>
        <w:t>（1）“学报订购费”项目绩效目标完成情况综述。项目全年预算数1万元，执行数为1万元，完成预算的100%。通过项目实施，保障了我县优秀的理论文章在市级刊物发表的选送途径，展现我县优秀的理论成果。发现的主要问题：无。下一步改进措施：无。</w:t>
      </w:r>
    </w:p>
    <w:p>
      <w:pPr>
        <w:widowControl/>
        <w:adjustRightInd w:val="0"/>
        <w:snapToGrid w:val="0"/>
        <w:spacing w:line="580"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color w:val="000000"/>
          <w:kern w:val="0"/>
          <w:sz w:val="32"/>
          <w:szCs w:val="32"/>
          <w:shd w:val="clear" w:color="auto" w:fill="FFFFFF"/>
          <w:lang w:val="zh-CN"/>
        </w:rPr>
        <w:t>（2）“农村公益电影县级配套资金”项目绩效目标完成情况综述。项目全年预算数3.86万元，执行数为3.86万元，完成预算的100%。通过项目实施，保障全县农村公益电影放映2340场，丰富人民群众文化生活。发现的主要问题：无。下一步改进措施：无。</w:t>
      </w:r>
    </w:p>
    <w:p>
      <w:pPr>
        <w:widowControl/>
        <w:adjustRightInd w:val="0"/>
        <w:snapToGrid w:val="0"/>
        <w:spacing w:line="580"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color w:val="000000"/>
          <w:kern w:val="0"/>
          <w:sz w:val="32"/>
          <w:szCs w:val="32"/>
          <w:shd w:val="clear" w:color="auto" w:fill="FFFFFF"/>
          <w:lang w:val="zh-CN"/>
        </w:rPr>
        <w:t>（3）“电影管理站人员生活补助”项目绩效目标完成情况综述。项目全年预算数2.23万元，执行数为2.23万元，完成预算的100%。通过项目实施，解决原电影公司老放映员遗留问题。发现的主要问题：无。下一步改进措施：无。</w:t>
      </w:r>
    </w:p>
    <w:p>
      <w:pPr>
        <w:widowControl/>
        <w:adjustRightInd w:val="0"/>
        <w:snapToGrid w:val="0"/>
        <w:spacing w:line="580"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color w:val="000000"/>
          <w:kern w:val="0"/>
          <w:sz w:val="32"/>
          <w:szCs w:val="32"/>
          <w:shd w:val="clear" w:color="auto" w:fill="FFFFFF"/>
          <w:lang w:val="zh-CN"/>
        </w:rPr>
        <w:t>（4）“各单位征订党报党刊款”项目绩效目标完成情况综述。项目全年预算数276.44万元，执行数为276.44万元，完成预算的100%。通过项目实施，保障我县党报党刊征订任务和指导性计划及时全面完成，征订党报党刊5548份。发现的主要问题：无。下一步改进措施：无。</w:t>
      </w:r>
    </w:p>
    <w:p>
      <w:pPr>
        <w:widowControl/>
        <w:adjustRightInd w:val="0"/>
        <w:snapToGrid w:val="0"/>
        <w:spacing w:line="580"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color w:val="000000"/>
          <w:kern w:val="0"/>
          <w:sz w:val="32"/>
          <w:szCs w:val="32"/>
          <w:shd w:val="clear" w:color="auto" w:fill="FFFFFF"/>
          <w:lang w:val="zh-CN"/>
        </w:rPr>
        <w:t>（5）“外宣工作经费”项目绩效目标完成情况综述。项目全年预算数20万元，执行数为20万元，完成预算的100%。通过项目实施，保障我县对外宣传各种活动、对外宣传片拍摄。发现的主要问题：无。下一步改进措施：无。</w:t>
      </w:r>
    </w:p>
    <w:p>
      <w:pPr>
        <w:widowControl/>
        <w:adjustRightInd w:val="0"/>
        <w:snapToGrid w:val="0"/>
        <w:spacing w:line="580" w:lineRule="exact"/>
        <w:ind w:firstLine="640" w:firstLineChars="200"/>
        <w:contextualSpacing/>
        <w:jc w:val="left"/>
        <w:rPr>
          <w:rFonts w:hint="default" w:ascii="Times New Roman" w:hAnsi="Times New Roman" w:eastAsia="楷体_GB2312" w:cs="Times New Roman"/>
          <w:color w:val="000000"/>
          <w:kern w:val="0"/>
          <w:sz w:val="32"/>
          <w:szCs w:val="32"/>
          <w:shd w:val="clear" w:color="auto" w:fill="FFFFFF"/>
          <w:lang w:val="zh-CN"/>
        </w:rPr>
      </w:pPr>
      <w:r>
        <w:rPr>
          <w:rFonts w:hint="default" w:ascii="Times New Roman" w:hAnsi="Times New Roman" w:eastAsia="楷体_GB2312" w:cs="Times New Roman"/>
          <w:color w:val="000000"/>
          <w:kern w:val="0"/>
          <w:sz w:val="32"/>
          <w:szCs w:val="32"/>
          <w:shd w:val="clear" w:color="auto" w:fill="FFFFFF"/>
          <w:lang w:val="zh-CN"/>
        </w:rPr>
        <w:t>（三）结果应用情况</w:t>
      </w:r>
    </w:p>
    <w:p>
      <w:pPr>
        <w:widowControl/>
        <w:adjustRightInd w:val="0"/>
        <w:snapToGrid w:val="0"/>
        <w:spacing w:line="580"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color w:val="000000"/>
          <w:kern w:val="0"/>
          <w:sz w:val="32"/>
          <w:szCs w:val="32"/>
          <w:shd w:val="clear" w:color="auto" w:fill="FFFFFF"/>
          <w:lang w:val="zh-CN"/>
        </w:rPr>
        <w:t>贯彻执行中央和各级党委及上级宣传部门有关的重大理论、方针、政策，指导全县宣传、思想和精神文明建设工作，在完成一般性支出压减任务的情况下，确保了机关运行和重大项目的实施，工作质量和服务效能整体提升。</w:t>
      </w:r>
    </w:p>
    <w:p>
      <w:pPr>
        <w:widowControl/>
        <w:adjustRightInd w:val="0"/>
        <w:snapToGrid w:val="0"/>
        <w:spacing w:line="580" w:lineRule="exact"/>
        <w:ind w:firstLine="640" w:firstLineChars="200"/>
        <w:contextualSpacing/>
        <w:jc w:val="left"/>
        <w:rPr>
          <w:rFonts w:hint="default" w:ascii="Times New Roman" w:hAnsi="Times New Roman" w:eastAsia="黑体" w:cs="Times New Roman"/>
          <w:color w:val="000000"/>
          <w:kern w:val="0"/>
          <w:sz w:val="32"/>
          <w:szCs w:val="32"/>
          <w:shd w:val="clear" w:color="auto" w:fill="FFFFFF"/>
        </w:rPr>
      </w:pPr>
      <w:r>
        <w:rPr>
          <w:rFonts w:hint="default" w:ascii="Times New Roman" w:hAnsi="Times New Roman" w:eastAsia="黑体" w:cs="Times New Roman"/>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hint="default" w:ascii="Times New Roman" w:hAnsi="Times New Roman" w:eastAsia="楷体_GB2312" w:cs="Times New Roman"/>
          <w:color w:val="000000"/>
          <w:kern w:val="0"/>
          <w:sz w:val="32"/>
          <w:szCs w:val="32"/>
          <w:shd w:val="clear" w:color="auto" w:fill="FFFFFF"/>
          <w:lang w:val="zh-CN"/>
        </w:rPr>
      </w:pPr>
      <w:r>
        <w:rPr>
          <w:rFonts w:hint="default" w:ascii="Times New Roman" w:hAnsi="Times New Roman" w:eastAsia="楷体_GB2312" w:cs="Times New Roman"/>
          <w:color w:val="000000"/>
          <w:kern w:val="0"/>
          <w:sz w:val="32"/>
          <w:szCs w:val="32"/>
          <w:shd w:val="clear" w:color="auto" w:fill="FFFFFF"/>
          <w:lang w:val="zh-CN"/>
        </w:rPr>
        <w:t>（一）评价结论</w:t>
      </w:r>
    </w:p>
    <w:p>
      <w:pPr>
        <w:widowControl/>
        <w:adjustRightInd w:val="0"/>
        <w:snapToGrid w:val="0"/>
        <w:spacing w:line="580"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color w:val="000000"/>
          <w:kern w:val="0"/>
          <w:sz w:val="32"/>
          <w:szCs w:val="32"/>
          <w:shd w:val="clear" w:color="auto" w:fill="FFFFFF"/>
          <w:lang w:val="zh-CN"/>
        </w:rPr>
        <w:t>从自评情况来看，县委宣传部预、决算编制合理，支出高效规范，财政支出既确保了机关正常运转，又保证了重点项目开支，财政支出绩效良好，综合考核自评得分</w:t>
      </w:r>
      <w:r>
        <w:rPr>
          <w:rFonts w:hint="default" w:ascii="Times New Roman" w:hAnsi="Times New Roman" w:eastAsia="仿宋_GB2312" w:cs="Times New Roman"/>
          <w:color w:val="000000"/>
          <w:kern w:val="0"/>
          <w:sz w:val="32"/>
          <w:szCs w:val="32"/>
          <w:shd w:val="clear" w:color="auto" w:fill="FFFFFF"/>
          <w:lang w:val="en-US" w:eastAsia="zh-CN"/>
        </w:rPr>
        <w:t>100</w:t>
      </w:r>
      <w:r>
        <w:rPr>
          <w:rFonts w:hint="default" w:ascii="Times New Roman" w:hAnsi="Times New Roman" w:eastAsia="仿宋_GB2312" w:cs="Times New Roman"/>
          <w:color w:val="000000"/>
          <w:kern w:val="0"/>
          <w:sz w:val="32"/>
          <w:szCs w:val="32"/>
          <w:shd w:val="clear" w:color="auto" w:fill="FFFFFF"/>
          <w:lang w:val="zh-CN"/>
        </w:rPr>
        <w:t>分（见附件）。</w:t>
      </w:r>
    </w:p>
    <w:p>
      <w:pPr>
        <w:widowControl/>
        <w:adjustRightInd w:val="0"/>
        <w:snapToGrid w:val="0"/>
        <w:spacing w:line="580" w:lineRule="exact"/>
        <w:ind w:firstLine="640" w:firstLineChars="200"/>
        <w:contextualSpacing/>
        <w:jc w:val="left"/>
        <w:rPr>
          <w:rFonts w:hint="default" w:ascii="Times New Roman" w:hAnsi="Times New Roman" w:eastAsia="楷体_GB2312" w:cs="Times New Roman"/>
          <w:color w:val="000000"/>
          <w:kern w:val="0"/>
          <w:sz w:val="32"/>
          <w:szCs w:val="32"/>
          <w:shd w:val="clear" w:color="auto" w:fill="FFFFFF"/>
          <w:lang w:val="zh-CN"/>
        </w:rPr>
      </w:pPr>
      <w:r>
        <w:rPr>
          <w:rFonts w:hint="default" w:ascii="Times New Roman" w:hAnsi="Times New Roman" w:eastAsia="楷体_GB2312" w:cs="Times New Roman"/>
          <w:color w:val="000000"/>
          <w:kern w:val="0"/>
          <w:sz w:val="32"/>
          <w:szCs w:val="32"/>
          <w:shd w:val="clear" w:color="auto" w:fill="FFFFFF"/>
          <w:lang w:val="zh-CN"/>
        </w:rPr>
        <w:t>（二）存在问题</w:t>
      </w:r>
    </w:p>
    <w:p>
      <w:pPr>
        <w:widowControl/>
        <w:adjustRightInd w:val="0"/>
        <w:snapToGrid w:val="0"/>
        <w:spacing w:line="580"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color w:val="000000"/>
          <w:kern w:val="0"/>
          <w:sz w:val="32"/>
          <w:szCs w:val="32"/>
          <w:shd w:val="clear" w:color="auto" w:fill="FFFFFF"/>
          <w:lang w:val="zh-CN"/>
        </w:rPr>
        <w:t>无</w:t>
      </w:r>
    </w:p>
    <w:p>
      <w:pPr>
        <w:widowControl/>
        <w:adjustRightInd w:val="0"/>
        <w:snapToGrid w:val="0"/>
        <w:spacing w:line="580" w:lineRule="exact"/>
        <w:ind w:firstLine="640" w:firstLineChars="200"/>
        <w:contextualSpacing/>
        <w:jc w:val="left"/>
        <w:rPr>
          <w:rFonts w:hint="default" w:ascii="Times New Roman" w:hAnsi="Times New Roman" w:eastAsia="楷体_GB2312" w:cs="Times New Roman"/>
          <w:color w:val="000000"/>
          <w:kern w:val="0"/>
          <w:sz w:val="32"/>
          <w:szCs w:val="32"/>
          <w:shd w:val="clear" w:color="auto" w:fill="FFFFFF"/>
          <w:lang w:val="zh-CN"/>
        </w:rPr>
      </w:pPr>
      <w:r>
        <w:rPr>
          <w:rFonts w:hint="default" w:ascii="Times New Roman" w:hAnsi="Times New Roman" w:eastAsia="楷体_GB2312" w:cs="Times New Roman"/>
          <w:color w:val="000000"/>
          <w:kern w:val="0"/>
          <w:sz w:val="32"/>
          <w:szCs w:val="32"/>
          <w:shd w:val="clear" w:color="auto" w:fill="FFFFFF"/>
          <w:lang w:val="zh-CN"/>
        </w:rPr>
        <w:t>（三）改进建议</w:t>
      </w:r>
    </w:p>
    <w:p>
      <w:pPr>
        <w:widowControl/>
        <w:adjustRightInd w:val="0"/>
        <w:snapToGrid w:val="0"/>
        <w:spacing w:line="580"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color w:val="000000"/>
          <w:kern w:val="0"/>
          <w:sz w:val="32"/>
          <w:szCs w:val="32"/>
          <w:shd w:val="clear" w:color="auto" w:fill="FFFFFF"/>
          <w:lang w:val="zh-CN"/>
        </w:rPr>
        <w:t>无</w:t>
      </w:r>
    </w:p>
    <w:p>
      <w:pPr>
        <w:pStyle w:val="2"/>
        <w:rPr>
          <w:rFonts w:hint="eastAsia" w:hAnsi="宋体" w:cs="宋体"/>
          <w:color w:val="auto"/>
          <w:kern w:val="0"/>
          <w:sz w:val="32"/>
          <w:szCs w:val="32"/>
          <w:highlight w:val="none"/>
          <w:shd w:val="clear" w:color="auto" w:fill="FFFFFF"/>
          <w:lang w:val="zh-CN"/>
        </w:rPr>
      </w:pPr>
    </w:p>
    <w:p>
      <w:pPr>
        <w:pStyle w:val="2"/>
        <w:rPr>
          <w:rFonts w:hint="eastAsia" w:hAnsi="宋体" w:cs="宋体"/>
          <w:color w:val="auto"/>
          <w:kern w:val="0"/>
          <w:sz w:val="32"/>
          <w:szCs w:val="32"/>
          <w:highlight w:val="none"/>
          <w:shd w:val="clear" w:color="auto" w:fill="FFFFFF"/>
          <w:lang w:val="zh-CN"/>
        </w:rPr>
      </w:pPr>
    </w:p>
    <w:p>
      <w:pPr>
        <w:pStyle w:val="2"/>
        <w:rPr>
          <w:rFonts w:hint="eastAsia" w:hAnsi="宋体" w:cs="宋体"/>
          <w:color w:val="auto"/>
          <w:kern w:val="0"/>
          <w:sz w:val="32"/>
          <w:szCs w:val="32"/>
          <w:highlight w:val="none"/>
          <w:shd w:val="clear" w:color="auto" w:fill="FFFFFF"/>
          <w:lang w:val="zh-CN"/>
        </w:rPr>
      </w:pPr>
    </w:p>
    <w:p>
      <w:pPr>
        <w:pStyle w:val="2"/>
        <w:rPr>
          <w:rFonts w:hint="eastAsia" w:hAnsi="宋体" w:cs="宋体"/>
          <w:color w:val="auto"/>
          <w:kern w:val="0"/>
          <w:sz w:val="32"/>
          <w:szCs w:val="32"/>
          <w:highlight w:val="none"/>
          <w:shd w:val="clear" w:color="auto" w:fill="FFFFFF"/>
          <w:lang w:val="zh-CN"/>
        </w:rPr>
      </w:pPr>
    </w:p>
    <w:p>
      <w:pPr>
        <w:pStyle w:val="2"/>
        <w:rPr>
          <w:rFonts w:hint="eastAsia"/>
          <w:color w:val="auto"/>
          <w:highlight w:val="none"/>
          <w:lang w:val="zh-CN"/>
        </w:rPr>
      </w:pPr>
      <w:r>
        <w:rPr>
          <w:rFonts w:hint="eastAsia" w:hAnsi="宋体" w:cs="宋体"/>
          <w:color w:val="auto"/>
          <w:kern w:val="0"/>
          <w:sz w:val="32"/>
          <w:szCs w:val="32"/>
          <w:highlight w:val="none"/>
          <w:shd w:val="clear" w:color="auto" w:fill="FFFFFF"/>
          <w:lang w:val="zh-CN"/>
        </w:rPr>
        <w:t>附件</w:t>
      </w:r>
    </w:p>
    <w:p>
      <w:pPr>
        <w:keepNext w:val="0"/>
        <w:keepLines w:val="0"/>
        <w:pageBreakBefore w:val="0"/>
        <w:widowControl w:val="0"/>
        <w:kinsoku/>
        <w:wordWrap/>
        <w:overflowPunct/>
        <w:topLinePunct w:val="0"/>
        <w:autoSpaceDE/>
        <w:autoSpaceDN/>
        <w:bidi w:val="0"/>
        <w:spacing w:line="600" w:lineRule="exact"/>
        <w:jc w:val="center"/>
        <w:textAlignment w:val="auto"/>
        <w:rPr>
          <w:rFonts w:hint="eastAsia" w:ascii="方正小标宋简体" w:hAnsi="方正小标宋简体" w:eastAsia="方正小标宋简体" w:cs="方正小标宋简体"/>
          <w:color w:val="auto"/>
          <w:kern w:val="2"/>
          <w:sz w:val="40"/>
          <w:szCs w:val="40"/>
          <w:highlight w:val="none"/>
          <w:lang w:val="zh-CN" w:eastAsia="zh-CN" w:bidi="ar-SA"/>
        </w:rPr>
      </w:pPr>
      <w:r>
        <w:rPr>
          <w:rFonts w:hint="eastAsia" w:ascii="方正小标宋简体" w:hAnsi="方正小标宋简体" w:eastAsia="方正小标宋简体" w:cs="方正小标宋简体"/>
          <w:color w:val="auto"/>
          <w:kern w:val="2"/>
          <w:sz w:val="40"/>
          <w:szCs w:val="40"/>
          <w:highlight w:val="none"/>
          <w:lang w:val="en-US" w:eastAsia="zh-CN" w:bidi="ar-SA"/>
        </w:rPr>
        <w:t>2022年</w:t>
      </w:r>
      <w:r>
        <w:rPr>
          <w:rFonts w:hint="eastAsia" w:ascii="方正小标宋简体" w:hAnsi="方正小标宋简体" w:eastAsia="方正小标宋简体" w:cs="方正小标宋简体"/>
          <w:color w:val="auto"/>
          <w:kern w:val="2"/>
          <w:sz w:val="40"/>
          <w:szCs w:val="40"/>
          <w:highlight w:val="none"/>
          <w:lang w:val="zh-CN" w:eastAsia="zh-CN" w:bidi="ar-SA"/>
        </w:rPr>
        <w:t>专项预算项目支出绩效自评报告</w:t>
      </w:r>
    </w:p>
    <w:p>
      <w:pPr>
        <w:pStyle w:val="30"/>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仿宋_GB2312" w:hAnsi="宋体" w:eastAsia="仿宋_GB2312"/>
          <w:color w:val="auto"/>
          <w:kern w:val="2"/>
          <w:sz w:val="32"/>
          <w:szCs w:val="32"/>
        </w:rPr>
      </w:pPr>
      <w:r>
        <w:rPr>
          <w:rFonts w:hint="eastAsia" w:ascii="仿宋_GB2312" w:hAnsi="宋体" w:eastAsia="仿宋_GB2312"/>
          <w:color w:val="auto"/>
          <w:kern w:val="2"/>
          <w:sz w:val="32"/>
          <w:szCs w:val="32"/>
        </w:rPr>
        <w:t>（项目名称：</w:t>
      </w:r>
      <w:r>
        <w:rPr>
          <w:rFonts w:hint="eastAsia" w:ascii="仿宋_GB2312" w:hAnsi="宋体" w:eastAsia="仿宋_GB2312"/>
          <w:color w:val="auto"/>
          <w:kern w:val="2"/>
          <w:sz w:val="32"/>
          <w:szCs w:val="32"/>
          <w:lang w:eastAsia="zh-CN"/>
        </w:rPr>
        <w:t>农村电影公益放映县级配套资金</w:t>
      </w:r>
      <w:r>
        <w:rPr>
          <w:rFonts w:hint="eastAsia" w:ascii="仿宋_GB2312" w:hAnsi="宋体" w:eastAsia="仿宋_GB2312"/>
          <w:color w:val="auto"/>
          <w:kern w:val="2"/>
          <w:sz w:val="32"/>
          <w:szCs w:val="32"/>
        </w:rPr>
        <w:t>）</w:t>
      </w:r>
    </w:p>
    <w:p>
      <w:pPr>
        <w:pStyle w:val="30"/>
        <w:keepNext w:val="0"/>
        <w:keepLines w:val="0"/>
        <w:pageBreakBefore w:val="0"/>
        <w:widowControl w:val="0"/>
        <w:kinsoku/>
        <w:wordWrap/>
        <w:overflowPunct/>
        <w:topLinePunct w:val="0"/>
        <w:autoSpaceDE/>
        <w:autoSpaceDN/>
        <w:bidi w:val="0"/>
        <w:adjustRightInd/>
        <w:snapToGrid/>
        <w:spacing w:line="700" w:lineRule="exact"/>
        <w:ind w:firstLine="640"/>
        <w:jc w:val="center"/>
        <w:textAlignment w:val="auto"/>
        <w:rPr>
          <w:rFonts w:ascii="宋体" w:hAnsi="宋体"/>
          <w:color w:val="auto"/>
          <w:kern w:val="2"/>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Ansi="宋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Ansi="宋体"/>
          <w:sz w:val="32"/>
          <w:szCs w:val="32"/>
          <w:lang w:val="zh-CN"/>
        </w:rPr>
      </w:pPr>
      <w:r>
        <w:rPr>
          <w:rFonts w:hint="eastAsia" w:ascii="楷体_GB2312" w:hAnsi="宋体" w:eastAsia="楷体_GB2312"/>
          <w:b/>
          <w:sz w:val="32"/>
          <w:szCs w:val="32"/>
          <w:lang w:val="zh-CN"/>
        </w:rPr>
        <w:t>（一）项目资金申报及批复情况。</w:t>
      </w:r>
      <w:r>
        <w:rPr>
          <w:rFonts w:hint="eastAsia" w:ascii="仿宋_GB2312" w:hAnsi="宋体"/>
          <w:sz w:val="32"/>
          <w:szCs w:val="32"/>
          <w:lang w:val="zh-CN"/>
        </w:rPr>
        <w:t>此项目资金共3.86万元，为年初预算下达。该资金使用严格按照资金管理办法规定执行。</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hAnsi="宋体"/>
          <w:sz w:val="32"/>
          <w:szCs w:val="32"/>
          <w:lang w:val="zh-CN"/>
        </w:rPr>
      </w:pPr>
      <w:r>
        <w:rPr>
          <w:rFonts w:hint="eastAsia" w:ascii="楷体_GB2312" w:hAnsi="宋体" w:eastAsia="楷体_GB2312"/>
          <w:b/>
          <w:sz w:val="32"/>
          <w:szCs w:val="32"/>
          <w:lang w:val="zh-CN"/>
        </w:rPr>
        <w:t>（二）项目绩效目标。</w:t>
      </w:r>
      <w:r>
        <w:rPr>
          <w:rFonts w:hint="eastAsia" w:ascii="仿宋_GB2312" w:hAnsi="宋体"/>
          <w:sz w:val="32"/>
          <w:szCs w:val="32"/>
          <w:lang w:val="zh-CN"/>
        </w:rPr>
        <w:t>该项目整体目标为保障全县农村电影公益放映工作。数量指标为每年放映场次；质量指标为放映电影质量；成本指标为220元/场；时效指标为公历年底之前完成。</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3" w:firstLineChars="200"/>
        <w:textAlignment w:val="auto"/>
        <w:rPr>
          <w:rFonts w:ascii="仿宋_GB2312" w:hAnsi="宋体"/>
          <w:color w:val="FF0000"/>
          <w:sz w:val="32"/>
          <w:szCs w:val="32"/>
          <w:lang w:val="zh-CN"/>
        </w:rPr>
      </w:pPr>
      <w:r>
        <w:rPr>
          <w:rFonts w:hint="eastAsia" w:ascii="楷体_GB2312" w:hAnsi="宋体" w:eastAsia="楷体_GB2312"/>
          <w:b/>
          <w:sz w:val="32"/>
          <w:szCs w:val="32"/>
          <w:lang w:val="zh-CN"/>
        </w:rPr>
        <w:t>（三）项目资金申报相符性。</w:t>
      </w:r>
      <w:r>
        <w:rPr>
          <w:rFonts w:hint="eastAsia" w:ascii="仿宋_GB2312" w:hAnsi="宋体"/>
          <w:sz w:val="32"/>
          <w:szCs w:val="32"/>
          <w:lang w:val="zh-CN"/>
        </w:rPr>
        <w:t>该项目申报内容与具体实施内容相符、申报目标合理可行。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hAnsi="宋体" w:eastAsia="黑体"/>
          <w:sz w:val="32"/>
          <w:szCs w:val="32"/>
        </w:rPr>
      </w:pPr>
      <w:r>
        <w:rPr>
          <w:rFonts w:hint="eastAsia" w:ascii="黑体" w:hAnsi="宋体" w:eastAsia="黑体"/>
          <w:sz w:val="32"/>
          <w:szCs w:val="32"/>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b/>
          <w:sz w:val="32"/>
          <w:szCs w:val="32"/>
          <w:lang w:val="zh-CN"/>
        </w:rPr>
      </w:pPr>
      <w:r>
        <w:rPr>
          <w:rFonts w:hint="eastAsia" w:ascii="仿宋_GB2312" w:hAnsi="宋体"/>
          <w:sz w:val="32"/>
          <w:szCs w:val="32"/>
          <w:lang w:val="zh-CN"/>
        </w:rPr>
        <w:tab/>
      </w:r>
      <w:r>
        <w:rPr>
          <w:rFonts w:hint="eastAsia" w:ascii="楷体_GB2312" w:hAnsi="宋体" w:eastAsia="楷体_GB2312"/>
          <w:b/>
          <w:sz w:val="32"/>
          <w:szCs w:val="32"/>
          <w:lang w:val="zh-CN"/>
        </w:rPr>
        <w:t>（一）资金计划、到位及使用情况。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textAlignment w:val="auto"/>
        <w:rPr>
          <w:rFonts w:hint="eastAsia" w:ascii="仿宋_GB2312" w:hAnsi="宋体"/>
          <w:color w:val="FF0000"/>
          <w:sz w:val="32"/>
          <w:szCs w:val="32"/>
          <w:lang w:val="zh-CN"/>
        </w:rPr>
      </w:pPr>
      <w:r>
        <w:rPr>
          <w:rFonts w:hint="eastAsia" w:ascii="楷体_GB2312" w:hAnsi="宋体" w:eastAsia="楷体_GB2312"/>
          <w:sz w:val="32"/>
          <w:szCs w:val="32"/>
          <w:lang w:val="zh-CN"/>
        </w:rPr>
        <w:t>1．资金计划及到位。</w:t>
      </w:r>
      <w:r>
        <w:rPr>
          <w:rFonts w:hint="eastAsia" w:ascii="仿宋_GB2312" w:hAnsi="宋体"/>
          <w:sz w:val="32"/>
          <w:szCs w:val="32"/>
          <w:lang w:val="zh-CN"/>
        </w:rPr>
        <w:t>该项目资金计划</w:t>
      </w:r>
      <w:r>
        <w:rPr>
          <w:rFonts w:hint="eastAsia" w:ascii="仿宋_GB2312" w:hAnsi="宋体"/>
          <w:sz w:val="32"/>
          <w:szCs w:val="32"/>
          <w:lang w:val="en-US" w:eastAsia="zh-CN"/>
        </w:rPr>
        <w:t>3.86万元</w:t>
      </w:r>
      <w:r>
        <w:rPr>
          <w:rFonts w:hint="eastAsia" w:ascii="仿宋_GB2312" w:hAnsi="宋体"/>
          <w:sz w:val="32"/>
          <w:szCs w:val="32"/>
          <w:lang w:val="zh-CN"/>
        </w:rPr>
        <w:t>于</w:t>
      </w:r>
      <w:r>
        <w:rPr>
          <w:rFonts w:hint="eastAsia" w:ascii="仿宋_GB2312" w:hAnsi="宋体"/>
          <w:sz w:val="32"/>
          <w:szCs w:val="32"/>
          <w:lang w:val="en-US" w:eastAsia="zh-CN"/>
        </w:rPr>
        <w:t>2021年初全部到位</w:t>
      </w:r>
      <w:r>
        <w:rPr>
          <w:rFonts w:hint="eastAsia" w:ascii="仿宋_GB2312" w:hAnsi="宋体"/>
          <w:sz w:val="32"/>
          <w:szCs w:val="32"/>
          <w:lang w:val="zh-CN"/>
        </w:rPr>
        <w:t>，</w:t>
      </w:r>
      <w:r>
        <w:rPr>
          <w:rFonts w:hint="eastAsia" w:ascii="仿宋_GB2312" w:hAnsi="宋体"/>
          <w:sz w:val="32"/>
          <w:szCs w:val="32"/>
          <w:lang w:val="en-US" w:eastAsia="zh-CN"/>
        </w:rPr>
        <w:t>资金到位率100%。</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楷体_GB2312" w:hAnsi="宋体" w:eastAsia="楷体_GB2312"/>
          <w:sz w:val="32"/>
          <w:szCs w:val="32"/>
          <w:lang w:val="zh-CN"/>
        </w:rPr>
      </w:pPr>
      <w:r>
        <w:rPr>
          <w:rFonts w:hint="eastAsia" w:ascii="楷体_GB2312" w:hAnsi="宋体" w:eastAsia="楷体_GB2312"/>
          <w:sz w:val="32"/>
          <w:szCs w:val="32"/>
          <w:lang w:val="zh-CN"/>
        </w:rPr>
        <w:t>2．资金使用。</w:t>
      </w:r>
      <w:r>
        <w:rPr>
          <w:rFonts w:hint="eastAsia" w:ascii="仿宋_GB2312" w:hAnsi="宋体"/>
          <w:sz w:val="32"/>
          <w:szCs w:val="32"/>
          <w:lang w:val="zh-CN"/>
        </w:rPr>
        <w:t>该项目资金于</w:t>
      </w:r>
      <w:r>
        <w:rPr>
          <w:rFonts w:hint="eastAsia" w:ascii="仿宋_GB2312" w:hAnsi="宋体"/>
          <w:sz w:val="32"/>
          <w:szCs w:val="32"/>
          <w:lang w:val="en-US" w:eastAsia="zh-CN"/>
        </w:rPr>
        <w:t>2021年12月22日全部用于支付9-11月进度款，，资金支付合规合法。</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hAnsi="宋体"/>
          <w:sz w:val="32"/>
          <w:szCs w:val="32"/>
          <w:lang w:val="zh-CN"/>
        </w:rPr>
      </w:pPr>
      <w:r>
        <w:rPr>
          <w:rFonts w:hint="eastAsia" w:ascii="仿宋_GB2312" w:hAnsi="宋体"/>
          <w:sz w:val="32"/>
          <w:szCs w:val="32"/>
          <w:lang w:val="zh-CN"/>
        </w:rPr>
        <w:t>该项目资金使用严格按照项目资金管理办法要求，严格执行财务管理制度、财务处理及时、会计核算规范。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hAnsi="宋体"/>
          <w:sz w:val="32"/>
          <w:szCs w:val="32"/>
          <w:lang w:val="zh-CN"/>
        </w:rPr>
      </w:pPr>
      <w:r>
        <w:rPr>
          <w:rFonts w:hint="eastAsia" w:ascii="仿宋_GB2312" w:hAnsi="宋体"/>
          <w:sz w:val="32"/>
          <w:szCs w:val="32"/>
          <w:lang w:val="zh-CN"/>
        </w:rPr>
        <w:t>该项目严格按照规定，与乐山市惠民农村数字电影院线有限责任公司签订放映合同，并组织电影放映员到所有县级部门及乡镇放映。</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Ansi="宋体"/>
          <w:sz w:val="32"/>
          <w:szCs w:val="32"/>
          <w:lang w:val="zh-CN"/>
        </w:rPr>
      </w:pPr>
      <w:r>
        <w:rPr>
          <w:rFonts w:hint="eastAsia" w:ascii="黑体" w:hAnsi="宋体" w:eastAsia="黑体"/>
          <w:sz w:val="32"/>
          <w:szCs w:val="32"/>
        </w:rPr>
        <w:t>三、项目绩效情况</w:t>
      </w:r>
      <w:r>
        <w:rPr>
          <w:rFonts w:hint="eastAsia" w:ascii="仿宋_GB2312" w:hAnsi="宋体"/>
          <w:sz w:val="32"/>
          <w:szCs w:val="32"/>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b/>
          <w:sz w:val="32"/>
          <w:szCs w:val="32"/>
          <w:lang w:val="zh-CN"/>
        </w:rPr>
      </w:pPr>
      <w:r>
        <w:rPr>
          <w:rFonts w:hint="eastAsia" w:ascii="仿宋_GB2312" w:hAnsi="宋体"/>
          <w:sz w:val="32"/>
          <w:szCs w:val="32"/>
          <w:lang w:val="zh-CN" w:eastAsia="zh-CN"/>
        </w:rPr>
        <w:t>该项目根据辖区内村数量灵活安排农村公益电影放映场次、进度。共放映3044部影片，其中故事1988部，科教片1056部，其中订购新片1038部，占比34%,共放映2340场。所有乡镇、村全面覆盖。同时结合党史学习教育相关安排，在假期和中心乡镇、村等人流聚集区加大红色电影放映频次。该项目覆盖全部乡镇，电影质量良好，资金支付及时，成本控制合理，完成了计划数量、质量、时效、成本指标。</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hAnsi="宋体"/>
          <w:sz w:val="32"/>
          <w:szCs w:val="32"/>
          <w:lang w:val="zh-CN"/>
        </w:rPr>
      </w:pPr>
      <w:r>
        <w:rPr>
          <w:rFonts w:hint="eastAsia" w:ascii="楷体_GB2312" w:hAnsi="宋体" w:eastAsia="楷体_GB2312"/>
          <w:b/>
          <w:sz w:val="32"/>
          <w:szCs w:val="32"/>
          <w:lang w:val="zh-CN"/>
        </w:rPr>
        <w:t>（二）项目效益情况。</w:t>
      </w:r>
      <w:r>
        <w:rPr>
          <w:rFonts w:hint="eastAsia" w:ascii="仿宋_GB2312" w:hAnsi="宋体"/>
          <w:sz w:val="32"/>
          <w:szCs w:val="32"/>
          <w:lang w:val="zh-CN"/>
        </w:rPr>
        <w:t>该项目满足了人民群众精神文化需求，</w:t>
      </w:r>
      <w:r>
        <w:rPr>
          <w:rFonts w:hint="eastAsia" w:ascii="仿宋_GB2312" w:hAnsi="宋体"/>
          <w:sz w:val="32"/>
          <w:szCs w:val="32"/>
          <w:lang w:val="en-US" w:eastAsia="zh-CN"/>
        </w:rPr>
        <w:t>完成了计划</w:t>
      </w:r>
      <w:r>
        <w:rPr>
          <w:rFonts w:hint="eastAsia" w:ascii="仿宋_GB2312" w:hAnsi="宋体"/>
          <w:sz w:val="32"/>
          <w:szCs w:val="32"/>
          <w:lang w:val="zh-CN"/>
        </w:rPr>
        <w:t>经济、社会、生态、可持续效益以及服务对象满意度指标。</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hAnsi="宋体" w:eastAsia="黑体"/>
          <w:sz w:val="32"/>
          <w:szCs w:val="32"/>
        </w:rPr>
      </w:pPr>
      <w:r>
        <w:rPr>
          <w:rFonts w:hint="eastAsia" w:ascii="黑体" w:hAnsi="宋体" w:eastAsia="黑体"/>
          <w:sz w:val="32"/>
          <w:szCs w:val="32"/>
        </w:rPr>
        <w:t>四、问题及建议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楷体_GB2312" w:hAnsi="宋体" w:eastAsia="楷体_GB2312"/>
          <w:b/>
          <w:sz w:val="32"/>
          <w:szCs w:val="32"/>
          <w:lang w:val="zh-CN"/>
        </w:rPr>
      </w:pPr>
      <w:r>
        <w:rPr>
          <w:rFonts w:hint="eastAsia" w:ascii="楷体_GB2312" w:hAnsi="宋体" w:eastAsia="楷体_GB2312"/>
          <w:b/>
          <w:sz w:val="32"/>
          <w:szCs w:val="32"/>
          <w:lang w:val="zh-CN"/>
        </w:rPr>
        <w:t>（一）存在的问题</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hAnsi="宋体"/>
          <w:sz w:val="32"/>
          <w:szCs w:val="32"/>
          <w:lang w:eastAsia="zh-CN"/>
        </w:rPr>
      </w:pPr>
      <w:r>
        <w:rPr>
          <w:rFonts w:hint="eastAsia" w:ascii="仿宋_GB2312" w:hAnsi="宋体"/>
          <w:sz w:val="32"/>
          <w:szCs w:val="32"/>
          <w:lang w:val="zh-CN" w:eastAsia="zh-CN"/>
        </w:rPr>
        <w:t>该项目放映灵活性还有待进一步提高。</w:t>
      </w:r>
    </w:p>
    <w:p>
      <w:pPr>
        <w:keepNext w:val="0"/>
        <w:keepLines w:val="0"/>
        <w:pageBreakBefore w:val="0"/>
        <w:widowControl w:val="0"/>
        <w:numPr>
          <w:ilvl w:val="0"/>
          <w:numId w:val="7"/>
        </w:numPr>
        <w:kinsoku/>
        <w:wordWrap/>
        <w:overflowPunct/>
        <w:topLinePunct w:val="0"/>
        <w:autoSpaceDE/>
        <w:autoSpaceDN/>
        <w:bidi w:val="0"/>
        <w:adjustRightInd w:val="0"/>
        <w:snapToGrid w:val="0"/>
        <w:spacing w:line="600" w:lineRule="exact"/>
        <w:ind w:left="0" w:leftChars="0" w:firstLine="720" w:firstLineChars="0"/>
        <w:textAlignment w:val="auto"/>
        <w:rPr>
          <w:rFonts w:hint="eastAsia" w:ascii="楷体_GB2312" w:hAnsi="宋体" w:eastAsia="楷体_GB2312"/>
          <w:b/>
          <w:sz w:val="32"/>
          <w:szCs w:val="32"/>
          <w:lang w:val="zh-CN"/>
        </w:rPr>
      </w:pPr>
      <w:r>
        <w:rPr>
          <w:rFonts w:hint="eastAsia" w:ascii="楷体_GB2312" w:hAnsi="宋体" w:eastAsia="楷体_GB2312"/>
          <w:b/>
          <w:sz w:val="32"/>
          <w:szCs w:val="32"/>
          <w:lang w:val="zh-CN"/>
        </w:rPr>
        <w:t>相关建议</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hAnsi="宋体"/>
          <w:sz w:val="32"/>
          <w:szCs w:val="32"/>
          <w:lang w:val="zh-CN" w:eastAsia="zh-CN"/>
        </w:rPr>
      </w:pPr>
      <w:r>
        <w:rPr>
          <w:rFonts w:hint="eastAsia" w:hAnsi="宋体"/>
          <w:sz w:val="32"/>
          <w:szCs w:val="32"/>
          <w:lang w:val="zh-CN" w:eastAsia="zh-CN"/>
        </w:rPr>
        <w:t>各乡镇（村）积极配合放映工作，提高人民群众观影感受。</w:t>
      </w:r>
    </w:p>
    <w:p>
      <w:pPr>
        <w:pStyle w:val="2"/>
        <w:rPr>
          <w:rFonts w:hint="eastAsia"/>
          <w:color w:val="auto"/>
          <w:highlight w:val="none"/>
          <w:lang w:val="zh-CN"/>
        </w:rPr>
      </w:pPr>
      <w:r>
        <w:rPr>
          <w:rFonts w:hint="eastAsia" w:hAnsi="宋体" w:cs="宋体"/>
          <w:color w:val="auto"/>
          <w:kern w:val="0"/>
          <w:sz w:val="32"/>
          <w:szCs w:val="32"/>
          <w:highlight w:val="none"/>
          <w:shd w:val="clear" w:color="auto" w:fill="FFFFFF"/>
          <w:lang w:val="zh-CN"/>
        </w:rPr>
        <w:t>附件</w:t>
      </w:r>
    </w:p>
    <w:p>
      <w:pPr>
        <w:keepNext w:val="0"/>
        <w:keepLines w:val="0"/>
        <w:pageBreakBefore w:val="0"/>
        <w:widowControl w:val="0"/>
        <w:kinsoku/>
        <w:wordWrap/>
        <w:overflowPunct/>
        <w:topLinePunct w:val="0"/>
        <w:autoSpaceDE/>
        <w:autoSpaceDN/>
        <w:bidi w:val="0"/>
        <w:spacing w:line="600" w:lineRule="exact"/>
        <w:jc w:val="center"/>
        <w:textAlignment w:val="auto"/>
        <w:rPr>
          <w:rFonts w:hint="eastAsia" w:ascii="方正小标宋简体" w:hAnsi="方正小标宋简体" w:eastAsia="方正小标宋简体" w:cs="方正小标宋简体"/>
          <w:color w:val="auto"/>
          <w:kern w:val="2"/>
          <w:sz w:val="40"/>
          <w:szCs w:val="40"/>
          <w:highlight w:val="none"/>
          <w:lang w:val="zh-CN" w:eastAsia="zh-CN" w:bidi="ar-SA"/>
        </w:rPr>
      </w:pPr>
      <w:r>
        <w:rPr>
          <w:rFonts w:hint="eastAsia" w:ascii="方正小标宋简体" w:hAnsi="方正小标宋简体" w:eastAsia="方正小标宋简体" w:cs="方正小标宋简体"/>
          <w:color w:val="auto"/>
          <w:kern w:val="2"/>
          <w:sz w:val="40"/>
          <w:szCs w:val="40"/>
          <w:highlight w:val="none"/>
          <w:lang w:val="en-US" w:eastAsia="zh-CN" w:bidi="ar-SA"/>
        </w:rPr>
        <w:t>2022年</w:t>
      </w:r>
      <w:r>
        <w:rPr>
          <w:rFonts w:hint="eastAsia" w:ascii="方正小标宋简体" w:hAnsi="方正小标宋简体" w:eastAsia="方正小标宋简体" w:cs="方正小标宋简体"/>
          <w:color w:val="auto"/>
          <w:kern w:val="2"/>
          <w:sz w:val="40"/>
          <w:szCs w:val="40"/>
          <w:highlight w:val="none"/>
          <w:lang w:val="zh-CN" w:eastAsia="zh-CN" w:bidi="ar-SA"/>
        </w:rPr>
        <w:t>专项预算项目支出绩效自评报告</w:t>
      </w:r>
    </w:p>
    <w:p>
      <w:pPr>
        <w:pStyle w:val="30"/>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仿宋_GB2312" w:hAnsi="宋体" w:eastAsia="仿宋_GB2312"/>
          <w:color w:val="auto"/>
          <w:kern w:val="2"/>
          <w:sz w:val="32"/>
          <w:szCs w:val="32"/>
        </w:rPr>
      </w:pPr>
      <w:r>
        <w:rPr>
          <w:rFonts w:hint="eastAsia" w:ascii="仿宋_GB2312" w:hAnsi="宋体" w:eastAsia="仿宋_GB2312"/>
          <w:color w:val="auto"/>
          <w:kern w:val="2"/>
          <w:sz w:val="32"/>
          <w:szCs w:val="32"/>
        </w:rPr>
        <w:t>（项目名称：</w:t>
      </w:r>
      <w:r>
        <w:rPr>
          <w:rFonts w:hint="eastAsia" w:ascii="仿宋_GB2312" w:hAnsi="宋体" w:eastAsia="仿宋_GB2312"/>
          <w:color w:val="auto"/>
          <w:kern w:val="2"/>
          <w:sz w:val="32"/>
          <w:szCs w:val="32"/>
          <w:lang w:eastAsia="zh-CN"/>
        </w:rPr>
        <w:t>学报订购费</w:t>
      </w:r>
      <w:r>
        <w:rPr>
          <w:rFonts w:hint="eastAsia" w:ascii="仿宋_GB2312" w:hAnsi="宋体" w:eastAsia="仿宋_GB2312"/>
          <w:color w:val="auto"/>
          <w:kern w:val="2"/>
          <w:sz w:val="32"/>
          <w:szCs w:val="32"/>
        </w:rPr>
        <w:t>）</w:t>
      </w:r>
    </w:p>
    <w:p>
      <w:pPr>
        <w:pStyle w:val="30"/>
        <w:keepNext w:val="0"/>
        <w:keepLines w:val="0"/>
        <w:pageBreakBefore w:val="0"/>
        <w:widowControl w:val="0"/>
        <w:kinsoku/>
        <w:wordWrap/>
        <w:overflowPunct/>
        <w:topLinePunct w:val="0"/>
        <w:autoSpaceDE/>
        <w:autoSpaceDN/>
        <w:bidi w:val="0"/>
        <w:adjustRightInd/>
        <w:snapToGrid/>
        <w:spacing w:line="700" w:lineRule="exact"/>
        <w:ind w:firstLine="640"/>
        <w:jc w:val="center"/>
        <w:textAlignment w:val="auto"/>
        <w:rPr>
          <w:rFonts w:ascii="宋体" w:hAnsi="宋体"/>
          <w:color w:val="auto"/>
          <w:kern w:val="2"/>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Ansi="宋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Ansi="宋体"/>
          <w:sz w:val="32"/>
          <w:szCs w:val="32"/>
          <w:lang w:val="zh-CN"/>
        </w:rPr>
      </w:pPr>
      <w:r>
        <w:rPr>
          <w:rFonts w:hint="eastAsia" w:ascii="楷体_GB2312" w:hAnsi="宋体" w:eastAsia="楷体_GB2312"/>
          <w:b/>
          <w:sz w:val="32"/>
          <w:szCs w:val="32"/>
          <w:lang w:val="zh-CN"/>
        </w:rPr>
        <w:t>（一）项目资金申报及批复情况。</w:t>
      </w:r>
      <w:r>
        <w:rPr>
          <w:rFonts w:hint="eastAsia" w:ascii="仿宋_GB2312" w:hAnsi="宋体"/>
          <w:sz w:val="32"/>
          <w:szCs w:val="32"/>
          <w:lang w:val="zh-CN"/>
        </w:rPr>
        <w:t>此项目资金共</w:t>
      </w:r>
      <w:r>
        <w:rPr>
          <w:rFonts w:hint="eastAsia" w:ascii="仿宋_GB2312" w:hAnsi="宋体"/>
          <w:sz w:val="32"/>
          <w:szCs w:val="32"/>
          <w:lang w:val="en-US" w:eastAsia="zh-CN"/>
        </w:rPr>
        <w:t>1</w:t>
      </w:r>
      <w:r>
        <w:rPr>
          <w:rFonts w:hint="eastAsia" w:ascii="仿宋_GB2312" w:hAnsi="宋体"/>
          <w:sz w:val="32"/>
          <w:szCs w:val="32"/>
          <w:lang w:val="zh-CN"/>
        </w:rPr>
        <w:t>万元，为年初预算下达。该资金使用严格按照资金管理办法规定执行。</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hAnsi="宋体"/>
          <w:sz w:val="32"/>
          <w:szCs w:val="32"/>
          <w:lang w:val="zh-CN"/>
        </w:rPr>
      </w:pPr>
      <w:r>
        <w:rPr>
          <w:rFonts w:hint="eastAsia" w:ascii="楷体_GB2312" w:hAnsi="宋体" w:eastAsia="楷体_GB2312"/>
          <w:b/>
          <w:sz w:val="32"/>
          <w:szCs w:val="32"/>
          <w:lang w:val="zh-CN"/>
        </w:rPr>
        <w:t>（二）项目绩效目标。</w:t>
      </w:r>
      <w:r>
        <w:rPr>
          <w:rFonts w:hint="eastAsia" w:ascii="仿宋_GB2312" w:hAnsi="宋体"/>
          <w:sz w:val="32"/>
          <w:szCs w:val="32"/>
          <w:lang w:val="zh-CN"/>
        </w:rPr>
        <w:t>该项目整体目标为保障我县优秀的理论文章在市级刊物发表，展现我县优秀的理论成果。数量指标为每年</w:t>
      </w:r>
      <w:r>
        <w:rPr>
          <w:rFonts w:hint="eastAsia" w:ascii="仿宋_GB2312" w:hAnsi="宋体"/>
          <w:sz w:val="32"/>
          <w:szCs w:val="32"/>
          <w:lang w:val="en-US" w:eastAsia="zh-CN"/>
        </w:rPr>
        <w:t>刊发文章数量</w:t>
      </w:r>
      <w:r>
        <w:rPr>
          <w:rFonts w:hint="eastAsia" w:ascii="仿宋_GB2312" w:hAnsi="宋体"/>
          <w:sz w:val="32"/>
          <w:szCs w:val="32"/>
          <w:lang w:val="zh-CN"/>
        </w:rPr>
        <w:t>；质量指标为刊发文章质量；成本指标按照《学报费》标准执行；时效指标为公历年底之前完成。</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3" w:firstLineChars="200"/>
        <w:textAlignment w:val="auto"/>
        <w:rPr>
          <w:rFonts w:ascii="仿宋_GB2312" w:hAnsi="宋体"/>
          <w:color w:val="FF0000"/>
          <w:sz w:val="32"/>
          <w:szCs w:val="32"/>
          <w:lang w:val="zh-CN"/>
        </w:rPr>
      </w:pPr>
      <w:r>
        <w:rPr>
          <w:rFonts w:hint="eastAsia" w:ascii="楷体_GB2312" w:hAnsi="宋体" w:eastAsia="楷体_GB2312"/>
          <w:b/>
          <w:sz w:val="32"/>
          <w:szCs w:val="32"/>
          <w:lang w:val="zh-CN"/>
        </w:rPr>
        <w:t>（三）项目资金申报相符性。</w:t>
      </w:r>
      <w:r>
        <w:rPr>
          <w:rFonts w:hint="eastAsia" w:ascii="仿宋_GB2312" w:hAnsi="宋体"/>
          <w:sz w:val="32"/>
          <w:szCs w:val="32"/>
          <w:lang w:val="zh-CN"/>
        </w:rPr>
        <w:t>该项目申报内容与具体实施内容相符、申报目标合理可行。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hAnsi="宋体" w:eastAsia="黑体"/>
          <w:sz w:val="32"/>
          <w:szCs w:val="32"/>
        </w:rPr>
      </w:pPr>
      <w:r>
        <w:rPr>
          <w:rFonts w:hint="eastAsia" w:ascii="黑体" w:hAnsi="宋体" w:eastAsia="黑体"/>
          <w:sz w:val="32"/>
          <w:szCs w:val="32"/>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b/>
          <w:sz w:val="32"/>
          <w:szCs w:val="32"/>
          <w:lang w:val="zh-CN"/>
        </w:rPr>
      </w:pPr>
      <w:r>
        <w:rPr>
          <w:rFonts w:hint="eastAsia" w:ascii="仿宋_GB2312" w:hAnsi="宋体"/>
          <w:sz w:val="32"/>
          <w:szCs w:val="32"/>
          <w:lang w:val="zh-CN"/>
        </w:rPr>
        <w:tab/>
      </w:r>
      <w:r>
        <w:rPr>
          <w:rFonts w:hint="eastAsia" w:ascii="楷体_GB2312" w:hAnsi="宋体" w:eastAsia="楷体_GB2312"/>
          <w:b/>
          <w:sz w:val="32"/>
          <w:szCs w:val="32"/>
          <w:lang w:val="zh-CN"/>
        </w:rPr>
        <w:t>（一）资金计划、到位及使用情况。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textAlignment w:val="auto"/>
        <w:rPr>
          <w:rFonts w:hint="eastAsia" w:ascii="仿宋_GB2312" w:hAnsi="宋体"/>
          <w:color w:val="FF0000"/>
          <w:sz w:val="32"/>
          <w:szCs w:val="32"/>
          <w:lang w:val="zh-CN"/>
        </w:rPr>
      </w:pPr>
      <w:r>
        <w:rPr>
          <w:rFonts w:hint="eastAsia" w:ascii="楷体_GB2312" w:hAnsi="宋体" w:eastAsia="楷体_GB2312"/>
          <w:sz w:val="32"/>
          <w:szCs w:val="32"/>
          <w:lang w:val="zh-CN"/>
        </w:rPr>
        <w:t>1．资金计划及到位。</w:t>
      </w:r>
      <w:r>
        <w:rPr>
          <w:rFonts w:hint="eastAsia" w:ascii="仿宋_GB2312" w:hAnsi="宋体"/>
          <w:sz w:val="32"/>
          <w:szCs w:val="32"/>
          <w:lang w:val="zh-CN"/>
        </w:rPr>
        <w:t>该项目资金计划</w:t>
      </w:r>
      <w:r>
        <w:rPr>
          <w:rFonts w:hint="eastAsia" w:ascii="仿宋_GB2312" w:hAnsi="宋体"/>
          <w:sz w:val="32"/>
          <w:szCs w:val="32"/>
          <w:lang w:val="en-US" w:eastAsia="zh-CN"/>
        </w:rPr>
        <w:t>1万元</w:t>
      </w:r>
      <w:r>
        <w:rPr>
          <w:rFonts w:hint="eastAsia" w:ascii="仿宋_GB2312" w:hAnsi="宋体"/>
          <w:sz w:val="32"/>
          <w:szCs w:val="32"/>
          <w:lang w:val="zh-CN"/>
        </w:rPr>
        <w:t>于</w:t>
      </w:r>
      <w:r>
        <w:rPr>
          <w:rFonts w:hint="eastAsia" w:ascii="仿宋_GB2312" w:hAnsi="宋体"/>
          <w:sz w:val="32"/>
          <w:szCs w:val="32"/>
          <w:lang w:val="en-US" w:eastAsia="zh-CN"/>
        </w:rPr>
        <w:t>2021年初全部到位</w:t>
      </w:r>
      <w:r>
        <w:rPr>
          <w:rFonts w:hint="eastAsia" w:ascii="仿宋_GB2312" w:hAnsi="宋体"/>
          <w:sz w:val="32"/>
          <w:szCs w:val="32"/>
          <w:lang w:val="zh-CN"/>
        </w:rPr>
        <w:t>，</w:t>
      </w:r>
      <w:r>
        <w:rPr>
          <w:rFonts w:hint="eastAsia" w:ascii="仿宋_GB2312" w:hAnsi="宋体"/>
          <w:sz w:val="32"/>
          <w:szCs w:val="32"/>
          <w:lang w:val="en-US" w:eastAsia="zh-CN"/>
        </w:rPr>
        <w:t>资金到位率100%。</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楷体_GB2312" w:hAnsi="宋体" w:eastAsia="楷体_GB2312"/>
          <w:sz w:val="32"/>
          <w:szCs w:val="32"/>
          <w:lang w:val="zh-CN"/>
        </w:rPr>
      </w:pPr>
      <w:r>
        <w:rPr>
          <w:rFonts w:hint="eastAsia" w:ascii="楷体_GB2312" w:hAnsi="宋体" w:eastAsia="楷体_GB2312"/>
          <w:sz w:val="32"/>
          <w:szCs w:val="32"/>
          <w:lang w:val="zh-CN"/>
        </w:rPr>
        <w:t>2．资金使用。</w:t>
      </w:r>
      <w:r>
        <w:rPr>
          <w:rFonts w:hint="eastAsia" w:ascii="仿宋_GB2312" w:hAnsi="宋体"/>
          <w:sz w:val="32"/>
          <w:szCs w:val="32"/>
          <w:lang w:val="zh-CN"/>
        </w:rPr>
        <w:t>该项目资金于</w:t>
      </w:r>
      <w:r>
        <w:rPr>
          <w:rFonts w:hint="eastAsia" w:ascii="仿宋_GB2312" w:hAnsi="宋体"/>
          <w:sz w:val="32"/>
          <w:szCs w:val="32"/>
          <w:lang w:val="en-US" w:eastAsia="zh-CN"/>
        </w:rPr>
        <w:t>2021年12月22日全部用于支付市委党校刊发我县理论文章的费用，资金支付合规合法。</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hAnsi="宋体"/>
          <w:sz w:val="32"/>
          <w:szCs w:val="32"/>
          <w:lang w:val="zh-CN"/>
        </w:rPr>
      </w:pPr>
      <w:r>
        <w:rPr>
          <w:rFonts w:hint="eastAsia" w:ascii="仿宋_GB2312" w:hAnsi="宋体"/>
          <w:sz w:val="32"/>
          <w:szCs w:val="32"/>
          <w:lang w:val="zh-CN"/>
        </w:rPr>
        <w:t>该项目资金使用严格按照项目资金管理办法要求，严格执行财务管理制度、财务处理及时、会计核算规范。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hAnsi="宋体"/>
          <w:sz w:val="32"/>
          <w:szCs w:val="32"/>
          <w:lang w:val="zh-CN"/>
        </w:rPr>
      </w:pPr>
      <w:r>
        <w:rPr>
          <w:rFonts w:hint="eastAsia" w:ascii="仿宋_GB2312" w:hAnsi="宋体"/>
          <w:sz w:val="32"/>
          <w:szCs w:val="32"/>
          <w:lang w:val="zh-CN"/>
        </w:rPr>
        <w:t>市委党校按照学报订购协议，发表我县理论文章。</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Ansi="宋体"/>
          <w:sz w:val="32"/>
          <w:szCs w:val="32"/>
          <w:lang w:val="zh-CN"/>
        </w:rPr>
      </w:pPr>
      <w:r>
        <w:rPr>
          <w:rFonts w:hint="eastAsia" w:ascii="黑体" w:hAnsi="宋体" w:eastAsia="黑体"/>
          <w:sz w:val="32"/>
          <w:szCs w:val="32"/>
        </w:rPr>
        <w:t>三、项目绩效情况</w:t>
      </w:r>
      <w:r>
        <w:rPr>
          <w:rFonts w:hint="eastAsia" w:ascii="仿宋_GB2312" w:hAnsi="宋体"/>
          <w:sz w:val="32"/>
          <w:szCs w:val="32"/>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b/>
          <w:sz w:val="32"/>
          <w:szCs w:val="32"/>
          <w:lang w:val="zh-CN"/>
        </w:rPr>
      </w:pPr>
      <w:r>
        <w:rPr>
          <w:rFonts w:hint="eastAsia" w:ascii="仿宋_GB2312" w:hAnsi="宋体"/>
          <w:sz w:val="32"/>
          <w:szCs w:val="32"/>
          <w:lang w:val="zh-CN" w:eastAsia="zh-CN"/>
        </w:rPr>
        <w:t>该项目全年预算数1万元，执行数为1万元，完成预算的100%。通过项目实施，保障了我县优秀的理论文章在市级刊物发表的选送途径，展现我县优秀的理论成果。</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hAnsi="宋体"/>
          <w:sz w:val="32"/>
          <w:szCs w:val="32"/>
          <w:lang w:val="zh-CN"/>
        </w:rPr>
      </w:pPr>
      <w:r>
        <w:rPr>
          <w:rFonts w:hint="eastAsia" w:ascii="楷体_GB2312" w:hAnsi="宋体" w:eastAsia="楷体_GB2312"/>
          <w:b/>
          <w:sz w:val="32"/>
          <w:szCs w:val="32"/>
          <w:lang w:val="zh-CN"/>
        </w:rPr>
        <w:t>（二）项目效益情况。</w:t>
      </w:r>
      <w:r>
        <w:rPr>
          <w:rFonts w:hint="eastAsia" w:ascii="仿宋_GB2312" w:hAnsi="宋体"/>
          <w:sz w:val="32"/>
          <w:szCs w:val="32"/>
          <w:lang w:val="zh-CN"/>
        </w:rPr>
        <w:t>提升沐川知名度、美誉度和影响力，促进全县整体发展。</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hAnsi="宋体" w:eastAsia="黑体"/>
          <w:sz w:val="32"/>
          <w:szCs w:val="32"/>
        </w:rPr>
      </w:pPr>
      <w:r>
        <w:rPr>
          <w:rFonts w:hint="eastAsia" w:ascii="黑体" w:hAnsi="宋体" w:eastAsia="黑体"/>
          <w:sz w:val="32"/>
          <w:szCs w:val="32"/>
        </w:rPr>
        <w:t>四、问题及建议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楷体_GB2312" w:hAnsi="宋体" w:eastAsia="楷体_GB2312"/>
          <w:b/>
          <w:sz w:val="32"/>
          <w:szCs w:val="32"/>
          <w:lang w:val="zh-CN"/>
        </w:rPr>
      </w:pPr>
      <w:r>
        <w:rPr>
          <w:rFonts w:hint="eastAsia" w:ascii="楷体_GB2312" w:hAnsi="宋体" w:eastAsia="楷体_GB2312"/>
          <w:b/>
          <w:sz w:val="32"/>
          <w:szCs w:val="32"/>
          <w:lang w:val="zh-CN"/>
        </w:rPr>
        <w:t>（一）存在的问题</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hAnsi="宋体"/>
          <w:sz w:val="32"/>
          <w:szCs w:val="32"/>
          <w:lang w:eastAsia="zh-CN"/>
        </w:rPr>
      </w:pPr>
      <w:r>
        <w:rPr>
          <w:rFonts w:hint="eastAsia" w:ascii="仿宋_GB2312" w:hAnsi="宋体"/>
          <w:sz w:val="32"/>
          <w:szCs w:val="32"/>
          <w:lang w:val="zh-CN" w:eastAsia="zh-CN"/>
        </w:rPr>
        <w:t>无</w:t>
      </w:r>
    </w:p>
    <w:p>
      <w:pPr>
        <w:keepNext w:val="0"/>
        <w:keepLines w:val="0"/>
        <w:pageBreakBefore w:val="0"/>
        <w:widowControl w:val="0"/>
        <w:numPr>
          <w:ilvl w:val="0"/>
          <w:numId w:val="7"/>
        </w:numPr>
        <w:kinsoku/>
        <w:wordWrap/>
        <w:overflowPunct/>
        <w:topLinePunct w:val="0"/>
        <w:autoSpaceDE/>
        <w:autoSpaceDN/>
        <w:bidi w:val="0"/>
        <w:adjustRightInd w:val="0"/>
        <w:snapToGrid w:val="0"/>
        <w:spacing w:line="600" w:lineRule="exact"/>
        <w:ind w:left="0" w:leftChars="0" w:firstLine="720" w:firstLineChars="0"/>
        <w:textAlignment w:val="auto"/>
        <w:rPr>
          <w:rFonts w:hint="eastAsia" w:ascii="楷体_GB2312" w:hAnsi="宋体" w:eastAsia="楷体_GB2312"/>
          <w:b/>
          <w:sz w:val="32"/>
          <w:szCs w:val="32"/>
          <w:lang w:val="zh-CN"/>
        </w:rPr>
      </w:pPr>
      <w:r>
        <w:rPr>
          <w:rFonts w:hint="eastAsia" w:ascii="楷体_GB2312" w:hAnsi="宋体" w:eastAsia="楷体_GB2312"/>
          <w:b/>
          <w:sz w:val="32"/>
          <w:szCs w:val="32"/>
          <w:lang w:val="zh-CN"/>
        </w:rPr>
        <w:t>相关建议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hAnsi="宋体"/>
          <w:sz w:val="32"/>
          <w:szCs w:val="32"/>
          <w:lang w:val="zh-CN" w:eastAsia="zh-CN"/>
        </w:rPr>
      </w:pPr>
      <w:r>
        <w:rPr>
          <w:rFonts w:hint="eastAsia" w:hAnsi="宋体"/>
          <w:sz w:val="32"/>
          <w:szCs w:val="32"/>
          <w:lang w:val="zh-CN" w:eastAsia="zh-CN"/>
        </w:rPr>
        <w:t>无</w:t>
      </w:r>
    </w:p>
    <w:p>
      <w:pPr>
        <w:keepNext w:val="0"/>
        <w:keepLines w:val="0"/>
        <w:pageBreakBefore w:val="0"/>
        <w:widowControl w:val="0"/>
        <w:kinsoku/>
        <w:wordWrap/>
        <w:overflowPunct/>
        <w:topLinePunct w:val="0"/>
        <w:autoSpaceDE/>
        <w:autoSpaceDN/>
        <w:bidi w:val="0"/>
        <w:adjustRightInd w:val="0"/>
        <w:snapToGrid w:val="0"/>
        <w:spacing w:line="600" w:lineRule="exact"/>
        <w:ind w:firstLine="2730" w:firstLineChars="1300"/>
        <w:textAlignment w:val="auto"/>
        <w:rPr>
          <w:rFonts w:hint="eastAsia"/>
          <w:lang w:eastAsia="zh-CN"/>
        </w:rPr>
      </w:pPr>
    </w:p>
    <w:p>
      <w:pPr>
        <w:keepNext w:val="0"/>
        <w:keepLines w:val="0"/>
        <w:pageBreakBefore w:val="0"/>
        <w:widowControl w:val="0"/>
        <w:kinsoku/>
        <w:wordWrap/>
        <w:overflowPunct/>
        <w:topLinePunct w:val="0"/>
        <w:autoSpaceDE/>
        <w:autoSpaceDN/>
        <w:bidi w:val="0"/>
        <w:spacing w:line="600" w:lineRule="exact"/>
        <w:ind w:firstLine="640"/>
        <w:jc w:val="center"/>
        <w:textAlignment w:val="auto"/>
        <w:rPr>
          <w:rFonts w:ascii="宋体" w:hAnsi="宋体" w:eastAsia="宋体" w:cs="Times New Roman"/>
          <w:color w:val="auto"/>
          <w:kern w:val="2"/>
          <w:sz w:val="32"/>
          <w:szCs w:val="32"/>
          <w:highlight w:val="none"/>
          <w:lang w:val="zh-CN" w:eastAsia="zh-CN" w:bidi="ar-SA"/>
        </w:rPr>
      </w:pPr>
    </w:p>
    <w:p>
      <w:pPr>
        <w:pStyle w:val="2"/>
        <w:rPr>
          <w:rFonts w:ascii="宋体" w:hAnsi="宋体" w:eastAsia="宋体" w:cs="Times New Roman"/>
          <w:color w:val="auto"/>
          <w:kern w:val="2"/>
          <w:sz w:val="32"/>
          <w:szCs w:val="32"/>
          <w:highlight w:val="none"/>
          <w:lang w:val="zh-CN" w:eastAsia="zh-CN" w:bidi="ar-SA"/>
        </w:rPr>
      </w:pPr>
    </w:p>
    <w:p>
      <w:pPr>
        <w:pStyle w:val="2"/>
        <w:rPr>
          <w:rFonts w:ascii="宋体" w:hAnsi="宋体" w:eastAsia="宋体" w:cs="Times New Roman"/>
          <w:color w:val="auto"/>
          <w:kern w:val="2"/>
          <w:sz w:val="32"/>
          <w:szCs w:val="32"/>
          <w:highlight w:val="none"/>
          <w:lang w:val="zh-CN" w:eastAsia="zh-CN" w:bidi="ar-SA"/>
        </w:rPr>
      </w:pPr>
    </w:p>
    <w:p>
      <w:pPr>
        <w:pStyle w:val="2"/>
        <w:rPr>
          <w:rFonts w:ascii="宋体" w:hAnsi="宋体" w:eastAsia="宋体" w:cs="Times New Roman"/>
          <w:color w:val="auto"/>
          <w:kern w:val="2"/>
          <w:sz w:val="32"/>
          <w:szCs w:val="32"/>
          <w:highlight w:val="none"/>
          <w:lang w:val="zh-CN" w:eastAsia="zh-CN" w:bidi="ar-SA"/>
        </w:rPr>
      </w:pPr>
    </w:p>
    <w:p>
      <w:pPr>
        <w:pStyle w:val="2"/>
        <w:rPr>
          <w:rFonts w:hint="eastAsia"/>
          <w:color w:val="auto"/>
          <w:highlight w:val="none"/>
          <w:lang w:val="zh-CN"/>
        </w:rPr>
      </w:pPr>
      <w:r>
        <w:rPr>
          <w:rFonts w:hint="eastAsia" w:hAnsi="宋体" w:cs="宋体"/>
          <w:color w:val="auto"/>
          <w:kern w:val="0"/>
          <w:sz w:val="32"/>
          <w:szCs w:val="32"/>
          <w:highlight w:val="none"/>
          <w:shd w:val="clear" w:color="auto" w:fill="FFFFFF"/>
          <w:lang w:val="zh-CN"/>
        </w:rPr>
        <w:t>附件</w:t>
      </w:r>
    </w:p>
    <w:p>
      <w:pPr>
        <w:keepNext w:val="0"/>
        <w:keepLines w:val="0"/>
        <w:pageBreakBefore w:val="0"/>
        <w:widowControl w:val="0"/>
        <w:kinsoku/>
        <w:wordWrap/>
        <w:overflowPunct/>
        <w:topLinePunct w:val="0"/>
        <w:autoSpaceDE/>
        <w:autoSpaceDN/>
        <w:bidi w:val="0"/>
        <w:spacing w:line="600" w:lineRule="exact"/>
        <w:jc w:val="center"/>
        <w:textAlignment w:val="auto"/>
        <w:rPr>
          <w:rFonts w:hint="eastAsia" w:ascii="仿宋_GB2312" w:hAnsi="宋体" w:eastAsia="仿宋_GB2312"/>
          <w:color w:val="auto"/>
          <w:kern w:val="2"/>
          <w:sz w:val="32"/>
          <w:szCs w:val="32"/>
        </w:rPr>
      </w:pPr>
      <w:r>
        <w:rPr>
          <w:rFonts w:hint="eastAsia" w:ascii="方正小标宋简体" w:hAnsi="方正小标宋简体" w:eastAsia="方正小标宋简体" w:cs="方正小标宋简体"/>
          <w:color w:val="auto"/>
          <w:kern w:val="2"/>
          <w:sz w:val="40"/>
          <w:szCs w:val="40"/>
          <w:highlight w:val="none"/>
          <w:lang w:val="en-US" w:eastAsia="zh-CN" w:bidi="ar-SA"/>
        </w:rPr>
        <w:t>2022年</w:t>
      </w:r>
      <w:r>
        <w:rPr>
          <w:rFonts w:hint="eastAsia" w:ascii="方正小标宋简体" w:hAnsi="方正小标宋简体" w:eastAsia="方正小标宋简体" w:cs="方正小标宋简体"/>
          <w:color w:val="auto"/>
          <w:kern w:val="2"/>
          <w:sz w:val="40"/>
          <w:szCs w:val="40"/>
          <w:highlight w:val="none"/>
          <w:lang w:val="zh-CN" w:eastAsia="zh-CN" w:bidi="ar-SA"/>
        </w:rPr>
        <w:t>专项预算项目支出绩效自评报告</w:t>
      </w:r>
    </w:p>
    <w:p>
      <w:pPr>
        <w:pStyle w:val="30"/>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仿宋_GB2312" w:hAnsi="宋体" w:eastAsia="仿宋_GB2312"/>
          <w:color w:val="auto"/>
          <w:kern w:val="2"/>
          <w:sz w:val="32"/>
          <w:szCs w:val="32"/>
        </w:rPr>
      </w:pPr>
      <w:r>
        <w:rPr>
          <w:rFonts w:hint="eastAsia" w:ascii="仿宋_GB2312" w:hAnsi="宋体" w:eastAsia="仿宋_GB2312"/>
          <w:color w:val="auto"/>
          <w:kern w:val="2"/>
          <w:sz w:val="32"/>
          <w:szCs w:val="32"/>
        </w:rPr>
        <w:t>（项目名称：</w:t>
      </w:r>
      <w:r>
        <w:rPr>
          <w:rFonts w:hint="eastAsia" w:ascii="仿宋_GB2312" w:hAnsi="宋体" w:eastAsia="仿宋_GB2312"/>
          <w:color w:val="auto"/>
          <w:kern w:val="2"/>
          <w:sz w:val="32"/>
          <w:szCs w:val="32"/>
          <w:lang w:eastAsia="zh-CN"/>
        </w:rPr>
        <w:t>各单位征订党报党刊款</w:t>
      </w:r>
      <w:r>
        <w:rPr>
          <w:rFonts w:hint="eastAsia" w:ascii="仿宋_GB2312" w:hAnsi="宋体" w:eastAsia="仿宋_GB2312"/>
          <w:color w:val="auto"/>
          <w:kern w:val="2"/>
          <w:sz w:val="32"/>
          <w:szCs w:val="32"/>
        </w:rPr>
        <w:t>）</w:t>
      </w:r>
    </w:p>
    <w:p>
      <w:pPr>
        <w:pStyle w:val="30"/>
        <w:keepNext w:val="0"/>
        <w:keepLines w:val="0"/>
        <w:pageBreakBefore w:val="0"/>
        <w:widowControl w:val="0"/>
        <w:kinsoku/>
        <w:wordWrap/>
        <w:overflowPunct/>
        <w:topLinePunct w:val="0"/>
        <w:autoSpaceDE/>
        <w:autoSpaceDN/>
        <w:bidi w:val="0"/>
        <w:adjustRightInd/>
        <w:snapToGrid/>
        <w:spacing w:line="700" w:lineRule="exact"/>
        <w:ind w:firstLine="640"/>
        <w:jc w:val="center"/>
        <w:textAlignment w:val="auto"/>
        <w:rPr>
          <w:rFonts w:ascii="宋体" w:hAnsi="宋体"/>
          <w:color w:val="auto"/>
          <w:kern w:val="2"/>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Ansi="宋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Ansi="宋体"/>
          <w:sz w:val="32"/>
          <w:szCs w:val="32"/>
          <w:lang w:val="zh-CN"/>
        </w:rPr>
      </w:pPr>
      <w:r>
        <w:rPr>
          <w:rFonts w:hint="eastAsia" w:ascii="楷体_GB2312" w:hAnsi="宋体" w:eastAsia="楷体_GB2312"/>
          <w:b/>
          <w:sz w:val="32"/>
          <w:szCs w:val="32"/>
          <w:lang w:val="zh-CN"/>
        </w:rPr>
        <w:t>（一）项目资金申报及批复情况。</w:t>
      </w:r>
      <w:r>
        <w:rPr>
          <w:rFonts w:hint="eastAsia" w:ascii="仿宋_GB2312" w:hAnsi="宋体"/>
          <w:sz w:val="32"/>
          <w:szCs w:val="32"/>
          <w:lang w:val="zh-CN"/>
        </w:rPr>
        <w:t>此项目资金共</w:t>
      </w:r>
      <w:r>
        <w:rPr>
          <w:rFonts w:hint="eastAsia" w:ascii="仿宋_GB2312" w:hAnsi="宋体"/>
          <w:sz w:val="32"/>
          <w:szCs w:val="32"/>
          <w:lang w:val="en-US" w:eastAsia="zh-CN"/>
        </w:rPr>
        <w:t>276.44万元</w:t>
      </w:r>
      <w:r>
        <w:rPr>
          <w:rFonts w:hint="eastAsia" w:ascii="仿宋_GB2312" w:hAnsi="宋体"/>
          <w:sz w:val="32"/>
          <w:szCs w:val="32"/>
          <w:lang w:val="zh-CN"/>
        </w:rPr>
        <w:t>，为年初预算下达。该资金使用严格按照资金管理办法规定执行。</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hAnsi="宋体"/>
          <w:sz w:val="32"/>
          <w:szCs w:val="32"/>
          <w:lang w:val="zh-CN"/>
        </w:rPr>
      </w:pPr>
      <w:r>
        <w:rPr>
          <w:rFonts w:hint="eastAsia" w:ascii="楷体_GB2312" w:hAnsi="宋体" w:eastAsia="楷体_GB2312"/>
          <w:b/>
          <w:sz w:val="32"/>
          <w:szCs w:val="32"/>
          <w:lang w:val="zh-CN"/>
        </w:rPr>
        <w:t>（二）项目绩效目标。</w:t>
      </w:r>
      <w:r>
        <w:rPr>
          <w:rFonts w:hint="eastAsia" w:ascii="仿宋_GB2312" w:hAnsi="宋体"/>
          <w:sz w:val="32"/>
          <w:szCs w:val="32"/>
          <w:lang w:val="zh-CN"/>
        </w:rPr>
        <w:t>该项目整体目标为保障我县党报党刊征订任务和指导性计划及时全面完成。数量指标为每年全县党报党刊征订任务数；质量指标为全面完成任务征订；成本指标按照党报党刊征订标准执行；时效指标为公历年底之前完成。</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3" w:firstLineChars="200"/>
        <w:textAlignment w:val="auto"/>
        <w:rPr>
          <w:rFonts w:ascii="仿宋_GB2312" w:hAnsi="宋体"/>
          <w:color w:val="FF0000"/>
          <w:sz w:val="32"/>
          <w:szCs w:val="32"/>
          <w:lang w:val="zh-CN"/>
        </w:rPr>
      </w:pPr>
      <w:r>
        <w:rPr>
          <w:rFonts w:hint="eastAsia" w:ascii="楷体_GB2312" w:hAnsi="宋体" w:eastAsia="楷体_GB2312"/>
          <w:b/>
          <w:sz w:val="32"/>
          <w:szCs w:val="32"/>
          <w:lang w:val="zh-CN"/>
        </w:rPr>
        <w:t>（三）项目资金申报相符性。</w:t>
      </w:r>
      <w:r>
        <w:rPr>
          <w:rFonts w:hint="eastAsia" w:ascii="仿宋_GB2312" w:hAnsi="宋体"/>
          <w:sz w:val="32"/>
          <w:szCs w:val="32"/>
          <w:lang w:val="zh-CN"/>
        </w:rPr>
        <w:t>该项目申报内容与具体实施内容相符、申报目标合理可行。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hAnsi="宋体" w:eastAsia="黑体"/>
          <w:sz w:val="32"/>
          <w:szCs w:val="32"/>
        </w:rPr>
      </w:pPr>
      <w:r>
        <w:rPr>
          <w:rFonts w:hint="eastAsia" w:ascii="黑体" w:hAnsi="宋体" w:eastAsia="黑体"/>
          <w:sz w:val="32"/>
          <w:szCs w:val="32"/>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b/>
          <w:sz w:val="32"/>
          <w:szCs w:val="32"/>
          <w:lang w:val="zh-CN"/>
        </w:rPr>
      </w:pPr>
      <w:r>
        <w:rPr>
          <w:rFonts w:hint="eastAsia" w:ascii="仿宋_GB2312" w:hAnsi="宋体"/>
          <w:sz w:val="32"/>
          <w:szCs w:val="32"/>
          <w:lang w:val="zh-CN"/>
        </w:rPr>
        <w:tab/>
      </w:r>
      <w:r>
        <w:rPr>
          <w:rFonts w:hint="eastAsia" w:ascii="楷体_GB2312" w:hAnsi="宋体" w:eastAsia="楷体_GB2312"/>
          <w:b/>
          <w:sz w:val="32"/>
          <w:szCs w:val="32"/>
          <w:lang w:val="zh-CN"/>
        </w:rPr>
        <w:t>（一）资金计划、到位及使用情况。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textAlignment w:val="auto"/>
        <w:rPr>
          <w:rFonts w:hint="eastAsia" w:ascii="仿宋_GB2312" w:hAnsi="宋体"/>
          <w:color w:val="FF0000"/>
          <w:sz w:val="32"/>
          <w:szCs w:val="32"/>
          <w:lang w:val="zh-CN"/>
        </w:rPr>
      </w:pPr>
      <w:r>
        <w:rPr>
          <w:rFonts w:hint="eastAsia" w:ascii="楷体_GB2312" w:hAnsi="宋体" w:eastAsia="楷体_GB2312"/>
          <w:sz w:val="32"/>
          <w:szCs w:val="32"/>
          <w:lang w:val="zh-CN"/>
        </w:rPr>
        <w:t>1．资金计划及到位。</w:t>
      </w:r>
      <w:r>
        <w:rPr>
          <w:rFonts w:hint="eastAsia" w:ascii="仿宋_GB2312" w:hAnsi="宋体"/>
          <w:sz w:val="32"/>
          <w:szCs w:val="32"/>
          <w:lang w:val="zh-CN"/>
        </w:rPr>
        <w:t>该项目资金计划</w:t>
      </w:r>
      <w:r>
        <w:rPr>
          <w:rFonts w:hint="eastAsia" w:ascii="仿宋_GB2312" w:hAnsi="宋体"/>
          <w:sz w:val="32"/>
          <w:szCs w:val="32"/>
          <w:lang w:val="en-US" w:eastAsia="zh-CN"/>
        </w:rPr>
        <w:t>276.44万元</w:t>
      </w:r>
      <w:r>
        <w:rPr>
          <w:rFonts w:hint="eastAsia" w:ascii="仿宋_GB2312" w:hAnsi="宋体"/>
          <w:sz w:val="32"/>
          <w:szCs w:val="32"/>
          <w:lang w:val="zh-CN"/>
        </w:rPr>
        <w:t>于</w:t>
      </w:r>
      <w:r>
        <w:rPr>
          <w:rFonts w:hint="eastAsia" w:ascii="仿宋_GB2312" w:hAnsi="宋体"/>
          <w:sz w:val="32"/>
          <w:szCs w:val="32"/>
          <w:lang w:val="en-US" w:eastAsia="zh-CN"/>
        </w:rPr>
        <w:t>2021年初全部到位</w:t>
      </w:r>
      <w:r>
        <w:rPr>
          <w:rFonts w:hint="eastAsia" w:ascii="仿宋_GB2312" w:hAnsi="宋体"/>
          <w:sz w:val="32"/>
          <w:szCs w:val="32"/>
          <w:lang w:val="zh-CN"/>
        </w:rPr>
        <w:t>，</w:t>
      </w:r>
      <w:r>
        <w:rPr>
          <w:rFonts w:hint="eastAsia" w:ascii="仿宋_GB2312" w:hAnsi="宋体"/>
          <w:sz w:val="32"/>
          <w:szCs w:val="32"/>
          <w:lang w:val="en-US" w:eastAsia="zh-CN"/>
        </w:rPr>
        <w:t>资金到位率100%。</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楷体_GB2312" w:hAnsi="宋体" w:eastAsia="楷体_GB2312"/>
          <w:sz w:val="32"/>
          <w:szCs w:val="32"/>
          <w:lang w:val="zh-CN"/>
        </w:rPr>
      </w:pPr>
      <w:r>
        <w:rPr>
          <w:rFonts w:hint="eastAsia" w:ascii="楷体_GB2312" w:hAnsi="宋体" w:eastAsia="楷体_GB2312"/>
          <w:sz w:val="32"/>
          <w:szCs w:val="32"/>
          <w:lang w:val="zh-CN"/>
        </w:rPr>
        <w:t>2．资金使用。</w:t>
      </w:r>
      <w:r>
        <w:rPr>
          <w:rFonts w:hint="eastAsia" w:ascii="仿宋_GB2312" w:hAnsi="宋体"/>
          <w:sz w:val="32"/>
          <w:szCs w:val="32"/>
          <w:lang w:val="zh-CN"/>
        </w:rPr>
        <w:t>该项目资金于</w:t>
      </w:r>
      <w:r>
        <w:rPr>
          <w:rFonts w:hint="eastAsia" w:ascii="仿宋_GB2312" w:hAnsi="宋体"/>
          <w:sz w:val="32"/>
          <w:szCs w:val="32"/>
          <w:lang w:val="en-US" w:eastAsia="zh-CN"/>
        </w:rPr>
        <w:t>2021年12月23日全部用于支付征订党报党刊费用，资金支付合规合法。</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hAnsi="宋体"/>
          <w:sz w:val="32"/>
          <w:szCs w:val="32"/>
          <w:lang w:val="zh-CN"/>
        </w:rPr>
      </w:pPr>
      <w:r>
        <w:rPr>
          <w:rFonts w:hint="eastAsia" w:ascii="仿宋_GB2312" w:hAnsi="宋体"/>
          <w:sz w:val="32"/>
          <w:szCs w:val="32"/>
          <w:lang w:val="zh-CN"/>
        </w:rPr>
        <w:t>该项目资金使用严格按照项目资金管理办法要求，严格执行财务管理制度、财务处理及时、会计核算规范。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hAnsi="宋体"/>
          <w:sz w:val="32"/>
          <w:szCs w:val="32"/>
          <w:lang w:val="zh-CN"/>
        </w:rPr>
      </w:pPr>
      <w:r>
        <w:rPr>
          <w:rFonts w:hint="eastAsia" w:ascii="仿宋_GB2312" w:hAnsi="宋体"/>
          <w:sz w:val="32"/>
          <w:szCs w:val="32"/>
          <w:lang w:val="zh-CN"/>
        </w:rPr>
        <w:t>该项目由县委宣传部牵头，征订全县所有县级部门和乡镇党报党刊，并完成资金支付后，将征订的党报党刊分发到各乡镇和县级部门。</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Ansi="宋体"/>
          <w:sz w:val="32"/>
          <w:szCs w:val="32"/>
          <w:lang w:val="zh-CN"/>
        </w:rPr>
      </w:pPr>
      <w:r>
        <w:rPr>
          <w:rFonts w:hint="eastAsia" w:ascii="黑体" w:hAnsi="宋体" w:eastAsia="黑体"/>
          <w:sz w:val="32"/>
          <w:szCs w:val="32"/>
        </w:rPr>
        <w:t>三、项目绩效情况</w:t>
      </w:r>
      <w:r>
        <w:rPr>
          <w:rFonts w:hint="eastAsia" w:ascii="仿宋_GB2312" w:hAnsi="宋体"/>
          <w:sz w:val="32"/>
          <w:szCs w:val="32"/>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b/>
          <w:sz w:val="32"/>
          <w:szCs w:val="32"/>
          <w:lang w:val="zh-CN"/>
        </w:rPr>
      </w:pPr>
      <w:r>
        <w:rPr>
          <w:rFonts w:hint="eastAsia" w:ascii="仿宋_GB2312" w:hAnsi="宋体"/>
          <w:sz w:val="32"/>
          <w:szCs w:val="32"/>
          <w:lang w:val="en-US" w:eastAsia="zh-CN"/>
        </w:rPr>
        <w:t>2021年度</w:t>
      </w:r>
      <w:r>
        <w:rPr>
          <w:rFonts w:hint="eastAsia" w:ascii="仿宋_GB2312" w:hAnsi="宋体"/>
          <w:sz w:val="32"/>
          <w:szCs w:val="32"/>
          <w:lang w:val="zh-CN" w:eastAsia="zh-CN"/>
        </w:rPr>
        <w:t>共计征订党报党刊5548份，资金支付及时，成本控制合理，保障了我县党报党刊征订任务和指导性计划及时全面完成，完成了计划数量、质量、时效、成本指标。</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hAnsi="宋体"/>
          <w:sz w:val="32"/>
          <w:szCs w:val="32"/>
          <w:lang w:val="zh-CN"/>
        </w:rPr>
      </w:pPr>
      <w:r>
        <w:rPr>
          <w:rFonts w:hint="eastAsia" w:ascii="楷体_GB2312" w:hAnsi="宋体" w:eastAsia="楷体_GB2312"/>
          <w:b/>
          <w:sz w:val="32"/>
          <w:szCs w:val="32"/>
          <w:lang w:val="zh-CN"/>
        </w:rPr>
        <w:t>（二）项目效益情况。</w:t>
      </w:r>
      <w:r>
        <w:rPr>
          <w:rFonts w:hint="eastAsia" w:ascii="仿宋_GB2312" w:hAnsi="宋体"/>
          <w:sz w:val="32"/>
          <w:szCs w:val="32"/>
          <w:lang w:val="zh-CN" w:eastAsia="zh-CN"/>
        </w:rPr>
        <w:t>通过订阅党报党刊</w:t>
      </w:r>
      <w:r>
        <w:rPr>
          <w:rFonts w:hint="eastAsia" w:ascii="楷体_GB2312" w:hAnsi="宋体" w:eastAsia="楷体_GB2312"/>
          <w:b/>
          <w:sz w:val="32"/>
          <w:szCs w:val="32"/>
          <w:lang w:val="zh-CN"/>
        </w:rPr>
        <w:t>，</w:t>
      </w:r>
      <w:r>
        <w:rPr>
          <w:rFonts w:hint="eastAsia" w:ascii="仿宋_GB2312" w:hAnsi="宋体"/>
          <w:sz w:val="32"/>
          <w:szCs w:val="32"/>
          <w:lang w:val="zh-CN"/>
        </w:rPr>
        <w:t>丰富了全县干部的理论学习平台，干部群众满意度不断提升。</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hAnsi="宋体" w:eastAsia="黑体"/>
          <w:sz w:val="32"/>
          <w:szCs w:val="32"/>
        </w:rPr>
      </w:pPr>
      <w:r>
        <w:rPr>
          <w:rFonts w:hint="eastAsia" w:ascii="黑体" w:hAnsi="宋体" w:eastAsia="黑体"/>
          <w:sz w:val="32"/>
          <w:szCs w:val="32"/>
        </w:rPr>
        <w:t>四、问题及建议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楷体_GB2312" w:hAnsi="宋体" w:eastAsia="楷体_GB2312"/>
          <w:b/>
          <w:sz w:val="32"/>
          <w:szCs w:val="32"/>
          <w:lang w:val="zh-CN"/>
        </w:rPr>
      </w:pPr>
      <w:r>
        <w:rPr>
          <w:rFonts w:hint="eastAsia" w:ascii="楷体_GB2312" w:hAnsi="宋体" w:eastAsia="楷体_GB2312"/>
          <w:b/>
          <w:sz w:val="32"/>
          <w:szCs w:val="32"/>
          <w:lang w:val="zh-CN"/>
        </w:rPr>
        <w:t>（一）存在的问题</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hAnsi="宋体"/>
          <w:sz w:val="32"/>
          <w:szCs w:val="32"/>
          <w:lang w:eastAsia="zh-CN"/>
        </w:rPr>
      </w:pPr>
      <w:r>
        <w:rPr>
          <w:rFonts w:hint="eastAsia" w:ascii="仿宋_GB2312" w:hAnsi="宋体"/>
          <w:sz w:val="32"/>
          <w:szCs w:val="32"/>
          <w:lang w:val="zh-CN" w:eastAsia="zh-CN"/>
        </w:rPr>
        <w:t>无</w:t>
      </w:r>
    </w:p>
    <w:p>
      <w:pPr>
        <w:keepNext w:val="0"/>
        <w:keepLines w:val="0"/>
        <w:pageBreakBefore w:val="0"/>
        <w:widowControl w:val="0"/>
        <w:numPr>
          <w:ilvl w:val="0"/>
          <w:numId w:val="7"/>
        </w:numPr>
        <w:kinsoku/>
        <w:wordWrap/>
        <w:overflowPunct/>
        <w:topLinePunct w:val="0"/>
        <w:autoSpaceDE/>
        <w:autoSpaceDN/>
        <w:bidi w:val="0"/>
        <w:adjustRightInd w:val="0"/>
        <w:snapToGrid w:val="0"/>
        <w:spacing w:line="600" w:lineRule="exact"/>
        <w:ind w:left="0" w:leftChars="0" w:firstLine="720" w:firstLineChars="0"/>
        <w:textAlignment w:val="auto"/>
        <w:rPr>
          <w:rFonts w:hint="eastAsia" w:ascii="楷体_GB2312" w:hAnsi="宋体" w:eastAsia="楷体_GB2312"/>
          <w:b/>
          <w:sz w:val="32"/>
          <w:szCs w:val="32"/>
          <w:lang w:val="zh-CN"/>
        </w:rPr>
      </w:pPr>
      <w:r>
        <w:rPr>
          <w:rFonts w:hint="eastAsia" w:ascii="楷体_GB2312" w:hAnsi="宋体" w:eastAsia="楷体_GB2312"/>
          <w:b/>
          <w:sz w:val="32"/>
          <w:szCs w:val="32"/>
          <w:lang w:val="zh-CN"/>
        </w:rPr>
        <w:t>相关建议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hAnsi="宋体"/>
          <w:sz w:val="32"/>
          <w:szCs w:val="32"/>
          <w:lang w:val="zh-CN" w:eastAsia="zh-CN"/>
        </w:rPr>
      </w:pPr>
      <w:r>
        <w:rPr>
          <w:rFonts w:hint="eastAsia" w:hAnsi="宋体"/>
          <w:sz w:val="32"/>
          <w:szCs w:val="32"/>
          <w:lang w:val="zh-CN" w:eastAsia="zh-CN"/>
        </w:rPr>
        <w:t>无</w:t>
      </w:r>
    </w:p>
    <w:p>
      <w:pPr>
        <w:pStyle w:val="2"/>
        <w:rPr>
          <w:rFonts w:ascii="宋体" w:hAnsi="宋体" w:eastAsia="宋体" w:cs="Times New Roman"/>
          <w:color w:val="auto"/>
          <w:kern w:val="2"/>
          <w:sz w:val="32"/>
          <w:szCs w:val="32"/>
          <w:highlight w:val="none"/>
          <w:lang w:val="zh-CN" w:eastAsia="zh-CN" w:bidi="ar-SA"/>
        </w:rPr>
      </w:pPr>
    </w:p>
    <w:p>
      <w:pPr>
        <w:pStyle w:val="2"/>
        <w:rPr>
          <w:rFonts w:ascii="宋体" w:hAnsi="宋体" w:eastAsia="宋体" w:cs="Times New Roman"/>
          <w:color w:val="auto"/>
          <w:kern w:val="2"/>
          <w:sz w:val="32"/>
          <w:szCs w:val="32"/>
          <w:highlight w:val="none"/>
          <w:lang w:val="zh-CN" w:eastAsia="zh-CN" w:bidi="ar-SA"/>
        </w:rPr>
      </w:pPr>
    </w:p>
    <w:p>
      <w:pPr>
        <w:pStyle w:val="2"/>
        <w:rPr>
          <w:rFonts w:ascii="宋体" w:hAnsi="宋体" w:eastAsia="宋体" w:cs="Times New Roman"/>
          <w:color w:val="auto"/>
          <w:kern w:val="2"/>
          <w:sz w:val="32"/>
          <w:szCs w:val="32"/>
          <w:highlight w:val="none"/>
          <w:lang w:val="zh-CN" w:eastAsia="zh-CN" w:bidi="ar-SA"/>
        </w:rPr>
      </w:pPr>
    </w:p>
    <w:p>
      <w:pPr>
        <w:pStyle w:val="2"/>
        <w:rPr>
          <w:rFonts w:ascii="宋体" w:hAnsi="宋体" w:eastAsia="宋体" w:cs="Times New Roman"/>
          <w:color w:val="auto"/>
          <w:kern w:val="2"/>
          <w:sz w:val="32"/>
          <w:szCs w:val="32"/>
          <w:highlight w:val="none"/>
          <w:lang w:val="zh-CN" w:eastAsia="zh-CN" w:bidi="ar-SA"/>
        </w:rPr>
      </w:pPr>
    </w:p>
    <w:p>
      <w:pPr>
        <w:pStyle w:val="2"/>
        <w:rPr>
          <w:rFonts w:hint="eastAsia"/>
          <w:color w:val="auto"/>
          <w:highlight w:val="none"/>
          <w:lang w:val="zh-CN"/>
        </w:rPr>
      </w:pPr>
      <w:r>
        <w:rPr>
          <w:rFonts w:hint="eastAsia" w:hAnsi="宋体" w:cs="宋体"/>
          <w:color w:val="auto"/>
          <w:kern w:val="0"/>
          <w:sz w:val="32"/>
          <w:szCs w:val="32"/>
          <w:highlight w:val="none"/>
          <w:shd w:val="clear" w:color="auto" w:fill="FFFFFF"/>
          <w:lang w:val="zh-CN"/>
        </w:rPr>
        <w:t>附件</w:t>
      </w:r>
    </w:p>
    <w:p>
      <w:pPr>
        <w:keepNext w:val="0"/>
        <w:keepLines w:val="0"/>
        <w:pageBreakBefore w:val="0"/>
        <w:widowControl w:val="0"/>
        <w:kinsoku/>
        <w:wordWrap/>
        <w:overflowPunct/>
        <w:topLinePunct w:val="0"/>
        <w:autoSpaceDE/>
        <w:autoSpaceDN/>
        <w:bidi w:val="0"/>
        <w:spacing w:line="600" w:lineRule="exact"/>
        <w:jc w:val="center"/>
        <w:textAlignment w:val="auto"/>
        <w:rPr>
          <w:rFonts w:hint="eastAsia" w:ascii="仿宋_GB2312" w:hAnsi="宋体" w:eastAsia="仿宋_GB2312"/>
          <w:color w:val="auto"/>
          <w:kern w:val="2"/>
          <w:sz w:val="32"/>
          <w:szCs w:val="32"/>
        </w:rPr>
      </w:pPr>
      <w:r>
        <w:rPr>
          <w:rFonts w:hint="eastAsia" w:ascii="方正小标宋简体" w:hAnsi="方正小标宋简体" w:eastAsia="方正小标宋简体" w:cs="方正小标宋简体"/>
          <w:color w:val="auto"/>
          <w:kern w:val="2"/>
          <w:sz w:val="40"/>
          <w:szCs w:val="40"/>
          <w:highlight w:val="none"/>
          <w:lang w:val="en-US" w:eastAsia="zh-CN" w:bidi="ar-SA"/>
        </w:rPr>
        <w:t>2022年</w:t>
      </w:r>
      <w:r>
        <w:rPr>
          <w:rFonts w:hint="eastAsia" w:ascii="方正小标宋简体" w:hAnsi="方正小标宋简体" w:eastAsia="方正小标宋简体" w:cs="方正小标宋简体"/>
          <w:color w:val="auto"/>
          <w:kern w:val="2"/>
          <w:sz w:val="40"/>
          <w:szCs w:val="40"/>
          <w:highlight w:val="none"/>
          <w:lang w:val="zh-CN" w:eastAsia="zh-CN" w:bidi="ar-SA"/>
        </w:rPr>
        <w:t>专项预算项目支出绩效自评报告</w:t>
      </w:r>
    </w:p>
    <w:p>
      <w:pPr>
        <w:pStyle w:val="30"/>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仿宋_GB2312" w:hAnsi="宋体" w:eastAsia="仿宋_GB2312"/>
          <w:color w:val="auto"/>
          <w:kern w:val="2"/>
          <w:sz w:val="32"/>
          <w:szCs w:val="32"/>
        </w:rPr>
      </w:pPr>
      <w:r>
        <w:rPr>
          <w:rFonts w:hint="eastAsia" w:ascii="仿宋_GB2312" w:hAnsi="宋体" w:eastAsia="仿宋_GB2312"/>
          <w:color w:val="auto"/>
          <w:kern w:val="2"/>
          <w:sz w:val="32"/>
          <w:szCs w:val="32"/>
        </w:rPr>
        <w:t>（项目名称：</w:t>
      </w:r>
      <w:r>
        <w:rPr>
          <w:rFonts w:hint="eastAsia" w:ascii="仿宋_GB2312" w:hAnsi="宋体" w:eastAsia="仿宋_GB2312"/>
          <w:color w:val="auto"/>
          <w:kern w:val="2"/>
          <w:sz w:val="32"/>
          <w:szCs w:val="32"/>
          <w:lang w:eastAsia="zh-CN"/>
        </w:rPr>
        <w:t>电影管理站人员生活补助</w:t>
      </w:r>
      <w:r>
        <w:rPr>
          <w:rFonts w:hint="eastAsia" w:ascii="仿宋_GB2312" w:hAnsi="宋体" w:eastAsia="仿宋_GB2312"/>
          <w:color w:val="auto"/>
          <w:kern w:val="2"/>
          <w:sz w:val="32"/>
          <w:szCs w:val="32"/>
        </w:rPr>
        <w:t>）</w:t>
      </w:r>
    </w:p>
    <w:p>
      <w:pPr>
        <w:pStyle w:val="30"/>
        <w:keepNext w:val="0"/>
        <w:keepLines w:val="0"/>
        <w:pageBreakBefore w:val="0"/>
        <w:widowControl w:val="0"/>
        <w:kinsoku/>
        <w:wordWrap/>
        <w:overflowPunct/>
        <w:topLinePunct w:val="0"/>
        <w:autoSpaceDE/>
        <w:autoSpaceDN/>
        <w:bidi w:val="0"/>
        <w:adjustRightInd/>
        <w:snapToGrid/>
        <w:spacing w:line="700" w:lineRule="exact"/>
        <w:ind w:firstLine="640"/>
        <w:jc w:val="center"/>
        <w:textAlignment w:val="auto"/>
        <w:rPr>
          <w:rFonts w:ascii="宋体" w:hAnsi="宋体"/>
          <w:color w:val="auto"/>
          <w:kern w:val="2"/>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Ansi="宋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Ansi="宋体"/>
          <w:sz w:val="32"/>
          <w:szCs w:val="32"/>
          <w:lang w:val="zh-CN"/>
        </w:rPr>
      </w:pPr>
      <w:r>
        <w:rPr>
          <w:rFonts w:hint="eastAsia" w:ascii="楷体_GB2312" w:hAnsi="宋体" w:eastAsia="楷体_GB2312"/>
          <w:b/>
          <w:sz w:val="32"/>
          <w:szCs w:val="32"/>
          <w:lang w:val="zh-CN"/>
        </w:rPr>
        <w:t>（一）项目资金申报及批复情况。</w:t>
      </w:r>
      <w:r>
        <w:rPr>
          <w:rFonts w:hint="eastAsia" w:ascii="仿宋_GB2312" w:hAnsi="宋体"/>
          <w:sz w:val="32"/>
          <w:szCs w:val="32"/>
          <w:lang w:val="zh-CN"/>
        </w:rPr>
        <w:t>此项目资金共</w:t>
      </w:r>
      <w:r>
        <w:rPr>
          <w:rFonts w:hint="eastAsia" w:ascii="仿宋_GB2312" w:hAnsi="宋体"/>
          <w:sz w:val="32"/>
          <w:szCs w:val="32"/>
          <w:lang w:val="en-US" w:eastAsia="zh-CN"/>
        </w:rPr>
        <w:t>2.23</w:t>
      </w:r>
      <w:r>
        <w:rPr>
          <w:rFonts w:hint="eastAsia" w:ascii="仿宋_GB2312" w:hAnsi="宋体"/>
          <w:sz w:val="32"/>
          <w:szCs w:val="32"/>
          <w:lang w:val="zh-CN"/>
        </w:rPr>
        <w:t>万元，为年初预算下达。该资金使用严格按照资金管理办法规定执行。</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hAnsi="宋体"/>
          <w:sz w:val="32"/>
          <w:szCs w:val="32"/>
          <w:lang w:val="zh-CN"/>
        </w:rPr>
      </w:pPr>
      <w:r>
        <w:rPr>
          <w:rFonts w:hint="eastAsia" w:ascii="楷体_GB2312" w:hAnsi="宋体" w:eastAsia="楷体_GB2312"/>
          <w:b/>
          <w:sz w:val="32"/>
          <w:szCs w:val="32"/>
          <w:lang w:val="zh-CN"/>
        </w:rPr>
        <w:t>（二）项目绩效目标。</w:t>
      </w:r>
      <w:r>
        <w:rPr>
          <w:rFonts w:hint="eastAsia" w:ascii="仿宋_GB2312" w:hAnsi="宋体"/>
          <w:sz w:val="32"/>
          <w:szCs w:val="32"/>
          <w:lang w:val="zh-CN"/>
        </w:rPr>
        <w:t>该项目整体目标为解决原电影公司老放映员遗留问题。</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3" w:firstLineChars="200"/>
        <w:textAlignment w:val="auto"/>
        <w:rPr>
          <w:rFonts w:ascii="仿宋_GB2312" w:hAnsi="宋体"/>
          <w:color w:val="FF0000"/>
          <w:sz w:val="32"/>
          <w:szCs w:val="32"/>
          <w:lang w:val="zh-CN"/>
        </w:rPr>
      </w:pPr>
      <w:r>
        <w:rPr>
          <w:rFonts w:hint="eastAsia" w:ascii="楷体_GB2312" w:hAnsi="宋体" w:eastAsia="楷体_GB2312"/>
          <w:b/>
          <w:sz w:val="32"/>
          <w:szCs w:val="32"/>
          <w:lang w:val="zh-CN"/>
        </w:rPr>
        <w:t>（三）项目资金申报相符性。</w:t>
      </w:r>
      <w:r>
        <w:rPr>
          <w:rFonts w:hint="eastAsia" w:ascii="仿宋_GB2312" w:hAnsi="宋体"/>
          <w:sz w:val="32"/>
          <w:szCs w:val="32"/>
          <w:lang w:val="zh-CN"/>
        </w:rPr>
        <w:t>该项目申报内容与具体实施内容相符、申报目标合理可行。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hAnsi="宋体" w:eastAsia="黑体"/>
          <w:sz w:val="32"/>
          <w:szCs w:val="32"/>
        </w:rPr>
      </w:pPr>
      <w:r>
        <w:rPr>
          <w:rFonts w:hint="eastAsia" w:ascii="黑体" w:hAnsi="宋体" w:eastAsia="黑体"/>
          <w:sz w:val="32"/>
          <w:szCs w:val="32"/>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b/>
          <w:sz w:val="32"/>
          <w:szCs w:val="32"/>
          <w:lang w:val="zh-CN"/>
        </w:rPr>
      </w:pPr>
      <w:r>
        <w:rPr>
          <w:rFonts w:hint="eastAsia" w:ascii="仿宋_GB2312" w:hAnsi="宋体"/>
          <w:sz w:val="32"/>
          <w:szCs w:val="32"/>
          <w:lang w:val="zh-CN"/>
        </w:rPr>
        <w:tab/>
      </w:r>
      <w:r>
        <w:rPr>
          <w:rFonts w:hint="eastAsia" w:ascii="楷体_GB2312" w:hAnsi="宋体" w:eastAsia="楷体_GB2312"/>
          <w:b/>
          <w:sz w:val="32"/>
          <w:szCs w:val="32"/>
          <w:lang w:val="zh-CN"/>
        </w:rPr>
        <w:t>（一）资金计划、到位及使用情况。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textAlignment w:val="auto"/>
        <w:rPr>
          <w:rFonts w:hint="eastAsia" w:ascii="仿宋_GB2312" w:hAnsi="宋体"/>
          <w:color w:val="FF0000"/>
          <w:sz w:val="32"/>
          <w:szCs w:val="32"/>
          <w:lang w:val="zh-CN"/>
        </w:rPr>
      </w:pPr>
      <w:r>
        <w:rPr>
          <w:rFonts w:hint="eastAsia" w:ascii="楷体_GB2312" w:hAnsi="宋体" w:eastAsia="楷体_GB2312"/>
          <w:sz w:val="32"/>
          <w:szCs w:val="32"/>
          <w:lang w:val="zh-CN"/>
        </w:rPr>
        <w:t>1．资金计划及到位。</w:t>
      </w:r>
      <w:r>
        <w:rPr>
          <w:rFonts w:hint="eastAsia" w:ascii="仿宋_GB2312" w:hAnsi="宋体"/>
          <w:sz w:val="32"/>
          <w:szCs w:val="32"/>
          <w:lang w:val="zh-CN"/>
        </w:rPr>
        <w:t>该项目资金计划</w:t>
      </w:r>
      <w:r>
        <w:rPr>
          <w:rFonts w:hint="eastAsia" w:ascii="仿宋_GB2312" w:hAnsi="宋体"/>
          <w:sz w:val="32"/>
          <w:szCs w:val="32"/>
          <w:lang w:val="en-US" w:eastAsia="zh-CN"/>
        </w:rPr>
        <w:t>2.23万元</w:t>
      </w:r>
      <w:r>
        <w:rPr>
          <w:rFonts w:hint="eastAsia" w:ascii="仿宋_GB2312" w:hAnsi="宋体"/>
          <w:sz w:val="32"/>
          <w:szCs w:val="32"/>
          <w:lang w:val="zh-CN"/>
        </w:rPr>
        <w:t>于</w:t>
      </w:r>
      <w:r>
        <w:rPr>
          <w:rFonts w:hint="eastAsia" w:ascii="仿宋_GB2312" w:hAnsi="宋体"/>
          <w:sz w:val="32"/>
          <w:szCs w:val="32"/>
          <w:lang w:val="en-US" w:eastAsia="zh-CN"/>
        </w:rPr>
        <w:t>2021年初全部到位</w:t>
      </w:r>
      <w:r>
        <w:rPr>
          <w:rFonts w:hint="eastAsia" w:ascii="仿宋_GB2312" w:hAnsi="宋体"/>
          <w:sz w:val="32"/>
          <w:szCs w:val="32"/>
          <w:lang w:val="zh-CN"/>
        </w:rPr>
        <w:t>，</w:t>
      </w:r>
      <w:r>
        <w:rPr>
          <w:rFonts w:hint="eastAsia" w:ascii="仿宋_GB2312" w:hAnsi="宋体"/>
          <w:sz w:val="32"/>
          <w:szCs w:val="32"/>
          <w:lang w:val="en-US" w:eastAsia="zh-CN"/>
        </w:rPr>
        <w:t>资金到位率100%。</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楷体_GB2312" w:hAnsi="宋体" w:eastAsia="楷体_GB2312"/>
          <w:sz w:val="32"/>
          <w:szCs w:val="32"/>
          <w:lang w:val="zh-CN"/>
        </w:rPr>
      </w:pPr>
      <w:r>
        <w:rPr>
          <w:rFonts w:hint="eastAsia" w:ascii="楷体_GB2312" w:hAnsi="宋体" w:eastAsia="楷体_GB2312"/>
          <w:sz w:val="32"/>
          <w:szCs w:val="32"/>
          <w:lang w:val="zh-CN"/>
        </w:rPr>
        <w:t>2．资金使用。</w:t>
      </w:r>
      <w:r>
        <w:rPr>
          <w:rFonts w:hint="eastAsia" w:ascii="仿宋_GB2312" w:hAnsi="宋体"/>
          <w:sz w:val="32"/>
          <w:szCs w:val="32"/>
          <w:lang w:val="zh-CN"/>
        </w:rPr>
        <w:t>该项目资金于</w:t>
      </w:r>
      <w:r>
        <w:rPr>
          <w:rFonts w:hint="eastAsia" w:ascii="仿宋_GB2312" w:hAnsi="宋体"/>
          <w:sz w:val="32"/>
          <w:szCs w:val="32"/>
          <w:lang w:val="en-US" w:eastAsia="zh-CN"/>
        </w:rPr>
        <w:t>2021年1月-2021年12月按月足额支付给每位原电影公司老放映员，资金支付合规合法。</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hAnsi="宋体"/>
          <w:sz w:val="32"/>
          <w:szCs w:val="32"/>
          <w:lang w:val="zh-CN"/>
        </w:rPr>
      </w:pPr>
      <w:r>
        <w:rPr>
          <w:rFonts w:hint="eastAsia" w:ascii="仿宋_GB2312" w:hAnsi="宋体"/>
          <w:sz w:val="32"/>
          <w:szCs w:val="32"/>
          <w:lang w:val="zh-CN"/>
        </w:rPr>
        <w:t>该项目资金使用严格按照项目资金管理办法要求，严格执行财务管理制度、财务处理及时、会计核算规范。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hAnsi="宋体"/>
          <w:sz w:val="32"/>
          <w:szCs w:val="32"/>
          <w:lang w:val="zh-CN"/>
        </w:rPr>
      </w:pPr>
      <w:r>
        <w:rPr>
          <w:rFonts w:hint="eastAsia" w:ascii="仿宋_GB2312" w:hAnsi="宋体"/>
          <w:sz w:val="32"/>
          <w:szCs w:val="32"/>
          <w:lang w:val="zh-CN"/>
        </w:rPr>
        <w:t>按月足额支付原电影公司老放映员，解决其生活困难。</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Ansi="宋体"/>
          <w:sz w:val="32"/>
          <w:szCs w:val="32"/>
          <w:lang w:val="zh-CN"/>
        </w:rPr>
      </w:pPr>
      <w:r>
        <w:rPr>
          <w:rFonts w:hint="eastAsia" w:ascii="黑体" w:hAnsi="宋体" w:eastAsia="黑体"/>
          <w:sz w:val="32"/>
          <w:szCs w:val="32"/>
        </w:rPr>
        <w:t>三、项目绩效情况</w:t>
      </w:r>
      <w:r>
        <w:rPr>
          <w:rFonts w:hint="eastAsia" w:ascii="仿宋_GB2312" w:hAnsi="宋体"/>
          <w:sz w:val="32"/>
          <w:szCs w:val="32"/>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b/>
          <w:sz w:val="32"/>
          <w:szCs w:val="32"/>
          <w:lang w:val="zh-CN"/>
        </w:rPr>
      </w:pPr>
      <w:r>
        <w:rPr>
          <w:rFonts w:hint="eastAsia" w:ascii="仿宋_GB2312" w:hAnsi="宋体"/>
          <w:sz w:val="32"/>
          <w:szCs w:val="32"/>
          <w:lang w:val="zh-CN" w:eastAsia="zh-CN"/>
        </w:rPr>
        <w:t>该项目全年预算数</w:t>
      </w:r>
      <w:r>
        <w:rPr>
          <w:rFonts w:hint="eastAsia" w:ascii="仿宋_GB2312" w:hAnsi="宋体"/>
          <w:sz w:val="32"/>
          <w:szCs w:val="32"/>
          <w:lang w:val="en-US" w:eastAsia="zh-CN"/>
        </w:rPr>
        <w:t>2.23</w:t>
      </w:r>
      <w:r>
        <w:rPr>
          <w:rFonts w:hint="eastAsia" w:ascii="仿宋_GB2312" w:hAnsi="宋体"/>
          <w:sz w:val="32"/>
          <w:szCs w:val="32"/>
          <w:lang w:val="zh-CN" w:eastAsia="zh-CN"/>
        </w:rPr>
        <w:t>万元，执行数为</w:t>
      </w:r>
      <w:r>
        <w:rPr>
          <w:rFonts w:hint="eastAsia" w:ascii="仿宋_GB2312" w:hAnsi="宋体"/>
          <w:sz w:val="32"/>
          <w:szCs w:val="32"/>
          <w:lang w:val="en-US" w:eastAsia="zh-CN"/>
        </w:rPr>
        <w:t>2.23</w:t>
      </w:r>
      <w:r>
        <w:rPr>
          <w:rFonts w:hint="eastAsia" w:ascii="仿宋_GB2312" w:hAnsi="宋体"/>
          <w:sz w:val="32"/>
          <w:szCs w:val="32"/>
          <w:lang w:val="zh-CN" w:eastAsia="zh-CN"/>
        </w:rPr>
        <w:t>万元，完成预算的100%。通过项目实施，解决了原电影公司老放映员遗留问题。</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hAnsi="宋体"/>
          <w:sz w:val="32"/>
          <w:szCs w:val="32"/>
          <w:lang w:val="zh-CN"/>
        </w:rPr>
      </w:pPr>
      <w:r>
        <w:rPr>
          <w:rFonts w:hint="eastAsia" w:ascii="楷体_GB2312" w:hAnsi="宋体" w:eastAsia="楷体_GB2312"/>
          <w:b/>
          <w:sz w:val="32"/>
          <w:szCs w:val="32"/>
          <w:lang w:val="zh-CN"/>
        </w:rPr>
        <w:t>（二）项目效益情况。</w:t>
      </w:r>
      <w:r>
        <w:rPr>
          <w:rFonts w:hint="eastAsia" w:ascii="仿宋_GB2312" w:hAnsi="宋体"/>
          <w:sz w:val="32"/>
          <w:szCs w:val="32"/>
          <w:lang w:val="zh-CN"/>
        </w:rPr>
        <w:t>保障原电影公司老放映员基本生活，，解决了原电影公司老放映员遗留问题，提升了干部群众满意度。</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hAnsi="宋体" w:eastAsia="黑体"/>
          <w:sz w:val="32"/>
          <w:szCs w:val="32"/>
        </w:rPr>
      </w:pPr>
      <w:r>
        <w:rPr>
          <w:rFonts w:hint="eastAsia" w:ascii="黑体" w:hAnsi="宋体" w:eastAsia="黑体"/>
          <w:sz w:val="32"/>
          <w:szCs w:val="32"/>
        </w:rPr>
        <w:t>四、问题及建议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楷体_GB2312" w:hAnsi="宋体" w:eastAsia="楷体_GB2312"/>
          <w:b/>
          <w:sz w:val="32"/>
          <w:szCs w:val="32"/>
          <w:lang w:val="zh-CN"/>
        </w:rPr>
      </w:pPr>
      <w:r>
        <w:rPr>
          <w:rFonts w:hint="eastAsia" w:ascii="楷体_GB2312" w:hAnsi="宋体" w:eastAsia="楷体_GB2312"/>
          <w:b/>
          <w:sz w:val="32"/>
          <w:szCs w:val="32"/>
          <w:lang w:val="zh-CN"/>
        </w:rPr>
        <w:t>（一）存在的问题</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hAnsi="宋体"/>
          <w:sz w:val="32"/>
          <w:szCs w:val="32"/>
          <w:lang w:eastAsia="zh-CN"/>
        </w:rPr>
      </w:pPr>
      <w:r>
        <w:rPr>
          <w:rFonts w:hint="eastAsia" w:ascii="仿宋_GB2312" w:hAnsi="宋体"/>
          <w:sz w:val="32"/>
          <w:szCs w:val="32"/>
          <w:lang w:val="zh-CN" w:eastAsia="zh-CN"/>
        </w:rPr>
        <w:t>无</w:t>
      </w:r>
    </w:p>
    <w:p>
      <w:pPr>
        <w:keepNext w:val="0"/>
        <w:keepLines w:val="0"/>
        <w:pageBreakBefore w:val="0"/>
        <w:widowControl w:val="0"/>
        <w:numPr>
          <w:ilvl w:val="0"/>
          <w:numId w:val="7"/>
        </w:numPr>
        <w:kinsoku/>
        <w:wordWrap/>
        <w:overflowPunct/>
        <w:topLinePunct w:val="0"/>
        <w:autoSpaceDE/>
        <w:autoSpaceDN/>
        <w:bidi w:val="0"/>
        <w:adjustRightInd w:val="0"/>
        <w:snapToGrid w:val="0"/>
        <w:spacing w:line="600" w:lineRule="exact"/>
        <w:ind w:left="0" w:leftChars="0" w:firstLine="720" w:firstLineChars="0"/>
        <w:textAlignment w:val="auto"/>
        <w:rPr>
          <w:rFonts w:hint="eastAsia" w:ascii="楷体_GB2312" w:hAnsi="宋体" w:eastAsia="楷体_GB2312"/>
          <w:b/>
          <w:sz w:val="32"/>
          <w:szCs w:val="32"/>
          <w:lang w:val="zh-CN"/>
        </w:rPr>
      </w:pPr>
      <w:r>
        <w:rPr>
          <w:rFonts w:hint="eastAsia" w:ascii="楷体_GB2312" w:hAnsi="宋体" w:eastAsia="楷体_GB2312"/>
          <w:b/>
          <w:sz w:val="32"/>
          <w:szCs w:val="32"/>
          <w:lang w:val="zh-CN"/>
        </w:rPr>
        <w:t>相关建议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hAnsi="宋体"/>
          <w:sz w:val="32"/>
          <w:szCs w:val="32"/>
          <w:lang w:val="zh-CN" w:eastAsia="zh-CN"/>
        </w:rPr>
      </w:pPr>
      <w:r>
        <w:rPr>
          <w:rFonts w:hint="eastAsia" w:hAnsi="宋体"/>
          <w:sz w:val="32"/>
          <w:szCs w:val="32"/>
          <w:lang w:val="zh-CN" w:eastAsia="zh-CN"/>
        </w:rPr>
        <w:t>无</w:t>
      </w:r>
    </w:p>
    <w:p>
      <w:pPr>
        <w:pStyle w:val="2"/>
        <w:rPr>
          <w:rFonts w:hint="eastAsia"/>
          <w:color w:val="auto"/>
          <w:highlight w:val="none"/>
          <w:lang w:val="zh-CN"/>
        </w:rPr>
      </w:pPr>
    </w:p>
    <w:p>
      <w:pPr>
        <w:pStyle w:val="2"/>
        <w:rPr>
          <w:rFonts w:hint="eastAsia"/>
          <w:color w:val="auto"/>
          <w:highlight w:val="none"/>
          <w:lang w:val="zh-CN"/>
        </w:rPr>
      </w:pPr>
    </w:p>
    <w:p>
      <w:pPr>
        <w:pStyle w:val="2"/>
        <w:rPr>
          <w:rFonts w:hint="eastAsia"/>
          <w:color w:val="auto"/>
          <w:highlight w:val="none"/>
          <w:lang w:val="zh-CN"/>
        </w:rPr>
      </w:pPr>
    </w:p>
    <w:p>
      <w:pPr>
        <w:pStyle w:val="2"/>
        <w:rPr>
          <w:rFonts w:hint="eastAsia"/>
          <w:color w:val="auto"/>
          <w:highlight w:val="none"/>
          <w:lang w:val="zh-CN"/>
        </w:rPr>
      </w:pPr>
    </w:p>
    <w:p>
      <w:pPr>
        <w:pStyle w:val="2"/>
        <w:rPr>
          <w:rFonts w:hint="eastAsia"/>
          <w:color w:val="auto"/>
          <w:highlight w:val="none"/>
          <w:lang w:val="zh-CN"/>
        </w:rPr>
      </w:pPr>
    </w:p>
    <w:p>
      <w:pPr>
        <w:pStyle w:val="2"/>
        <w:rPr>
          <w:rFonts w:hint="eastAsia"/>
          <w:color w:val="auto"/>
          <w:highlight w:val="none"/>
          <w:lang w:val="zh-CN"/>
        </w:rPr>
      </w:pPr>
    </w:p>
    <w:p>
      <w:pPr>
        <w:pStyle w:val="2"/>
        <w:rPr>
          <w:rFonts w:hint="eastAsia"/>
          <w:color w:val="auto"/>
          <w:highlight w:val="none"/>
          <w:lang w:val="zh-CN"/>
        </w:rPr>
      </w:pPr>
    </w:p>
    <w:p>
      <w:pPr>
        <w:pStyle w:val="2"/>
        <w:rPr>
          <w:rFonts w:hint="eastAsia"/>
          <w:color w:val="auto"/>
          <w:highlight w:val="none"/>
          <w:lang w:val="zh-CN"/>
        </w:rPr>
      </w:pPr>
      <w:r>
        <w:rPr>
          <w:rFonts w:hint="eastAsia" w:hAnsi="宋体" w:cs="宋体"/>
          <w:color w:val="auto"/>
          <w:kern w:val="0"/>
          <w:sz w:val="32"/>
          <w:szCs w:val="32"/>
          <w:highlight w:val="none"/>
          <w:shd w:val="clear" w:color="auto" w:fill="FFFFFF"/>
          <w:lang w:val="zh-CN"/>
        </w:rPr>
        <w:t>附件</w:t>
      </w:r>
    </w:p>
    <w:p>
      <w:pPr>
        <w:keepNext w:val="0"/>
        <w:keepLines w:val="0"/>
        <w:pageBreakBefore w:val="0"/>
        <w:widowControl w:val="0"/>
        <w:kinsoku/>
        <w:wordWrap/>
        <w:overflowPunct/>
        <w:topLinePunct w:val="0"/>
        <w:autoSpaceDE/>
        <w:autoSpaceDN/>
        <w:bidi w:val="0"/>
        <w:spacing w:line="600" w:lineRule="exact"/>
        <w:jc w:val="center"/>
        <w:textAlignment w:val="auto"/>
        <w:rPr>
          <w:rFonts w:hint="eastAsia" w:ascii="仿宋_GB2312" w:hAnsi="宋体" w:eastAsia="仿宋_GB2312"/>
          <w:color w:val="auto"/>
          <w:kern w:val="2"/>
          <w:sz w:val="32"/>
          <w:szCs w:val="32"/>
        </w:rPr>
      </w:pPr>
      <w:r>
        <w:rPr>
          <w:rFonts w:hint="eastAsia" w:ascii="方正小标宋简体" w:hAnsi="方正小标宋简体" w:eastAsia="方正小标宋简体" w:cs="方正小标宋简体"/>
          <w:color w:val="auto"/>
          <w:kern w:val="2"/>
          <w:sz w:val="40"/>
          <w:szCs w:val="40"/>
          <w:highlight w:val="none"/>
          <w:lang w:val="en-US" w:eastAsia="zh-CN" w:bidi="ar-SA"/>
        </w:rPr>
        <w:t>2022年</w:t>
      </w:r>
      <w:r>
        <w:rPr>
          <w:rFonts w:hint="eastAsia" w:ascii="方正小标宋简体" w:hAnsi="方正小标宋简体" w:eastAsia="方正小标宋简体" w:cs="方正小标宋简体"/>
          <w:color w:val="auto"/>
          <w:kern w:val="2"/>
          <w:sz w:val="40"/>
          <w:szCs w:val="40"/>
          <w:highlight w:val="none"/>
          <w:lang w:val="zh-CN" w:eastAsia="zh-CN" w:bidi="ar-SA"/>
        </w:rPr>
        <w:t>专项预算项目支出绩效自评报告</w:t>
      </w:r>
    </w:p>
    <w:p>
      <w:pPr>
        <w:pStyle w:val="30"/>
        <w:spacing w:line="560" w:lineRule="exact"/>
        <w:jc w:val="center"/>
        <w:rPr>
          <w:rFonts w:ascii="仿宋_GB2312" w:hAnsi="宋体" w:eastAsia="仿宋_GB2312"/>
          <w:color w:val="auto"/>
          <w:kern w:val="2"/>
          <w:sz w:val="32"/>
          <w:szCs w:val="32"/>
        </w:rPr>
      </w:pPr>
      <w:r>
        <w:rPr>
          <w:rFonts w:hint="eastAsia" w:ascii="仿宋_GB2312" w:hAnsi="宋体" w:eastAsia="仿宋_GB2312"/>
          <w:color w:val="auto"/>
          <w:kern w:val="2"/>
          <w:sz w:val="32"/>
          <w:szCs w:val="32"/>
        </w:rPr>
        <w:t>（项目名称：</w:t>
      </w:r>
      <w:r>
        <w:rPr>
          <w:rFonts w:hint="eastAsia" w:ascii="仿宋_GB2312" w:hAnsi="宋体" w:eastAsia="仿宋_GB2312"/>
          <w:color w:val="auto"/>
          <w:kern w:val="2"/>
          <w:sz w:val="32"/>
          <w:szCs w:val="32"/>
          <w:lang w:eastAsia="zh-CN"/>
        </w:rPr>
        <w:t>外宣工作经费</w:t>
      </w:r>
      <w:r>
        <w:rPr>
          <w:rFonts w:hint="eastAsia" w:ascii="仿宋_GB2312" w:hAnsi="宋体" w:eastAsia="仿宋_GB2312"/>
          <w:color w:val="auto"/>
          <w:kern w:val="2"/>
          <w:sz w:val="32"/>
          <w:szCs w:val="32"/>
        </w:rPr>
        <w:t>）</w:t>
      </w:r>
    </w:p>
    <w:p>
      <w:pPr>
        <w:pStyle w:val="30"/>
        <w:spacing w:line="560" w:lineRule="exact"/>
        <w:ind w:firstLine="640"/>
        <w:jc w:val="center"/>
        <w:rPr>
          <w:rFonts w:ascii="宋体" w:hAnsi="宋体"/>
          <w:color w:val="auto"/>
          <w:kern w:val="2"/>
          <w:sz w:val="32"/>
          <w:szCs w:val="32"/>
        </w:rPr>
      </w:pPr>
    </w:p>
    <w:p>
      <w:pPr>
        <w:adjustRightInd w:val="0"/>
        <w:snapToGrid w:val="0"/>
        <w:spacing w:line="560" w:lineRule="exact"/>
        <w:ind w:firstLine="720"/>
        <w:rPr>
          <w:rFonts w:ascii="仿宋_GB2312" w:hAnsi="宋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560" w:lineRule="exact"/>
        <w:ind w:firstLine="720"/>
        <w:rPr>
          <w:rFonts w:ascii="仿宋_GB2312" w:hAnsi="宋体"/>
          <w:sz w:val="32"/>
          <w:szCs w:val="32"/>
          <w:lang w:val="zh-CN"/>
        </w:rPr>
      </w:pPr>
      <w:r>
        <w:rPr>
          <w:rFonts w:hint="eastAsia" w:ascii="楷体_GB2312" w:hAnsi="宋体" w:eastAsia="楷体_GB2312"/>
          <w:b/>
          <w:sz w:val="32"/>
          <w:szCs w:val="32"/>
          <w:lang w:val="zh-CN"/>
        </w:rPr>
        <w:t>（一）项目资金申报及批复情况。</w:t>
      </w:r>
      <w:r>
        <w:rPr>
          <w:rFonts w:hint="eastAsia" w:ascii="仿宋_GB2312" w:hAnsi="宋体"/>
          <w:sz w:val="32"/>
          <w:szCs w:val="32"/>
          <w:lang w:val="zh-CN"/>
        </w:rPr>
        <w:t>此项目资金共</w:t>
      </w:r>
      <w:r>
        <w:rPr>
          <w:rFonts w:hint="eastAsia" w:ascii="仿宋_GB2312" w:hAnsi="宋体"/>
          <w:sz w:val="32"/>
          <w:szCs w:val="32"/>
          <w:lang w:val="en-US" w:eastAsia="zh-CN"/>
        </w:rPr>
        <w:t>20</w:t>
      </w:r>
      <w:r>
        <w:rPr>
          <w:rFonts w:hint="eastAsia" w:ascii="仿宋_GB2312" w:hAnsi="宋体"/>
          <w:sz w:val="32"/>
          <w:szCs w:val="32"/>
          <w:lang w:val="zh-CN"/>
        </w:rPr>
        <w:t>万元，为年初预算下达。该资金使用严格按照资金管理办法规定执行。</w:t>
      </w:r>
    </w:p>
    <w:p>
      <w:pPr>
        <w:adjustRightInd w:val="0"/>
        <w:snapToGrid w:val="0"/>
        <w:spacing w:line="560" w:lineRule="exact"/>
        <w:ind w:firstLine="720"/>
        <w:rPr>
          <w:rFonts w:hint="eastAsia" w:ascii="仿宋_GB2312" w:hAnsi="宋体"/>
          <w:sz w:val="32"/>
          <w:szCs w:val="32"/>
          <w:lang w:val="zh-CN"/>
        </w:rPr>
      </w:pPr>
      <w:r>
        <w:rPr>
          <w:rFonts w:hint="eastAsia" w:ascii="楷体_GB2312" w:hAnsi="宋体" w:eastAsia="楷体_GB2312"/>
          <w:b/>
          <w:sz w:val="32"/>
          <w:szCs w:val="32"/>
          <w:lang w:val="zh-CN"/>
        </w:rPr>
        <w:t>（二）项目绩效目标。</w:t>
      </w:r>
      <w:r>
        <w:rPr>
          <w:rFonts w:hint="eastAsia" w:ascii="仿宋_GB2312" w:hAnsi="宋体"/>
          <w:sz w:val="32"/>
          <w:szCs w:val="32"/>
          <w:lang w:val="zh-CN"/>
        </w:rPr>
        <w:t>该项目整体目标为解决原电影公司老放映员遗留问题。</w:t>
      </w:r>
    </w:p>
    <w:p>
      <w:pPr>
        <w:numPr>
          <w:ilvl w:val="0"/>
          <w:numId w:val="0"/>
        </w:numPr>
        <w:adjustRightInd w:val="0"/>
        <w:snapToGrid w:val="0"/>
        <w:spacing w:line="560" w:lineRule="exact"/>
        <w:ind w:firstLine="643" w:firstLineChars="200"/>
        <w:rPr>
          <w:rFonts w:ascii="仿宋_GB2312" w:hAnsi="宋体"/>
          <w:color w:val="FF0000"/>
          <w:sz w:val="32"/>
          <w:szCs w:val="32"/>
          <w:lang w:val="zh-CN"/>
        </w:rPr>
      </w:pPr>
      <w:r>
        <w:rPr>
          <w:rFonts w:hint="eastAsia" w:ascii="楷体_GB2312" w:hAnsi="宋体" w:eastAsia="楷体_GB2312"/>
          <w:b/>
          <w:sz w:val="32"/>
          <w:szCs w:val="32"/>
          <w:lang w:val="zh-CN"/>
        </w:rPr>
        <w:t>（三）项目资金申报相符性。</w:t>
      </w:r>
      <w:r>
        <w:rPr>
          <w:rFonts w:hint="eastAsia" w:ascii="仿宋_GB2312" w:hAnsi="宋体"/>
          <w:sz w:val="32"/>
          <w:szCs w:val="32"/>
          <w:lang w:val="zh-CN"/>
        </w:rPr>
        <w:t>该项目申报内容与具体实施内容相符、申报目标合理可行。</w:t>
      </w:r>
    </w:p>
    <w:p>
      <w:pPr>
        <w:adjustRightInd w:val="0"/>
        <w:snapToGrid w:val="0"/>
        <w:spacing w:line="560" w:lineRule="exact"/>
        <w:ind w:firstLine="720"/>
        <w:rPr>
          <w:rFonts w:ascii="黑体" w:hAnsi="宋体" w:eastAsia="黑体"/>
          <w:sz w:val="32"/>
          <w:szCs w:val="32"/>
        </w:rPr>
      </w:pPr>
      <w:r>
        <w:rPr>
          <w:rFonts w:hint="eastAsia" w:ascii="黑体" w:hAnsi="宋体" w:eastAsia="黑体"/>
          <w:sz w:val="32"/>
          <w:szCs w:val="32"/>
        </w:rPr>
        <w:t>二、项目实施及管理情况</w:t>
      </w:r>
    </w:p>
    <w:p>
      <w:pPr>
        <w:adjustRightInd w:val="0"/>
        <w:snapToGrid w:val="0"/>
        <w:spacing w:line="560" w:lineRule="exact"/>
        <w:ind w:firstLine="720"/>
        <w:rPr>
          <w:rFonts w:ascii="楷体_GB2312" w:hAnsi="宋体" w:eastAsia="楷体_GB2312"/>
          <w:b/>
          <w:sz w:val="32"/>
          <w:szCs w:val="32"/>
          <w:lang w:val="zh-CN"/>
        </w:rPr>
      </w:pPr>
      <w:r>
        <w:rPr>
          <w:rFonts w:hint="eastAsia" w:ascii="仿宋_GB2312" w:hAnsi="宋体"/>
          <w:sz w:val="32"/>
          <w:szCs w:val="32"/>
          <w:lang w:val="zh-CN"/>
        </w:rPr>
        <w:tab/>
      </w:r>
      <w:r>
        <w:rPr>
          <w:rFonts w:hint="eastAsia" w:ascii="楷体_GB2312" w:hAnsi="宋体" w:eastAsia="楷体_GB2312"/>
          <w:b/>
          <w:sz w:val="32"/>
          <w:szCs w:val="32"/>
          <w:lang w:val="zh-CN"/>
        </w:rPr>
        <w:t>（一）资金计划、到位及使用情况。</w:t>
      </w:r>
    </w:p>
    <w:p>
      <w:pPr>
        <w:numPr>
          <w:ilvl w:val="0"/>
          <w:numId w:val="0"/>
        </w:numPr>
        <w:adjustRightInd w:val="0"/>
        <w:snapToGrid w:val="0"/>
        <w:spacing w:line="560" w:lineRule="exact"/>
        <w:ind w:firstLine="640"/>
        <w:rPr>
          <w:rFonts w:hint="eastAsia" w:ascii="仿宋_GB2312" w:hAnsi="宋体"/>
          <w:color w:val="FF0000"/>
          <w:sz w:val="32"/>
          <w:szCs w:val="32"/>
          <w:lang w:val="zh-CN"/>
        </w:rPr>
      </w:pPr>
      <w:r>
        <w:rPr>
          <w:rFonts w:hint="eastAsia" w:ascii="楷体_GB2312" w:hAnsi="宋体" w:eastAsia="楷体_GB2312"/>
          <w:sz w:val="32"/>
          <w:szCs w:val="32"/>
          <w:lang w:val="zh-CN"/>
        </w:rPr>
        <w:t>1．资金计划及到位。</w:t>
      </w:r>
      <w:r>
        <w:rPr>
          <w:rFonts w:hint="eastAsia" w:ascii="仿宋_GB2312" w:hAnsi="宋体"/>
          <w:sz w:val="32"/>
          <w:szCs w:val="32"/>
          <w:lang w:val="zh-CN"/>
        </w:rPr>
        <w:t>该项目资金计划</w:t>
      </w:r>
      <w:r>
        <w:rPr>
          <w:rFonts w:hint="eastAsia" w:ascii="仿宋_GB2312" w:hAnsi="宋体"/>
          <w:sz w:val="32"/>
          <w:szCs w:val="32"/>
          <w:lang w:val="en-US" w:eastAsia="zh-CN"/>
        </w:rPr>
        <w:t>20万元</w:t>
      </w:r>
      <w:r>
        <w:rPr>
          <w:rFonts w:hint="eastAsia" w:ascii="仿宋_GB2312" w:hAnsi="宋体"/>
          <w:sz w:val="32"/>
          <w:szCs w:val="32"/>
          <w:lang w:val="zh-CN"/>
        </w:rPr>
        <w:t>于</w:t>
      </w:r>
      <w:r>
        <w:rPr>
          <w:rFonts w:hint="eastAsia" w:ascii="仿宋_GB2312" w:hAnsi="宋体"/>
          <w:sz w:val="32"/>
          <w:szCs w:val="32"/>
          <w:lang w:val="en-US" w:eastAsia="zh-CN"/>
        </w:rPr>
        <w:t>2021年初全部到位</w:t>
      </w:r>
      <w:r>
        <w:rPr>
          <w:rFonts w:hint="eastAsia" w:ascii="仿宋_GB2312" w:hAnsi="宋体"/>
          <w:sz w:val="32"/>
          <w:szCs w:val="32"/>
          <w:lang w:val="zh-CN"/>
        </w:rPr>
        <w:t>，</w:t>
      </w:r>
      <w:r>
        <w:rPr>
          <w:rFonts w:hint="eastAsia" w:ascii="仿宋_GB2312" w:hAnsi="宋体"/>
          <w:sz w:val="32"/>
          <w:szCs w:val="32"/>
          <w:lang w:val="en-US" w:eastAsia="zh-CN"/>
        </w:rPr>
        <w:t>资金到位率100%。</w:t>
      </w:r>
    </w:p>
    <w:p>
      <w:pPr>
        <w:adjustRightInd w:val="0"/>
        <w:snapToGrid w:val="0"/>
        <w:spacing w:line="560" w:lineRule="exact"/>
        <w:ind w:firstLine="720"/>
        <w:rPr>
          <w:rFonts w:hint="eastAsia" w:ascii="楷体_GB2312" w:hAnsi="宋体" w:eastAsia="楷体_GB2312"/>
          <w:sz w:val="32"/>
          <w:szCs w:val="32"/>
          <w:lang w:val="zh-CN"/>
        </w:rPr>
      </w:pPr>
      <w:r>
        <w:rPr>
          <w:rFonts w:hint="eastAsia" w:ascii="楷体_GB2312" w:hAnsi="宋体" w:eastAsia="楷体_GB2312"/>
          <w:sz w:val="32"/>
          <w:szCs w:val="32"/>
          <w:lang w:val="zh-CN"/>
        </w:rPr>
        <w:t>2．资金使用。</w:t>
      </w:r>
      <w:r>
        <w:rPr>
          <w:rFonts w:hint="eastAsia" w:ascii="仿宋_GB2312" w:hAnsi="宋体"/>
          <w:sz w:val="32"/>
          <w:szCs w:val="32"/>
          <w:lang w:val="zh-CN"/>
        </w:rPr>
        <w:t>该项目资金分别于</w:t>
      </w:r>
      <w:r>
        <w:rPr>
          <w:rFonts w:hint="eastAsia" w:ascii="仿宋_GB2312" w:hAnsi="宋体"/>
          <w:sz w:val="32"/>
          <w:szCs w:val="32"/>
          <w:lang w:val="en-US" w:eastAsia="zh-CN"/>
        </w:rPr>
        <w:t>2021年2月、2021年12月用于支付公益广告宣传、外宣片制作等费用，资金支付合规合法。</w:t>
      </w:r>
    </w:p>
    <w:p>
      <w:pPr>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（二）项目财务管理情况。</w:t>
      </w:r>
    </w:p>
    <w:p>
      <w:pPr>
        <w:adjustRightInd w:val="0"/>
        <w:snapToGrid w:val="0"/>
        <w:spacing w:line="560" w:lineRule="exact"/>
        <w:ind w:firstLine="720"/>
        <w:rPr>
          <w:rFonts w:hint="eastAsia" w:ascii="仿宋_GB2312" w:hAnsi="宋体"/>
          <w:sz w:val="32"/>
          <w:szCs w:val="32"/>
          <w:lang w:val="zh-CN"/>
        </w:rPr>
      </w:pPr>
      <w:r>
        <w:rPr>
          <w:rFonts w:hint="eastAsia" w:ascii="仿宋_GB2312" w:hAnsi="宋体"/>
          <w:sz w:val="32"/>
          <w:szCs w:val="32"/>
          <w:lang w:val="zh-CN"/>
        </w:rPr>
        <w:t>该项目资金使用严格按照项目资金管理办法要求，严格执行财务管理制度、财务处理及时、会计核算规范。</w:t>
      </w:r>
    </w:p>
    <w:p>
      <w:pPr>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（三）项目组织实施情况。</w:t>
      </w:r>
    </w:p>
    <w:p>
      <w:pPr>
        <w:adjustRightInd w:val="0"/>
        <w:snapToGrid w:val="0"/>
        <w:spacing w:line="560" w:lineRule="exact"/>
        <w:ind w:firstLine="720"/>
        <w:rPr>
          <w:rFonts w:hint="eastAsia" w:ascii="仿宋_GB2312" w:hAnsi="宋体"/>
          <w:sz w:val="32"/>
          <w:szCs w:val="32"/>
          <w:lang w:val="zh-CN"/>
        </w:rPr>
      </w:pPr>
      <w:r>
        <w:rPr>
          <w:rFonts w:hint="eastAsia" w:ascii="仿宋_GB2312" w:hAnsi="宋体"/>
          <w:sz w:val="32"/>
          <w:szCs w:val="32"/>
          <w:lang w:val="zh-CN"/>
        </w:rPr>
        <w:t>用于支付疫情防控宣传制作、外宣素材整理服务、公益广告、宣传片等对外宣传相关费用。</w:t>
      </w:r>
    </w:p>
    <w:p>
      <w:pPr>
        <w:adjustRightInd w:val="0"/>
        <w:snapToGrid w:val="0"/>
        <w:spacing w:line="560" w:lineRule="exact"/>
        <w:ind w:firstLine="720"/>
        <w:rPr>
          <w:rFonts w:ascii="仿宋_GB2312" w:hAnsi="宋体"/>
          <w:sz w:val="32"/>
          <w:szCs w:val="32"/>
          <w:lang w:val="zh-CN"/>
        </w:rPr>
      </w:pPr>
      <w:r>
        <w:rPr>
          <w:rFonts w:hint="eastAsia" w:ascii="黑体" w:hAnsi="宋体" w:eastAsia="黑体"/>
          <w:sz w:val="32"/>
          <w:szCs w:val="32"/>
        </w:rPr>
        <w:t>三、项目绩效情况</w:t>
      </w:r>
      <w:r>
        <w:rPr>
          <w:rFonts w:hint="eastAsia" w:ascii="仿宋_GB2312" w:hAnsi="宋体"/>
          <w:sz w:val="32"/>
          <w:szCs w:val="32"/>
          <w:lang w:val="zh-CN"/>
        </w:rPr>
        <w:tab/>
      </w:r>
    </w:p>
    <w:p>
      <w:pPr>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560" w:lineRule="exact"/>
        <w:ind w:firstLine="720"/>
        <w:rPr>
          <w:rFonts w:ascii="楷体_GB2312" w:hAnsi="宋体" w:eastAsia="楷体_GB2312"/>
          <w:b/>
          <w:sz w:val="32"/>
          <w:szCs w:val="32"/>
          <w:lang w:val="zh-CN"/>
        </w:rPr>
      </w:pPr>
      <w:r>
        <w:rPr>
          <w:rFonts w:hint="eastAsia" w:ascii="仿宋_GB2312" w:hAnsi="宋体"/>
          <w:sz w:val="32"/>
          <w:szCs w:val="32"/>
          <w:lang w:val="zh-CN" w:eastAsia="zh-CN"/>
        </w:rPr>
        <w:t>该项目全年预算数</w:t>
      </w:r>
      <w:r>
        <w:rPr>
          <w:rFonts w:hint="eastAsia" w:ascii="仿宋_GB2312" w:hAnsi="宋体"/>
          <w:sz w:val="32"/>
          <w:szCs w:val="32"/>
          <w:lang w:val="en-US" w:eastAsia="zh-CN"/>
        </w:rPr>
        <w:t>20</w:t>
      </w:r>
      <w:r>
        <w:rPr>
          <w:rFonts w:hint="eastAsia" w:ascii="仿宋_GB2312" w:hAnsi="宋体"/>
          <w:sz w:val="32"/>
          <w:szCs w:val="32"/>
          <w:lang w:val="zh-CN" w:eastAsia="zh-CN"/>
        </w:rPr>
        <w:t>万元，执行数为</w:t>
      </w:r>
      <w:r>
        <w:rPr>
          <w:rFonts w:hint="eastAsia" w:ascii="仿宋_GB2312" w:hAnsi="宋体"/>
          <w:sz w:val="32"/>
          <w:szCs w:val="32"/>
          <w:lang w:val="en-US" w:eastAsia="zh-CN"/>
        </w:rPr>
        <w:t>20</w:t>
      </w:r>
      <w:r>
        <w:rPr>
          <w:rFonts w:hint="eastAsia" w:ascii="仿宋_GB2312" w:hAnsi="宋体"/>
          <w:sz w:val="32"/>
          <w:szCs w:val="32"/>
          <w:lang w:val="zh-CN" w:eastAsia="zh-CN"/>
        </w:rPr>
        <w:t>万元，完成预算的100%。通过项目实施，</w:t>
      </w:r>
      <w:r>
        <w:rPr>
          <w:rFonts w:hint="default" w:ascii="Times New Roman" w:hAnsi="Times New Roman" w:eastAsia="仿宋_GB2312" w:cs="Times New Roman"/>
          <w:color w:val="000000"/>
          <w:kern w:val="0"/>
          <w:sz w:val="32"/>
          <w:szCs w:val="32"/>
          <w:shd w:val="clear" w:color="auto" w:fill="FFFFFF"/>
          <w:lang w:val="zh-CN"/>
        </w:rPr>
        <w:t>保障我县对外宣传各种活动、对外宣传片拍摄</w:t>
      </w:r>
      <w:r>
        <w:rPr>
          <w:rFonts w:hint="eastAsia" w:cs="Times New Roman"/>
          <w:color w:val="000000"/>
          <w:kern w:val="0"/>
          <w:sz w:val="32"/>
          <w:szCs w:val="32"/>
          <w:shd w:val="clear" w:color="auto" w:fill="FFFFFF"/>
          <w:lang w:val="zh-CN"/>
        </w:rPr>
        <w:t>工作</w:t>
      </w:r>
      <w:r>
        <w:rPr>
          <w:rFonts w:hint="default" w:ascii="Times New Roman" w:hAnsi="Times New Roman" w:eastAsia="仿宋_GB2312" w:cs="Times New Roman"/>
          <w:color w:val="000000"/>
          <w:kern w:val="0"/>
          <w:sz w:val="32"/>
          <w:szCs w:val="32"/>
          <w:shd w:val="clear" w:color="auto" w:fill="FFFFFF"/>
          <w:lang w:val="zh-CN"/>
        </w:rPr>
        <w:t>。</w:t>
      </w:r>
    </w:p>
    <w:p>
      <w:pPr>
        <w:adjustRightInd w:val="0"/>
        <w:snapToGrid w:val="0"/>
        <w:spacing w:line="560" w:lineRule="exact"/>
        <w:ind w:firstLine="720"/>
        <w:rPr>
          <w:rFonts w:hint="eastAsia" w:ascii="仿宋_GB2312" w:hAnsi="宋体"/>
          <w:sz w:val="32"/>
          <w:szCs w:val="32"/>
          <w:lang w:val="zh-CN" w:eastAsia="zh-CN"/>
        </w:rPr>
      </w:pPr>
      <w:r>
        <w:rPr>
          <w:rFonts w:hint="eastAsia" w:ascii="楷体_GB2312" w:hAnsi="宋体" w:eastAsia="楷体_GB2312"/>
          <w:b/>
          <w:sz w:val="32"/>
          <w:szCs w:val="32"/>
          <w:lang w:val="zh-CN"/>
        </w:rPr>
        <w:t>（二）项目效益情况。</w:t>
      </w:r>
      <w:r>
        <w:rPr>
          <w:rFonts w:hint="eastAsia" w:ascii="仿宋_GB2312" w:hAnsi="宋体"/>
          <w:sz w:val="32"/>
          <w:szCs w:val="32"/>
          <w:lang w:val="zh-CN" w:eastAsia="zh-CN"/>
        </w:rPr>
        <w:t>提升了沐川知名度、美誉度和影响力，构建沐川对外宣传大格局。</w:t>
      </w:r>
    </w:p>
    <w:p>
      <w:pPr>
        <w:adjustRightInd w:val="0"/>
        <w:snapToGrid w:val="0"/>
        <w:spacing w:line="560" w:lineRule="exact"/>
        <w:ind w:firstLine="720"/>
        <w:rPr>
          <w:rFonts w:ascii="黑体" w:hAnsi="宋体" w:eastAsia="黑体"/>
          <w:sz w:val="32"/>
          <w:szCs w:val="32"/>
        </w:rPr>
      </w:pPr>
      <w:r>
        <w:rPr>
          <w:rFonts w:hint="eastAsia" w:ascii="黑体" w:hAnsi="宋体" w:eastAsia="黑体"/>
          <w:sz w:val="32"/>
          <w:szCs w:val="32"/>
        </w:rPr>
        <w:t>四、问题及建议</w:t>
      </w:r>
    </w:p>
    <w:p>
      <w:pPr>
        <w:adjustRightInd w:val="0"/>
        <w:snapToGrid w:val="0"/>
        <w:spacing w:line="56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（一）存在的问题</w:t>
      </w:r>
    </w:p>
    <w:p>
      <w:pPr>
        <w:ind w:firstLine="640" w:firstLineChars="200"/>
        <w:rPr>
          <w:rFonts w:hint="eastAsia" w:hAnsi="宋体"/>
          <w:sz w:val="32"/>
          <w:szCs w:val="32"/>
          <w:lang w:eastAsia="zh-CN"/>
        </w:rPr>
      </w:pPr>
      <w:r>
        <w:rPr>
          <w:rFonts w:hint="eastAsia" w:ascii="仿宋_GB2312" w:hAnsi="宋体"/>
          <w:sz w:val="32"/>
          <w:szCs w:val="32"/>
          <w:lang w:val="zh-CN" w:eastAsia="zh-CN"/>
        </w:rPr>
        <w:t>无</w:t>
      </w:r>
    </w:p>
    <w:p>
      <w:pPr>
        <w:numPr>
          <w:ilvl w:val="0"/>
          <w:numId w:val="7"/>
        </w:numPr>
        <w:adjustRightInd w:val="0"/>
        <w:snapToGrid w:val="0"/>
        <w:spacing w:line="560" w:lineRule="exact"/>
        <w:ind w:left="0" w:leftChars="0" w:firstLine="720" w:firstLineChars="0"/>
        <w:rPr>
          <w:rFonts w:hint="eastAsia" w:ascii="楷体_GB2312" w:hAnsi="宋体" w:eastAsia="楷体_GB2312"/>
          <w:b/>
          <w:sz w:val="32"/>
          <w:szCs w:val="32"/>
          <w:lang w:val="zh-CN"/>
        </w:rPr>
      </w:pPr>
      <w:r>
        <w:rPr>
          <w:rFonts w:hint="eastAsia" w:ascii="楷体_GB2312" w:hAnsi="宋体" w:eastAsia="楷体_GB2312"/>
          <w:b/>
          <w:sz w:val="32"/>
          <w:szCs w:val="32"/>
          <w:lang w:val="zh-CN"/>
        </w:rPr>
        <w:t>相关建议</w:t>
      </w:r>
    </w:p>
    <w:p>
      <w:pPr>
        <w:adjustRightInd w:val="0"/>
        <w:snapToGrid w:val="0"/>
        <w:spacing w:line="560" w:lineRule="exact"/>
        <w:ind w:firstLine="720"/>
        <w:rPr>
          <w:rFonts w:hint="eastAsia" w:hAnsi="宋体"/>
          <w:sz w:val="32"/>
          <w:szCs w:val="32"/>
          <w:lang w:val="zh-CN" w:eastAsia="zh-CN"/>
        </w:rPr>
      </w:pPr>
      <w:r>
        <w:rPr>
          <w:rFonts w:hint="eastAsia" w:hAnsi="宋体"/>
          <w:sz w:val="32"/>
          <w:szCs w:val="32"/>
          <w:lang w:val="zh-CN" w:eastAsia="zh-CN"/>
        </w:rPr>
        <w:t>无</w:t>
      </w:r>
    </w:p>
    <w:p>
      <w:pPr>
        <w:pStyle w:val="2"/>
        <w:rPr>
          <w:rFonts w:hint="eastAsia"/>
          <w:color w:val="auto"/>
          <w:highlight w:val="none"/>
          <w:lang w:val="zh-CN"/>
        </w:rPr>
      </w:pPr>
    </w:p>
    <w:p>
      <w:pPr>
        <w:pStyle w:val="2"/>
        <w:rPr>
          <w:rFonts w:hint="eastAsia"/>
          <w:color w:val="auto"/>
          <w:highlight w:val="none"/>
          <w:lang w:val="zh-CN"/>
        </w:rPr>
      </w:pPr>
    </w:p>
    <w:p>
      <w:pPr>
        <w:pStyle w:val="2"/>
        <w:rPr>
          <w:rFonts w:hint="eastAsia"/>
          <w:color w:val="auto"/>
          <w:highlight w:val="none"/>
          <w:lang w:val="zh-CN"/>
        </w:rPr>
      </w:pPr>
    </w:p>
    <w:p>
      <w:pPr>
        <w:pStyle w:val="2"/>
        <w:rPr>
          <w:rFonts w:hint="eastAsia"/>
          <w:color w:val="auto"/>
          <w:highlight w:val="none"/>
          <w:lang w:val="zh-CN"/>
        </w:rPr>
      </w:pPr>
    </w:p>
    <w:p>
      <w:pPr>
        <w:pStyle w:val="2"/>
        <w:rPr>
          <w:rFonts w:hint="eastAsia"/>
          <w:color w:val="auto"/>
          <w:highlight w:val="none"/>
          <w:lang w:val="zh-CN"/>
        </w:rPr>
      </w:pPr>
    </w:p>
    <w:p>
      <w:pPr>
        <w:pStyle w:val="2"/>
        <w:rPr>
          <w:rFonts w:hint="eastAsia"/>
          <w:color w:val="auto"/>
          <w:highlight w:val="none"/>
          <w:lang w:val="zh-CN"/>
        </w:rPr>
      </w:pPr>
    </w:p>
    <w:p>
      <w:pPr>
        <w:pStyle w:val="2"/>
        <w:rPr>
          <w:rFonts w:hint="eastAsia"/>
          <w:color w:val="auto"/>
          <w:highlight w:val="none"/>
          <w:lang w:val="zh-CN"/>
        </w:rPr>
      </w:pPr>
    </w:p>
    <w:p>
      <w:pPr>
        <w:pStyle w:val="2"/>
        <w:rPr>
          <w:rFonts w:hint="eastAsia"/>
          <w:color w:val="auto"/>
          <w:highlight w:val="none"/>
          <w:lang w:val="zh-CN"/>
        </w:rPr>
      </w:pPr>
    </w:p>
    <w:p>
      <w:pPr>
        <w:pStyle w:val="2"/>
        <w:rPr>
          <w:rFonts w:hint="eastAsia"/>
          <w:color w:val="auto"/>
          <w:highlight w:val="none"/>
          <w:lang w:val="zh-CN"/>
        </w:rPr>
      </w:pPr>
    </w:p>
    <w:tbl>
      <w:tblPr>
        <w:tblStyle w:val="12"/>
        <w:tblpPr w:leftFromText="180" w:rightFromText="180" w:vertAnchor="text" w:horzAnchor="page" w:tblpX="1281" w:tblpY="660"/>
        <w:tblOverlap w:val="never"/>
        <w:tblW w:w="981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977"/>
        <w:gridCol w:w="1142"/>
        <w:gridCol w:w="1635"/>
        <w:gridCol w:w="1189"/>
        <w:gridCol w:w="1224"/>
        <w:gridCol w:w="2410"/>
        <w:gridCol w:w="2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9577" w:type="dxa"/>
            <w:gridSpan w:val="6"/>
            <w:tcBorders>
              <w:top w:val="nil"/>
              <w:left w:val="nil"/>
              <w:bottom w:val="nil"/>
              <w:right w:val="nil"/>
            </w:tcBorders>
            <w:shd w:val="clear" w:color="auto" w:fill="auto"/>
            <w:vAlign w:val="center"/>
          </w:tcPr>
          <w:p>
            <w:pPr>
              <w:keepNext w:val="0"/>
              <w:keepLines w:val="0"/>
              <w:widowControl/>
              <w:suppressLineNumbers w:val="0"/>
              <w:spacing w:beforeAutospacing="0"/>
              <w:jc w:val="both"/>
              <w:textAlignment w:val="center"/>
              <w:rPr>
                <w:rFonts w:hint="eastAsia" w:ascii="宋体" w:hAnsi="宋体" w:eastAsia="宋体" w:cs="宋体"/>
                <w:b/>
                <w:i w:val="0"/>
                <w:color w:val="auto"/>
                <w:sz w:val="32"/>
                <w:szCs w:val="32"/>
                <w:highlight w:val="none"/>
                <w:u w:val="none"/>
              </w:rPr>
            </w:pPr>
            <w:r>
              <w:rPr>
                <w:rFonts w:hint="eastAsia" w:ascii="宋体" w:hAnsi="宋体" w:eastAsia="宋体" w:cs="宋体"/>
                <w:b/>
                <w:i w:val="0"/>
                <w:color w:val="auto"/>
                <w:sz w:val="32"/>
                <w:szCs w:val="32"/>
                <w:highlight w:val="none"/>
                <w:u w:val="none"/>
                <w:lang w:val="en-US" w:eastAsia="zh-CN"/>
              </w:rPr>
              <w:t>2021年100万元以上（含）特定目标类部门预算项目绩效目标自评</w:t>
            </w:r>
          </w:p>
        </w:tc>
        <w:tc>
          <w:tcPr>
            <w:tcW w:w="23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kern w:val="0"/>
                <w:sz w:val="32"/>
                <w:szCs w:val="32"/>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254" w:hRule="atLeast"/>
        </w:trPr>
        <w:tc>
          <w:tcPr>
            <w:tcW w:w="3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主管部门及代码</w:t>
            </w:r>
          </w:p>
        </w:tc>
        <w:tc>
          <w:tcPr>
            <w:tcW w:w="28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宋体" w:hAnsi="宋体" w:eastAsia="宋体" w:cs="宋体"/>
                <w:i w:val="0"/>
                <w:color w:val="auto"/>
                <w:sz w:val="24"/>
                <w:szCs w:val="24"/>
                <w:highlight w:val="none"/>
                <w:u w:val="none"/>
                <w:lang w:val="en-US" w:eastAsia="zh-CN"/>
              </w:rPr>
            </w:pPr>
            <w:r>
              <w:rPr>
                <w:rFonts w:hint="eastAsia" w:ascii="宋体" w:hAnsi="宋体" w:cs="宋体"/>
                <w:i w:val="0"/>
                <w:color w:val="auto"/>
                <w:sz w:val="24"/>
                <w:szCs w:val="24"/>
                <w:highlight w:val="none"/>
                <w:u w:val="none"/>
                <w:lang w:eastAsia="zh-CN"/>
              </w:rPr>
              <w:t>县委宣传部</w:t>
            </w:r>
            <w:r>
              <w:rPr>
                <w:rFonts w:hint="eastAsia" w:ascii="宋体" w:hAnsi="宋体" w:cs="宋体"/>
                <w:i w:val="0"/>
                <w:color w:val="auto"/>
                <w:sz w:val="24"/>
                <w:szCs w:val="24"/>
                <w:highlight w:val="none"/>
                <w:u w:val="none"/>
                <w:lang w:val="en-US" w:eastAsia="zh-CN"/>
              </w:rPr>
              <w:t>106001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实施单位</w:t>
            </w: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lang w:eastAsia="zh-CN"/>
              </w:rPr>
            </w:pPr>
            <w:r>
              <w:rPr>
                <w:rFonts w:hint="eastAsia" w:ascii="宋体" w:hAnsi="宋体" w:cs="宋体"/>
                <w:i w:val="0"/>
                <w:color w:val="auto"/>
                <w:sz w:val="24"/>
                <w:szCs w:val="24"/>
                <w:highlight w:val="none"/>
                <w:u w:val="none"/>
                <w:lang w:eastAsia="zh-CN"/>
              </w:rPr>
              <w:t>县委宣传部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341" w:hRule="atLeast"/>
        </w:trPr>
        <w:tc>
          <w:tcPr>
            <w:tcW w:w="3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项目预算</w:t>
            </w:r>
            <w:r>
              <w:rPr>
                <w:rFonts w:hint="eastAsia" w:ascii="宋体" w:hAnsi="宋体" w:eastAsia="宋体" w:cs="宋体"/>
                <w:i w:val="0"/>
                <w:color w:val="auto"/>
                <w:kern w:val="0"/>
                <w:sz w:val="24"/>
                <w:szCs w:val="24"/>
                <w:highlight w:val="none"/>
                <w:u w:val="none"/>
                <w:lang w:val="en-US" w:eastAsia="zh-CN" w:bidi="ar"/>
              </w:rPr>
              <w:br w:type="textWrapping"/>
            </w:r>
            <w:r>
              <w:rPr>
                <w:rFonts w:hint="eastAsia" w:ascii="宋体" w:hAnsi="宋体" w:eastAsia="宋体" w:cs="宋体"/>
                <w:i w:val="0"/>
                <w:color w:val="auto"/>
                <w:kern w:val="0"/>
                <w:sz w:val="24"/>
                <w:szCs w:val="24"/>
                <w:highlight w:val="none"/>
                <w:u w:val="none"/>
                <w:lang w:val="en-US" w:eastAsia="zh-CN" w:bidi="ar"/>
              </w:rPr>
              <w:t>执行情况</w:t>
            </w:r>
            <w:r>
              <w:rPr>
                <w:rFonts w:hint="eastAsia" w:ascii="宋体" w:hAnsi="宋体" w:eastAsia="宋体" w:cs="宋体"/>
                <w:i w:val="0"/>
                <w:color w:val="auto"/>
                <w:kern w:val="0"/>
                <w:sz w:val="24"/>
                <w:szCs w:val="24"/>
                <w:highlight w:val="none"/>
                <w:u w:val="none"/>
                <w:lang w:val="en-US" w:eastAsia="zh-CN" w:bidi="ar"/>
              </w:rPr>
              <w:br w:type="textWrapping"/>
            </w:r>
            <w:r>
              <w:rPr>
                <w:rFonts w:hint="eastAsia" w:ascii="宋体" w:hAnsi="宋体" w:eastAsia="宋体" w:cs="宋体"/>
                <w:i w:val="0"/>
                <w:color w:val="auto"/>
                <w:kern w:val="0"/>
                <w:sz w:val="24"/>
                <w:szCs w:val="24"/>
                <w:highlight w:val="none"/>
                <w:u w:val="none"/>
                <w:lang w:val="en-US" w:eastAsia="zh-CN" w:bidi="ar"/>
              </w:rPr>
              <w:t>（万元）</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 xml:space="preserve"> 预算数：</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sz w:val="24"/>
                <w:szCs w:val="24"/>
                <w:highlight w:val="none"/>
                <w:u w:val="none"/>
              </w:rPr>
              <w:t>276.44</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 xml:space="preserve"> 执行数：</w:t>
            </w: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720" w:firstLineChars="300"/>
              <w:jc w:val="both"/>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sz w:val="24"/>
                <w:szCs w:val="24"/>
                <w:highlight w:val="none"/>
                <w:u w:val="none"/>
              </w:rPr>
              <w:t>276.44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555" w:hRule="atLeast"/>
        </w:trPr>
        <w:tc>
          <w:tcPr>
            <w:tcW w:w="3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highlight w:val="none"/>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其中：</w:t>
            </w:r>
          </w:p>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财政拨款</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sz w:val="24"/>
                <w:szCs w:val="24"/>
                <w:highlight w:val="none"/>
                <w:u w:val="none"/>
              </w:rPr>
              <w:t>276.44</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其中：</w:t>
            </w:r>
          </w:p>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财政拨款</w:t>
            </w: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720" w:firstLineChars="300"/>
              <w:jc w:val="both"/>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sz w:val="24"/>
                <w:szCs w:val="24"/>
                <w:highlight w:val="none"/>
                <w:u w:val="none"/>
              </w:rPr>
              <w:t>276.44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341" w:hRule="atLeast"/>
        </w:trPr>
        <w:tc>
          <w:tcPr>
            <w:tcW w:w="3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highlight w:val="none"/>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其他资金</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480" w:firstLineChars="200"/>
              <w:jc w:val="left"/>
              <w:textAlignment w:val="center"/>
              <w:rPr>
                <w:rFonts w:hint="eastAsia" w:ascii="宋体" w:hAnsi="宋体" w:eastAsia="宋体" w:cs="宋体"/>
                <w:i w:val="0"/>
                <w:color w:val="auto"/>
                <w:sz w:val="24"/>
                <w:szCs w:val="24"/>
                <w:highlight w:val="none"/>
                <w:u w:val="none"/>
                <w:lang w:val="en-US" w:eastAsia="zh-CN"/>
              </w:rPr>
            </w:pPr>
            <w:r>
              <w:rPr>
                <w:rFonts w:hint="eastAsia" w:ascii="宋体" w:hAnsi="宋体" w:cs="宋体"/>
                <w:i w:val="0"/>
                <w:color w:val="auto"/>
                <w:sz w:val="24"/>
                <w:szCs w:val="24"/>
                <w:highlight w:val="none"/>
                <w:u w:val="none"/>
                <w:lang w:val="en-US" w:eastAsia="zh-CN"/>
              </w:rPr>
              <w:t>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其他资金</w:t>
            </w: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lang w:val="en-US" w:eastAsia="zh-CN"/>
              </w:rPr>
            </w:pPr>
            <w:r>
              <w:rPr>
                <w:rFonts w:hint="eastAsia" w:ascii="宋体" w:hAnsi="宋体" w:cs="宋体"/>
                <w:i w:val="0"/>
                <w:color w:val="auto"/>
                <w:sz w:val="24"/>
                <w:szCs w:val="24"/>
                <w:highlight w:val="none"/>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217" w:hRule="atLeast"/>
        </w:trPr>
        <w:tc>
          <w:tcPr>
            <w:tcW w:w="19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年度总体目标</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完成情况</w:t>
            </w: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预期目标</w:t>
            </w:r>
          </w:p>
        </w:tc>
        <w:tc>
          <w:tcPr>
            <w:tcW w:w="36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目标实际完成情况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797" w:hRule="atLeast"/>
        </w:trPr>
        <w:tc>
          <w:tcPr>
            <w:tcW w:w="19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highlight w:val="none"/>
                <w:u w:val="none"/>
              </w:rPr>
            </w:pP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hAnsi="宋体"/>
                <w:lang w:val="zh-CN"/>
              </w:rPr>
            </w:pPr>
            <w:r>
              <w:rPr>
                <w:rFonts w:hint="eastAsia" w:ascii="仿宋_GB2312" w:hAnsi="宋体"/>
                <w:lang w:val="zh-CN"/>
              </w:rPr>
              <w:t>保障我县党报党刊征订任务和指导性计划及时全面完成。</w:t>
            </w:r>
          </w:p>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top"/>
              <w:rPr>
                <w:rFonts w:hint="eastAsia" w:ascii="宋体" w:hAnsi="宋体" w:eastAsia="宋体" w:cs="宋体"/>
                <w:i w:val="0"/>
                <w:color w:val="auto"/>
                <w:sz w:val="24"/>
                <w:szCs w:val="24"/>
                <w:highlight w:val="none"/>
                <w:u w:val="none"/>
              </w:rPr>
            </w:pPr>
          </w:p>
        </w:tc>
        <w:tc>
          <w:tcPr>
            <w:tcW w:w="3634"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hAnsi="宋体"/>
                <w:lang w:val="zh-CN"/>
              </w:rPr>
            </w:pPr>
            <w:r>
              <w:rPr>
                <w:rFonts w:hint="eastAsia" w:ascii="仿宋_GB2312" w:hAnsi="宋体"/>
                <w:lang w:val="zh-CN"/>
              </w:rPr>
              <w:t>按时、保质保量的完成了我县党报党刊征订任务和指导性计划。</w:t>
            </w:r>
          </w:p>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top"/>
              <w:rPr>
                <w:rFonts w:hint="eastAsia" w:ascii="宋体" w:hAnsi="宋体" w:eastAsia="宋体" w:cs="宋体"/>
                <w:i w:val="0"/>
                <w:color w:val="auto"/>
                <w:sz w:val="24"/>
                <w:szCs w:val="24"/>
                <w:highlight w:val="none"/>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693" w:hRule="atLeast"/>
        </w:trPr>
        <w:tc>
          <w:tcPr>
            <w:tcW w:w="197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年度绩效指标完成情况</w:t>
            </w:r>
          </w:p>
        </w:tc>
        <w:tc>
          <w:tcPr>
            <w:tcW w:w="1142"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kern w:val="0"/>
                <w:sz w:val="28"/>
                <w:szCs w:val="28"/>
                <w:highlight w:val="none"/>
                <w:u w:val="none"/>
                <w:lang w:val="en-US" w:eastAsia="zh-CN" w:bidi="ar"/>
              </w:rPr>
            </w:pPr>
            <w:r>
              <w:rPr>
                <w:rFonts w:hint="eastAsia" w:ascii="仿宋_GB2312" w:hAnsi="仿宋_GB2312" w:eastAsia="仿宋_GB2312" w:cs="仿宋_GB2312"/>
                <w:i w:val="0"/>
                <w:color w:val="auto"/>
                <w:kern w:val="0"/>
                <w:sz w:val="28"/>
                <w:szCs w:val="28"/>
                <w:highlight w:val="none"/>
                <w:u w:val="none"/>
                <w:lang w:val="en-US" w:eastAsia="zh-CN" w:bidi="ar"/>
              </w:rPr>
              <w:t>一级</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kern w:val="0"/>
                <w:sz w:val="28"/>
                <w:szCs w:val="28"/>
                <w:highlight w:val="none"/>
                <w:u w:val="none"/>
                <w:lang w:val="en-US" w:eastAsia="zh-CN" w:bidi="ar"/>
              </w:rPr>
            </w:pPr>
            <w:r>
              <w:rPr>
                <w:rFonts w:hint="eastAsia" w:ascii="仿宋_GB2312" w:hAnsi="仿宋_GB2312" w:eastAsia="仿宋_GB2312" w:cs="仿宋_GB2312"/>
                <w:i w:val="0"/>
                <w:color w:val="auto"/>
                <w:kern w:val="0"/>
                <w:sz w:val="28"/>
                <w:szCs w:val="28"/>
                <w:highlight w:val="none"/>
                <w:u w:val="none"/>
                <w:lang w:val="en-US" w:eastAsia="zh-CN" w:bidi="ar"/>
              </w:rPr>
              <w:t>二级</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kern w:val="0"/>
                <w:sz w:val="28"/>
                <w:szCs w:val="28"/>
                <w:highlight w:val="none"/>
                <w:u w:val="none"/>
                <w:lang w:val="en-US" w:eastAsia="zh-CN" w:bidi="ar"/>
              </w:rPr>
            </w:pPr>
            <w:r>
              <w:rPr>
                <w:rFonts w:hint="eastAsia" w:ascii="仿宋_GB2312" w:hAnsi="仿宋_GB2312" w:eastAsia="仿宋_GB2312" w:cs="仿宋_GB2312"/>
                <w:i w:val="0"/>
                <w:color w:val="auto"/>
                <w:kern w:val="0"/>
                <w:sz w:val="28"/>
                <w:szCs w:val="28"/>
                <w:highlight w:val="none"/>
                <w:u w:val="none"/>
                <w:lang w:val="en-US" w:eastAsia="zh-CN" w:bidi="ar"/>
              </w:rPr>
              <w:t>三级</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指标</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预期指标值</w:t>
            </w: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实际完成指标值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15" w:hRule="atLeast"/>
        </w:trPr>
        <w:tc>
          <w:tcPr>
            <w:tcW w:w="1977"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kern w:val="0"/>
                <w:sz w:val="28"/>
                <w:szCs w:val="28"/>
                <w:highlight w:val="none"/>
                <w:u w:val="none"/>
                <w:lang w:val="en-US" w:eastAsia="zh-CN" w:bidi="ar"/>
              </w:rPr>
            </w:pPr>
            <w:r>
              <w:rPr>
                <w:rFonts w:hint="eastAsia" w:ascii="仿宋_GB2312" w:hAnsi="仿宋_GB2312" w:eastAsia="仿宋_GB2312" w:cs="仿宋_GB2312"/>
                <w:i w:val="0"/>
                <w:color w:val="auto"/>
                <w:kern w:val="0"/>
                <w:sz w:val="28"/>
                <w:szCs w:val="28"/>
                <w:highlight w:val="none"/>
                <w:u w:val="none"/>
                <w:lang w:val="en-US" w:eastAsia="zh-CN" w:bidi="ar"/>
              </w:rPr>
              <w:t>完成</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数量指标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仿宋_GB2312" w:hAnsi="仿宋_GB2312" w:eastAsia="仿宋_GB2312" w:cs="仿宋_GB2312"/>
                <w:i w:val="0"/>
                <w:color w:val="auto"/>
                <w:sz w:val="28"/>
                <w:szCs w:val="28"/>
                <w:highlight w:val="none"/>
                <w:u w:val="none"/>
                <w:lang w:val="en-US" w:eastAsia="zh-CN"/>
              </w:rPr>
            </w:pPr>
            <w:r>
              <w:rPr>
                <w:rFonts w:ascii="宋体" w:hAnsi="宋体" w:eastAsia="宋体" w:cs="宋体"/>
                <w:sz w:val="24"/>
                <w:szCs w:val="24"/>
              </w:rPr>
              <w:t>订阅党报党刊数量</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sz w:val="28"/>
                <w:szCs w:val="28"/>
                <w:highlight w:val="none"/>
                <w:u w:val="none"/>
                <w:lang w:val="en-US" w:eastAsia="zh-CN"/>
              </w:rPr>
              <w:t>≥5548</w:t>
            </w: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仿宋_GB2312" w:hAnsi="仿宋_GB2312" w:eastAsia="仿宋_GB2312" w:cs="仿宋_GB2312"/>
                <w:i w:val="0"/>
                <w:color w:val="auto"/>
                <w:sz w:val="28"/>
                <w:szCs w:val="28"/>
                <w:highlight w:val="none"/>
                <w:u w:val="none"/>
                <w:lang w:val="en-US" w:eastAsia="zh-CN"/>
              </w:rPr>
            </w:pPr>
            <w:r>
              <w:rPr>
                <w:rFonts w:hint="eastAsia" w:ascii="仿宋_GB2312" w:hAnsi="仿宋_GB2312" w:eastAsia="仿宋_GB2312" w:cs="仿宋_GB2312"/>
                <w:i w:val="0"/>
                <w:color w:val="auto"/>
                <w:sz w:val="28"/>
                <w:szCs w:val="28"/>
                <w:highlight w:val="none"/>
                <w:u w:val="none"/>
                <w:lang w:val="en-US" w:eastAsia="zh-CN"/>
              </w:rPr>
              <w:t>5548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15" w:hRule="atLeast"/>
        </w:trPr>
        <w:tc>
          <w:tcPr>
            <w:tcW w:w="1977"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质量指标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r>
              <w:rPr>
                <w:rFonts w:ascii="宋体" w:hAnsi="宋体" w:eastAsia="宋体" w:cs="宋体"/>
                <w:sz w:val="24"/>
                <w:szCs w:val="24"/>
              </w:rPr>
              <w:t>订阅党报党刊质量</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lang w:eastAsia="zh-CN"/>
              </w:rPr>
            </w:pPr>
            <w:r>
              <w:rPr>
                <w:rFonts w:hint="eastAsia" w:ascii="宋体" w:hAnsi="宋体" w:eastAsia="宋体" w:cs="宋体"/>
                <w:sz w:val="24"/>
                <w:szCs w:val="24"/>
                <w:lang w:eastAsia="zh-CN"/>
              </w:rPr>
              <w:t>优</w:t>
            </w: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lang w:eastAsia="zh-CN"/>
              </w:rPr>
            </w:pPr>
            <w:r>
              <w:rPr>
                <w:rFonts w:hint="eastAsia" w:ascii="仿宋_GB2312" w:hAnsi="仿宋_GB2312" w:eastAsia="仿宋_GB2312" w:cs="仿宋_GB2312"/>
                <w:i w:val="0"/>
                <w:color w:val="auto"/>
                <w:sz w:val="28"/>
                <w:szCs w:val="28"/>
                <w:highlight w:val="none"/>
                <w:u w:val="none"/>
                <w:lang w:eastAsia="zh-CN"/>
              </w:rPr>
              <w:t>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15" w:hRule="atLeast"/>
        </w:trPr>
        <w:tc>
          <w:tcPr>
            <w:tcW w:w="1977"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时效指标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r>
              <w:rPr>
                <w:rFonts w:ascii="宋体" w:hAnsi="宋体" w:eastAsia="宋体" w:cs="宋体"/>
                <w:sz w:val="24"/>
                <w:szCs w:val="24"/>
              </w:rPr>
              <w:t>202</w:t>
            </w:r>
            <w:r>
              <w:rPr>
                <w:rFonts w:hint="eastAsia" w:ascii="宋体" w:hAnsi="宋体" w:eastAsia="宋体" w:cs="宋体"/>
                <w:sz w:val="24"/>
                <w:szCs w:val="24"/>
                <w:lang w:val="en-US" w:eastAsia="zh-CN"/>
              </w:rPr>
              <w:t>1</w:t>
            </w:r>
            <w:r>
              <w:rPr>
                <w:rFonts w:ascii="宋体" w:hAnsi="宋体" w:eastAsia="宋体" w:cs="宋体"/>
                <w:sz w:val="24"/>
                <w:szCs w:val="24"/>
              </w:rPr>
              <w:t>年12月31日前完成</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r>
              <w:rPr>
                <w:rFonts w:ascii="宋体" w:hAnsi="宋体" w:eastAsia="宋体" w:cs="宋体"/>
                <w:sz w:val="24"/>
                <w:szCs w:val="24"/>
              </w:rPr>
              <w:t>202</w:t>
            </w:r>
            <w:r>
              <w:rPr>
                <w:rFonts w:hint="eastAsia" w:ascii="宋体" w:hAnsi="宋体" w:eastAsia="宋体" w:cs="宋体"/>
                <w:sz w:val="24"/>
                <w:szCs w:val="24"/>
                <w:lang w:val="en-US" w:eastAsia="zh-CN"/>
              </w:rPr>
              <w:t>1</w:t>
            </w:r>
            <w:r>
              <w:rPr>
                <w:rFonts w:ascii="宋体" w:hAnsi="宋体" w:eastAsia="宋体" w:cs="宋体"/>
                <w:sz w:val="24"/>
                <w:szCs w:val="24"/>
              </w:rPr>
              <w:t>年12月31日前</w:t>
            </w: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仿宋_GB2312" w:hAnsi="仿宋_GB2312" w:eastAsia="仿宋_GB2312" w:cs="仿宋_GB2312"/>
                <w:i w:val="0"/>
                <w:color w:val="auto"/>
                <w:sz w:val="28"/>
                <w:szCs w:val="28"/>
                <w:highlight w:val="none"/>
                <w:u w:val="none"/>
                <w:lang w:val="en-US" w:eastAsia="zh-CN"/>
              </w:rPr>
            </w:pPr>
            <w:r>
              <w:rPr>
                <w:rFonts w:hint="eastAsia" w:ascii="仿宋_GB2312" w:hAnsi="仿宋_GB2312" w:eastAsia="仿宋_GB2312" w:cs="仿宋_GB2312"/>
                <w:i w:val="0"/>
                <w:color w:val="auto"/>
                <w:sz w:val="28"/>
                <w:szCs w:val="28"/>
                <w:highlight w:val="none"/>
                <w:u w:val="none"/>
                <w:lang w:val="en-US" w:eastAsia="zh-CN"/>
              </w:rPr>
              <w:t>2021年12月完成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80" w:hRule="atLeast"/>
        </w:trPr>
        <w:tc>
          <w:tcPr>
            <w:tcW w:w="1977"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成本指标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r>
              <w:rPr>
                <w:rFonts w:ascii="宋体" w:hAnsi="宋体" w:eastAsia="宋体" w:cs="宋体"/>
                <w:sz w:val="24"/>
                <w:szCs w:val="24"/>
              </w:rPr>
              <w:t>订阅党报党刊单套平均成本</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仿宋_GB2312" w:hAnsi="仿宋_GB2312" w:eastAsia="仿宋_GB2312" w:cs="仿宋_GB2312"/>
                <w:i w:val="0"/>
                <w:color w:val="auto"/>
                <w:sz w:val="28"/>
                <w:szCs w:val="28"/>
                <w:highlight w:val="none"/>
                <w:u w:val="none"/>
                <w:lang w:val="en-US" w:eastAsia="zh-CN"/>
              </w:rPr>
            </w:pPr>
            <w:r>
              <w:rPr>
                <w:rFonts w:hint="eastAsia" w:ascii="仿宋_GB2312" w:hAnsi="仿宋_GB2312" w:eastAsia="仿宋_GB2312" w:cs="仿宋_GB2312"/>
                <w:i w:val="0"/>
                <w:color w:val="auto"/>
                <w:sz w:val="28"/>
                <w:szCs w:val="28"/>
                <w:highlight w:val="none"/>
                <w:u w:val="none"/>
                <w:lang w:eastAsia="zh-CN"/>
              </w:rPr>
              <w:t>≤</w:t>
            </w:r>
            <w:r>
              <w:rPr>
                <w:rFonts w:hint="eastAsia" w:ascii="仿宋_GB2312" w:hAnsi="仿宋_GB2312" w:eastAsia="仿宋_GB2312" w:cs="仿宋_GB2312"/>
                <w:i w:val="0"/>
                <w:color w:val="auto"/>
                <w:sz w:val="28"/>
                <w:szCs w:val="28"/>
                <w:highlight w:val="none"/>
                <w:u w:val="none"/>
                <w:lang w:val="en-US" w:eastAsia="zh-CN"/>
              </w:rPr>
              <w:t>500</w:t>
            </w: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仿宋_GB2312" w:hAnsi="仿宋_GB2312" w:eastAsia="仿宋_GB2312" w:cs="仿宋_GB2312"/>
                <w:i w:val="0"/>
                <w:color w:val="auto"/>
                <w:sz w:val="28"/>
                <w:szCs w:val="28"/>
                <w:highlight w:val="none"/>
                <w:u w:val="none"/>
                <w:lang w:val="en-US" w:eastAsia="zh-CN"/>
              </w:rPr>
            </w:pPr>
            <w:r>
              <w:rPr>
                <w:rFonts w:hint="eastAsia" w:ascii="仿宋_GB2312" w:hAnsi="仿宋_GB2312" w:eastAsia="仿宋_GB2312" w:cs="仿宋_GB2312"/>
                <w:i w:val="0"/>
                <w:color w:val="auto"/>
                <w:sz w:val="28"/>
                <w:szCs w:val="28"/>
                <w:highlight w:val="none"/>
                <w:u w:val="none"/>
                <w:lang w:val="en-US" w:eastAsia="zh-CN"/>
              </w:rPr>
              <w:t>498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80" w:hRule="atLeast"/>
        </w:trPr>
        <w:tc>
          <w:tcPr>
            <w:tcW w:w="1977"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效益</w:t>
            </w:r>
            <w:r>
              <w:rPr>
                <w:rFonts w:hint="eastAsia" w:ascii="仿宋_GB2312" w:hAnsi="仿宋_GB2312" w:eastAsia="仿宋_GB2312" w:cs="仿宋_GB2312"/>
                <w:i w:val="0"/>
                <w:color w:val="auto"/>
                <w:kern w:val="0"/>
                <w:sz w:val="28"/>
                <w:szCs w:val="28"/>
                <w:highlight w:val="none"/>
                <w:u w:val="none"/>
                <w:lang w:val="en-US" w:eastAsia="zh-CN" w:bidi="ar"/>
              </w:rPr>
              <w:br w:type="textWrapping"/>
            </w:r>
            <w:r>
              <w:rPr>
                <w:rFonts w:hint="eastAsia" w:ascii="仿宋_GB2312" w:hAnsi="仿宋_GB2312" w:eastAsia="仿宋_GB2312" w:cs="仿宋_GB2312"/>
                <w:i w:val="0"/>
                <w:color w:val="auto"/>
                <w:kern w:val="0"/>
                <w:sz w:val="28"/>
                <w:szCs w:val="28"/>
                <w:highlight w:val="none"/>
                <w:u w:val="none"/>
                <w:lang w:val="en-US" w:eastAsia="zh-CN" w:bidi="ar"/>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经济效益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80" w:hRule="atLeast"/>
        </w:trPr>
        <w:tc>
          <w:tcPr>
            <w:tcW w:w="1977"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社会效益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r>
              <w:rPr>
                <w:rFonts w:ascii="宋体" w:hAnsi="宋体" w:eastAsia="宋体" w:cs="宋体"/>
                <w:sz w:val="24"/>
                <w:szCs w:val="24"/>
              </w:rPr>
              <w:t>提升全县理论水平</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lang w:eastAsia="zh-CN"/>
              </w:rPr>
            </w:pPr>
            <w:r>
              <w:rPr>
                <w:rFonts w:hint="eastAsia" w:ascii="仿宋_GB2312" w:hAnsi="仿宋_GB2312" w:eastAsia="仿宋_GB2312" w:cs="仿宋_GB2312"/>
                <w:i w:val="0"/>
                <w:color w:val="auto"/>
                <w:sz w:val="28"/>
                <w:szCs w:val="28"/>
                <w:highlight w:val="none"/>
                <w:u w:val="none"/>
                <w:lang w:eastAsia="zh-CN"/>
              </w:rPr>
              <w:t>优</w:t>
            </w: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lang w:eastAsia="zh-CN"/>
              </w:rPr>
            </w:pPr>
            <w:r>
              <w:rPr>
                <w:rFonts w:hint="eastAsia" w:ascii="仿宋_GB2312" w:hAnsi="仿宋_GB2312" w:eastAsia="仿宋_GB2312" w:cs="仿宋_GB2312"/>
                <w:i w:val="0"/>
                <w:color w:val="auto"/>
                <w:sz w:val="28"/>
                <w:szCs w:val="28"/>
                <w:highlight w:val="none"/>
                <w:u w:val="none"/>
                <w:lang w:eastAsia="zh-CN"/>
              </w:rPr>
              <w:t>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577" w:hRule="atLeast"/>
        </w:trPr>
        <w:tc>
          <w:tcPr>
            <w:tcW w:w="1977"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ind w:left="463" w:leftChars="87" w:hanging="280" w:hangingChars="100"/>
              <w:jc w:val="left"/>
              <w:textAlignment w:val="bottom"/>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生态效益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80" w:hRule="atLeast"/>
        </w:trPr>
        <w:tc>
          <w:tcPr>
            <w:tcW w:w="1977"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可持续影响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530" w:hRule="atLeast"/>
        </w:trPr>
        <w:tc>
          <w:tcPr>
            <w:tcW w:w="197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满意</w:t>
            </w:r>
            <w:r>
              <w:rPr>
                <w:rFonts w:hint="eastAsia" w:ascii="仿宋_GB2312" w:hAnsi="仿宋_GB2312" w:eastAsia="仿宋_GB2312" w:cs="仿宋_GB2312"/>
                <w:i w:val="0"/>
                <w:color w:val="auto"/>
                <w:kern w:val="0"/>
                <w:sz w:val="28"/>
                <w:szCs w:val="28"/>
                <w:highlight w:val="none"/>
                <w:u w:val="none"/>
                <w:lang w:val="en-US" w:eastAsia="zh-CN" w:bidi="ar"/>
              </w:rPr>
              <w:br w:type="textWrapping"/>
            </w:r>
            <w:r>
              <w:rPr>
                <w:rFonts w:hint="eastAsia" w:ascii="仿宋_GB2312" w:hAnsi="仿宋_GB2312" w:eastAsia="仿宋_GB2312" w:cs="仿宋_GB2312"/>
                <w:i w:val="0"/>
                <w:color w:val="auto"/>
                <w:kern w:val="0"/>
                <w:sz w:val="28"/>
                <w:szCs w:val="28"/>
                <w:highlight w:val="none"/>
                <w:u w:val="none"/>
                <w:lang w:val="en-US" w:eastAsia="zh-CN" w:bidi="ar"/>
              </w:rPr>
              <w:t>度指标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kern w:val="0"/>
                <w:sz w:val="28"/>
                <w:szCs w:val="28"/>
                <w:highlight w:val="none"/>
                <w:u w:val="none"/>
                <w:lang w:val="en-US" w:eastAsia="zh-CN" w:bidi="ar"/>
              </w:rPr>
            </w:pPr>
            <w:r>
              <w:rPr>
                <w:rFonts w:hint="eastAsia" w:ascii="仿宋_GB2312" w:hAnsi="仿宋_GB2312" w:eastAsia="仿宋_GB2312" w:cs="仿宋_GB2312"/>
                <w:i w:val="0"/>
                <w:color w:val="auto"/>
                <w:kern w:val="0"/>
                <w:sz w:val="28"/>
                <w:szCs w:val="28"/>
                <w:highlight w:val="none"/>
                <w:u w:val="none"/>
                <w:lang w:val="en-US" w:eastAsia="zh-CN" w:bidi="ar"/>
              </w:rPr>
              <w:t>满意度</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r>
              <w:rPr>
                <w:rFonts w:ascii="宋体" w:hAnsi="宋体" w:eastAsia="宋体" w:cs="宋体"/>
                <w:sz w:val="24"/>
                <w:szCs w:val="24"/>
              </w:rPr>
              <w:t>全县干部满意度</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仿宋_GB2312" w:hAnsi="仿宋_GB2312" w:eastAsia="仿宋_GB2312" w:cs="仿宋_GB2312"/>
                <w:i w:val="0"/>
                <w:color w:val="auto"/>
                <w:sz w:val="28"/>
                <w:szCs w:val="28"/>
                <w:highlight w:val="none"/>
                <w:u w:val="none"/>
                <w:lang w:val="en-US" w:eastAsia="zh-CN"/>
              </w:rPr>
            </w:pPr>
            <w:r>
              <w:rPr>
                <w:rFonts w:hint="eastAsia" w:ascii="仿宋_GB2312" w:hAnsi="仿宋_GB2312" w:eastAsia="仿宋_GB2312" w:cs="仿宋_GB2312"/>
                <w:i w:val="0"/>
                <w:color w:val="auto"/>
                <w:sz w:val="28"/>
                <w:szCs w:val="28"/>
                <w:highlight w:val="none"/>
                <w:u w:val="none"/>
                <w:lang w:eastAsia="zh-CN"/>
              </w:rPr>
              <w:t>≥</w:t>
            </w:r>
            <w:r>
              <w:rPr>
                <w:rFonts w:hint="eastAsia" w:ascii="仿宋_GB2312" w:hAnsi="仿宋_GB2312" w:eastAsia="仿宋_GB2312" w:cs="仿宋_GB2312"/>
                <w:i w:val="0"/>
                <w:color w:val="auto"/>
                <w:sz w:val="28"/>
                <w:szCs w:val="28"/>
                <w:highlight w:val="none"/>
                <w:u w:val="none"/>
                <w:lang w:val="en-US" w:eastAsia="zh-CN"/>
              </w:rPr>
              <w:t>98%</w:t>
            </w: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仿宋_GB2312" w:hAnsi="仿宋_GB2312" w:eastAsia="仿宋_GB2312" w:cs="仿宋_GB2312"/>
                <w:i w:val="0"/>
                <w:color w:val="auto"/>
                <w:sz w:val="28"/>
                <w:szCs w:val="28"/>
                <w:highlight w:val="none"/>
                <w:u w:val="none"/>
                <w:lang w:val="en-US" w:eastAsia="zh-CN"/>
              </w:rPr>
            </w:pPr>
            <w:r>
              <w:rPr>
                <w:rFonts w:hint="eastAsia" w:ascii="仿宋_GB2312" w:hAnsi="仿宋_GB2312" w:eastAsia="仿宋_GB2312" w:cs="仿宋_GB2312"/>
                <w:i w:val="0"/>
                <w:color w:val="auto"/>
                <w:sz w:val="28"/>
                <w:szCs w:val="28"/>
                <w:highlight w:val="none"/>
                <w:u w:val="none"/>
                <w:lang w:val="en-US" w:eastAsia="zh-CN"/>
              </w:rPr>
              <w:t>100%</w:t>
            </w:r>
          </w:p>
        </w:tc>
      </w:tr>
    </w:tbl>
    <w:p>
      <w:pPr>
        <w:keepNext w:val="0"/>
        <w:keepLines w:val="0"/>
        <w:pageBreakBefore w:val="0"/>
        <w:widowControl/>
        <w:kinsoku/>
        <w:wordWrap/>
        <w:overflowPunct/>
        <w:topLinePunct w:val="0"/>
        <w:autoSpaceDE/>
        <w:autoSpaceDN/>
        <w:bidi w:val="0"/>
        <w:adjustRightInd w:val="0"/>
        <w:snapToGrid w:val="0"/>
        <w:spacing w:afterAutospacing="0" w:line="580" w:lineRule="exact"/>
        <w:ind w:firstLine="640" w:firstLineChars="200"/>
        <w:contextualSpacing/>
        <w:jc w:val="left"/>
        <w:textAlignment w:val="auto"/>
        <w:rPr>
          <w:rFonts w:hint="eastAsia" w:ascii="仿宋_GB2312" w:hAnsi="宋体" w:eastAsia="仿宋_GB2312" w:cs="宋体"/>
          <w:b w:val="0"/>
          <w:bCs w:val="0"/>
          <w:color w:val="auto"/>
          <w:kern w:val="0"/>
          <w:sz w:val="32"/>
          <w:szCs w:val="32"/>
          <w:highlight w:val="none"/>
          <w:shd w:val="clear" w:color="auto" w:fill="FFFFFF"/>
          <w:lang w:val="zh-CN"/>
        </w:rPr>
      </w:pPr>
      <w:r>
        <w:rPr>
          <w:rFonts w:hint="eastAsia" w:ascii="仿宋_GB2312" w:hAnsi="宋体" w:eastAsia="仿宋_GB2312" w:cs="宋体"/>
          <w:b w:val="0"/>
          <w:bCs w:val="0"/>
          <w:color w:val="auto"/>
          <w:kern w:val="0"/>
          <w:sz w:val="32"/>
          <w:szCs w:val="32"/>
          <w:highlight w:val="none"/>
          <w:shd w:val="clear" w:color="auto" w:fill="FFFFFF"/>
          <w:lang w:val="zh-CN"/>
        </w:rPr>
        <w:t>附表：</w:t>
      </w:r>
    </w:p>
    <w:p>
      <w:pPr>
        <w:spacing w:line="580" w:lineRule="exact"/>
        <w:rPr>
          <w:rStyle w:val="24"/>
          <w:rFonts w:ascii="黑体" w:hAnsi="黑体" w:eastAsia="黑体"/>
          <w:b w:val="0"/>
          <w:color w:val="auto"/>
          <w:highlight w:val="none"/>
        </w:rPr>
      </w:pPr>
    </w:p>
    <w:p>
      <w:pPr>
        <w:widowControl/>
        <w:jc w:val="left"/>
        <w:rPr>
          <w:rStyle w:val="24"/>
          <w:rFonts w:ascii="黑体" w:hAnsi="黑体" w:eastAsia="黑体"/>
          <w:b w:val="0"/>
          <w:color w:val="auto"/>
          <w:highlight w:val="none"/>
        </w:rPr>
      </w:pPr>
      <w:r>
        <w:rPr>
          <w:rStyle w:val="24"/>
          <w:rFonts w:ascii="黑体" w:hAnsi="黑体" w:eastAsia="黑体"/>
          <w:b w:val="0"/>
          <w:color w:val="auto"/>
          <w:highlight w:val="none"/>
        </w:rPr>
        <w:br w:type="page"/>
      </w:r>
    </w:p>
    <w:p>
      <w:pPr>
        <w:spacing w:line="600" w:lineRule="exact"/>
        <w:jc w:val="center"/>
        <w:outlineLvl w:val="0"/>
        <w:rPr>
          <w:rFonts w:hint="eastAsia" w:ascii="仿宋" w:hAnsi="仿宋" w:eastAsia="仿宋"/>
          <w:b w:val="0"/>
          <w:color w:val="auto"/>
          <w:highlight w:val="none"/>
        </w:rPr>
      </w:pPr>
      <w:bookmarkStart w:id="74" w:name="_Toc16059"/>
      <w:bookmarkStart w:id="75" w:name="_Toc15396618"/>
      <w:r>
        <w:rPr>
          <w:rFonts w:hint="eastAsia" w:ascii="黑体" w:hAnsi="黑体" w:eastAsia="黑体"/>
          <w:color w:val="auto"/>
          <w:sz w:val="44"/>
          <w:szCs w:val="44"/>
          <w:highlight w:val="none"/>
        </w:rPr>
        <w:t>第</w:t>
      </w:r>
      <w:r>
        <w:rPr>
          <w:rStyle w:val="24"/>
          <w:rFonts w:hint="eastAsia" w:ascii="黑体" w:hAnsi="黑体" w:eastAsia="黑体"/>
          <w:b w:val="0"/>
          <w:color w:val="auto"/>
          <w:highlight w:val="none"/>
        </w:rPr>
        <w:t>五部分 附表</w:t>
      </w:r>
      <w:bookmarkEnd w:id="71"/>
      <w:bookmarkEnd w:id="74"/>
      <w:bookmarkEnd w:id="75"/>
      <w:bookmarkStart w:id="76" w:name="_Toc15396619"/>
    </w:p>
    <w:p>
      <w:pPr>
        <w:pStyle w:val="4"/>
        <w:rPr>
          <w:rFonts w:ascii="仿宋" w:hAnsi="仿宋" w:eastAsia="仿宋"/>
          <w:color w:val="auto"/>
          <w:highlight w:val="none"/>
        </w:rPr>
      </w:pPr>
      <w:bookmarkStart w:id="77" w:name="_Toc10339"/>
      <w:r>
        <w:rPr>
          <w:rFonts w:hint="eastAsia" w:ascii="仿宋" w:hAnsi="仿宋" w:eastAsia="仿宋"/>
          <w:b w:val="0"/>
          <w:color w:val="auto"/>
          <w:highlight w:val="none"/>
        </w:rPr>
        <w:t>一、收</w:t>
      </w:r>
      <w:r>
        <w:rPr>
          <w:rStyle w:val="25"/>
          <w:rFonts w:hint="eastAsia" w:ascii="仿宋" w:hAnsi="仿宋" w:eastAsia="仿宋"/>
          <w:b w:val="0"/>
          <w:bCs w:val="0"/>
          <w:color w:val="auto"/>
          <w:highlight w:val="none"/>
        </w:rPr>
        <w:t>入支出决算总表</w:t>
      </w:r>
      <w:bookmarkEnd w:id="76"/>
      <w:bookmarkEnd w:id="77"/>
    </w:p>
    <w:p>
      <w:pPr>
        <w:pStyle w:val="4"/>
        <w:rPr>
          <w:rFonts w:ascii="仿宋" w:hAnsi="仿宋" w:eastAsia="仿宋"/>
          <w:color w:val="auto"/>
          <w:highlight w:val="none"/>
        </w:rPr>
      </w:pPr>
      <w:bookmarkStart w:id="78" w:name="_Toc9011"/>
      <w:bookmarkStart w:id="79" w:name="_Toc15396620"/>
      <w:r>
        <w:rPr>
          <w:rFonts w:hint="eastAsia" w:ascii="仿宋" w:hAnsi="仿宋" w:eastAsia="仿宋"/>
          <w:b w:val="0"/>
          <w:color w:val="auto"/>
          <w:highlight w:val="none"/>
        </w:rPr>
        <w:t>二、收</w:t>
      </w:r>
      <w:r>
        <w:rPr>
          <w:rStyle w:val="25"/>
          <w:rFonts w:hint="eastAsia" w:ascii="仿宋" w:hAnsi="仿宋" w:eastAsia="仿宋"/>
          <w:b w:val="0"/>
          <w:bCs w:val="0"/>
          <w:color w:val="auto"/>
          <w:highlight w:val="none"/>
        </w:rPr>
        <w:t>入决算表</w:t>
      </w:r>
      <w:bookmarkEnd w:id="78"/>
      <w:bookmarkEnd w:id="79"/>
    </w:p>
    <w:p>
      <w:pPr>
        <w:pStyle w:val="4"/>
        <w:rPr>
          <w:rFonts w:ascii="仿宋" w:hAnsi="仿宋" w:eastAsia="仿宋"/>
          <w:color w:val="auto"/>
          <w:highlight w:val="none"/>
        </w:rPr>
      </w:pPr>
      <w:bookmarkStart w:id="80" w:name="_Toc2397"/>
      <w:bookmarkStart w:id="81" w:name="_Toc15396621"/>
      <w:r>
        <w:rPr>
          <w:rStyle w:val="25"/>
          <w:rFonts w:hint="eastAsia" w:ascii="仿宋" w:hAnsi="仿宋" w:eastAsia="仿宋"/>
          <w:b w:val="0"/>
          <w:bCs w:val="0"/>
          <w:color w:val="auto"/>
          <w:highlight w:val="none"/>
        </w:rPr>
        <w:t>三、</w:t>
      </w:r>
      <w:r>
        <w:rPr>
          <w:rFonts w:hint="eastAsia" w:ascii="仿宋" w:hAnsi="仿宋" w:eastAsia="仿宋"/>
          <w:b w:val="0"/>
          <w:color w:val="auto"/>
          <w:highlight w:val="none"/>
        </w:rPr>
        <w:t>支</w:t>
      </w:r>
      <w:r>
        <w:rPr>
          <w:rStyle w:val="25"/>
          <w:rFonts w:hint="eastAsia" w:ascii="仿宋" w:hAnsi="仿宋" w:eastAsia="仿宋"/>
          <w:b w:val="0"/>
          <w:bCs w:val="0"/>
          <w:color w:val="auto"/>
          <w:highlight w:val="none"/>
        </w:rPr>
        <w:t>出决算表</w:t>
      </w:r>
      <w:bookmarkEnd w:id="80"/>
      <w:bookmarkEnd w:id="81"/>
    </w:p>
    <w:p>
      <w:pPr>
        <w:pStyle w:val="4"/>
        <w:rPr>
          <w:rFonts w:ascii="仿宋" w:hAnsi="仿宋" w:eastAsia="仿宋"/>
          <w:b w:val="0"/>
          <w:color w:val="auto"/>
          <w:highlight w:val="none"/>
        </w:rPr>
      </w:pPr>
      <w:bookmarkStart w:id="82" w:name="_Toc6459"/>
      <w:bookmarkStart w:id="83" w:name="_Toc15396622"/>
      <w:r>
        <w:rPr>
          <w:rStyle w:val="25"/>
          <w:rFonts w:hint="eastAsia" w:ascii="仿宋" w:hAnsi="仿宋" w:eastAsia="仿宋"/>
          <w:b w:val="0"/>
          <w:bCs w:val="0"/>
          <w:color w:val="auto"/>
          <w:highlight w:val="none"/>
        </w:rPr>
        <w:t>四、</w:t>
      </w:r>
      <w:r>
        <w:rPr>
          <w:rFonts w:hint="eastAsia" w:ascii="仿宋" w:hAnsi="仿宋" w:eastAsia="仿宋"/>
          <w:b w:val="0"/>
          <w:color w:val="auto"/>
          <w:highlight w:val="none"/>
        </w:rPr>
        <w:t>财</w:t>
      </w:r>
      <w:r>
        <w:rPr>
          <w:rStyle w:val="25"/>
          <w:rFonts w:hint="eastAsia" w:ascii="仿宋" w:hAnsi="仿宋" w:eastAsia="仿宋"/>
          <w:b w:val="0"/>
          <w:bCs w:val="0"/>
          <w:color w:val="auto"/>
          <w:highlight w:val="none"/>
        </w:rPr>
        <w:t>政拨款收入支出决算总表</w:t>
      </w:r>
      <w:bookmarkEnd w:id="82"/>
      <w:bookmarkEnd w:id="83"/>
    </w:p>
    <w:p>
      <w:pPr>
        <w:pStyle w:val="4"/>
        <w:rPr>
          <w:rStyle w:val="25"/>
          <w:rFonts w:ascii="仿宋" w:hAnsi="仿宋" w:eastAsia="仿宋"/>
          <w:b w:val="0"/>
          <w:bCs w:val="0"/>
          <w:color w:val="auto"/>
          <w:highlight w:val="none"/>
        </w:rPr>
      </w:pPr>
      <w:bookmarkStart w:id="84" w:name="_Toc4092"/>
      <w:bookmarkStart w:id="85" w:name="_Toc15396623"/>
      <w:r>
        <w:rPr>
          <w:rStyle w:val="25"/>
          <w:rFonts w:hint="eastAsia" w:ascii="仿宋" w:hAnsi="仿宋" w:eastAsia="仿宋"/>
          <w:b w:val="0"/>
          <w:bCs w:val="0"/>
          <w:color w:val="auto"/>
          <w:highlight w:val="none"/>
        </w:rPr>
        <w:t>五、</w:t>
      </w:r>
      <w:r>
        <w:rPr>
          <w:rFonts w:hint="eastAsia" w:ascii="仿宋" w:hAnsi="仿宋" w:eastAsia="仿宋"/>
          <w:b w:val="0"/>
          <w:color w:val="auto"/>
          <w:highlight w:val="none"/>
        </w:rPr>
        <w:t>财</w:t>
      </w:r>
      <w:r>
        <w:rPr>
          <w:rStyle w:val="25"/>
          <w:rFonts w:hint="eastAsia" w:ascii="仿宋" w:hAnsi="仿宋" w:eastAsia="仿宋"/>
          <w:b w:val="0"/>
          <w:bCs w:val="0"/>
          <w:color w:val="auto"/>
          <w:highlight w:val="none"/>
        </w:rPr>
        <w:t>政拨款支出决算明细表</w:t>
      </w:r>
      <w:bookmarkEnd w:id="84"/>
      <w:bookmarkEnd w:id="85"/>
      <w:bookmarkStart w:id="86" w:name="_Toc15396624"/>
    </w:p>
    <w:p>
      <w:pPr>
        <w:pStyle w:val="4"/>
        <w:rPr>
          <w:rFonts w:ascii="仿宋" w:hAnsi="仿宋" w:eastAsia="仿宋"/>
          <w:color w:val="auto"/>
          <w:highlight w:val="none"/>
        </w:rPr>
      </w:pPr>
      <w:bookmarkStart w:id="87" w:name="_Toc12378"/>
      <w:r>
        <w:rPr>
          <w:rStyle w:val="25"/>
          <w:rFonts w:hint="eastAsia" w:ascii="仿宋" w:hAnsi="仿宋" w:eastAsia="仿宋"/>
          <w:b w:val="0"/>
          <w:bCs w:val="0"/>
          <w:color w:val="auto"/>
          <w:highlight w:val="none"/>
        </w:rPr>
        <w:t>六、</w:t>
      </w:r>
      <w:r>
        <w:rPr>
          <w:rFonts w:hint="eastAsia" w:ascii="仿宋" w:hAnsi="仿宋" w:eastAsia="仿宋"/>
          <w:b w:val="0"/>
          <w:color w:val="auto"/>
          <w:highlight w:val="none"/>
        </w:rPr>
        <w:t>一</w:t>
      </w:r>
      <w:r>
        <w:rPr>
          <w:rStyle w:val="25"/>
          <w:rFonts w:hint="eastAsia" w:ascii="仿宋" w:hAnsi="仿宋" w:eastAsia="仿宋"/>
          <w:b w:val="0"/>
          <w:bCs w:val="0"/>
          <w:color w:val="auto"/>
          <w:highlight w:val="none"/>
        </w:rPr>
        <w:t>般公共预算财政拨款支出决算表</w:t>
      </w:r>
      <w:bookmarkEnd w:id="86"/>
      <w:bookmarkEnd w:id="87"/>
    </w:p>
    <w:p>
      <w:pPr>
        <w:pStyle w:val="4"/>
        <w:rPr>
          <w:rFonts w:ascii="仿宋" w:hAnsi="仿宋" w:eastAsia="仿宋"/>
          <w:color w:val="auto"/>
          <w:highlight w:val="none"/>
        </w:rPr>
      </w:pPr>
      <w:bookmarkStart w:id="88" w:name="_Toc6733"/>
      <w:bookmarkStart w:id="89" w:name="_Toc15396625"/>
      <w:r>
        <w:rPr>
          <w:rStyle w:val="25"/>
          <w:rFonts w:hint="eastAsia" w:ascii="仿宋" w:hAnsi="仿宋" w:eastAsia="仿宋"/>
          <w:b w:val="0"/>
          <w:bCs w:val="0"/>
          <w:color w:val="auto"/>
          <w:highlight w:val="none"/>
        </w:rPr>
        <w:t>七、</w:t>
      </w:r>
      <w:r>
        <w:rPr>
          <w:rFonts w:hint="eastAsia" w:ascii="仿宋" w:hAnsi="仿宋" w:eastAsia="仿宋"/>
          <w:b w:val="0"/>
          <w:color w:val="auto"/>
          <w:highlight w:val="none"/>
        </w:rPr>
        <w:t>一</w:t>
      </w:r>
      <w:r>
        <w:rPr>
          <w:rStyle w:val="25"/>
          <w:rFonts w:hint="eastAsia" w:ascii="仿宋" w:hAnsi="仿宋" w:eastAsia="仿宋"/>
          <w:b w:val="0"/>
          <w:bCs w:val="0"/>
          <w:color w:val="auto"/>
          <w:highlight w:val="none"/>
        </w:rPr>
        <w:t>般公共预算财政拨款支出决算明细表</w:t>
      </w:r>
      <w:bookmarkEnd w:id="88"/>
      <w:bookmarkEnd w:id="89"/>
    </w:p>
    <w:p>
      <w:pPr>
        <w:pStyle w:val="4"/>
        <w:rPr>
          <w:rFonts w:ascii="仿宋" w:hAnsi="仿宋" w:eastAsia="仿宋"/>
          <w:color w:val="auto"/>
          <w:highlight w:val="none"/>
        </w:rPr>
      </w:pPr>
      <w:bookmarkStart w:id="90" w:name="_Toc12416"/>
      <w:bookmarkStart w:id="91" w:name="_Toc15396626"/>
      <w:r>
        <w:rPr>
          <w:rStyle w:val="25"/>
          <w:rFonts w:hint="eastAsia" w:ascii="仿宋" w:hAnsi="仿宋" w:eastAsia="仿宋"/>
          <w:b w:val="0"/>
          <w:bCs w:val="0"/>
          <w:color w:val="auto"/>
          <w:highlight w:val="none"/>
        </w:rPr>
        <w:t>八、</w:t>
      </w:r>
      <w:r>
        <w:rPr>
          <w:rFonts w:hint="eastAsia" w:ascii="仿宋" w:hAnsi="仿宋" w:eastAsia="仿宋"/>
          <w:b w:val="0"/>
          <w:color w:val="auto"/>
          <w:highlight w:val="none"/>
        </w:rPr>
        <w:t>一</w:t>
      </w:r>
      <w:r>
        <w:rPr>
          <w:rStyle w:val="25"/>
          <w:rFonts w:hint="eastAsia" w:ascii="仿宋" w:hAnsi="仿宋" w:eastAsia="仿宋"/>
          <w:b w:val="0"/>
          <w:bCs w:val="0"/>
          <w:color w:val="auto"/>
          <w:highlight w:val="none"/>
        </w:rPr>
        <w:t>般公共预算财政拨款基本支出决算表</w:t>
      </w:r>
      <w:bookmarkEnd w:id="90"/>
      <w:bookmarkEnd w:id="91"/>
    </w:p>
    <w:p>
      <w:pPr>
        <w:pStyle w:val="4"/>
        <w:rPr>
          <w:rFonts w:ascii="仿宋" w:hAnsi="仿宋" w:eastAsia="仿宋"/>
          <w:color w:val="auto"/>
          <w:highlight w:val="none"/>
        </w:rPr>
      </w:pPr>
      <w:bookmarkStart w:id="92" w:name="_Toc4656"/>
      <w:bookmarkStart w:id="93" w:name="_Toc15396627"/>
      <w:r>
        <w:rPr>
          <w:rStyle w:val="25"/>
          <w:rFonts w:hint="eastAsia" w:ascii="仿宋" w:hAnsi="仿宋" w:eastAsia="仿宋"/>
          <w:b w:val="0"/>
          <w:bCs w:val="0"/>
          <w:color w:val="auto"/>
          <w:highlight w:val="none"/>
        </w:rPr>
        <w:t>九、</w:t>
      </w:r>
      <w:r>
        <w:rPr>
          <w:rFonts w:hint="eastAsia" w:ascii="仿宋" w:hAnsi="仿宋" w:eastAsia="仿宋"/>
          <w:b w:val="0"/>
          <w:color w:val="auto"/>
          <w:highlight w:val="none"/>
        </w:rPr>
        <w:t>一</w:t>
      </w:r>
      <w:r>
        <w:rPr>
          <w:rStyle w:val="25"/>
          <w:rFonts w:hint="eastAsia" w:ascii="仿宋" w:hAnsi="仿宋" w:eastAsia="仿宋"/>
          <w:b w:val="0"/>
          <w:bCs w:val="0"/>
          <w:color w:val="auto"/>
          <w:highlight w:val="none"/>
        </w:rPr>
        <w:t>般公共预算财政拨款项目支出决算表</w:t>
      </w:r>
      <w:bookmarkEnd w:id="92"/>
      <w:bookmarkEnd w:id="93"/>
    </w:p>
    <w:p>
      <w:pPr>
        <w:pStyle w:val="4"/>
        <w:rPr>
          <w:rFonts w:ascii="仿宋" w:hAnsi="仿宋" w:eastAsia="仿宋"/>
          <w:color w:val="auto"/>
          <w:highlight w:val="none"/>
        </w:rPr>
      </w:pPr>
      <w:bookmarkStart w:id="94" w:name="_Toc24313"/>
      <w:bookmarkStart w:id="95" w:name="_Toc15396628"/>
      <w:r>
        <w:rPr>
          <w:rStyle w:val="25"/>
          <w:rFonts w:hint="eastAsia" w:ascii="仿宋" w:hAnsi="仿宋" w:eastAsia="仿宋"/>
          <w:b w:val="0"/>
          <w:bCs w:val="0"/>
          <w:color w:val="auto"/>
          <w:highlight w:val="none"/>
        </w:rPr>
        <w:t>十、</w:t>
      </w:r>
      <w:r>
        <w:rPr>
          <w:rFonts w:hint="eastAsia" w:ascii="仿宋" w:hAnsi="仿宋" w:eastAsia="仿宋"/>
          <w:b w:val="0"/>
          <w:color w:val="auto"/>
          <w:highlight w:val="none"/>
        </w:rPr>
        <w:t>一</w:t>
      </w:r>
      <w:r>
        <w:rPr>
          <w:rStyle w:val="25"/>
          <w:rFonts w:hint="eastAsia" w:ascii="仿宋" w:hAnsi="仿宋" w:eastAsia="仿宋"/>
          <w:b w:val="0"/>
          <w:bCs w:val="0"/>
          <w:color w:val="auto"/>
          <w:highlight w:val="none"/>
        </w:rPr>
        <w:t>般公共预算财政拨款“三公”经费支出决算表</w:t>
      </w:r>
      <w:bookmarkEnd w:id="94"/>
      <w:bookmarkEnd w:id="95"/>
    </w:p>
    <w:p>
      <w:pPr>
        <w:pStyle w:val="4"/>
        <w:rPr>
          <w:rFonts w:ascii="仿宋" w:hAnsi="仿宋" w:eastAsia="仿宋"/>
          <w:color w:val="auto"/>
          <w:highlight w:val="none"/>
        </w:rPr>
      </w:pPr>
      <w:bookmarkStart w:id="96" w:name="_Toc18181"/>
      <w:bookmarkStart w:id="97" w:name="_Toc15396629"/>
      <w:r>
        <w:rPr>
          <w:rStyle w:val="25"/>
          <w:rFonts w:hint="eastAsia" w:ascii="仿宋" w:hAnsi="仿宋" w:eastAsia="仿宋"/>
          <w:b w:val="0"/>
          <w:bCs w:val="0"/>
          <w:color w:val="auto"/>
          <w:highlight w:val="none"/>
        </w:rPr>
        <w:t>十一、</w:t>
      </w:r>
      <w:r>
        <w:rPr>
          <w:rFonts w:hint="eastAsia" w:ascii="仿宋" w:hAnsi="仿宋" w:eastAsia="仿宋"/>
          <w:b w:val="0"/>
          <w:color w:val="auto"/>
          <w:highlight w:val="none"/>
        </w:rPr>
        <w:t>政</w:t>
      </w:r>
      <w:r>
        <w:rPr>
          <w:rStyle w:val="25"/>
          <w:rFonts w:hint="eastAsia" w:ascii="仿宋" w:hAnsi="仿宋" w:eastAsia="仿宋"/>
          <w:b w:val="0"/>
          <w:bCs w:val="0"/>
          <w:color w:val="auto"/>
          <w:highlight w:val="none"/>
        </w:rPr>
        <w:t>府性基金预算财政拨款收入支出决算表</w:t>
      </w:r>
      <w:bookmarkEnd w:id="96"/>
      <w:bookmarkEnd w:id="97"/>
    </w:p>
    <w:p>
      <w:pPr>
        <w:pStyle w:val="4"/>
        <w:rPr>
          <w:rFonts w:ascii="仿宋" w:hAnsi="仿宋" w:eastAsia="仿宋"/>
          <w:color w:val="auto"/>
          <w:highlight w:val="none"/>
        </w:rPr>
      </w:pPr>
      <w:bookmarkStart w:id="98" w:name="_Toc30682"/>
      <w:bookmarkStart w:id="99" w:name="_Toc15396630"/>
      <w:r>
        <w:rPr>
          <w:rStyle w:val="25"/>
          <w:rFonts w:hint="eastAsia" w:ascii="仿宋" w:hAnsi="仿宋" w:eastAsia="仿宋"/>
          <w:b w:val="0"/>
          <w:bCs w:val="0"/>
          <w:color w:val="auto"/>
          <w:highlight w:val="none"/>
        </w:rPr>
        <w:t>十二、</w:t>
      </w:r>
      <w:r>
        <w:rPr>
          <w:rFonts w:hint="eastAsia" w:ascii="仿宋" w:hAnsi="仿宋" w:eastAsia="仿宋"/>
          <w:b w:val="0"/>
          <w:color w:val="auto"/>
          <w:highlight w:val="none"/>
        </w:rPr>
        <w:t>政</w:t>
      </w:r>
      <w:r>
        <w:rPr>
          <w:rStyle w:val="25"/>
          <w:rFonts w:hint="eastAsia" w:ascii="仿宋" w:hAnsi="仿宋" w:eastAsia="仿宋"/>
          <w:b w:val="0"/>
          <w:bCs w:val="0"/>
          <w:color w:val="auto"/>
          <w:highlight w:val="none"/>
        </w:rPr>
        <w:t>府性基金预算财政拨款“三公”经费支出决算表</w:t>
      </w:r>
      <w:bookmarkEnd w:id="98"/>
      <w:bookmarkEnd w:id="99"/>
    </w:p>
    <w:p>
      <w:pPr>
        <w:pStyle w:val="4"/>
        <w:rPr>
          <w:rStyle w:val="25"/>
          <w:rFonts w:hint="eastAsia" w:ascii="仿宋" w:hAnsi="仿宋" w:eastAsia="仿宋"/>
          <w:b w:val="0"/>
          <w:bCs w:val="0"/>
          <w:color w:val="auto"/>
          <w:highlight w:val="none"/>
        </w:rPr>
      </w:pPr>
      <w:bookmarkStart w:id="100" w:name="_Toc28125"/>
      <w:bookmarkStart w:id="101" w:name="_Toc15396631"/>
      <w:r>
        <w:rPr>
          <w:rStyle w:val="25"/>
          <w:rFonts w:hint="eastAsia" w:ascii="仿宋" w:hAnsi="仿宋" w:eastAsia="仿宋"/>
          <w:b w:val="0"/>
          <w:bCs w:val="0"/>
          <w:color w:val="auto"/>
          <w:highlight w:val="none"/>
        </w:rPr>
        <w:t>十三、</w:t>
      </w:r>
      <w:r>
        <w:rPr>
          <w:rFonts w:hint="eastAsia" w:ascii="仿宋" w:hAnsi="仿宋" w:eastAsia="仿宋"/>
          <w:b w:val="0"/>
          <w:color w:val="auto"/>
          <w:highlight w:val="none"/>
        </w:rPr>
        <w:t>国</w:t>
      </w:r>
      <w:r>
        <w:rPr>
          <w:rStyle w:val="25"/>
          <w:rFonts w:hint="eastAsia" w:ascii="仿宋" w:hAnsi="仿宋" w:eastAsia="仿宋"/>
          <w:b w:val="0"/>
          <w:bCs w:val="0"/>
          <w:color w:val="auto"/>
          <w:highlight w:val="none"/>
        </w:rPr>
        <w:t>有资本经营预算</w:t>
      </w:r>
      <w:r>
        <w:rPr>
          <w:rStyle w:val="25"/>
          <w:rFonts w:hint="eastAsia" w:ascii="仿宋" w:hAnsi="仿宋" w:eastAsia="仿宋"/>
          <w:b w:val="0"/>
          <w:bCs w:val="0"/>
          <w:color w:val="auto"/>
          <w:highlight w:val="none"/>
          <w:lang w:eastAsia="zh-CN"/>
        </w:rPr>
        <w:t>财政拨款收入</w:t>
      </w:r>
      <w:r>
        <w:rPr>
          <w:rStyle w:val="25"/>
          <w:rFonts w:hint="eastAsia" w:ascii="仿宋" w:hAnsi="仿宋" w:eastAsia="仿宋"/>
          <w:b w:val="0"/>
          <w:bCs w:val="0"/>
          <w:color w:val="auto"/>
          <w:highlight w:val="none"/>
        </w:rPr>
        <w:t>支出决算表</w:t>
      </w:r>
      <w:bookmarkEnd w:id="100"/>
      <w:bookmarkEnd w:id="101"/>
    </w:p>
    <w:p>
      <w:pPr>
        <w:rPr>
          <w:rFonts w:hint="eastAsia" w:eastAsia="仿宋"/>
          <w:color w:val="auto"/>
          <w:highlight w:val="none"/>
          <w:lang w:eastAsia="zh-CN"/>
        </w:rPr>
      </w:pPr>
      <w:bookmarkStart w:id="102" w:name="_Toc26624"/>
      <w:r>
        <w:rPr>
          <w:rStyle w:val="25"/>
          <w:rFonts w:hint="eastAsia" w:ascii="仿宋" w:hAnsi="仿宋" w:eastAsia="仿宋"/>
          <w:b w:val="0"/>
          <w:bCs w:val="0"/>
          <w:color w:val="auto"/>
          <w:highlight w:val="none"/>
          <w:lang w:eastAsia="zh-CN"/>
        </w:rPr>
        <w:t>十四、国有资本经营预算财政拨款支出决算表</w:t>
      </w:r>
      <w:bookmarkEnd w:id="10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8</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FCE4C24D"/>
    <w:multiLevelType w:val="singleLevel"/>
    <w:tmpl w:val="FCE4C24D"/>
    <w:lvl w:ilvl="0" w:tentative="0">
      <w:start w:val="2"/>
      <w:numFmt w:val="chineseCounting"/>
      <w:suff w:val="nothing"/>
      <w:lvlText w:val="（%1）"/>
      <w:lvlJc w:val="left"/>
      <w:rPr>
        <w:rFonts w:hint="eastAsia"/>
      </w:rPr>
    </w:lvl>
  </w:abstractNum>
  <w:abstractNum w:abstractNumId="3">
    <w:nsid w:val="0907BE35"/>
    <w:multiLevelType w:val="singleLevel"/>
    <w:tmpl w:val="0907BE35"/>
    <w:lvl w:ilvl="0" w:tentative="0">
      <w:start w:val="2"/>
      <w:numFmt w:val="chineseCounting"/>
      <w:suff w:val="nothing"/>
      <w:lvlText w:val="（%1）"/>
      <w:lvlJc w:val="left"/>
      <w:rPr>
        <w:rFonts w:hint="eastAsia"/>
      </w:rPr>
    </w:lvl>
  </w:abstractNum>
  <w:abstractNum w:abstractNumId="4">
    <w:nsid w:val="09D0B91D"/>
    <w:multiLevelType w:val="singleLevel"/>
    <w:tmpl w:val="09D0B91D"/>
    <w:lvl w:ilvl="0" w:tentative="0">
      <w:start w:val="2"/>
      <w:numFmt w:val="chineseCounting"/>
      <w:suff w:val="nothing"/>
      <w:lvlText w:val="（%1）"/>
      <w:lvlJc w:val="left"/>
      <w:rPr>
        <w:rFonts w:hint="eastAsia"/>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127A9DE8"/>
    <w:multiLevelType w:val="singleLevel"/>
    <w:tmpl w:val="127A9DE8"/>
    <w:lvl w:ilvl="0" w:tentative="0">
      <w:start w:val="1"/>
      <w:numFmt w:val="decimal"/>
      <w:lvlText w:val="%1."/>
      <w:lvlJc w:val="left"/>
      <w:pPr>
        <w:tabs>
          <w:tab w:val="left" w:pos="312"/>
        </w:tabs>
        <w:ind w:left="-13"/>
      </w:pPr>
    </w:lvl>
  </w:abstractNum>
  <w:num w:numId="1">
    <w:abstractNumId w:val="5"/>
  </w:num>
  <w:num w:numId="2">
    <w:abstractNumId w:val="6"/>
  </w:num>
  <w:num w:numId="3">
    <w:abstractNumId w:val="0"/>
  </w:num>
  <w:num w:numId="4">
    <w:abstractNumId w:val="1"/>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BD420B"/>
    <w:rsid w:val="066E0107"/>
    <w:rsid w:val="07996F6E"/>
    <w:rsid w:val="08370D7F"/>
    <w:rsid w:val="083C16A4"/>
    <w:rsid w:val="09B973B3"/>
    <w:rsid w:val="0A2032A3"/>
    <w:rsid w:val="0A27072D"/>
    <w:rsid w:val="0A9B7600"/>
    <w:rsid w:val="0D2051B8"/>
    <w:rsid w:val="0DEB2176"/>
    <w:rsid w:val="101860EC"/>
    <w:rsid w:val="109B0F80"/>
    <w:rsid w:val="10C055FF"/>
    <w:rsid w:val="11524083"/>
    <w:rsid w:val="1180587E"/>
    <w:rsid w:val="118107EC"/>
    <w:rsid w:val="13D50BC4"/>
    <w:rsid w:val="14D21550"/>
    <w:rsid w:val="16895F09"/>
    <w:rsid w:val="16BB723D"/>
    <w:rsid w:val="178F6D9E"/>
    <w:rsid w:val="19D356BE"/>
    <w:rsid w:val="1B2038CA"/>
    <w:rsid w:val="1BE8440E"/>
    <w:rsid w:val="1D155CEE"/>
    <w:rsid w:val="1D8F6743"/>
    <w:rsid w:val="1DDA15E3"/>
    <w:rsid w:val="1F147105"/>
    <w:rsid w:val="1FBA6150"/>
    <w:rsid w:val="206877F0"/>
    <w:rsid w:val="21660B50"/>
    <w:rsid w:val="22F506E6"/>
    <w:rsid w:val="23496DFC"/>
    <w:rsid w:val="23860B96"/>
    <w:rsid w:val="23CE1F9C"/>
    <w:rsid w:val="240371BF"/>
    <w:rsid w:val="24C52A8D"/>
    <w:rsid w:val="26754565"/>
    <w:rsid w:val="27A70BB7"/>
    <w:rsid w:val="29FD04D3"/>
    <w:rsid w:val="2C2223E2"/>
    <w:rsid w:val="2C8A61B5"/>
    <w:rsid w:val="2CAB5BBB"/>
    <w:rsid w:val="2DA019B5"/>
    <w:rsid w:val="2DF04E50"/>
    <w:rsid w:val="2E1256A9"/>
    <w:rsid w:val="2E3F7329"/>
    <w:rsid w:val="2E9C2703"/>
    <w:rsid w:val="2FC36C64"/>
    <w:rsid w:val="30C94355"/>
    <w:rsid w:val="319F7F4E"/>
    <w:rsid w:val="351B3C5A"/>
    <w:rsid w:val="35213F2C"/>
    <w:rsid w:val="36516D16"/>
    <w:rsid w:val="36AA5135"/>
    <w:rsid w:val="37AB50BB"/>
    <w:rsid w:val="37E16F03"/>
    <w:rsid w:val="39917319"/>
    <w:rsid w:val="3A1769D7"/>
    <w:rsid w:val="3A1C37A9"/>
    <w:rsid w:val="3A4A4EDF"/>
    <w:rsid w:val="3BD32EE3"/>
    <w:rsid w:val="3D98207C"/>
    <w:rsid w:val="410F0268"/>
    <w:rsid w:val="414B4D13"/>
    <w:rsid w:val="41D72E44"/>
    <w:rsid w:val="41FD3E38"/>
    <w:rsid w:val="42490BE9"/>
    <w:rsid w:val="44E268DA"/>
    <w:rsid w:val="4A627F82"/>
    <w:rsid w:val="4A8C1793"/>
    <w:rsid w:val="4B4F25DA"/>
    <w:rsid w:val="4BAF175F"/>
    <w:rsid w:val="4BE068DB"/>
    <w:rsid w:val="4D577224"/>
    <w:rsid w:val="4EAB630A"/>
    <w:rsid w:val="4EB74594"/>
    <w:rsid w:val="4ECE2238"/>
    <w:rsid w:val="500F60BC"/>
    <w:rsid w:val="503F14AA"/>
    <w:rsid w:val="512512A2"/>
    <w:rsid w:val="533C65C5"/>
    <w:rsid w:val="53A9208A"/>
    <w:rsid w:val="597C36D6"/>
    <w:rsid w:val="5AF92295"/>
    <w:rsid w:val="5B7619A9"/>
    <w:rsid w:val="5B836793"/>
    <w:rsid w:val="5C1A47DF"/>
    <w:rsid w:val="5CD71FC4"/>
    <w:rsid w:val="5F912BE7"/>
    <w:rsid w:val="630002FF"/>
    <w:rsid w:val="63F076B3"/>
    <w:rsid w:val="65892F21"/>
    <w:rsid w:val="65AF4D14"/>
    <w:rsid w:val="69257408"/>
    <w:rsid w:val="698A52FF"/>
    <w:rsid w:val="6C4A05C8"/>
    <w:rsid w:val="6C7E002F"/>
    <w:rsid w:val="6CA7671D"/>
    <w:rsid w:val="6E794748"/>
    <w:rsid w:val="6E7E3605"/>
    <w:rsid w:val="6EF9094A"/>
    <w:rsid w:val="6FBD25BF"/>
    <w:rsid w:val="6FF5CC65"/>
    <w:rsid w:val="715C0E4B"/>
    <w:rsid w:val="72734D90"/>
    <w:rsid w:val="73172893"/>
    <w:rsid w:val="73AD73D5"/>
    <w:rsid w:val="73B6EB34"/>
    <w:rsid w:val="73DF2904"/>
    <w:rsid w:val="75F369DB"/>
    <w:rsid w:val="761B3140"/>
    <w:rsid w:val="77E277C3"/>
    <w:rsid w:val="787E23A4"/>
    <w:rsid w:val="79EE5BA4"/>
    <w:rsid w:val="7A244410"/>
    <w:rsid w:val="7A894339"/>
    <w:rsid w:val="7B754E2B"/>
    <w:rsid w:val="7E3B45F4"/>
    <w:rsid w:val="7EEF11D3"/>
    <w:rsid w:val="7F2D2B59"/>
    <w:rsid w:val="7FA30C79"/>
    <w:rsid w:val="7FC96657"/>
    <w:rsid w:val="D8D6DB89"/>
    <w:rsid w:val="DB6F4CAB"/>
    <w:rsid w:val="DF6F978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14:textFill>
        <w14:solidFill>
          <w14:schemeClr w14:val="hlink"/>
        </w14:solidFill>
      </w14:textFill>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Char"/>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Char"/>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Char"/>
    <w:link w:val="2"/>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Char"/>
    <w:basedOn w:val="13"/>
    <w:link w:val="3"/>
    <w:qFormat/>
    <w:uiPriority w:val="9"/>
    <w:rPr>
      <w:rFonts w:ascii="Times New Roman" w:hAnsi="Times New Roman"/>
      <w:b/>
      <w:bCs/>
      <w:kern w:val="44"/>
      <w:sz w:val="44"/>
      <w:szCs w:val="44"/>
    </w:rPr>
  </w:style>
  <w:style w:type="character" w:customStyle="1" w:styleId="25">
    <w:name w:val="标题 2 Char"/>
    <w:basedOn w:val="13"/>
    <w:link w:val="4"/>
    <w:qFormat/>
    <w:uiPriority w:val="9"/>
    <w:rPr>
      <w:rFonts w:asciiTheme="majorHAnsi" w:hAnsiTheme="majorHAnsi" w:eastAsiaTheme="majorEastAsia" w:cstheme="majorBidi"/>
      <w:b/>
      <w:bCs/>
      <w:kern w:val="2"/>
      <w:sz w:val="32"/>
      <w:szCs w:val="32"/>
    </w:rPr>
  </w:style>
  <w:style w:type="paragraph" w:customStyle="1" w:styleId="26">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7">
    <w:name w:val="批注框文本 Char"/>
    <w:basedOn w:val="13"/>
    <w:link w:val="7"/>
    <w:semiHidden/>
    <w:qFormat/>
    <w:uiPriority w:val="99"/>
    <w:rPr>
      <w:rFonts w:ascii="Times New Roman" w:hAnsi="Times New Roman"/>
      <w:kern w:val="2"/>
      <w:sz w:val="18"/>
      <w:szCs w:val="18"/>
    </w:rPr>
  </w:style>
  <w:style w:type="character" w:customStyle="1" w:styleId="28">
    <w:name w:val="标题 3 Char"/>
    <w:basedOn w:val="13"/>
    <w:link w:val="5"/>
    <w:qFormat/>
    <w:uiPriority w:val="9"/>
    <w:rPr>
      <w:rFonts w:ascii="Times New Roman" w:hAnsi="Times New Roman"/>
      <w:b/>
      <w:bCs/>
      <w:kern w:val="2"/>
      <w:sz w:val="32"/>
      <w:szCs w:val="32"/>
    </w:rPr>
  </w:style>
  <w:style w:type="paragraph" w:customStyle="1" w:styleId="29">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0">
    <w:name w:val="四号正文"/>
    <w:basedOn w:val="1"/>
    <w:qFormat/>
    <w:uiPriority w:val="0"/>
    <w:pPr>
      <w:spacing w:line="360" w:lineRule="auto"/>
    </w:pPr>
    <w:rPr>
      <w:rFonts w:ascii="??" w:hAnsi="??" w:eastAsia="宋体"/>
      <w:color w:val="000000"/>
      <w:kern w:val="0"/>
      <w:sz w:val="28"/>
      <w:szCs w:val="21"/>
      <w:lang w:val="zh-CN"/>
    </w:rPr>
  </w:style>
  <w:style w:type="paragraph" w:customStyle="1" w:styleId="31">
    <w:name w:val="WPSOffice手动目录 1"/>
    <w:qFormat/>
    <w:uiPriority w:val="0"/>
    <w:pPr>
      <w:ind w:leftChars="0"/>
    </w:pPr>
    <w:rPr>
      <w:rFonts w:ascii="Times New Roman" w:hAnsi="Times New Roman" w:eastAsia="宋体" w:cs="Times New Roman"/>
      <w:sz w:val="20"/>
      <w:szCs w:val="20"/>
    </w:rPr>
  </w:style>
  <w:style w:type="paragraph" w:customStyle="1" w:styleId="32">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中共沐川县委宣传部部门收、支决算总计变动情况</a:t>
            </a:r>
          </a:p>
        </c:rich>
      </c:tx>
      <c:layout/>
      <c:overlay val="0"/>
      <c:spPr>
        <a:noFill/>
        <a:ln>
          <a:noFill/>
        </a:ln>
        <a:effectLst/>
      </c:spPr>
    </c:title>
    <c:autoTitleDeleted val="0"/>
    <c:plotArea>
      <c:layout>
        <c:manualLayout>
          <c:layoutTarget val="inner"/>
          <c:xMode val="edge"/>
          <c:yMode val="edge"/>
          <c:x val="0.0848625989753144"/>
          <c:y val="0.00634920634920635"/>
          <c:w val="0.910479739170936"/>
          <c:h val="0.640084656084656"/>
        </c:manualLayout>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delete val="1"/>
          </c:dLbls>
          <c:cat>
            <c:strRef>
              <c:f>Sheet1!$A$2:$A$3</c:f>
              <c:strCache>
                <c:ptCount val="2"/>
                <c:pt idx="0">
                  <c:v>2020收支</c:v>
                </c:pt>
                <c:pt idx="1">
                  <c:v>2021收支</c:v>
                </c:pt>
              </c:strCache>
            </c:strRef>
          </c:cat>
          <c:val>
            <c:numRef>
              <c:f>Sheet1!$B$2:$B$3</c:f>
              <c:numCache>
                <c:formatCode>General</c:formatCode>
                <c:ptCount val="2"/>
                <c:pt idx="0">
                  <c:v>2862.7</c:v>
                </c:pt>
                <c:pt idx="1">
                  <c:v>2540.74</c:v>
                </c:pt>
              </c:numCache>
            </c:numRef>
          </c:val>
        </c:ser>
        <c:dLbls>
          <c:showLegendKey val="0"/>
          <c:showVal val="0"/>
          <c:showCatName val="0"/>
          <c:showSerName val="0"/>
          <c:showPercent val="0"/>
          <c:showBubbleSize val="0"/>
        </c:dLbls>
        <c:gapWidth val="219"/>
        <c:overlap val="-27"/>
        <c:axId val="320170000"/>
        <c:axId val="440142018"/>
      </c:barChart>
      <c:catAx>
        <c:axId val="32017000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40142018"/>
        <c:crosses val="autoZero"/>
        <c:auto val="1"/>
        <c:lblAlgn val="ctr"/>
        <c:lblOffset val="100"/>
        <c:noMultiLvlLbl val="0"/>
      </c:catAx>
      <c:valAx>
        <c:axId val="44014201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201700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中共沐川县委宣传部部门收入决算结构</a:t>
            </a:r>
          </a:p>
        </c:rich>
      </c:tx>
      <c:layout/>
      <c:overlay val="0"/>
      <c:spPr>
        <a:noFill/>
        <a:ln>
          <a:noFill/>
        </a:ln>
        <a:effectLst/>
      </c:spPr>
    </c:title>
    <c:autoTitleDeleted val="0"/>
    <c:plotArea>
      <c:layout/>
      <c:pieChart>
        <c:varyColors val="1"/>
        <c:ser>
          <c:idx val="0"/>
          <c:order val="0"/>
          <c:tx>
            <c:strRef>
              <c:f>Sheet1!$B$1</c:f>
              <c:strCache>
                <c:ptCount val="1"/>
                <c:pt idx="0">
                  <c:v>收入决算结构图
</c:v>
                </c:pt>
              </c:strCache>
            </c:strRef>
          </c:tx>
          <c:spPr/>
          <c:explosion val="0"/>
          <c:dPt>
            <c:idx val="0"/>
            <c:bubble3D val="0"/>
            <c:spPr>
              <a:solidFill>
                <a:schemeClr val="accent1"/>
              </a:solidFill>
              <a:ln w="19050">
                <a:solidFill>
                  <a:schemeClr val="lt1"/>
                </a:solidFill>
              </a:ln>
              <a:effectLst/>
            </c:spPr>
          </c:dPt>
          <c:dLbls>
            <c:delete val="1"/>
          </c:dLbls>
          <c:cat>
            <c:strRef>
              <c:f>Sheet1!$A$2</c:f>
              <c:strCache>
                <c:ptCount val="1"/>
                <c:pt idx="0">
                  <c:v>一般公共预算财政拨款收入</c:v>
                </c:pt>
              </c:strCache>
            </c:strRef>
          </c:cat>
          <c:val>
            <c:numRef>
              <c:f>Sheet1!$B$2</c:f>
              <c:numCache>
                <c:formatCode>General</c:formatCode>
                <c:ptCount val="1"/>
                <c:pt idx="0">
                  <c:v>100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中共沐川县委宣传部部门支出决算结构</a:t>
            </a:r>
          </a:p>
        </c:rich>
      </c:tx>
      <c:layout/>
      <c:overlay val="0"/>
      <c:spPr>
        <a:noFill/>
        <a:ln>
          <a:noFill/>
        </a:ln>
        <a:effectLst/>
      </c:sp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基本支出</c:v>
                </c:pt>
                <c:pt idx="1">
                  <c:v>项目支出</c:v>
                </c:pt>
              </c:strCache>
            </c:strRef>
          </c:cat>
          <c:val>
            <c:numRef>
              <c:f>Sheet1!$B$2:$B$3</c:f>
              <c:numCache>
                <c:formatCode>General</c:formatCode>
                <c:ptCount val="2"/>
                <c:pt idx="0">
                  <c:v>322.35</c:v>
                </c:pt>
                <c:pt idx="1">
                  <c:v>898.02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中共沐川县委宣传部部门财政拨款收、支决算总计变动情况</a:t>
            </a:r>
          </a:p>
        </c:rich>
      </c:tx>
      <c:layout/>
      <c:overlay val="0"/>
      <c:spPr>
        <a:noFill/>
        <a:ln>
          <a:noFill/>
        </a:ln>
        <a:effectLst/>
      </c:spPr>
    </c:title>
    <c:autoTitleDeleted val="0"/>
    <c:plotArea>
      <c:layout/>
      <c:barChart>
        <c:barDir val="col"/>
        <c:grouping val="clustered"/>
        <c:varyColors val="0"/>
        <c:ser>
          <c:idx val="0"/>
          <c:order val="0"/>
          <c:tx>
            <c:strRef>
              <c:f>Sheet1!$A$2</c:f>
              <c:strCache>
                <c:ptCount val="1"/>
                <c:pt idx="0">
                  <c:v>2020年</c:v>
                </c:pt>
              </c:strCache>
            </c:strRef>
          </c:tx>
          <c:spPr>
            <a:solidFill>
              <a:schemeClr val="accent1"/>
            </a:solidFill>
            <a:ln>
              <a:noFill/>
            </a:ln>
            <a:effectLst/>
          </c:spPr>
          <c:invertIfNegative val="0"/>
          <c:dLbls>
            <c:delete val="1"/>
          </c:dLbls>
          <c:cat>
            <c:strRef>
              <c:f>Sheet1!$B$1</c:f>
              <c:strCache>
                <c:ptCount val="1"/>
                <c:pt idx="0">
                  <c:v>财政拨款收、支决算总计</c:v>
                </c:pt>
              </c:strCache>
            </c:strRef>
          </c:cat>
          <c:val>
            <c:numRef>
              <c:f>Sheet1!$B$2</c:f>
              <c:numCache>
                <c:formatCode>General</c:formatCode>
                <c:ptCount val="1"/>
                <c:pt idx="0">
                  <c:v>2860.26</c:v>
                </c:pt>
              </c:numCache>
            </c:numRef>
          </c:val>
        </c:ser>
        <c:ser>
          <c:idx val="1"/>
          <c:order val="1"/>
          <c:tx>
            <c:strRef>
              <c:f>Sheet1!$A$3</c:f>
              <c:strCache>
                <c:ptCount val="1"/>
                <c:pt idx="0">
                  <c:v>2021年</c:v>
                </c:pt>
              </c:strCache>
            </c:strRef>
          </c:tx>
          <c:spPr>
            <a:solidFill>
              <a:schemeClr val="accent2"/>
            </a:solidFill>
            <a:ln>
              <a:noFill/>
            </a:ln>
            <a:effectLst/>
          </c:spPr>
          <c:invertIfNegative val="0"/>
          <c:dLbls>
            <c:delete val="1"/>
          </c:dLbls>
          <c:cat>
            <c:strRef>
              <c:f>Sheet1!$B$1</c:f>
              <c:strCache>
                <c:ptCount val="1"/>
                <c:pt idx="0">
                  <c:v>财政拨款收、支决算总计</c:v>
                </c:pt>
              </c:strCache>
            </c:strRef>
          </c:cat>
          <c:val>
            <c:numRef>
              <c:f>Sheet1!$B$3</c:f>
              <c:numCache>
                <c:formatCode>General</c:formatCode>
                <c:ptCount val="1"/>
                <c:pt idx="0">
                  <c:v>2540.74</c:v>
                </c:pt>
              </c:numCache>
            </c:numRef>
          </c:val>
        </c:ser>
        <c:dLbls>
          <c:showLegendKey val="0"/>
          <c:showVal val="0"/>
          <c:showCatName val="0"/>
          <c:showSerName val="0"/>
          <c:showPercent val="0"/>
          <c:showBubbleSize val="0"/>
        </c:dLbls>
        <c:gapWidth val="219"/>
        <c:overlap val="-27"/>
        <c:axId val="412404043"/>
        <c:axId val="663108787"/>
      </c:barChart>
      <c:catAx>
        <c:axId val="41240404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3108787"/>
        <c:crosses val="autoZero"/>
        <c:auto val="1"/>
        <c:lblAlgn val="ctr"/>
        <c:lblOffset val="100"/>
        <c:noMultiLvlLbl val="0"/>
      </c:catAx>
      <c:valAx>
        <c:axId val="663108787"/>
        <c:scaling>
          <c:orientation val="minMax"/>
          <c:max val="35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1240404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中共沐川县委宣传部部门一般公共预算财政拨款支出决算变动情况</a:t>
            </a:r>
          </a:p>
        </c:rich>
      </c:tx>
      <c:layout/>
      <c:overlay val="0"/>
      <c:spPr>
        <a:noFill/>
        <a:ln>
          <a:noFill/>
        </a:ln>
        <a:effectLst/>
      </c:spPr>
    </c:title>
    <c:autoTitleDeleted val="0"/>
    <c:plotArea>
      <c:layout/>
      <c:barChart>
        <c:barDir val="col"/>
        <c:grouping val="clustered"/>
        <c:varyColors val="0"/>
        <c:ser>
          <c:idx val="0"/>
          <c:order val="0"/>
          <c:tx>
            <c:strRef>
              <c:f>Sheet1!$A$2</c:f>
              <c:strCache>
                <c:ptCount val="1"/>
                <c:pt idx="0">
                  <c:v>2020年</c:v>
                </c:pt>
              </c:strCache>
            </c:strRef>
          </c:tx>
          <c:spPr>
            <a:solidFill>
              <a:schemeClr val="accent1"/>
            </a:solidFill>
            <a:ln>
              <a:noFill/>
            </a:ln>
            <a:effectLst/>
          </c:spPr>
          <c:invertIfNegative val="0"/>
          <c:dLbls>
            <c:delete val="1"/>
          </c:dLbls>
          <c:cat>
            <c:strRef>
              <c:f>Sheet1!$B$1</c:f>
              <c:strCache>
                <c:ptCount val="1"/>
                <c:pt idx="0">
                  <c:v>财政拨款收、支决算总计</c:v>
                </c:pt>
              </c:strCache>
            </c:strRef>
          </c:cat>
          <c:val>
            <c:numRef>
              <c:f>Sheet1!$B$2</c:f>
              <c:numCache>
                <c:formatCode>General</c:formatCode>
                <c:ptCount val="1"/>
                <c:pt idx="0">
                  <c:v>1142.38</c:v>
                </c:pt>
              </c:numCache>
            </c:numRef>
          </c:val>
        </c:ser>
        <c:ser>
          <c:idx val="1"/>
          <c:order val="1"/>
          <c:tx>
            <c:strRef>
              <c:f>Sheet1!$A$3</c:f>
              <c:strCache>
                <c:ptCount val="1"/>
                <c:pt idx="0">
                  <c:v>2021年</c:v>
                </c:pt>
              </c:strCache>
            </c:strRef>
          </c:tx>
          <c:spPr>
            <a:solidFill>
              <a:schemeClr val="accent2"/>
            </a:solidFill>
            <a:ln>
              <a:noFill/>
            </a:ln>
            <a:effectLst/>
          </c:spPr>
          <c:invertIfNegative val="0"/>
          <c:dLbls>
            <c:delete val="1"/>
          </c:dLbls>
          <c:cat>
            <c:strRef>
              <c:f>Sheet1!$B$1</c:f>
              <c:strCache>
                <c:ptCount val="1"/>
                <c:pt idx="0">
                  <c:v>财政拨款收、支决算总计</c:v>
                </c:pt>
              </c:strCache>
            </c:strRef>
          </c:cat>
          <c:val>
            <c:numRef>
              <c:f>Sheet1!$B$3</c:f>
              <c:numCache>
                <c:formatCode>General</c:formatCode>
                <c:ptCount val="1"/>
                <c:pt idx="0">
                  <c:v>1219.15</c:v>
                </c:pt>
              </c:numCache>
            </c:numRef>
          </c:val>
        </c:ser>
        <c:dLbls>
          <c:showLegendKey val="0"/>
          <c:showVal val="0"/>
          <c:showCatName val="0"/>
          <c:showSerName val="0"/>
          <c:showPercent val="0"/>
          <c:showBubbleSize val="0"/>
        </c:dLbls>
        <c:gapWidth val="219"/>
        <c:overlap val="-27"/>
        <c:axId val="412404043"/>
        <c:axId val="663108787"/>
      </c:barChart>
      <c:catAx>
        <c:axId val="41240404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3108787"/>
        <c:crosses val="autoZero"/>
        <c:auto val="1"/>
        <c:lblAlgn val="ctr"/>
        <c:lblOffset val="100"/>
        <c:noMultiLvlLbl val="0"/>
      </c:catAx>
      <c:valAx>
        <c:axId val="663108787"/>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1240404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elete val="1"/>
          </c:dLbls>
          <c:cat>
            <c:strRef>
              <c:f>Sheet1!$A$2:$A$6</c:f>
              <c:strCache>
                <c:ptCount val="5"/>
                <c:pt idx="0">
                  <c:v>一般公共服务（类）支出</c:v>
                </c:pt>
                <c:pt idx="1">
                  <c:v>文化旅游体育与传媒（类）支出</c:v>
                </c:pt>
                <c:pt idx="2">
                  <c:v>社会保障和就业（类）支出</c:v>
                </c:pt>
                <c:pt idx="3">
                  <c:v>卫生健康（类）支出</c:v>
                </c:pt>
                <c:pt idx="4">
                  <c:v>住房保障（类）支出</c:v>
                </c:pt>
              </c:strCache>
            </c:strRef>
          </c:cat>
          <c:val>
            <c:numRef>
              <c:f>Sheet1!$B$2:$B$6</c:f>
              <c:numCache>
                <c:formatCode>General</c:formatCode>
                <c:ptCount val="5"/>
                <c:pt idx="0">
                  <c:v>1096.81</c:v>
                </c:pt>
                <c:pt idx="1">
                  <c:v>84.36</c:v>
                </c:pt>
                <c:pt idx="2">
                  <c:v>14.54</c:v>
                </c:pt>
                <c:pt idx="3">
                  <c:v>4.82</c:v>
                </c:pt>
                <c:pt idx="4">
                  <c:v>18.61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zh-CN"/>
              <a:t>“三公</a:t>
            </a:r>
            <a:r>
              <a:rPr lang="en-US" altLang="zh-CN"/>
              <a:t>”</a:t>
            </a:r>
            <a:r>
              <a:rPr altLang="en-US"/>
              <a:t>经费财政拨款支出结构</a:t>
            </a:r>
            <a:endParaRPr altLang="en-US"/>
          </a:p>
        </c:rich>
      </c:tx>
      <c:layout/>
      <c:overlay val="0"/>
      <c:spPr>
        <a:noFill/>
        <a:ln>
          <a:noFill/>
        </a:ln>
        <a:effectLst/>
      </c:spPr>
    </c:title>
    <c:autoTitleDeleted val="0"/>
    <c:plotArea>
      <c:layout/>
      <c:pieChart>
        <c:varyColors val="1"/>
        <c:ser>
          <c:idx val="0"/>
          <c:order val="0"/>
          <c:tx>
            <c:strRef>
              <c:f>Sheet1!$B$1</c:f>
              <c:strCache>
                <c:ptCount val="1"/>
                <c:pt idx="0">
                  <c:v>收入决算结构图
</c:v>
                </c:pt>
              </c:strCache>
            </c:strRef>
          </c:tx>
          <c:spPr/>
          <c:explosion val="0"/>
          <c:dPt>
            <c:idx val="0"/>
            <c:bubble3D val="0"/>
            <c:spPr>
              <a:solidFill>
                <a:schemeClr val="accent1"/>
              </a:solidFill>
              <a:ln w="19050">
                <a:solidFill>
                  <a:schemeClr val="lt1"/>
                </a:solidFill>
              </a:ln>
              <a:effectLst/>
            </c:spPr>
          </c:dPt>
          <c:dLbls>
            <c:delete val="1"/>
          </c:dLbls>
          <c:cat>
            <c:strRef>
              <c:f>Sheet1!$A$2</c:f>
              <c:strCache>
                <c:ptCount val="1"/>
                <c:pt idx="0">
                  <c:v>公务接待费</c:v>
                </c:pt>
              </c:strCache>
            </c:strRef>
          </c:cat>
          <c:val>
            <c:numRef>
              <c:f>Sheet1!$B$2</c:f>
              <c:numCache>
                <c:formatCode>General</c:formatCode>
                <c:ptCount val="1"/>
                <c:pt idx="0">
                  <c:v>3.5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1299</Words>
  <Characters>7410</Characters>
  <Lines>61</Lines>
  <Paragraphs>17</Paragraphs>
  <TotalTime>2</TotalTime>
  <ScaleCrop>false</ScaleCrop>
  <LinksUpToDate>false</LinksUpToDate>
  <CharactersWithSpaces>8692</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Administrator</cp:lastModifiedBy>
  <cp:lastPrinted>2022-09-19T08:49:00Z</cp:lastPrinted>
  <dcterms:modified xsi:type="dcterms:W3CDTF">2022-09-26T01:25:25Z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