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</w:rPr>
      </w:pPr>
      <w:r>
        <w:rPr>
          <w:rFonts w:eastAsia="黑体"/>
        </w:rPr>
        <w:t>附件6</w:t>
      </w:r>
    </w:p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中央公共文化服务体系建设资金</w:t>
      </w:r>
      <w:r>
        <w:rPr>
          <w:rFonts w:eastAsia="方正小标宋简体"/>
          <w:spacing w:val="1"/>
          <w:sz w:val="36"/>
          <w:szCs w:val="36"/>
        </w:rPr>
        <w:t>项目支出绩效自评报告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中央公共文化服务体系建设资金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-2022年省级公共文化服务体系建设广播电视户户通运行维护项目，用于广播电视户户通工程和县应急广播平台运行维护支出。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省级资金下达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30.08万元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上级资金下达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30.08万元，截止2022年兑付21.67万元，预算执行率72.04%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完成全年建设任务。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完成2022年省级公共文化服务体系建设广播电视户户通运行维护项目，完成对广播电视户户通工程和县应急广播平台运行维护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zh-CN" w:eastAsia="zh-CN" w:bidi="ar-SA"/>
        </w:rPr>
        <w:t>。</w:t>
      </w:r>
    </w:p>
    <w:p>
      <w:pPr>
        <w:numPr>
          <w:ilvl w:val="0"/>
          <w:numId w:val="2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numPr>
          <w:ilvl w:val="0"/>
          <w:numId w:val="0"/>
        </w:num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更好的维护运行广播电视户户通，提高广播应急平台建设，满足人民对电视观看，对广播收听的需求。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numPr>
          <w:ilvl w:val="0"/>
          <w:numId w:val="0"/>
        </w:num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无</w:t>
      </w:r>
      <w:r>
        <w:rPr>
          <w:rFonts w:hint="eastAsia" w:ascii="仿宋_GB2312" w:hAnsi="仿宋_GB2312" w:cs="仿宋_GB2312"/>
          <w:color w:val="000000"/>
          <w:kern w:val="2"/>
          <w:sz w:val="28"/>
          <w:szCs w:val="28"/>
          <w:lang w:val="en-US" w:eastAsia="zh-CN" w:bidi="ar-SA"/>
        </w:rPr>
        <w:t>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</w:t>
      </w:r>
      <w:bookmarkStart w:id="0" w:name="_GoBack"/>
      <w:bookmarkEnd w:id="0"/>
      <w:r>
        <w:rPr>
          <w:rFonts w:eastAsia="黑体"/>
          <w:bCs/>
        </w:rPr>
        <w:t>结果拟应用和公开情况</w:t>
      </w:r>
    </w:p>
    <w:p>
      <w:pPr>
        <w:numPr>
          <w:ilvl w:val="0"/>
          <w:numId w:val="0"/>
        </w:num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cs="仿宋_GB2312"/>
          <w:color w:val="000000"/>
          <w:kern w:val="2"/>
          <w:sz w:val="28"/>
          <w:szCs w:val="28"/>
          <w:lang w:val="en-US" w:eastAsia="zh-CN" w:bidi="ar-SA"/>
        </w:rPr>
        <w:t>按时按实公开。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numPr>
          <w:ilvl w:val="0"/>
          <w:numId w:val="0"/>
        </w:num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无</w:t>
      </w:r>
      <w:r>
        <w:rPr>
          <w:rFonts w:hint="eastAsia" w:ascii="仿宋_GB2312" w:hAnsi="仿宋_GB2312" w:cs="仿宋_GB2312"/>
          <w:color w:val="000000"/>
          <w:kern w:val="2"/>
          <w:sz w:val="28"/>
          <w:szCs w:val="28"/>
          <w:lang w:val="en-US" w:eastAsia="zh-CN" w:bidi="ar-SA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0CD48F"/>
    <w:multiLevelType w:val="singleLevel"/>
    <w:tmpl w:val="050CD48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E7D653"/>
    <w:multiLevelType w:val="singleLevel"/>
    <w:tmpl w:val="0FE7D65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1CDD4563"/>
    <w:rsid w:val="22121935"/>
    <w:rsid w:val="3C6B70C5"/>
    <w:rsid w:val="66C617D3"/>
    <w:rsid w:val="6FEC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419</Characters>
  <Lines>0</Lines>
  <Paragraphs>0</Paragraphs>
  <TotalTime>2</TotalTime>
  <ScaleCrop>false</ScaleCrop>
  <LinksUpToDate>false</LinksUpToDate>
  <CharactersWithSpaces>419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2023-10-16T03:30:58Z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