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insoku w:val="0"/>
        <w:overflowPunct w:val="0"/>
        <w:spacing w:line="360" w:lineRule="auto"/>
        <w:jc w:val="center"/>
        <w:rPr>
          <w:rFonts w:eastAsia="方正小标宋简体"/>
          <w:spacing w:val="1"/>
          <w:sz w:val="36"/>
          <w:szCs w:val="36"/>
        </w:rPr>
      </w:pPr>
      <w:r>
        <w:rPr>
          <w:rFonts w:eastAsia="方正小标宋简体"/>
          <w:spacing w:val="1"/>
          <w:sz w:val="36"/>
          <w:szCs w:val="36"/>
        </w:rPr>
        <w:t>2022年度部门整体支出绩效评价指标体系</w:t>
      </w:r>
    </w:p>
    <w:tbl>
      <w:tblPr>
        <w:tblStyle w:val="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3"/>
        <w:gridCol w:w="735"/>
        <w:gridCol w:w="788"/>
        <w:gridCol w:w="592"/>
        <w:gridCol w:w="1968"/>
        <w:gridCol w:w="5217"/>
        <w:gridCol w:w="4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50" w:type="pct"/>
            <w:gridSpan w:val="3"/>
            <w:noWrap w:val="0"/>
            <w:vAlign w:val="center"/>
          </w:tcPr>
          <w:p>
            <w:pPr>
              <w:jc w:val="center"/>
              <w:textAlignment w:val="center"/>
              <w:rPr>
                <w:rFonts w:eastAsia="宋体"/>
                <w:b/>
                <w:bCs/>
                <w:color w:val="000000"/>
                <w:sz w:val="18"/>
                <w:szCs w:val="18"/>
              </w:rPr>
            </w:pPr>
            <w:r>
              <w:rPr>
                <w:rFonts w:eastAsia="宋体"/>
                <w:b/>
                <w:bCs/>
                <w:color w:val="000000"/>
                <w:sz w:val="18"/>
                <w:szCs w:val="18"/>
              </w:rPr>
              <w:t>绩效指标</w:t>
            </w:r>
          </w:p>
        </w:tc>
        <w:tc>
          <w:tcPr>
            <w:tcW w:w="277" w:type="pct"/>
            <w:vMerge w:val="restart"/>
            <w:noWrap w:val="0"/>
            <w:vAlign w:val="center"/>
          </w:tcPr>
          <w:p>
            <w:pPr>
              <w:jc w:val="center"/>
              <w:textAlignment w:val="center"/>
              <w:rPr>
                <w:rFonts w:eastAsia="宋体"/>
                <w:b/>
                <w:bCs/>
                <w:color w:val="000000"/>
                <w:sz w:val="18"/>
                <w:szCs w:val="18"/>
              </w:rPr>
            </w:pPr>
            <w:r>
              <w:rPr>
                <w:rFonts w:eastAsia="宋体"/>
                <w:b/>
                <w:bCs/>
                <w:color w:val="000000"/>
                <w:sz w:val="18"/>
                <w:szCs w:val="18"/>
              </w:rPr>
              <w:t>指标</w:t>
            </w:r>
          </w:p>
          <w:p>
            <w:pPr>
              <w:jc w:val="center"/>
              <w:textAlignment w:val="center"/>
              <w:rPr>
                <w:rFonts w:eastAsia="宋体"/>
                <w:b/>
                <w:bCs/>
                <w:color w:val="000000"/>
                <w:sz w:val="18"/>
                <w:szCs w:val="18"/>
              </w:rPr>
            </w:pPr>
            <w:r>
              <w:rPr>
                <w:rFonts w:eastAsia="宋体"/>
                <w:b/>
                <w:bCs/>
                <w:color w:val="000000"/>
                <w:sz w:val="18"/>
                <w:szCs w:val="18"/>
              </w:rPr>
              <w:t>分值</w:t>
            </w:r>
          </w:p>
        </w:tc>
        <w:tc>
          <w:tcPr>
            <w:tcW w:w="921" w:type="pct"/>
            <w:vMerge w:val="restart"/>
            <w:noWrap w:val="0"/>
            <w:vAlign w:val="center"/>
          </w:tcPr>
          <w:p>
            <w:pPr>
              <w:jc w:val="center"/>
              <w:textAlignment w:val="center"/>
              <w:rPr>
                <w:rFonts w:eastAsia="宋体"/>
                <w:b/>
                <w:bCs/>
                <w:color w:val="000000"/>
                <w:sz w:val="18"/>
                <w:szCs w:val="18"/>
              </w:rPr>
            </w:pPr>
            <w:r>
              <w:rPr>
                <w:rFonts w:eastAsia="宋体"/>
                <w:b/>
                <w:bCs/>
                <w:color w:val="000000"/>
                <w:sz w:val="18"/>
                <w:szCs w:val="18"/>
              </w:rPr>
              <w:t>指标解释</w:t>
            </w:r>
            <w:bookmarkStart w:id="0" w:name="_GoBack"/>
            <w:bookmarkEnd w:id="0"/>
          </w:p>
        </w:tc>
        <w:tc>
          <w:tcPr>
            <w:tcW w:w="2442" w:type="pct"/>
            <w:vMerge w:val="restart"/>
            <w:noWrap w:val="0"/>
            <w:vAlign w:val="center"/>
          </w:tcPr>
          <w:p>
            <w:pPr>
              <w:jc w:val="center"/>
              <w:textAlignment w:val="center"/>
              <w:rPr>
                <w:rFonts w:eastAsia="宋体"/>
                <w:b/>
                <w:bCs/>
                <w:color w:val="000000"/>
                <w:sz w:val="18"/>
                <w:szCs w:val="18"/>
              </w:rPr>
            </w:pPr>
            <w:r>
              <w:rPr>
                <w:rFonts w:eastAsia="宋体"/>
                <w:b/>
                <w:bCs/>
                <w:color w:val="000000"/>
                <w:sz w:val="18"/>
                <w:szCs w:val="18"/>
              </w:rPr>
              <w:t>计分标准</w:t>
            </w:r>
          </w:p>
        </w:tc>
        <w:tc>
          <w:tcPr>
            <w:tcW w:w="211" w:type="pct"/>
            <w:vMerge w:val="restart"/>
            <w:noWrap w:val="0"/>
            <w:vAlign w:val="center"/>
          </w:tcPr>
          <w:p>
            <w:pPr>
              <w:jc w:val="center"/>
              <w:textAlignment w:val="center"/>
              <w:rPr>
                <w:rFonts w:eastAsia="宋体"/>
                <w:b/>
                <w:bCs/>
                <w:color w:val="000000"/>
                <w:sz w:val="18"/>
                <w:szCs w:val="18"/>
              </w:rPr>
            </w:pPr>
            <w:r>
              <w:rPr>
                <w:rFonts w:eastAsia="宋体"/>
                <w:b/>
                <w:bCs/>
                <w:color w:val="000000"/>
                <w:sz w:val="18"/>
                <w:szCs w:val="18"/>
              </w:rPr>
              <w:t>自评得分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7" w:type="pct"/>
            <w:noWrap w:val="0"/>
            <w:vAlign w:val="center"/>
          </w:tcPr>
          <w:p>
            <w:pPr>
              <w:jc w:val="center"/>
              <w:textAlignment w:val="center"/>
              <w:rPr>
                <w:rFonts w:eastAsia="宋体"/>
                <w:b/>
                <w:bCs/>
                <w:color w:val="000000"/>
                <w:sz w:val="18"/>
                <w:szCs w:val="18"/>
              </w:rPr>
            </w:pPr>
            <w:r>
              <w:rPr>
                <w:rFonts w:eastAsia="宋体"/>
                <w:b/>
                <w:bCs/>
                <w:color w:val="000000"/>
                <w:sz w:val="18"/>
                <w:szCs w:val="18"/>
              </w:rPr>
              <w:t>一级指标</w:t>
            </w:r>
          </w:p>
        </w:tc>
        <w:tc>
          <w:tcPr>
            <w:tcW w:w="344" w:type="pct"/>
            <w:noWrap w:val="0"/>
            <w:vAlign w:val="center"/>
          </w:tcPr>
          <w:p>
            <w:pPr>
              <w:jc w:val="center"/>
              <w:textAlignment w:val="center"/>
              <w:rPr>
                <w:rFonts w:eastAsia="宋体"/>
                <w:b/>
                <w:bCs/>
                <w:color w:val="000000"/>
                <w:sz w:val="18"/>
                <w:szCs w:val="18"/>
              </w:rPr>
            </w:pPr>
            <w:r>
              <w:rPr>
                <w:rFonts w:eastAsia="宋体"/>
                <w:b/>
                <w:bCs/>
                <w:color w:val="000000"/>
                <w:sz w:val="18"/>
                <w:szCs w:val="18"/>
              </w:rPr>
              <w:t>二级指标</w:t>
            </w:r>
          </w:p>
        </w:tc>
        <w:tc>
          <w:tcPr>
            <w:tcW w:w="369" w:type="pct"/>
            <w:noWrap w:val="0"/>
            <w:vAlign w:val="center"/>
          </w:tcPr>
          <w:p>
            <w:pPr>
              <w:jc w:val="center"/>
              <w:textAlignment w:val="center"/>
              <w:rPr>
                <w:rFonts w:eastAsia="宋体"/>
                <w:b/>
                <w:bCs/>
                <w:color w:val="000000"/>
                <w:sz w:val="18"/>
                <w:szCs w:val="18"/>
              </w:rPr>
            </w:pPr>
            <w:r>
              <w:rPr>
                <w:rFonts w:eastAsia="宋体"/>
                <w:b/>
                <w:bCs/>
                <w:color w:val="000000"/>
                <w:sz w:val="18"/>
                <w:szCs w:val="18"/>
              </w:rPr>
              <w:t>三级指标</w:t>
            </w:r>
          </w:p>
        </w:tc>
        <w:tc>
          <w:tcPr>
            <w:tcW w:w="277" w:type="pct"/>
            <w:vMerge w:val="continue"/>
            <w:noWrap w:val="0"/>
            <w:vAlign w:val="center"/>
          </w:tcPr>
          <w:p>
            <w:pPr>
              <w:jc w:val="center"/>
              <w:rPr>
                <w:rFonts w:eastAsia="宋体"/>
                <w:b/>
                <w:bCs/>
                <w:color w:val="000000"/>
                <w:sz w:val="18"/>
                <w:szCs w:val="18"/>
              </w:rPr>
            </w:pPr>
          </w:p>
        </w:tc>
        <w:tc>
          <w:tcPr>
            <w:tcW w:w="921" w:type="pct"/>
            <w:vMerge w:val="continue"/>
            <w:noWrap w:val="0"/>
            <w:vAlign w:val="center"/>
          </w:tcPr>
          <w:p>
            <w:pPr>
              <w:jc w:val="center"/>
              <w:rPr>
                <w:rFonts w:eastAsia="宋体"/>
                <w:b/>
                <w:bCs/>
                <w:color w:val="000000"/>
                <w:sz w:val="18"/>
                <w:szCs w:val="18"/>
              </w:rPr>
            </w:pPr>
          </w:p>
        </w:tc>
        <w:tc>
          <w:tcPr>
            <w:tcW w:w="2442" w:type="pct"/>
            <w:vMerge w:val="continue"/>
            <w:noWrap w:val="0"/>
            <w:vAlign w:val="center"/>
          </w:tcPr>
          <w:p>
            <w:pPr>
              <w:jc w:val="center"/>
              <w:rPr>
                <w:rFonts w:eastAsia="宋体"/>
                <w:b/>
                <w:bCs/>
                <w:color w:val="000000"/>
                <w:sz w:val="18"/>
                <w:szCs w:val="18"/>
              </w:rPr>
            </w:pPr>
          </w:p>
        </w:tc>
        <w:tc>
          <w:tcPr>
            <w:tcW w:w="211" w:type="pct"/>
            <w:vMerge w:val="continue"/>
            <w:noWrap w:val="0"/>
            <w:vAlign w:val="center"/>
          </w:tcPr>
          <w:p>
            <w:pPr>
              <w:jc w:val="center"/>
              <w:rPr>
                <w:rFonts w:eastAsia="宋体"/>
                <w:b/>
                <w:b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7" w:type="pct"/>
            <w:vMerge w:val="restart"/>
            <w:noWrap w:val="0"/>
            <w:vAlign w:val="center"/>
          </w:tcPr>
          <w:p>
            <w:pPr>
              <w:jc w:val="center"/>
              <w:textAlignment w:val="center"/>
              <w:rPr>
                <w:rFonts w:eastAsia="宋体"/>
                <w:color w:val="000000"/>
                <w:sz w:val="18"/>
                <w:szCs w:val="18"/>
              </w:rPr>
            </w:pPr>
            <w:r>
              <w:rPr>
                <w:rFonts w:eastAsia="宋体"/>
                <w:color w:val="000000"/>
                <w:sz w:val="18"/>
                <w:szCs w:val="18"/>
              </w:rPr>
              <w:t>部门预算管理(80分)</w:t>
            </w:r>
          </w:p>
        </w:tc>
        <w:tc>
          <w:tcPr>
            <w:tcW w:w="344" w:type="pct"/>
            <w:vMerge w:val="restart"/>
            <w:noWrap w:val="0"/>
            <w:vAlign w:val="center"/>
          </w:tcPr>
          <w:p>
            <w:pPr>
              <w:jc w:val="center"/>
              <w:textAlignment w:val="center"/>
              <w:rPr>
                <w:rFonts w:eastAsia="宋体"/>
                <w:color w:val="000000"/>
                <w:sz w:val="18"/>
                <w:szCs w:val="18"/>
              </w:rPr>
            </w:pPr>
            <w:r>
              <w:rPr>
                <w:rFonts w:eastAsia="宋体"/>
                <w:color w:val="000000"/>
                <w:sz w:val="18"/>
                <w:szCs w:val="18"/>
              </w:rPr>
              <w:t>预算编制(30分)</w:t>
            </w:r>
          </w:p>
        </w:tc>
        <w:tc>
          <w:tcPr>
            <w:tcW w:w="369" w:type="pct"/>
            <w:noWrap w:val="0"/>
            <w:vAlign w:val="center"/>
          </w:tcPr>
          <w:p>
            <w:pPr>
              <w:jc w:val="center"/>
              <w:textAlignment w:val="center"/>
              <w:rPr>
                <w:rFonts w:eastAsia="宋体"/>
                <w:color w:val="000000"/>
                <w:sz w:val="18"/>
                <w:szCs w:val="18"/>
              </w:rPr>
            </w:pPr>
            <w:r>
              <w:rPr>
                <w:rFonts w:eastAsia="宋体"/>
                <w:color w:val="000000"/>
                <w:sz w:val="18"/>
                <w:szCs w:val="18"/>
              </w:rPr>
              <w:t>目标制定</w:t>
            </w:r>
          </w:p>
        </w:tc>
        <w:tc>
          <w:tcPr>
            <w:tcW w:w="277" w:type="pct"/>
            <w:noWrap w:val="0"/>
            <w:vAlign w:val="center"/>
          </w:tcPr>
          <w:p>
            <w:pPr>
              <w:jc w:val="center"/>
              <w:textAlignment w:val="center"/>
              <w:rPr>
                <w:rFonts w:eastAsia="宋体"/>
                <w:color w:val="000000"/>
                <w:sz w:val="18"/>
                <w:szCs w:val="18"/>
              </w:rPr>
            </w:pPr>
            <w:r>
              <w:rPr>
                <w:rFonts w:eastAsia="宋体"/>
                <w:color w:val="000000"/>
                <w:sz w:val="18"/>
                <w:szCs w:val="18"/>
              </w:rPr>
              <w:t>10</w:t>
            </w:r>
          </w:p>
        </w:tc>
        <w:tc>
          <w:tcPr>
            <w:tcW w:w="921" w:type="pct"/>
            <w:noWrap w:val="0"/>
            <w:vAlign w:val="center"/>
          </w:tcPr>
          <w:p>
            <w:pPr>
              <w:textAlignment w:val="center"/>
              <w:rPr>
                <w:rFonts w:eastAsia="宋体"/>
                <w:color w:val="000000"/>
                <w:sz w:val="18"/>
                <w:szCs w:val="18"/>
              </w:rPr>
            </w:pPr>
            <w:r>
              <w:rPr>
                <w:rFonts w:eastAsia="宋体"/>
                <w:color w:val="000000"/>
                <w:sz w:val="18"/>
                <w:szCs w:val="18"/>
              </w:rPr>
              <w:t>评价部门绩效目标是否要素完整、细化量化。</w:t>
            </w:r>
          </w:p>
        </w:tc>
        <w:tc>
          <w:tcPr>
            <w:tcW w:w="2442" w:type="pct"/>
            <w:noWrap w:val="0"/>
            <w:vAlign w:val="center"/>
          </w:tcPr>
          <w:p>
            <w:pPr>
              <w:textAlignment w:val="center"/>
              <w:rPr>
                <w:rFonts w:eastAsia="宋体"/>
                <w:color w:val="000000"/>
                <w:sz w:val="18"/>
                <w:szCs w:val="18"/>
              </w:rPr>
            </w:pPr>
            <w:r>
              <w:rPr>
                <w:rFonts w:eastAsia="宋体"/>
                <w:color w:val="000000"/>
                <w:sz w:val="18"/>
                <w:szCs w:val="18"/>
              </w:rPr>
              <w:t>1.绩效目标编制要素完整的，得5分，否则酌情扣分。</w:t>
            </w:r>
          </w:p>
          <w:p>
            <w:pPr>
              <w:textAlignment w:val="center"/>
              <w:rPr>
                <w:rFonts w:eastAsia="宋体"/>
                <w:color w:val="000000"/>
                <w:sz w:val="18"/>
                <w:szCs w:val="18"/>
              </w:rPr>
            </w:pPr>
            <w:r>
              <w:rPr>
                <w:rFonts w:eastAsia="宋体"/>
                <w:color w:val="000000"/>
                <w:sz w:val="18"/>
                <w:szCs w:val="18"/>
              </w:rPr>
              <w:t>2.绩效指标细化量化的，得5分，否则酌情扣分。</w:t>
            </w:r>
          </w:p>
          <w:p>
            <w:pPr>
              <w:textAlignment w:val="center"/>
              <w:rPr>
                <w:rFonts w:eastAsia="宋体"/>
                <w:color w:val="000000"/>
                <w:sz w:val="18"/>
                <w:szCs w:val="18"/>
              </w:rPr>
            </w:pPr>
            <w:r>
              <w:rPr>
                <w:rFonts w:eastAsia="宋体"/>
                <w:color w:val="000000"/>
                <w:sz w:val="18"/>
                <w:szCs w:val="18"/>
              </w:rPr>
              <w:t>有项目绩效目标的部门，根据项目绩效目标编制质量打分，无项目绩效目标的部门，根据部门整体支出绩效目标打分。</w:t>
            </w:r>
          </w:p>
        </w:tc>
        <w:tc>
          <w:tcPr>
            <w:tcW w:w="211" w:type="pct"/>
            <w:noWrap w:val="0"/>
            <w:vAlign w:val="center"/>
          </w:tcPr>
          <w:p>
            <w:pPr>
              <w:jc w:val="center"/>
              <w:rPr>
                <w:rFonts w:hint="default" w:eastAsia="宋体"/>
                <w:color w:val="000000"/>
                <w:sz w:val="18"/>
                <w:szCs w:val="18"/>
                <w:lang w:val="en-US" w:eastAsia="zh-CN"/>
              </w:rPr>
            </w:pPr>
            <w:r>
              <w:rPr>
                <w:rFonts w:hint="eastAsia" w:eastAsia="宋体"/>
                <w:color w:val="000000"/>
                <w:sz w:val="18"/>
                <w:szCs w:val="18"/>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7" w:type="pct"/>
            <w:vMerge w:val="continue"/>
            <w:noWrap w:val="0"/>
            <w:vAlign w:val="center"/>
          </w:tcPr>
          <w:p>
            <w:pPr>
              <w:jc w:val="center"/>
              <w:rPr>
                <w:rFonts w:eastAsia="宋体"/>
                <w:color w:val="000000"/>
                <w:sz w:val="18"/>
                <w:szCs w:val="18"/>
              </w:rPr>
            </w:pPr>
          </w:p>
        </w:tc>
        <w:tc>
          <w:tcPr>
            <w:tcW w:w="344" w:type="pct"/>
            <w:vMerge w:val="continue"/>
            <w:noWrap w:val="0"/>
            <w:vAlign w:val="center"/>
          </w:tcPr>
          <w:p>
            <w:pPr>
              <w:jc w:val="center"/>
              <w:rPr>
                <w:rFonts w:eastAsia="宋体"/>
                <w:color w:val="000000"/>
                <w:sz w:val="18"/>
                <w:szCs w:val="18"/>
              </w:rPr>
            </w:pPr>
          </w:p>
        </w:tc>
        <w:tc>
          <w:tcPr>
            <w:tcW w:w="369" w:type="pct"/>
            <w:noWrap w:val="0"/>
            <w:vAlign w:val="center"/>
          </w:tcPr>
          <w:p>
            <w:pPr>
              <w:jc w:val="center"/>
              <w:textAlignment w:val="center"/>
              <w:rPr>
                <w:rFonts w:eastAsia="宋体"/>
                <w:color w:val="000000"/>
                <w:sz w:val="18"/>
                <w:szCs w:val="18"/>
              </w:rPr>
            </w:pPr>
            <w:r>
              <w:rPr>
                <w:rFonts w:eastAsia="宋体"/>
                <w:color w:val="000000"/>
                <w:sz w:val="18"/>
                <w:szCs w:val="18"/>
              </w:rPr>
              <w:t>目标实现</w:t>
            </w:r>
          </w:p>
        </w:tc>
        <w:tc>
          <w:tcPr>
            <w:tcW w:w="277" w:type="pct"/>
            <w:noWrap w:val="0"/>
            <w:vAlign w:val="center"/>
          </w:tcPr>
          <w:p>
            <w:pPr>
              <w:jc w:val="center"/>
              <w:textAlignment w:val="center"/>
              <w:rPr>
                <w:rFonts w:eastAsia="宋体"/>
                <w:color w:val="000000"/>
                <w:sz w:val="18"/>
                <w:szCs w:val="18"/>
              </w:rPr>
            </w:pPr>
            <w:r>
              <w:rPr>
                <w:rFonts w:eastAsia="宋体"/>
                <w:color w:val="000000"/>
                <w:sz w:val="18"/>
                <w:szCs w:val="18"/>
              </w:rPr>
              <w:t>10</w:t>
            </w:r>
          </w:p>
        </w:tc>
        <w:tc>
          <w:tcPr>
            <w:tcW w:w="921" w:type="pct"/>
            <w:noWrap w:val="0"/>
            <w:vAlign w:val="center"/>
          </w:tcPr>
          <w:p>
            <w:pPr>
              <w:textAlignment w:val="center"/>
              <w:rPr>
                <w:rFonts w:eastAsia="宋体"/>
                <w:color w:val="000000"/>
                <w:sz w:val="18"/>
                <w:szCs w:val="18"/>
              </w:rPr>
            </w:pPr>
            <w:r>
              <w:rPr>
                <w:rFonts w:eastAsia="宋体"/>
                <w:color w:val="000000"/>
                <w:sz w:val="18"/>
                <w:szCs w:val="18"/>
              </w:rPr>
              <w:t>评价部门绩效目标实际实现程度与预期目标的偏离度。</w:t>
            </w:r>
          </w:p>
        </w:tc>
        <w:tc>
          <w:tcPr>
            <w:tcW w:w="2442" w:type="pct"/>
            <w:noWrap w:val="0"/>
            <w:vAlign w:val="center"/>
          </w:tcPr>
          <w:p>
            <w:pPr>
              <w:textAlignment w:val="center"/>
              <w:rPr>
                <w:rFonts w:eastAsia="宋体"/>
                <w:color w:val="000000"/>
                <w:sz w:val="18"/>
                <w:szCs w:val="18"/>
              </w:rPr>
            </w:pPr>
            <w:r>
              <w:rPr>
                <w:rFonts w:eastAsia="宋体"/>
                <w:color w:val="000000"/>
                <w:sz w:val="18"/>
                <w:szCs w:val="18"/>
              </w:rPr>
              <w:t>以项目完成数量为核心，评价项目实际完成情况与与预期绩效目标偏离度，单个数量指标实际完成未达到预期指标或超过预期指标30%以上的，均不计分。该项指标得分=达到预期值的数量指标个数/全部数量指标个数(即评价选取的项目绩效目标包含的所有数量指标)</w:t>
            </w:r>
          </w:p>
        </w:tc>
        <w:tc>
          <w:tcPr>
            <w:tcW w:w="211" w:type="pct"/>
            <w:noWrap w:val="0"/>
            <w:vAlign w:val="center"/>
          </w:tcPr>
          <w:p>
            <w:pPr>
              <w:jc w:val="center"/>
              <w:rPr>
                <w:rFonts w:hint="default" w:eastAsia="宋体"/>
                <w:color w:val="000000"/>
                <w:sz w:val="18"/>
                <w:szCs w:val="18"/>
                <w:lang w:val="en-US" w:eastAsia="zh-CN"/>
              </w:rPr>
            </w:pPr>
            <w:r>
              <w:rPr>
                <w:rFonts w:hint="eastAsia" w:eastAsia="宋体"/>
                <w:color w:val="000000"/>
                <w:sz w:val="18"/>
                <w:szCs w:val="18"/>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7" w:type="pct"/>
            <w:vMerge w:val="continue"/>
            <w:noWrap w:val="0"/>
            <w:vAlign w:val="center"/>
          </w:tcPr>
          <w:p>
            <w:pPr>
              <w:jc w:val="center"/>
              <w:rPr>
                <w:rFonts w:eastAsia="宋体"/>
                <w:color w:val="000000"/>
                <w:sz w:val="18"/>
                <w:szCs w:val="18"/>
              </w:rPr>
            </w:pPr>
          </w:p>
        </w:tc>
        <w:tc>
          <w:tcPr>
            <w:tcW w:w="344" w:type="pct"/>
            <w:vMerge w:val="continue"/>
            <w:noWrap w:val="0"/>
            <w:vAlign w:val="center"/>
          </w:tcPr>
          <w:p>
            <w:pPr>
              <w:jc w:val="center"/>
              <w:rPr>
                <w:rFonts w:eastAsia="宋体"/>
                <w:color w:val="000000"/>
                <w:sz w:val="18"/>
                <w:szCs w:val="18"/>
              </w:rPr>
            </w:pPr>
          </w:p>
        </w:tc>
        <w:tc>
          <w:tcPr>
            <w:tcW w:w="369" w:type="pct"/>
            <w:noWrap w:val="0"/>
            <w:vAlign w:val="center"/>
          </w:tcPr>
          <w:p>
            <w:pPr>
              <w:jc w:val="center"/>
              <w:textAlignment w:val="center"/>
              <w:rPr>
                <w:rFonts w:eastAsia="宋体"/>
                <w:color w:val="000000"/>
                <w:sz w:val="18"/>
                <w:szCs w:val="18"/>
              </w:rPr>
            </w:pPr>
            <w:r>
              <w:rPr>
                <w:rFonts w:eastAsia="宋体"/>
                <w:color w:val="000000"/>
                <w:sz w:val="18"/>
                <w:szCs w:val="18"/>
              </w:rPr>
              <w:t>编制准确</w:t>
            </w:r>
          </w:p>
        </w:tc>
        <w:tc>
          <w:tcPr>
            <w:tcW w:w="277" w:type="pct"/>
            <w:noWrap w:val="0"/>
            <w:vAlign w:val="center"/>
          </w:tcPr>
          <w:p>
            <w:pPr>
              <w:jc w:val="center"/>
              <w:textAlignment w:val="center"/>
              <w:rPr>
                <w:rFonts w:eastAsia="宋体"/>
                <w:color w:val="000000"/>
                <w:sz w:val="18"/>
                <w:szCs w:val="18"/>
              </w:rPr>
            </w:pPr>
            <w:r>
              <w:rPr>
                <w:rFonts w:eastAsia="宋体"/>
                <w:color w:val="000000"/>
                <w:sz w:val="18"/>
                <w:szCs w:val="18"/>
              </w:rPr>
              <w:t>10</w:t>
            </w:r>
          </w:p>
        </w:tc>
        <w:tc>
          <w:tcPr>
            <w:tcW w:w="921" w:type="pct"/>
            <w:noWrap w:val="0"/>
            <w:vAlign w:val="center"/>
          </w:tcPr>
          <w:p>
            <w:pPr>
              <w:textAlignment w:val="center"/>
              <w:rPr>
                <w:rFonts w:eastAsia="宋体"/>
                <w:color w:val="000000"/>
                <w:sz w:val="18"/>
                <w:szCs w:val="18"/>
              </w:rPr>
            </w:pPr>
            <w:r>
              <w:rPr>
                <w:rFonts w:eastAsia="宋体"/>
                <w:color w:val="000000"/>
                <w:sz w:val="18"/>
                <w:szCs w:val="18"/>
              </w:rPr>
              <w:t>评价部门年初预算编制是否科学准确。</w:t>
            </w:r>
          </w:p>
        </w:tc>
        <w:tc>
          <w:tcPr>
            <w:tcW w:w="2442" w:type="pct"/>
            <w:noWrap w:val="0"/>
            <w:vAlign w:val="center"/>
          </w:tcPr>
          <w:p>
            <w:pPr>
              <w:textAlignment w:val="center"/>
              <w:rPr>
                <w:rFonts w:eastAsia="宋体"/>
                <w:color w:val="000000"/>
                <w:sz w:val="18"/>
                <w:szCs w:val="18"/>
              </w:rPr>
            </w:pPr>
            <w:r>
              <w:rPr>
                <w:rFonts w:eastAsia="宋体"/>
                <w:color w:val="000000"/>
                <w:sz w:val="18"/>
                <w:szCs w:val="18"/>
              </w:rPr>
              <w:t>指标得分=(1-(10×部门全年预算调剂金额/年初部门预算数))*指标分值。其中：若部门全年预算调剂金额/年初部门预算数&gt;0.1，此项得0分。</w:t>
            </w:r>
          </w:p>
        </w:tc>
        <w:tc>
          <w:tcPr>
            <w:tcW w:w="211" w:type="pct"/>
            <w:noWrap w:val="0"/>
            <w:vAlign w:val="center"/>
          </w:tcPr>
          <w:p>
            <w:pPr>
              <w:jc w:val="center"/>
              <w:rPr>
                <w:rFonts w:hint="default" w:eastAsia="宋体"/>
                <w:color w:val="000000"/>
                <w:sz w:val="18"/>
                <w:szCs w:val="18"/>
                <w:lang w:val="en-US" w:eastAsia="zh-CN"/>
              </w:rPr>
            </w:pPr>
            <w:r>
              <w:rPr>
                <w:rFonts w:hint="eastAsia" w:eastAsia="宋体"/>
                <w:color w:val="000000"/>
                <w:sz w:val="18"/>
                <w:szCs w:val="18"/>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7" w:type="pct"/>
            <w:vMerge w:val="continue"/>
            <w:noWrap w:val="0"/>
            <w:vAlign w:val="center"/>
          </w:tcPr>
          <w:p>
            <w:pPr>
              <w:jc w:val="center"/>
              <w:rPr>
                <w:rFonts w:eastAsia="宋体"/>
                <w:color w:val="000000"/>
                <w:sz w:val="18"/>
                <w:szCs w:val="18"/>
              </w:rPr>
            </w:pPr>
          </w:p>
        </w:tc>
        <w:tc>
          <w:tcPr>
            <w:tcW w:w="344" w:type="pct"/>
            <w:vMerge w:val="restart"/>
            <w:noWrap w:val="0"/>
            <w:vAlign w:val="center"/>
          </w:tcPr>
          <w:p>
            <w:pPr>
              <w:jc w:val="center"/>
              <w:textAlignment w:val="center"/>
              <w:rPr>
                <w:rFonts w:eastAsia="宋体"/>
                <w:color w:val="000000"/>
                <w:sz w:val="18"/>
                <w:szCs w:val="18"/>
              </w:rPr>
            </w:pPr>
            <w:r>
              <w:rPr>
                <w:rFonts w:eastAsia="宋体"/>
                <w:color w:val="000000"/>
                <w:sz w:val="18"/>
                <w:szCs w:val="18"/>
              </w:rPr>
              <w:t>预算执行(30分)</w:t>
            </w:r>
          </w:p>
        </w:tc>
        <w:tc>
          <w:tcPr>
            <w:tcW w:w="369" w:type="pct"/>
            <w:noWrap w:val="0"/>
            <w:vAlign w:val="center"/>
          </w:tcPr>
          <w:p>
            <w:pPr>
              <w:jc w:val="center"/>
              <w:textAlignment w:val="center"/>
              <w:rPr>
                <w:rFonts w:eastAsia="宋体"/>
                <w:color w:val="000000"/>
                <w:sz w:val="18"/>
                <w:szCs w:val="18"/>
              </w:rPr>
            </w:pPr>
            <w:r>
              <w:rPr>
                <w:rFonts w:eastAsia="宋体"/>
                <w:color w:val="000000"/>
                <w:sz w:val="18"/>
                <w:szCs w:val="18"/>
              </w:rPr>
              <w:t>支出控制</w:t>
            </w:r>
          </w:p>
        </w:tc>
        <w:tc>
          <w:tcPr>
            <w:tcW w:w="277" w:type="pct"/>
            <w:noWrap w:val="0"/>
            <w:vAlign w:val="center"/>
          </w:tcPr>
          <w:p>
            <w:pPr>
              <w:jc w:val="center"/>
              <w:textAlignment w:val="center"/>
              <w:rPr>
                <w:rFonts w:eastAsia="宋体"/>
                <w:color w:val="000000"/>
                <w:sz w:val="18"/>
                <w:szCs w:val="18"/>
              </w:rPr>
            </w:pPr>
            <w:r>
              <w:rPr>
                <w:rFonts w:eastAsia="宋体"/>
                <w:color w:val="000000"/>
                <w:sz w:val="18"/>
                <w:szCs w:val="18"/>
              </w:rPr>
              <w:t>10</w:t>
            </w:r>
          </w:p>
        </w:tc>
        <w:tc>
          <w:tcPr>
            <w:tcW w:w="921" w:type="pct"/>
            <w:noWrap w:val="0"/>
            <w:vAlign w:val="center"/>
          </w:tcPr>
          <w:p>
            <w:pPr>
              <w:textAlignment w:val="center"/>
              <w:rPr>
                <w:rFonts w:eastAsia="宋体"/>
                <w:color w:val="000000"/>
                <w:sz w:val="18"/>
                <w:szCs w:val="18"/>
              </w:rPr>
            </w:pPr>
            <w:r>
              <w:rPr>
                <w:rFonts w:eastAsia="宋体"/>
                <w:color w:val="000000"/>
                <w:sz w:val="18"/>
                <w:szCs w:val="18"/>
              </w:rPr>
              <w:t>部门公用经费及非定额公用支出控制情况。</w:t>
            </w:r>
          </w:p>
        </w:tc>
        <w:tc>
          <w:tcPr>
            <w:tcW w:w="2442" w:type="pct"/>
            <w:noWrap w:val="0"/>
            <w:vAlign w:val="center"/>
          </w:tcPr>
          <w:p>
            <w:pPr>
              <w:textAlignment w:val="center"/>
              <w:rPr>
                <w:rFonts w:eastAsia="宋体"/>
                <w:color w:val="000000"/>
                <w:sz w:val="18"/>
                <w:szCs w:val="18"/>
              </w:rPr>
            </w:pPr>
            <w:r>
              <w:rPr>
                <w:rFonts w:eastAsia="宋体"/>
                <w:color w:val="000000"/>
                <w:sz w:val="18"/>
                <w:szCs w:val="18"/>
              </w:rPr>
              <w:t>计算部门日常公用经费、项目支出中“办公费、印刷费、水费、电费、物业管理费”等科目年初预算数与决算数偏差程度预决算偏差程度在10%以内的，得10分。偏差度在10%-20%之间的，得5分，偏差度超过20%的，不得分。</w:t>
            </w:r>
          </w:p>
        </w:tc>
        <w:tc>
          <w:tcPr>
            <w:tcW w:w="211" w:type="pct"/>
            <w:noWrap w:val="0"/>
            <w:vAlign w:val="center"/>
          </w:tcPr>
          <w:p>
            <w:pPr>
              <w:jc w:val="center"/>
              <w:rPr>
                <w:rFonts w:hint="default" w:eastAsia="宋体"/>
                <w:color w:val="000000"/>
                <w:sz w:val="18"/>
                <w:szCs w:val="18"/>
                <w:lang w:val="en-US" w:eastAsia="zh-CN"/>
              </w:rPr>
            </w:pPr>
            <w:r>
              <w:rPr>
                <w:rFonts w:hint="eastAsia" w:eastAsia="宋体"/>
                <w:color w:val="000000"/>
                <w:sz w:val="18"/>
                <w:szCs w:val="18"/>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7" w:type="pct"/>
            <w:vMerge w:val="continue"/>
            <w:noWrap w:val="0"/>
            <w:vAlign w:val="center"/>
          </w:tcPr>
          <w:p>
            <w:pPr>
              <w:jc w:val="center"/>
              <w:rPr>
                <w:rFonts w:eastAsia="宋体"/>
                <w:color w:val="000000"/>
                <w:sz w:val="18"/>
                <w:szCs w:val="18"/>
              </w:rPr>
            </w:pPr>
          </w:p>
        </w:tc>
        <w:tc>
          <w:tcPr>
            <w:tcW w:w="344" w:type="pct"/>
            <w:vMerge w:val="continue"/>
            <w:noWrap w:val="0"/>
            <w:vAlign w:val="center"/>
          </w:tcPr>
          <w:p>
            <w:pPr>
              <w:jc w:val="center"/>
              <w:rPr>
                <w:rFonts w:eastAsia="宋体"/>
                <w:color w:val="000000"/>
                <w:sz w:val="18"/>
                <w:szCs w:val="18"/>
              </w:rPr>
            </w:pPr>
          </w:p>
        </w:tc>
        <w:tc>
          <w:tcPr>
            <w:tcW w:w="369" w:type="pct"/>
            <w:noWrap w:val="0"/>
            <w:vAlign w:val="center"/>
          </w:tcPr>
          <w:p>
            <w:pPr>
              <w:jc w:val="center"/>
              <w:textAlignment w:val="center"/>
              <w:rPr>
                <w:rFonts w:eastAsia="宋体"/>
                <w:color w:val="000000"/>
                <w:sz w:val="18"/>
                <w:szCs w:val="18"/>
              </w:rPr>
            </w:pPr>
            <w:r>
              <w:rPr>
                <w:rFonts w:eastAsia="宋体"/>
                <w:color w:val="000000"/>
                <w:sz w:val="18"/>
                <w:szCs w:val="18"/>
              </w:rPr>
              <w:t>动态调整</w:t>
            </w:r>
          </w:p>
        </w:tc>
        <w:tc>
          <w:tcPr>
            <w:tcW w:w="277" w:type="pct"/>
            <w:noWrap w:val="0"/>
            <w:vAlign w:val="center"/>
          </w:tcPr>
          <w:p>
            <w:pPr>
              <w:jc w:val="center"/>
              <w:textAlignment w:val="center"/>
              <w:rPr>
                <w:rFonts w:eastAsia="宋体"/>
                <w:color w:val="000000"/>
                <w:sz w:val="18"/>
                <w:szCs w:val="18"/>
              </w:rPr>
            </w:pPr>
            <w:r>
              <w:rPr>
                <w:rFonts w:eastAsia="宋体"/>
                <w:color w:val="000000"/>
                <w:sz w:val="18"/>
                <w:szCs w:val="18"/>
              </w:rPr>
              <w:t>10</w:t>
            </w:r>
          </w:p>
        </w:tc>
        <w:tc>
          <w:tcPr>
            <w:tcW w:w="921" w:type="pct"/>
            <w:noWrap w:val="0"/>
            <w:vAlign w:val="center"/>
          </w:tcPr>
          <w:p>
            <w:pPr>
              <w:textAlignment w:val="center"/>
              <w:rPr>
                <w:rFonts w:eastAsia="宋体"/>
                <w:color w:val="000000"/>
                <w:sz w:val="18"/>
                <w:szCs w:val="18"/>
              </w:rPr>
            </w:pPr>
            <w:r>
              <w:rPr>
                <w:rFonts w:eastAsia="宋体"/>
                <w:color w:val="000000"/>
                <w:sz w:val="18"/>
                <w:szCs w:val="18"/>
              </w:rPr>
              <w:t>评价部门开展绩效运行监控后，将绩效监控结果应用到预算调整的情况。</w:t>
            </w:r>
          </w:p>
        </w:tc>
        <w:tc>
          <w:tcPr>
            <w:tcW w:w="2442" w:type="pct"/>
            <w:noWrap w:val="0"/>
            <w:vAlign w:val="center"/>
          </w:tcPr>
          <w:p>
            <w:pPr>
              <w:textAlignment w:val="center"/>
              <w:rPr>
                <w:rFonts w:eastAsia="宋体"/>
                <w:color w:val="000000"/>
                <w:sz w:val="18"/>
                <w:szCs w:val="18"/>
              </w:rPr>
            </w:pPr>
            <w:r>
              <w:rPr>
                <w:rFonts w:eastAsia="宋体"/>
                <w:color w:val="000000"/>
                <w:sz w:val="18"/>
                <w:szCs w:val="18"/>
              </w:rPr>
              <w:t>1.当部门绩效监控调整取消额和结余注销额均不为零时，指标得分=部门项目支出绩效监控调整取消额÷(部门绩效监控调整取消额+预算结余注销额)*10。</w:t>
            </w:r>
          </w:p>
          <w:p>
            <w:pPr>
              <w:textAlignment w:val="center"/>
              <w:rPr>
                <w:rFonts w:eastAsia="宋体"/>
                <w:color w:val="000000"/>
                <w:sz w:val="18"/>
                <w:szCs w:val="18"/>
              </w:rPr>
            </w:pPr>
            <w:r>
              <w:rPr>
                <w:rFonts w:eastAsia="宋体"/>
                <w:color w:val="000000"/>
                <w:sz w:val="18"/>
                <w:szCs w:val="18"/>
              </w:rPr>
              <w:t>2.当部门绩效监控调整取消额为零，结余注销额不为零时，指标得分=(1-10*结余注销额/年度预算总额)*10，结余注销额超过部门年度预算总额10%的，指标不得分。</w:t>
            </w:r>
          </w:p>
          <w:p>
            <w:pPr>
              <w:textAlignment w:val="center"/>
              <w:rPr>
                <w:rFonts w:eastAsia="宋体"/>
                <w:color w:val="000000"/>
                <w:sz w:val="18"/>
                <w:szCs w:val="18"/>
              </w:rPr>
            </w:pPr>
            <w:r>
              <w:rPr>
                <w:rFonts w:eastAsia="宋体"/>
                <w:color w:val="000000"/>
                <w:sz w:val="18"/>
                <w:szCs w:val="18"/>
              </w:rPr>
              <w:t>3.当部门绩效监控调整取消额与结余注销额均为零时，得满分</w:t>
            </w:r>
          </w:p>
        </w:tc>
        <w:tc>
          <w:tcPr>
            <w:tcW w:w="211" w:type="pct"/>
            <w:noWrap w:val="0"/>
            <w:vAlign w:val="center"/>
          </w:tcPr>
          <w:p>
            <w:pPr>
              <w:jc w:val="center"/>
              <w:rPr>
                <w:rFonts w:hint="default" w:eastAsia="宋体"/>
                <w:color w:val="000000"/>
                <w:sz w:val="18"/>
                <w:szCs w:val="18"/>
                <w:lang w:val="en-US" w:eastAsia="zh-CN"/>
              </w:rPr>
            </w:pPr>
            <w:r>
              <w:rPr>
                <w:rFonts w:hint="eastAsia" w:eastAsia="宋体"/>
                <w:color w:val="000000"/>
                <w:sz w:val="18"/>
                <w:szCs w:val="18"/>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7" w:type="pct"/>
            <w:vMerge w:val="continue"/>
            <w:noWrap w:val="0"/>
            <w:vAlign w:val="center"/>
          </w:tcPr>
          <w:p>
            <w:pPr>
              <w:jc w:val="center"/>
              <w:rPr>
                <w:rFonts w:eastAsia="宋体"/>
                <w:color w:val="000000"/>
                <w:sz w:val="18"/>
                <w:szCs w:val="18"/>
              </w:rPr>
            </w:pPr>
          </w:p>
        </w:tc>
        <w:tc>
          <w:tcPr>
            <w:tcW w:w="344" w:type="pct"/>
            <w:vMerge w:val="continue"/>
            <w:noWrap w:val="0"/>
            <w:vAlign w:val="center"/>
          </w:tcPr>
          <w:p>
            <w:pPr>
              <w:jc w:val="center"/>
              <w:rPr>
                <w:rFonts w:eastAsia="宋体"/>
                <w:color w:val="000000"/>
                <w:sz w:val="18"/>
                <w:szCs w:val="18"/>
              </w:rPr>
            </w:pPr>
          </w:p>
        </w:tc>
        <w:tc>
          <w:tcPr>
            <w:tcW w:w="369" w:type="pct"/>
            <w:noWrap w:val="0"/>
            <w:vAlign w:val="center"/>
          </w:tcPr>
          <w:p>
            <w:pPr>
              <w:jc w:val="center"/>
              <w:textAlignment w:val="center"/>
              <w:rPr>
                <w:rFonts w:eastAsia="宋体"/>
                <w:color w:val="000000"/>
                <w:sz w:val="18"/>
                <w:szCs w:val="18"/>
              </w:rPr>
            </w:pPr>
            <w:r>
              <w:rPr>
                <w:rFonts w:eastAsia="宋体"/>
                <w:color w:val="000000"/>
                <w:sz w:val="18"/>
                <w:szCs w:val="18"/>
              </w:rPr>
              <w:t>执行进度</w:t>
            </w:r>
          </w:p>
        </w:tc>
        <w:tc>
          <w:tcPr>
            <w:tcW w:w="277" w:type="pct"/>
            <w:noWrap w:val="0"/>
            <w:vAlign w:val="center"/>
          </w:tcPr>
          <w:p>
            <w:pPr>
              <w:jc w:val="center"/>
              <w:textAlignment w:val="center"/>
              <w:rPr>
                <w:rFonts w:eastAsia="宋体"/>
                <w:color w:val="000000"/>
                <w:sz w:val="18"/>
                <w:szCs w:val="18"/>
              </w:rPr>
            </w:pPr>
            <w:r>
              <w:rPr>
                <w:rFonts w:eastAsia="宋体"/>
                <w:color w:val="000000"/>
                <w:sz w:val="18"/>
                <w:szCs w:val="18"/>
              </w:rPr>
              <w:t>10</w:t>
            </w:r>
          </w:p>
        </w:tc>
        <w:tc>
          <w:tcPr>
            <w:tcW w:w="921" w:type="pct"/>
            <w:noWrap w:val="0"/>
            <w:vAlign w:val="center"/>
          </w:tcPr>
          <w:p>
            <w:pPr>
              <w:textAlignment w:val="center"/>
              <w:rPr>
                <w:rFonts w:eastAsia="宋体"/>
                <w:color w:val="000000"/>
                <w:sz w:val="18"/>
                <w:szCs w:val="18"/>
              </w:rPr>
            </w:pPr>
            <w:r>
              <w:rPr>
                <w:rFonts w:eastAsia="宋体"/>
                <w:color w:val="000000"/>
                <w:sz w:val="18"/>
                <w:szCs w:val="18"/>
              </w:rPr>
              <w:t>评价部门在6、9、11月的预算执行情况。</w:t>
            </w:r>
          </w:p>
        </w:tc>
        <w:tc>
          <w:tcPr>
            <w:tcW w:w="2442" w:type="pct"/>
            <w:noWrap w:val="0"/>
            <w:vAlign w:val="center"/>
          </w:tcPr>
          <w:p>
            <w:pPr>
              <w:textAlignment w:val="center"/>
              <w:rPr>
                <w:rFonts w:eastAsia="宋体"/>
                <w:color w:val="000000"/>
                <w:sz w:val="18"/>
                <w:szCs w:val="18"/>
              </w:rPr>
            </w:pPr>
            <w:r>
              <w:rPr>
                <w:rFonts w:eastAsia="宋体"/>
                <w:color w:val="000000"/>
                <w:sz w:val="18"/>
                <w:szCs w:val="18"/>
              </w:rPr>
              <w:t>部门预算执行进度在6、9、11月应达到序时进度的80%、90%、90%，即实际支出进度分别达到40%、67.5%、82.5%。6、9、11月部门预算执行进度达到量化指标的分别得3、4、3分，未达到目标进度的的按其实际进度占目标进度的比重计算得分。</w:t>
            </w:r>
          </w:p>
        </w:tc>
        <w:tc>
          <w:tcPr>
            <w:tcW w:w="211" w:type="pct"/>
            <w:noWrap w:val="0"/>
            <w:vAlign w:val="center"/>
          </w:tcPr>
          <w:p>
            <w:pPr>
              <w:jc w:val="center"/>
              <w:rPr>
                <w:rFonts w:hint="default" w:eastAsia="宋体"/>
                <w:color w:val="000000"/>
                <w:sz w:val="18"/>
                <w:szCs w:val="18"/>
                <w:lang w:val="en-US" w:eastAsia="zh-CN"/>
              </w:rPr>
            </w:pPr>
            <w:r>
              <w:rPr>
                <w:rFonts w:hint="eastAsia" w:eastAsia="宋体"/>
                <w:color w:val="000000"/>
                <w:sz w:val="18"/>
                <w:szCs w:val="18"/>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7" w:type="pct"/>
            <w:vMerge w:val="continue"/>
            <w:noWrap w:val="0"/>
            <w:vAlign w:val="center"/>
          </w:tcPr>
          <w:p>
            <w:pPr>
              <w:jc w:val="center"/>
              <w:rPr>
                <w:rFonts w:eastAsia="宋体"/>
                <w:color w:val="000000"/>
                <w:sz w:val="18"/>
                <w:szCs w:val="18"/>
              </w:rPr>
            </w:pPr>
          </w:p>
        </w:tc>
        <w:tc>
          <w:tcPr>
            <w:tcW w:w="344" w:type="pct"/>
            <w:vMerge w:val="restart"/>
            <w:noWrap w:val="0"/>
            <w:vAlign w:val="center"/>
          </w:tcPr>
          <w:p>
            <w:pPr>
              <w:jc w:val="center"/>
              <w:textAlignment w:val="center"/>
              <w:rPr>
                <w:rFonts w:eastAsia="宋体"/>
                <w:color w:val="000000"/>
                <w:sz w:val="18"/>
                <w:szCs w:val="18"/>
              </w:rPr>
            </w:pPr>
            <w:r>
              <w:rPr>
                <w:rFonts w:eastAsia="宋体"/>
                <w:color w:val="000000"/>
                <w:sz w:val="18"/>
                <w:szCs w:val="18"/>
              </w:rPr>
              <w:t>完成结果(20分)</w:t>
            </w:r>
          </w:p>
        </w:tc>
        <w:tc>
          <w:tcPr>
            <w:tcW w:w="369" w:type="pct"/>
            <w:noWrap w:val="0"/>
            <w:vAlign w:val="center"/>
          </w:tcPr>
          <w:p>
            <w:pPr>
              <w:jc w:val="center"/>
              <w:textAlignment w:val="center"/>
              <w:rPr>
                <w:rFonts w:eastAsia="宋体"/>
                <w:color w:val="000000"/>
                <w:sz w:val="18"/>
                <w:szCs w:val="18"/>
              </w:rPr>
            </w:pPr>
            <w:r>
              <w:rPr>
                <w:rFonts w:eastAsia="宋体"/>
                <w:color w:val="000000"/>
                <w:sz w:val="18"/>
                <w:szCs w:val="18"/>
              </w:rPr>
              <w:t>预算完成</w:t>
            </w:r>
          </w:p>
        </w:tc>
        <w:tc>
          <w:tcPr>
            <w:tcW w:w="277" w:type="pct"/>
            <w:noWrap w:val="0"/>
            <w:vAlign w:val="center"/>
          </w:tcPr>
          <w:p>
            <w:pPr>
              <w:jc w:val="center"/>
              <w:textAlignment w:val="center"/>
              <w:rPr>
                <w:rFonts w:eastAsia="宋体"/>
                <w:color w:val="000000"/>
                <w:sz w:val="18"/>
                <w:szCs w:val="18"/>
              </w:rPr>
            </w:pPr>
            <w:r>
              <w:rPr>
                <w:rFonts w:eastAsia="宋体"/>
                <w:color w:val="000000"/>
                <w:sz w:val="18"/>
                <w:szCs w:val="18"/>
              </w:rPr>
              <w:t>10</w:t>
            </w:r>
          </w:p>
        </w:tc>
        <w:tc>
          <w:tcPr>
            <w:tcW w:w="921" w:type="pct"/>
            <w:noWrap w:val="0"/>
            <w:vAlign w:val="center"/>
          </w:tcPr>
          <w:p>
            <w:pPr>
              <w:textAlignment w:val="center"/>
              <w:rPr>
                <w:rFonts w:eastAsia="宋体"/>
                <w:color w:val="000000"/>
                <w:sz w:val="18"/>
                <w:szCs w:val="18"/>
              </w:rPr>
            </w:pPr>
            <w:r>
              <w:rPr>
                <w:rFonts w:eastAsia="宋体"/>
                <w:color w:val="000000"/>
                <w:sz w:val="18"/>
                <w:szCs w:val="18"/>
              </w:rPr>
              <w:t>评价部门预算项目年终预算执行情况。</w:t>
            </w:r>
          </w:p>
        </w:tc>
        <w:tc>
          <w:tcPr>
            <w:tcW w:w="2442" w:type="pct"/>
            <w:noWrap w:val="0"/>
            <w:vAlign w:val="center"/>
          </w:tcPr>
          <w:p>
            <w:pPr>
              <w:textAlignment w:val="center"/>
              <w:rPr>
                <w:rFonts w:eastAsia="宋体"/>
                <w:color w:val="000000"/>
                <w:sz w:val="18"/>
                <w:szCs w:val="18"/>
              </w:rPr>
            </w:pPr>
            <w:r>
              <w:rPr>
                <w:rFonts w:eastAsia="宋体"/>
                <w:color w:val="000000"/>
                <w:sz w:val="18"/>
                <w:szCs w:val="18"/>
              </w:rPr>
              <w:t>部门预算项目12月预算执行进度达到100%的，得10分，未达100%的，按照实际进度量化计算得分。</w:t>
            </w:r>
          </w:p>
        </w:tc>
        <w:tc>
          <w:tcPr>
            <w:tcW w:w="211" w:type="pct"/>
            <w:noWrap w:val="0"/>
            <w:vAlign w:val="center"/>
          </w:tcPr>
          <w:p>
            <w:pPr>
              <w:jc w:val="center"/>
              <w:rPr>
                <w:rFonts w:hint="default" w:eastAsia="宋体"/>
                <w:color w:val="000000"/>
                <w:sz w:val="18"/>
                <w:szCs w:val="18"/>
                <w:lang w:val="en-US" w:eastAsia="zh-CN"/>
              </w:rPr>
            </w:pPr>
            <w:r>
              <w:rPr>
                <w:rFonts w:hint="eastAsia" w:eastAsia="宋体"/>
                <w:color w:val="000000"/>
                <w:sz w:val="18"/>
                <w:szCs w:val="18"/>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7" w:type="pct"/>
            <w:vMerge w:val="continue"/>
            <w:noWrap w:val="0"/>
            <w:vAlign w:val="center"/>
          </w:tcPr>
          <w:p>
            <w:pPr>
              <w:jc w:val="center"/>
              <w:rPr>
                <w:rFonts w:eastAsia="宋体"/>
                <w:color w:val="000000"/>
                <w:sz w:val="18"/>
                <w:szCs w:val="18"/>
              </w:rPr>
            </w:pPr>
          </w:p>
        </w:tc>
        <w:tc>
          <w:tcPr>
            <w:tcW w:w="344" w:type="pct"/>
            <w:vMerge w:val="continue"/>
            <w:noWrap w:val="0"/>
            <w:vAlign w:val="center"/>
          </w:tcPr>
          <w:p>
            <w:pPr>
              <w:jc w:val="center"/>
              <w:rPr>
                <w:rFonts w:eastAsia="宋体"/>
                <w:color w:val="000000"/>
                <w:sz w:val="18"/>
                <w:szCs w:val="18"/>
              </w:rPr>
            </w:pPr>
          </w:p>
        </w:tc>
        <w:tc>
          <w:tcPr>
            <w:tcW w:w="369" w:type="pct"/>
            <w:noWrap w:val="0"/>
            <w:vAlign w:val="center"/>
          </w:tcPr>
          <w:p>
            <w:pPr>
              <w:jc w:val="center"/>
              <w:textAlignment w:val="center"/>
              <w:rPr>
                <w:rFonts w:eastAsia="宋体"/>
                <w:color w:val="000000"/>
                <w:sz w:val="18"/>
                <w:szCs w:val="18"/>
              </w:rPr>
            </w:pPr>
            <w:r>
              <w:rPr>
                <w:rFonts w:eastAsia="宋体"/>
                <w:color w:val="000000"/>
                <w:sz w:val="18"/>
                <w:szCs w:val="18"/>
              </w:rPr>
              <w:t>违规记录</w:t>
            </w:r>
          </w:p>
        </w:tc>
        <w:tc>
          <w:tcPr>
            <w:tcW w:w="277" w:type="pct"/>
            <w:noWrap w:val="0"/>
            <w:vAlign w:val="center"/>
          </w:tcPr>
          <w:p>
            <w:pPr>
              <w:jc w:val="center"/>
              <w:textAlignment w:val="center"/>
              <w:rPr>
                <w:rFonts w:eastAsia="宋体"/>
                <w:color w:val="000000"/>
                <w:sz w:val="18"/>
                <w:szCs w:val="18"/>
              </w:rPr>
            </w:pPr>
            <w:r>
              <w:rPr>
                <w:rFonts w:eastAsia="宋体"/>
                <w:color w:val="000000"/>
                <w:sz w:val="18"/>
                <w:szCs w:val="18"/>
              </w:rPr>
              <w:t>10</w:t>
            </w:r>
          </w:p>
        </w:tc>
        <w:tc>
          <w:tcPr>
            <w:tcW w:w="921" w:type="pct"/>
            <w:noWrap w:val="0"/>
            <w:vAlign w:val="center"/>
          </w:tcPr>
          <w:p>
            <w:pPr>
              <w:textAlignment w:val="center"/>
              <w:rPr>
                <w:rFonts w:eastAsia="宋体"/>
                <w:color w:val="000000"/>
                <w:sz w:val="18"/>
                <w:szCs w:val="18"/>
              </w:rPr>
            </w:pPr>
            <w:r>
              <w:rPr>
                <w:rFonts w:eastAsia="宋体"/>
                <w:color w:val="000000"/>
                <w:sz w:val="18"/>
                <w:szCs w:val="18"/>
              </w:rPr>
              <w:t>根据审计监督、财政检查结果反映部门上一年度部门预算管理是否合规。</w:t>
            </w:r>
          </w:p>
        </w:tc>
        <w:tc>
          <w:tcPr>
            <w:tcW w:w="2442" w:type="pct"/>
            <w:noWrap w:val="0"/>
            <w:vAlign w:val="center"/>
          </w:tcPr>
          <w:p>
            <w:pPr>
              <w:textAlignment w:val="center"/>
              <w:rPr>
                <w:rFonts w:eastAsia="宋体"/>
                <w:color w:val="000000"/>
                <w:sz w:val="18"/>
                <w:szCs w:val="18"/>
              </w:rPr>
            </w:pPr>
            <w:r>
              <w:rPr>
                <w:rFonts w:eastAsia="宋体"/>
                <w:color w:val="000000"/>
                <w:sz w:val="18"/>
                <w:szCs w:val="18"/>
              </w:rPr>
              <w:t>依据评价年度审计监督、财政检查结果，出现部门预算管理方面违纪违规问题的，每个问题扣0.5分，直至扣完。</w:t>
            </w:r>
          </w:p>
        </w:tc>
        <w:tc>
          <w:tcPr>
            <w:tcW w:w="211" w:type="pct"/>
            <w:noWrap w:val="0"/>
            <w:vAlign w:val="center"/>
          </w:tcPr>
          <w:p>
            <w:pPr>
              <w:jc w:val="center"/>
              <w:rPr>
                <w:rFonts w:hint="default" w:eastAsia="宋体"/>
                <w:color w:val="000000"/>
                <w:sz w:val="18"/>
                <w:szCs w:val="18"/>
                <w:lang w:val="en-US" w:eastAsia="zh-CN"/>
              </w:rPr>
            </w:pPr>
            <w:r>
              <w:rPr>
                <w:rFonts w:hint="eastAsia" w:eastAsia="宋体"/>
                <w:color w:val="000000"/>
                <w:sz w:val="18"/>
                <w:szCs w:val="18"/>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7" w:type="pct"/>
            <w:vMerge w:val="restart"/>
            <w:noWrap w:val="0"/>
            <w:vAlign w:val="center"/>
          </w:tcPr>
          <w:p>
            <w:pPr>
              <w:jc w:val="center"/>
              <w:textAlignment w:val="center"/>
              <w:rPr>
                <w:rFonts w:eastAsia="宋体"/>
                <w:color w:val="000000"/>
                <w:sz w:val="18"/>
                <w:szCs w:val="18"/>
              </w:rPr>
            </w:pPr>
            <w:r>
              <w:rPr>
                <w:rFonts w:eastAsia="宋体"/>
                <w:color w:val="000000"/>
                <w:sz w:val="18"/>
                <w:szCs w:val="18"/>
              </w:rPr>
              <w:t>绩效结果应用(10分)</w:t>
            </w:r>
          </w:p>
        </w:tc>
        <w:tc>
          <w:tcPr>
            <w:tcW w:w="344" w:type="pct"/>
            <w:noWrap w:val="0"/>
            <w:vAlign w:val="center"/>
          </w:tcPr>
          <w:p>
            <w:pPr>
              <w:jc w:val="center"/>
              <w:textAlignment w:val="center"/>
              <w:rPr>
                <w:rFonts w:eastAsia="宋体"/>
                <w:color w:val="000000"/>
                <w:sz w:val="18"/>
                <w:szCs w:val="18"/>
              </w:rPr>
            </w:pPr>
            <w:r>
              <w:rPr>
                <w:rFonts w:eastAsia="宋体"/>
                <w:color w:val="000000"/>
                <w:sz w:val="18"/>
                <w:szCs w:val="18"/>
              </w:rPr>
              <w:t>信息公开(2分)</w:t>
            </w:r>
          </w:p>
        </w:tc>
        <w:tc>
          <w:tcPr>
            <w:tcW w:w="369" w:type="pct"/>
            <w:noWrap w:val="0"/>
            <w:vAlign w:val="center"/>
          </w:tcPr>
          <w:p>
            <w:pPr>
              <w:jc w:val="center"/>
              <w:textAlignment w:val="center"/>
              <w:rPr>
                <w:rFonts w:eastAsia="宋体"/>
                <w:color w:val="000000"/>
                <w:sz w:val="18"/>
                <w:szCs w:val="18"/>
              </w:rPr>
            </w:pPr>
            <w:r>
              <w:rPr>
                <w:rFonts w:eastAsia="宋体"/>
                <w:color w:val="000000"/>
                <w:sz w:val="18"/>
                <w:szCs w:val="18"/>
              </w:rPr>
              <w:t>自评公开</w:t>
            </w:r>
          </w:p>
        </w:tc>
        <w:tc>
          <w:tcPr>
            <w:tcW w:w="277" w:type="pct"/>
            <w:noWrap w:val="0"/>
            <w:vAlign w:val="center"/>
          </w:tcPr>
          <w:p>
            <w:pPr>
              <w:jc w:val="center"/>
              <w:textAlignment w:val="center"/>
              <w:rPr>
                <w:rFonts w:eastAsia="宋体"/>
                <w:color w:val="000000"/>
                <w:sz w:val="18"/>
                <w:szCs w:val="18"/>
              </w:rPr>
            </w:pPr>
            <w:r>
              <w:rPr>
                <w:rFonts w:eastAsia="宋体"/>
                <w:color w:val="000000"/>
                <w:sz w:val="18"/>
                <w:szCs w:val="18"/>
              </w:rPr>
              <w:t>2</w:t>
            </w:r>
          </w:p>
        </w:tc>
        <w:tc>
          <w:tcPr>
            <w:tcW w:w="921" w:type="pct"/>
            <w:noWrap w:val="0"/>
            <w:vAlign w:val="center"/>
          </w:tcPr>
          <w:p>
            <w:pPr>
              <w:textAlignment w:val="center"/>
              <w:rPr>
                <w:rFonts w:eastAsia="宋体"/>
                <w:color w:val="000000"/>
                <w:sz w:val="18"/>
                <w:szCs w:val="18"/>
              </w:rPr>
            </w:pPr>
            <w:r>
              <w:rPr>
                <w:rFonts w:eastAsia="宋体"/>
                <w:color w:val="000000"/>
                <w:sz w:val="18"/>
                <w:szCs w:val="18"/>
              </w:rPr>
              <w:t>评价部门是否按要求将部门整体绩效自评情况和自行组织的评价情况向社会公开。</w:t>
            </w:r>
          </w:p>
        </w:tc>
        <w:tc>
          <w:tcPr>
            <w:tcW w:w="2442" w:type="pct"/>
            <w:noWrap w:val="0"/>
            <w:vAlign w:val="center"/>
          </w:tcPr>
          <w:p>
            <w:pPr>
              <w:textAlignment w:val="center"/>
              <w:rPr>
                <w:rFonts w:eastAsia="宋体"/>
                <w:color w:val="000000"/>
                <w:sz w:val="18"/>
                <w:szCs w:val="18"/>
              </w:rPr>
            </w:pPr>
            <w:r>
              <w:rPr>
                <w:rFonts w:eastAsia="宋体"/>
                <w:color w:val="000000"/>
                <w:sz w:val="18"/>
                <w:szCs w:val="18"/>
              </w:rPr>
              <w:t>按要求将相关绩效信息随同决算公开的，得2分，否则不得分。</w:t>
            </w:r>
          </w:p>
        </w:tc>
        <w:tc>
          <w:tcPr>
            <w:tcW w:w="211" w:type="pct"/>
            <w:noWrap w:val="0"/>
            <w:vAlign w:val="center"/>
          </w:tcPr>
          <w:p>
            <w:pPr>
              <w:jc w:val="center"/>
              <w:rPr>
                <w:rFonts w:hint="eastAsia" w:eastAsia="宋体"/>
                <w:color w:val="000000"/>
                <w:sz w:val="18"/>
                <w:szCs w:val="18"/>
                <w:lang w:val="en-US" w:eastAsia="zh-CN"/>
              </w:rPr>
            </w:pPr>
            <w:r>
              <w:rPr>
                <w:rFonts w:hint="eastAsia" w:eastAsia="宋体"/>
                <w:color w:val="000000"/>
                <w:sz w:val="18"/>
                <w:szCs w:val="18"/>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7" w:type="pct"/>
            <w:vMerge w:val="continue"/>
            <w:noWrap w:val="0"/>
            <w:vAlign w:val="center"/>
          </w:tcPr>
          <w:p>
            <w:pPr>
              <w:jc w:val="center"/>
              <w:rPr>
                <w:rFonts w:eastAsia="宋体"/>
                <w:color w:val="000000"/>
                <w:sz w:val="18"/>
                <w:szCs w:val="18"/>
              </w:rPr>
            </w:pPr>
          </w:p>
        </w:tc>
        <w:tc>
          <w:tcPr>
            <w:tcW w:w="344" w:type="pct"/>
            <w:vMerge w:val="restart"/>
            <w:noWrap w:val="0"/>
            <w:vAlign w:val="center"/>
          </w:tcPr>
          <w:p>
            <w:pPr>
              <w:jc w:val="center"/>
              <w:textAlignment w:val="center"/>
              <w:rPr>
                <w:rFonts w:eastAsia="宋体"/>
                <w:color w:val="000000"/>
                <w:sz w:val="18"/>
                <w:szCs w:val="18"/>
              </w:rPr>
            </w:pPr>
            <w:r>
              <w:rPr>
                <w:rFonts w:eastAsia="宋体"/>
                <w:color w:val="000000"/>
                <w:sz w:val="18"/>
                <w:szCs w:val="18"/>
              </w:rPr>
              <w:t>整改反馈(8分)</w:t>
            </w:r>
          </w:p>
        </w:tc>
        <w:tc>
          <w:tcPr>
            <w:tcW w:w="369" w:type="pct"/>
            <w:noWrap w:val="0"/>
            <w:vAlign w:val="center"/>
          </w:tcPr>
          <w:p>
            <w:pPr>
              <w:jc w:val="center"/>
              <w:textAlignment w:val="center"/>
              <w:rPr>
                <w:rFonts w:eastAsia="宋体"/>
                <w:color w:val="000000"/>
                <w:sz w:val="18"/>
                <w:szCs w:val="18"/>
              </w:rPr>
            </w:pPr>
            <w:r>
              <w:rPr>
                <w:rFonts w:eastAsia="宋体"/>
                <w:color w:val="000000"/>
                <w:sz w:val="18"/>
                <w:szCs w:val="18"/>
              </w:rPr>
              <w:t>结果整改</w:t>
            </w:r>
          </w:p>
        </w:tc>
        <w:tc>
          <w:tcPr>
            <w:tcW w:w="277" w:type="pct"/>
            <w:noWrap w:val="0"/>
            <w:vAlign w:val="center"/>
          </w:tcPr>
          <w:p>
            <w:pPr>
              <w:jc w:val="center"/>
              <w:textAlignment w:val="center"/>
              <w:rPr>
                <w:rFonts w:eastAsia="宋体"/>
                <w:color w:val="000000"/>
                <w:sz w:val="18"/>
                <w:szCs w:val="18"/>
              </w:rPr>
            </w:pPr>
            <w:r>
              <w:rPr>
                <w:rFonts w:eastAsia="宋体"/>
                <w:color w:val="000000"/>
                <w:sz w:val="18"/>
                <w:szCs w:val="18"/>
              </w:rPr>
              <w:t>4</w:t>
            </w:r>
          </w:p>
        </w:tc>
        <w:tc>
          <w:tcPr>
            <w:tcW w:w="921" w:type="pct"/>
            <w:noWrap w:val="0"/>
            <w:vAlign w:val="center"/>
          </w:tcPr>
          <w:p>
            <w:pPr>
              <w:textAlignment w:val="center"/>
              <w:rPr>
                <w:rFonts w:eastAsia="宋体"/>
                <w:color w:val="000000"/>
                <w:sz w:val="18"/>
                <w:szCs w:val="18"/>
              </w:rPr>
            </w:pPr>
            <w:r>
              <w:rPr>
                <w:rFonts w:eastAsia="宋体"/>
                <w:color w:val="000000"/>
                <w:sz w:val="18"/>
                <w:szCs w:val="18"/>
              </w:rPr>
              <w:t>评价部门根据绩效管理结果整改问题、完善政策、改进管理的情况。</w:t>
            </w:r>
          </w:p>
        </w:tc>
        <w:tc>
          <w:tcPr>
            <w:tcW w:w="2442" w:type="pct"/>
            <w:noWrap w:val="0"/>
            <w:vAlign w:val="center"/>
          </w:tcPr>
          <w:p>
            <w:pPr>
              <w:textAlignment w:val="center"/>
              <w:rPr>
                <w:rFonts w:eastAsia="宋体"/>
                <w:color w:val="000000"/>
                <w:sz w:val="18"/>
                <w:szCs w:val="18"/>
              </w:rPr>
            </w:pPr>
            <w:r>
              <w:rPr>
                <w:rFonts w:eastAsia="宋体"/>
                <w:color w:val="000000"/>
                <w:sz w:val="18"/>
                <w:szCs w:val="18"/>
              </w:rPr>
              <w:t>针对绩效管理过程中(包括绩效目标核查、绩效监控核查和重点绩效评价)提出的问题进行整改，将绩效管理结果应用于完善政策、改进管理、预算挂钩等的，得4分。否则，酌情扣分。</w:t>
            </w:r>
          </w:p>
        </w:tc>
        <w:tc>
          <w:tcPr>
            <w:tcW w:w="211" w:type="pct"/>
            <w:noWrap w:val="0"/>
            <w:vAlign w:val="center"/>
          </w:tcPr>
          <w:p>
            <w:pPr>
              <w:jc w:val="center"/>
              <w:rPr>
                <w:rFonts w:hint="eastAsia" w:eastAsia="宋体"/>
                <w:color w:val="000000"/>
                <w:sz w:val="18"/>
                <w:szCs w:val="18"/>
                <w:lang w:val="en-US" w:eastAsia="zh-CN"/>
              </w:rPr>
            </w:pPr>
            <w:r>
              <w:rPr>
                <w:rFonts w:hint="eastAsia" w:eastAsia="宋体"/>
                <w:color w:val="000000"/>
                <w:sz w:val="18"/>
                <w:szCs w:val="18"/>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7" w:type="pct"/>
            <w:vMerge w:val="continue"/>
            <w:noWrap w:val="0"/>
            <w:vAlign w:val="center"/>
          </w:tcPr>
          <w:p>
            <w:pPr>
              <w:jc w:val="center"/>
              <w:rPr>
                <w:rFonts w:eastAsia="宋体"/>
                <w:color w:val="000000"/>
                <w:sz w:val="18"/>
                <w:szCs w:val="18"/>
              </w:rPr>
            </w:pPr>
          </w:p>
        </w:tc>
        <w:tc>
          <w:tcPr>
            <w:tcW w:w="344" w:type="pct"/>
            <w:vMerge w:val="continue"/>
            <w:noWrap w:val="0"/>
            <w:vAlign w:val="center"/>
          </w:tcPr>
          <w:p>
            <w:pPr>
              <w:jc w:val="center"/>
              <w:rPr>
                <w:rFonts w:eastAsia="宋体"/>
                <w:color w:val="000000"/>
                <w:sz w:val="18"/>
                <w:szCs w:val="18"/>
              </w:rPr>
            </w:pPr>
          </w:p>
        </w:tc>
        <w:tc>
          <w:tcPr>
            <w:tcW w:w="369" w:type="pct"/>
            <w:noWrap w:val="0"/>
            <w:vAlign w:val="center"/>
          </w:tcPr>
          <w:p>
            <w:pPr>
              <w:jc w:val="center"/>
              <w:textAlignment w:val="center"/>
              <w:rPr>
                <w:rFonts w:eastAsia="宋体"/>
                <w:color w:val="000000"/>
                <w:sz w:val="18"/>
                <w:szCs w:val="18"/>
              </w:rPr>
            </w:pPr>
            <w:r>
              <w:rPr>
                <w:rFonts w:eastAsia="宋体"/>
                <w:color w:val="000000"/>
                <w:sz w:val="18"/>
                <w:szCs w:val="18"/>
              </w:rPr>
              <w:t>应用反馈</w:t>
            </w:r>
          </w:p>
        </w:tc>
        <w:tc>
          <w:tcPr>
            <w:tcW w:w="277" w:type="pct"/>
            <w:noWrap w:val="0"/>
            <w:vAlign w:val="center"/>
          </w:tcPr>
          <w:p>
            <w:pPr>
              <w:jc w:val="center"/>
              <w:textAlignment w:val="center"/>
              <w:rPr>
                <w:rFonts w:eastAsia="宋体"/>
                <w:color w:val="000000"/>
                <w:sz w:val="18"/>
                <w:szCs w:val="18"/>
              </w:rPr>
            </w:pPr>
            <w:r>
              <w:rPr>
                <w:rFonts w:eastAsia="宋体"/>
                <w:color w:val="000000"/>
                <w:sz w:val="18"/>
                <w:szCs w:val="18"/>
              </w:rPr>
              <w:t>4</w:t>
            </w:r>
          </w:p>
        </w:tc>
        <w:tc>
          <w:tcPr>
            <w:tcW w:w="921" w:type="pct"/>
            <w:noWrap w:val="0"/>
            <w:vAlign w:val="center"/>
          </w:tcPr>
          <w:p>
            <w:pPr>
              <w:textAlignment w:val="center"/>
              <w:rPr>
                <w:rFonts w:eastAsia="宋体"/>
                <w:color w:val="000000"/>
                <w:sz w:val="18"/>
                <w:szCs w:val="18"/>
              </w:rPr>
            </w:pPr>
            <w:r>
              <w:rPr>
                <w:rFonts w:eastAsia="宋体"/>
                <w:color w:val="000000"/>
                <w:sz w:val="18"/>
                <w:szCs w:val="18"/>
              </w:rPr>
              <w:t>评价部门按要求及时向财政部门反馈结果应用情况。</w:t>
            </w:r>
          </w:p>
        </w:tc>
        <w:tc>
          <w:tcPr>
            <w:tcW w:w="2442" w:type="pct"/>
            <w:noWrap w:val="0"/>
            <w:vAlign w:val="center"/>
          </w:tcPr>
          <w:p>
            <w:pPr>
              <w:textAlignment w:val="center"/>
              <w:rPr>
                <w:rFonts w:eastAsia="宋体"/>
                <w:color w:val="000000"/>
                <w:sz w:val="18"/>
                <w:szCs w:val="18"/>
              </w:rPr>
            </w:pPr>
            <w:r>
              <w:rPr>
                <w:rFonts w:eastAsia="宋体"/>
                <w:color w:val="000000"/>
                <w:sz w:val="18"/>
                <w:szCs w:val="18"/>
              </w:rPr>
              <w:t>部门在规定时间内向财政部门反馈应用绩效结果报告的，得满分，否则不得分。</w:t>
            </w:r>
          </w:p>
        </w:tc>
        <w:tc>
          <w:tcPr>
            <w:tcW w:w="211" w:type="pct"/>
            <w:noWrap w:val="0"/>
            <w:vAlign w:val="center"/>
          </w:tcPr>
          <w:p>
            <w:pPr>
              <w:jc w:val="center"/>
              <w:rPr>
                <w:rFonts w:hint="eastAsia" w:eastAsia="宋体"/>
                <w:color w:val="000000"/>
                <w:sz w:val="18"/>
                <w:szCs w:val="18"/>
                <w:lang w:val="en-US" w:eastAsia="zh-CN"/>
              </w:rPr>
            </w:pPr>
            <w:r>
              <w:rPr>
                <w:rFonts w:hint="eastAsia" w:eastAsia="宋体"/>
                <w:color w:val="000000"/>
                <w:sz w:val="18"/>
                <w:szCs w:val="18"/>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7" w:type="pct"/>
            <w:noWrap w:val="0"/>
            <w:vAlign w:val="center"/>
          </w:tcPr>
          <w:p>
            <w:pPr>
              <w:jc w:val="center"/>
              <w:textAlignment w:val="center"/>
              <w:rPr>
                <w:rFonts w:eastAsia="宋体"/>
                <w:color w:val="000000"/>
                <w:sz w:val="18"/>
                <w:szCs w:val="18"/>
              </w:rPr>
            </w:pPr>
            <w:r>
              <w:rPr>
                <w:rFonts w:eastAsia="宋体"/>
                <w:color w:val="000000"/>
                <w:sz w:val="18"/>
                <w:szCs w:val="18"/>
              </w:rPr>
              <w:t>自评质量</w:t>
            </w:r>
          </w:p>
          <w:p>
            <w:pPr>
              <w:jc w:val="center"/>
              <w:textAlignment w:val="center"/>
              <w:rPr>
                <w:rFonts w:eastAsia="宋体"/>
                <w:color w:val="000000"/>
                <w:sz w:val="18"/>
                <w:szCs w:val="18"/>
              </w:rPr>
            </w:pPr>
            <w:r>
              <w:rPr>
                <w:rFonts w:eastAsia="宋体"/>
                <w:color w:val="000000"/>
                <w:sz w:val="18"/>
                <w:szCs w:val="18"/>
              </w:rPr>
              <w:t>(10分)</w:t>
            </w:r>
          </w:p>
        </w:tc>
        <w:tc>
          <w:tcPr>
            <w:tcW w:w="344" w:type="pct"/>
            <w:noWrap w:val="0"/>
            <w:vAlign w:val="center"/>
          </w:tcPr>
          <w:p>
            <w:pPr>
              <w:jc w:val="center"/>
              <w:textAlignment w:val="center"/>
              <w:rPr>
                <w:rFonts w:eastAsia="宋体"/>
                <w:color w:val="000000"/>
                <w:sz w:val="18"/>
                <w:szCs w:val="18"/>
              </w:rPr>
            </w:pPr>
            <w:r>
              <w:rPr>
                <w:rFonts w:eastAsia="宋体"/>
                <w:color w:val="000000"/>
                <w:sz w:val="18"/>
                <w:szCs w:val="18"/>
              </w:rPr>
              <w:t>自评质量(10分)</w:t>
            </w:r>
          </w:p>
        </w:tc>
        <w:tc>
          <w:tcPr>
            <w:tcW w:w="369" w:type="pct"/>
            <w:noWrap w:val="0"/>
            <w:vAlign w:val="center"/>
          </w:tcPr>
          <w:p>
            <w:pPr>
              <w:jc w:val="center"/>
              <w:textAlignment w:val="center"/>
              <w:rPr>
                <w:rFonts w:eastAsia="宋体"/>
                <w:color w:val="000000"/>
                <w:sz w:val="18"/>
                <w:szCs w:val="18"/>
              </w:rPr>
            </w:pPr>
            <w:r>
              <w:rPr>
                <w:rFonts w:eastAsia="宋体"/>
                <w:color w:val="000000"/>
                <w:sz w:val="18"/>
                <w:szCs w:val="18"/>
              </w:rPr>
              <w:t>自评准确</w:t>
            </w:r>
          </w:p>
        </w:tc>
        <w:tc>
          <w:tcPr>
            <w:tcW w:w="277" w:type="pct"/>
            <w:noWrap w:val="0"/>
            <w:vAlign w:val="center"/>
          </w:tcPr>
          <w:p>
            <w:pPr>
              <w:jc w:val="center"/>
              <w:textAlignment w:val="center"/>
              <w:rPr>
                <w:rFonts w:eastAsia="宋体"/>
                <w:color w:val="000000"/>
                <w:sz w:val="18"/>
                <w:szCs w:val="18"/>
              </w:rPr>
            </w:pPr>
            <w:r>
              <w:rPr>
                <w:rFonts w:eastAsia="宋体"/>
                <w:color w:val="000000"/>
                <w:sz w:val="18"/>
                <w:szCs w:val="18"/>
              </w:rPr>
              <w:t>10</w:t>
            </w:r>
          </w:p>
        </w:tc>
        <w:tc>
          <w:tcPr>
            <w:tcW w:w="921" w:type="pct"/>
            <w:noWrap w:val="0"/>
            <w:vAlign w:val="center"/>
          </w:tcPr>
          <w:p>
            <w:pPr>
              <w:textAlignment w:val="center"/>
              <w:rPr>
                <w:rFonts w:eastAsia="宋体"/>
                <w:color w:val="000000"/>
                <w:sz w:val="18"/>
                <w:szCs w:val="18"/>
              </w:rPr>
            </w:pPr>
            <w:r>
              <w:rPr>
                <w:rFonts w:eastAsia="宋体"/>
                <w:color w:val="000000"/>
                <w:sz w:val="18"/>
                <w:szCs w:val="18"/>
              </w:rPr>
              <w:t>评价部门整体支出自评准确率。</w:t>
            </w:r>
          </w:p>
        </w:tc>
        <w:tc>
          <w:tcPr>
            <w:tcW w:w="2442" w:type="pct"/>
            <w:noWrap w:val="0"/>
            <w:vAlign w:val="center"/>
          </w:tcPr>
          <w:p>
            <w:pPr>
              <w:textAlignment w:val="center"/>
              <w:rPr>
                <w:rFonts w:eastAsia="宋体"/>
                <w:color w:val="000000"/>
                <w:sz w:val="18"/>
                <w:szCs w:val="18"/>
              </w:rPr>
            </w:pPr>
            <w:r>
              <w:rPr>
                <w:rFonts w:eastAsia="宋体"/>
                <w:color w:val="000000"/>
                <w:sz w:val="18"/>
                <w:szCs w:val="18"/>
              </w:rPr>
              <w:t>部门整体支出自评得分与评价组抽查得分差异在5%以内的，不扣分；在5%-10%之间的，扣4分，在10%-20%的，扣8分，在20%以上的，扣10分。(部门在自评时，此项指标无需打分，部门自评满分为90分)</w:t>
            </w:r>
          </w:p>
        </w:tc>
        <w:tc>
          <w:tcPr>
            <w:tcW w:w="211" w:type="pct"/>
            <w:noWrap w:val="0"/>
            <w:vAlign w:val="center"/>
          </w:tcPr>
          <w:p>
            <w:pPr>
              <w:jc w:val="center"/>
              <w:rPr>
                <w:rFonts w:hint="default" w:eastAsia="宋体"/>
                <w:color w:val="000000"/>
                <w:sz w:val="18"/>
                <w:szCs w:val="18"/>
                <w:lang w:val="en-US" w:eastAsia="zh-CN"/>
              </w:rPr>
            </w:pPr>
            <w:r>
              <w:rPr>
                <w:rFonts w:hint="eastAsia" w:eastAsia="宋体"/>
                <w:color w:val="000000"/>
                <w:sz w:val="18"/>
                <w:szCs w:val="18"/>
                <w:lang w:val="en-US" w:eastAsia="zh-CN"/>
              </w:rPr>
              <w:t>10</w:t>
            </w:r>
          </w:p>
        </w:tc>
      </w:tr>
    </w:tbl>
    <w:p>
      <w:pPr>
        <w:pStyle w:val="2"/>
        <w:rPr>
          <w:rFonts w:ascii="Times New Roman" w:hAnsi="Times New Roman" w:cs="Times New Roman"/>
        </w:rPr>
        <w:sectPr>
          <w:pgSz w:w="11906" w:h="16838"/>
          <w:pgMar w:top="720" w:right="720" w:bottom="720" w:left="720" w:header="454" w:footer="454" w:gutter="0"/>
          <w:pgNumType w:fmt="numberInDash"/>
          <w:cols w:space="720" w:num="1"/>
          <w:docGrid w:type="lines" w:linePitch="435" w:charSpace="0"/>
        </w:sect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Y0NWVkM2FkYjk0MjFiMzA1YTNjMDM0ZTY0ZDNkZTcifQ=="/>
  </w:docVars>
  <w:rsids>
    <w:rsidRoot w:val="00000000"/>
    <w:rsid w:val="112A0B9B"/>
    <w:rsid w:val="735B129B"/>
    <w:rsid w:val="76B423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1432</Words>
  <Characters>1559</Characters>
  <Lines>0</Lines>
  <Paragraphs>0</Paragraphs>
  <TotalTime>52</TotalTime>
  <ScaleCrop>false</ScaleCrop>
  <LinksUpToDate>false</LinksUpToDate>
  <CharactersWithSpaces>1559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2023-07-10T01:55:00Z</dcterms:created>
  <dc:creator>MCDST</dc:creator>
  <cp:lastModifiedBy>肆。</cp:lastModifiedBy>
  <dcterms:modified xsi:type="dcterms:W3CDTF">2023-10-17T07:23:57Z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089E0CD47C68402EAA051EDC9359C562</vt:lpwstr>
  </property>
</Properties>
</file>