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val="en-US"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上</w:t>
      </w:r>
      <w:bookmarkStart w:id="0" w:name="_GoBack"/>
      <w:bookmarkEnd w:id="0"/>
      <w:r>
        <w:rPr>
          <w:rFonts w:hint="eastAsia" w:eastAsia="方正小标宋简体"/>
          <w:spacing w:val="1"/>
          <w:sz w:val="36"/>
          <w:szCs w:val="36"/>
        </w:rPr>
        <w:t>级下达中央文化人才专项经费</w:t>
      </w:r>
      <w:r>
        <w:rPr>
          <w:rFonts w:eastAsia="方正小标宋简体"/>
          <w:spacing w:val="1"/>
          <w:sz w:val="36"/>
          <w:szCs w:val="36"/>
        </w:rPr>
        <w:t>项目支出绩效自评报告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上级下达中央文化人才专项经费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，主要用于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三区志愿者的补助费用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spacing w:line="60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上级资金下达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10万元。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上级下达中央文化人才专项经费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10万元，截止2022年12月31日兑付2.499万元，预算执行率24.9%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spacing w:line="60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完成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5位三区文化志愿者的招聘，缓解文化馆、图书馆的工作压力。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招聘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5位三区文化志愿者，完成相应文化工作。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5位三区志愿者的到来，为文化馆和图书馆注入新的活力，更好的服务于群众，提高文化服务质量。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资金兑付缓慢，提升资金拨付效率。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按实际招聘人数，每人每年补助2万元，绩效按实按时公开。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423A4"/>
    <w:multiLevelType w:val="singleLevel"/>
    <w:tmpl w:val="701423A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22121935"/>
    <w:rsid w:val="5C8D38C8"/>
    <w:rsid w:val="632E5FCE"/>
    <w:rsid w:val="7F52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407</Characters>
  <Lines>0</Lines>
  <Paragraphs>0</Paragraphs>
  <TotalTime>5</TotalTime>
  <ScaleCrop>false</ScaleCrop>
  <LinksUpToDate>false</LinksUpToDate>
  <CharactersWithSpaces>407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