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overflowPunct w:val="0"/>
        <w:spacing w:line="700" w:lineRule="exact"/>
        <w:jc w:val="center"/>
        <w:rPr>
          <w:rFonts w:hint="eastAsia" w:eastAsia="方正小标宋简体"/>
          <w:spacing w:val="1"/>
          <w:sz w:val="36"/>
          <w:szCs w:val="36"/>
          <w:lang w:eastAsia="zh-CN"/>
        </w:rPr>
      </w:pPr>
      <w:r>
        <w:rPr>
          <w:rFonts w:eastAsia="方正小标宋简体"/>
          <w:spacing w:val="1"/>
          <w:sz w:val="36"/>
          <w:szCs w:val="36"/>
        </w:rPr>
        <w:t>沐川县</w:t>
      </w:r>
      <w:r>
        <w:rPr>
          <w:rFonts w:hint="eastAsia" w:eastAsia="方正小标宋简体"/>
          <w:spacing w:val="1"/>
          <w:sz w:val="36"/>
          <w:szCs w:val="36"/>
          <w:lang w:eastAsia="zh-CN"/>
        </w:rPr>
        <w:t>文化体育和旅游局</w:t>
      </w:r>
    </w:p>
    <w:p>
      <w:pPr>
        <w:kinsoku w:val="0"/>
        <w:overflowPunct w:val="0"/>
        <w:spacing w:line="700" w:lineRule="exact"/>
        <w:jc w:val="center"/>
        <w:rPr>
          <w:rFonts w:eastAsia="方正小标宋简体"/>
          <w:spacing w:val="1"/>
          <w:sz w:val="36"/>
          <w:szCs w:val="36"/>
        </w:rPr>
      </w:pPr>
      <w:r>
        <w:rPr>
          <w:rFonts w:eastAsia="方正小标宋简体"/>
          <w:spacing w:val="1"/>
          <w:sz w:val="36"/>
          <w:szCs w:val="36"/>
        </w:rPr>
        <w:t>2022年度</w:t>
      </w:r>
      <w:r>
        <w:rPr>
          <w:rFonts w:hint="eastAsia" w:eastAsia="方正小标宋简体"/>
          <w:spacing w:val="1"/>
          <w:sz w:val="36"/>
          <w:szCs w:val="36"/>
        </w:rPr>
        <w:t>项目预留解决文化体育和旅游局运转事务</w:t>
      </w:r>
      <w:bookmarkStart w:id="0" w:name="_GoBack"/>
      <w:bookmarkEnd w:id="0"/>
      <w:r>
        <w:rPr>
          <w:rFonts w:hint="eastAsia" w:eastAsia="方正小标宋简体"/>
          <w:spacing w:val="1"/>
          <w:sz w:val="36"/>
          <w:szCs w:val="36"/>
        </w:rPr>
        <w:t>资金</w:t>
      </w:r>
      <w:r>
        <w:rPr>
          <w:rFonts w:eastAsia="方正小标宋简体"/>
          <w:spacing w:val="1"/>
          <w:sz w:val="36"/>
          <w:szCs w:val="36"/>
        </w:rPr>
        <w:t>项目支出绩效自评报告</w:t>
      </w:r>
    </w:p>
    <w:p>
      <w:pPr>
        <w:spacing w:line="600" w:lineRule="exact"/>
        <w:ind w:firstLine="640" w:firstLineChars="200"/>
        <w:rPr>
          <w:rFonts w:eastAsia="黑体"/>
          <w:bCs/>
        </w:rPr>
      </w:pPr>
      <w:r>
        <w:rPr>
          <w:rFonts w:eastAsia="黑体"/>
          <w:bCs/>
        </w:rPr>
        <w:t>一、项目基本情况</w:t>
      </w:r>
    </w:p>
    <w:p>
      <w:pPr>
        <w:spacing w:line="600" w:lineRule="exact"/>
        <w:ind w:firstLine="640" w:firstLineChars="200"/>
        <w:outlineLvl w:val="0"/>
        <w:rPr>
          <w:rFonts w:eastAsia="楷体_GB2312"/>
        </w:rPr>
      </w:pPr>
      <w:r>
        <w:rPr>
          <w:rFonts w:eastAsia="楷体_GB2312"/>
        </w:rPr>
        <w:t>（一）绩效目标情况。</w:t>
      </w:r>
    </w:p>
    <w:p>
      <w:pPr>
        <w:spacing w:line="600" w:lineRule="exact"/>
        <w:ind w:firstLine="560" w:firstLineChars="200"/>
        <w:outlineLvl w:val="0"/>
        <w:rPr>
          <w:rFonts w:hint="eastAsia" w:eastAsia="宋体"/>
          <w:color w:val="000000"/>
          <w:sz w:val="16"/>
          <w:szCs w:val="16"/>
          <w:lang w:eastAsia="zh-CN"/>
        </w:rPr>
      </w:pPr>
      <w:r>
        <w:rPr>
          <w:rFonts w:hint="eastAsia" w:ascii="仿宋_GB2312" w:hAnsi="仿宋_GB2312" w:eastAsia="仿宋_GB2312" w:cs="仿宋_GB2312"/>
          <w:color w:val="000000"/>
          <w:sz w:val="28"/>
          <w:szCs w:val="28"/>
        </w:rPr>
        <w:t>项目预留解决文化体育和旅游局运转事务资金</w:t>
      </w:r>
      <w:r>
        <w:rPr>
          <w:rFonts w:hint="eastAsia" w:ascii="仿宋_GB2312" w:hAnsi="仿宋_GB2312" w:eastAsia="仿宋_GB2312" w:cs="仿宋_GB2312"/>
          <w:color w:val="000000"/>
          <w:sz w:val="28"/>
          <w:szCs w:val="28"/>
          <w:lang w:eastAsia="zh-CN"/>
        </w:rPr>
        <w:t>主要用于文体局运转类事务开支，维护下属各馆站正常运行。</w:t>
      </w:r>
    </w:p>
    <w:p>
      <w:pPr>
        <w:numPr>
          <w:ilvl w:val="0"/>
          <w:numId w:val="1"/>
        </w:numPr>
        <w:spacing w:line="600" w:lineRule="exact"/>
        <w:ind w:firstLine="640" w:firstLineChars="200"/>
        <w:outlineLvl w:val="0"/>
        <w:rPr>
          <w:rFonts w:eastAsia="楷体_GB2312"/>
        </w:rPr>
      </w:pPr>
      <w:r>
        <w:rPr>
          <w:rFonts w:eastAsia="楷体_GB2312"/>
        </w:rPr>
        <w:t>资金安排情况。</w:t>
      </w:r>
    </w:p>
    <w:p>
      <w:pPr>
        <w:spacing w:line="600" w:lineRule="exact"/>
        <w:ind w:firstLine="560" w:firstLineChars="200"/>
        <w:outlineLvl w:val="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eastAsia="zh-CN"/>
        </w:rPr>
        <w:t>县级配套资金</w:t>
      </w:r>
      <w:r>
        <w:rPr>
          <w:rFonts w:hint="eastAsia" w:ascii="仿宋_GB2312" w:hAnsi="仿宋_GB2312" w:eastAsia="仿宋_GB2312" w:cs="仿宋_GB2312"/>
          <w:color w:val="000000"/>
          <w:sz w:val="28"/>
          <w:szCs w:val="28"/>
          <w:lang w:val="en-US" w:eastAsia="zh-CN"/>
        </w:rPr>
        <w:t>20万元。</w:t>
      </w:r>
    </w:p>
    <w:p>
      <w:pPr>
        <w:spacing w:line="600" w:lineRule="exact"/>
        <w:ind w:firstLine="640" w:firstLineChars="200"/>
        <w:rPr>
          <w:rFonts w:eastAsia="黑体"/>
          <w:bCs/>
        </w:rPr>
      </w:pPr>
      <w:r>
        <w:rPr>
          <w:rFonts w:eastAsia="黑体"/>
          <w:bCs/>
        </w:rPr>
        <w:t>二、绩效目标完成情况分析</w:t>
      </w:r>
    </w:p>
    <w:p>
      <w:pPr>
        <w:spacing w:line="600" w:lineRule="exact"/>
        <w:ind w:firstLine="640" w:firstLineChars="200"/>
        <w:outlineLvl w:val="0"/>
        <w:rPr>
          <w:rFonts w:eastAsia="楷体_GB2312"/>
        </w:rPr>
      </w:pPr>
      <w:r>
        <w:rPr>
          <w:rFonts w:eastAsia="楷体_GB2312"/>
        </w:rPr>
        <w:t>（一）预算执行进度情况分析。</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截止</w:t>
      </w:r>
      <w:r>
        <w:rPr>
          <w:rFonts w:hint="eastAsia" w:ascii="仿宋_GB2312" w:hAnsi="仿宋_GB2312" w:eastAsia="仿宋_GB2312" w:cs="仿宋_GB2312"/>
          <w:color w:val="000000"/>
          <w:sz w:val="28"/>
          <w:szCs w:val="28"/>
          <w:lang w:val="en-US" w:eastAsia="zh-CN"/>
        </w:rPr>
        <w:t>2022年资金下达20万元，兑现20万元，预算执行率100%</w:t>
      </w:r>
      <w:r>
        <w:rPr>
          <w:rFonts w:hint="eastAsia" w:ascii="仿宋_GB2312" w:hAnsi="仿宋_GB2312" w:eastAsia="仿宋_GB2312" w:cs="仿宋_GB2312"/>
          <w:color w:val="000000"/>
          <w:sz w:val="28"/>
          <w:szCs w:val="28"/>
          <w:lang w:eastAsia="zh-CN"/>
        </w:rPr>
        <w:t>。</w:t>
      </w:r>
    </w:p>
    <w:p>
      <w:pPr>
        <w:numPr>
          <w:ilvl w:val="0"/>
          <w:numId w:val="2"/>
        </w:numPr>
        <w:spacing w:line="600" w:lineRule="exact"/>
        <w:ind w:firstLine="640" w:firstLineChars="200"/>
        <w:outlineLvl w:val="0"/>
        <w:rPr>
          <w:rFonts w:eastAsia="楷体_GB2312"/>
        </w:rPr>
      </w:pPr>
      <w:r>
        <w:rPr>
          <w:rFonts w:eastAsia="楷体_GB2312"/>
        </w:rPr>
        <w:t>总体绩效目标完成情况分析。</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项目预留解决文化体育和旅游局运转事务资金保障了运转类事务的运行。</w:t>
      </w:r>
    </w:p>
    <w:p>
      <w:pPr>
        <w:numPr>
          <w:ilvl w:val="0"/>
          <w:numId w:val="2"/>
        </w:numPr>
        <w:adjustRightInd w:val="0"/>
        <w:snapToGrid w:val="0"/>
        <w:spacing w:line="600" w:lineRule="exact"/>
        <w:ind w:left="0" w:leftChars="0" w:firstLine="640" w:firstLineChars="200"/>
        <w:rPr>
          <w:rFonts w:eastAsia="楷体_GB2312"/>
        </w:rPr>
      </w:pPr>
      <w:r>
        <w:rPr>
          <w:rFonts w:eastAsia="楷体_GB2312"/>
        </w:rPr>
        <w:t>绩效指标完成情况分析。</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项目预留解决文化体育和旅游局运转事务资金保障机关运转事务开始，强化文化馆、图书馆、美术馆、文化艺术中心的运行。</w:t>
      </w:r>
    </w:p>
    <w:p>
      <w:pPr>
        <w:numPr>
          <w:ilvl w:val="0"/>
          <w:numId w:val="1"/>
        </w:numPr>
        <w:adjustRightInd w:val="0"/>
        <w:snapToGrid w:val="0"/>
        <w:spacing w:line="600" w:lineRule="exact"/>
        <w:ind w:left="0" w:leftChars="0" w:firstLine="640" w:firstLineChars="200"/>
        <w:rPr>
          <w:rFonts w:eastAsia="楷体_GB2312"/>
        </w:rPr>
      </w:pPr>
      <w:r>
        <w:rPr>
          <w:rFonts w:eastAsia="楷体_GB2312"/>
        </w:rPr>
        <w:t>项目效益分析。</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项目预留解决文化体育和旅游局运转事务资金提升单位各股室馆站之间的协作能力，提高办公效率，强化办公运转。</w:t>
      </w:r>
    </w:p>
    <w:p>
      <w:pPr>
        <w:spacing w:line="600" w:lineRule="exact"/>
        <w:ind w:firstLine="640" w:firstLineChars="200"/>
      </w:pPr>
      <w:r>
        <w:rPr>
          <w:rFonts w:eastAsia="黑体"/>
          <w:bCs/>
        </w:rPr>
        <w:t>三、偏离绩效目标的原因和下一步改进措施</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无。</w:t>
      </w:r>
    </w:p>
    <w:p>
      <w:pPr>
        <w:spacing w:line="600" w:lineRule="exact"/>
        <w:ind w:firstLine="640" w:firstLineChars="200"/>
        <w:rPr>
          <w:rFonts w:eastAsia="黑体"/>
          <w:bCs/>
        </w:rPr>
      </w:pPr>
      <w:r>
        <w:rPr>
          <w:rFonts w:eastAsia="黑体"/>
          <w:bCs/>
        </w:rPr>
        <w:t>四、绩效自评结果拟应用和公开情况</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按时按实公开。</w:t>
      </w:r>
    </w:p>
    <w:p>
      <w:pPr>
        <w:spacing w:line="600" w:lineRule="exact"/>
        <w:ind w:firstLine="640" w:firstLineChars="200"/>
        <w:rPr>
          <w:rFonts w:eastAsia="黑体"/>
          <w:bCs/>
        </w:rPr>
      </w:pPr>
      <w:r>
        <w:rPr>
          <w:rFonts w:eastAsia="黑体"/>
          <w:bCs/>
        </w:rPr>
        <w:t>五、其他需要说明的问题</w:t>
      </w:r>
    </w:p>
    <w:p>
      <w:pPr>
        <w:spacing w:line="600" w:lineRule="exact"/>
        <w:ind w:firstLine="560" w:firstLineChars="200"/>
        <w:outlineLvl w:val="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无。</w:t>
      </w:r>
    </w:p>
    <w:p>
      <w:pPr>
        <w:spacing w:line="360" w:lineRule="auto"/>
        <w:outlineLvl w:val="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A0753B"/>
    <w:multiLevelType w:val="singleLevel"/>
    <w:tmpl w:val="F3A0753B"/>
    <w:lvl w:ilvl="0" w:tentative="0">
      <w:start w:val="2"/>
      <w:numFmt w:val="chineseCounting"/>
      <w:suff w:val="nothing"/>
      <w:lvlText w:val="（%1）"/>
      <w:lvlJc w:val="left"/>
      <w:rPr>
        <w:rFonts w:hint="eastAsia"/>
      </w:rPr>
    </w:lvl>
  </w:abstractNum>
  <w:abstractNum w:abstractNumId="1">
    <w:nsid w:val="4ED600E5"/>
    <w:multiLevelType w:val="singleLevel"/>
    <w:tmpl w:val="4ED600E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NWVkM2FkYjk0MjFiMzA1YTNjMDM0ZTY0ZDNkZTcifQ=="/>
  </w:docVars>
  <w:rsids>
    <w:rsidRoot w:val="00000000"/>
    <w:rsid w:val="00C5226E"/>
    <w:rsid w:val="0B1526A9"/>
    <w:rsid w:val="22121935"/>
    <w:rsid w:val="317A6513"/>
    <w:rsid w:val="585A3897"/>
    <w:rsid w:val="655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406</Words>
  <Characters>418</Characters>
  <Lines>0</Lines>
  <Paragraphs>0</Paragraphs>
  <TotalTime>12</TotalTime>
  <ScaleCrop>false</ScaleCrop>
  <LinksUpToDate>false</LinksUpToDate>
  <CharactersWithSpaces>418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2023-07-10T01:56:00Z</dcterms:created>
  <dc:creator>MCDST</dc:creator>
  <cp:lastModifiedBy>肆。</cp:lastModifiedBy>
  <dcterms:modified xsi:type="dcterms:W3CDTF">2023-10-17T07:50:02Z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2F041618F2FA4C4D81315B06D6F10CB2</vt:lpwstr>
  </property>
</Properties>
</file>