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</w:t>
      </w:r>
      <w:bookmarkStart w:id="0" w:name="_GoBack"/>
      <w:bookmarkEnd w:id="0"/>
      <w:r>
        <w:rPr>
          <w:rFonts w:hint="eastAsia" w:eastAsia="方正小标宋简体"/>
          <w:spacing w:val="1"/>
          <w:sz w:val="36"/>
          <w:szCs w:val="36"/>
          <w:lang w:eastAsia="zh-CN"/>
        </w:rPr>
        <w:t>体育和旅游局</w:t>
      </w: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非物质文化遗产项目</w:t>
      </w:r>
      <w:r>
        <w:rPr>
          <w:rFonts w:eastAsia="方正小标宋简体"/>
          <w:spacing w:val="1"/>
          <w:sz w:val="36"/>
          <w:szCs w:val="36"/>
        </w:rPr>
        <w:t>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非物质文化遗产项目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主要用于，非物质文化遗产的传承，开发和保护，对国家级和省级非物质文化遗产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-沐川草龙传承人的补助。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spacing w:line="60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上级资金下达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35.18万元。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spacing w:line="600" w:lineRule="exact"/>
        <w:ind w:firstLine="840" w:firstLineChars="300"/>
        <w:outlineLvl w:val="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上级资金下达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35.18万元，资金拨付2.5万元，预算执行率7%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完成非物质文化遗传的开发与保护，开展非遗宣传，开展非遗文化交流。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</w:pPr>
      <w:r>
        <w:rPr>
          <w:rFonts w:eastAsia="楷体_GB2312"/>
        </w:rPr>
        <w:t>绩效指标完成情况分析。</w:t>
      </w:r>
    </w:p>
    <w:p>
      <w:p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完成对国家级和省级非遗传承人的补助，完成对外非遗文化交流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2次，完成县内的民俗活动1次，完成舞龙培训人数300人等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spacing w:line="600" w:lineRule="exact"/>
        <w:ind w:firstLine="840" w:firstLineChars="3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保护和开发非遗项目，让群众更加深入了解非遗文化，对外交流非遗文化，向世界展示我们的非遗文化。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zh-CN" w:eastAsia="zh-CN"/>
        </w:rPr>
        <w:t>资金兑付进度慢，加强资金兑付进度。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pStyle w:val="2"/>
        <w:spacing w:line="600" w:lineRule="exact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zh-CN" w:eastAsia="zh-CN" w:bidi="ar-SA"/>
        </w:rPr>
        <w:t>向上争取资金，加大非遗项目宣传力度，及时公开绩效信息。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pStyle w:val="2"/>
        <w:spacing w:line="600" w:lineRule="exact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zh-CN" w:eastAsia="zh-CN" w:bidi="ar-SA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45460"/>
    <w:multiLevelType w:val="singleLevel"/>
    <w:tmpl w:val="2A54546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B0551B9"/>
    <w:rsid w:val="22121935"/>
    <w:rsid w:val="5CC8303F"/>
    <w:rsid w:val="5DC1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449</Characters>
  <Lines>0</Lines>
  <Paragraphs>0</Paragraphs>
  <TotalTime>10</TotalTime>
  <ScaleCrop>false</ScaleCrop>
  <LinksUpToDate>false</LinksUpToDate>
  <CharactersWithSpaces>449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