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7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"/>
        <w:gridCol w:w="157"/>
        <w:gridCol w:w="62"/>
        <w:gridCol w:w="29"/>
        <w:gridCol w:w="21"/>
        <w:gridCol w:w="13"/>
        <w:gridCol w:w="14"/>
        <w:gridCol w:w="8"/>
        <w:gridCol w:w="81"/>
        <w:gridCol w:w="55"/>
        <w:gridCol w:w="315"/>
        <w:gridCol w:w="95"/>
        <w:gridCol w:w="71"/>
        <w:gridCol w:w="32"/>
        <w:gridCol w:w="47"/>
        <w:gridCol w:w="32"/>
        <w:gridCol w:w="32"/>
        <w:gridCol w:w="18"/>
        <w:gridCol w:w="18"/>
        <w:gridCol w:w="12"/>
        <w:gridCol w:w="163"/>
        <w:gridCol w:w="159"/>
        <w:gridCol w:w="93"/>
        <w:gridCol w:w="32"/>
        <w:gridCol w:w="32"/>
        <w:gridCol w:w="20"/>
        <w:gridCol w:w="18"/>
        <w:gridCol w:w="12"/>
        <w:gridCol w:w="128"/>
        <w:gridCol w:w="158"/>
        <w:gridCol w:w="299"/>
        <w:gridCol w:w="169"/>
        <w:gridCol w:w="85"/>
        <w:gridCol w:w="32"/>
        <w:gridCol w:w="32"/>
        <w:gridCol w:w="37"/>
        <w:gridCol w:w="20"/>
        <w:gridCol w:w="6"/>
        <w:gridCol w:w="794"/>
        <w:gridCol w:w="284"/>
        <w:gridCol w:w="299"/>
        <w:gridCol w:w="171"/>
        <w:gridCol w:w="87"/>
        <w:gridCol w:w="33"/>
        <w:gridCol w:w="33"/>
        <w:gridCol w:w="39"/>
        <w:gridCol w:w="18"/>
        <w:gridCol w:w="8"/>
        <w:gridCol w:w="203"/>
        <w:gridCol w:w="390"/>
        <w:gridCol w:w="315"/>
        <w:gridCol w:w="167"/>
        <w:gridCol w:w="95"/>
        <w:gridCol w:w="35"/>
        <w:gridCol w:w="33"/>
        <w:gridCol w:w="39"/>
        <w:gridCol w:w="12"/>
        <w:gridCol w:w="20"/>
        <w:gridCol w:w="459"/>
        <w:gridCol w:w="301"/>
        <w:gridCol w:w="33"/>
        <w:gridCol w:w="114"/>
        <w:gridCol w:w="95"/>
        <w:gridCol w:w="37"/>
        <w:gridCol w:w="37"/>
        <w:gridCol w:w="39"/>
        <w:gridCol w:w="28"/>
        <w:gridCol w:w="193"/>
        <w:gridCol w:w="315"/>
        <w:gridCol w:w="156"/>
        <w:gridCol w:w="95"/>
        <w:gridCol w:w="35"/>
        <w:gridCol w:w="37"/>
        <w:gridCol w:w="41"/>
        <w:gridCol w:w="26"/>
        <w:gridCol w:w="516"/>
        <w:gridCol w:w="666"/>
        <w:gridCol w:w="559"/>
        <w:gridCol w:w="37"/>
        <w:gridCol w:w="35"/>
        <w:gridCol w:w="14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750" w:hRule="atLeast"/>
          <w:jc w:val="center"/>
        </w:trPr>
        <w:tc>
          <w:tcPr>
            <w:tcW w:w="4326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地面数字电视传输覆盖系统运行维护</w:t>
            </w:r>
            <w:r>
              <w:rPr>
                <w:rFonts w:eastAsia="方正小标宋简体"/>
                <w:color w:val="000000"/>
                <w:kern w:val="0"/>
              </w:rPr>
              <w:t>项目绩效目标自评表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199" w:hRule="atLeast"/>
          <w:jc w:val="center"/>
        </w:trPr>
        <w:tc>
          <w:tcPr>
            <w:tcW w:w="4326" w:type="pct"/>
            <w:gridSpan w:val="7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285" w:type="pct"/>
            <w:gridSpan w:val="47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地面数字电视传输覆盖系统运行维护费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29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中国广电四川网络股份有限公司沐川分公司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28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964" w:type="pct"/>
            <w:gridSpan w:val="1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28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5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964" w:type="pct"/>
            <w:gridSpan w:val="1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51.92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64.9%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28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5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1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28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5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1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1041" w:type="pct"/>
            <w:gridSpan w:val="2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28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5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964" w:type="pct"/>
            <w:gridSpan w:val="1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51.92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64.9%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90" w:hRule="atLeast"/>
          <w:jc w:val="center"/>
        </w:trPr>
        <w:tc>
          <w:tcPr>
            <w:tcW w:w="1041" w:type="pct"/>
            <w:gridSpan w:val="2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28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5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1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125" w:type="pct"/>
            <w:gridSpan w:val="4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860" w:type="pct"/>
            <w:gridSpan w:val="2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125" w:type="pct"/>
            <w:gridSpan w:val="4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  <w:r>
              <w:rPr>
                <w:rFonts w:hint="eastAsia" w:eastAsia="宋体"/>
                <w:color w:val="000000"/>
                <w:sz w:val="16"/>
                <w:szCs w:val="16"/>
              </w:rPr>
              <w:t>地面数字电视传输覆盖系统运行维护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项目</w:t>
            </w:r>
          </w:p>
        </w:tc>
        <w:tc>
          <w:tcPr>
            <w:tcW w:w="1860" w:type="pct"/>
            <w:gridSpan w:val="27"/>
            <w:noWrap w:val="0"/>
            <w:vAlign w:val="center"/>
          </w:tcPr>
          <w:p>
            <w:pPr>
              <w:widowControl/>
              <w:tabs>
                <w:tab w:val="left" w:pos="1035"/>
              </w:tabs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  <w:r>
              <w:rPr>
                <w:rFonts w:hint="eastAsia" w:eastAsia="宋体"/>
                <w:color w:val="000000"/>
                <w:sz w:val="16"/>
                <w:szCs w:val="16"/>
              </w:rPr>
              <w:t>地面数字电视传输覆盖系统运行维护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36" w:type="pct"/>
            <w:gridSpan w:val="3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63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63" w:type="pct"/>
            <w:gridSpan w:val="17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1个机房运行维护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19个基站运行维护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保障机房正常运转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正常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保障2022年全年地面数字传输系统正常运转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县级财政资金80万元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80万元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51.92万元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加快报账进度，加强资金拨付兑现。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90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63" w:type="pct"/>
            <w:gridSpan w:val="17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提升地面数字传输覆盖系统运行质量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良好运转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gridSpan w:val="3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63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42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6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满意</w:t>
            </w:r>
          </w:p>
        </w:tc>
        <w:tc>
          <w:tcPr>
            <w:tcW w:w="403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9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cantSplit/>
          <w:trHeight w:val="283" w:hRule="atLeast"/>
          <w:jc w:val="center"/>
        </w:trPr>
        <w:tc>
          <w:tcPr>
            <w:tcW w:w="340" w:type="pct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3985" w:type="pct"/>
            <w:gridSpan w:val="6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480" w:hRule="atLeast"/>
          <w:jc w:val="center"/>
        </w:trPr>
        <w:tc>
          <w:tcPr>
            <w:tcW w:w="4326" w:type="pct"/>
            <w:gridSpan w:val="7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420" w:hRule="atLeast"/>
          <w:jc w:val="center"/>
        </w:trPr>
        <w:tc>
          <w:tcPr>
            <w:tcW w:w="4326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260" w:hRule="atLeast"/>
          <w:jc w:val="center"/>
        </w:trPr>
        <w:tc>
          <w:tcPr>
            <w:tcW w:w="4326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270" w:hRule="atLeast"/>
          <w:jc w:val="center"/>
        </w:trPr>
        <w:tc>
          <w:tcPr>
            <w:tcW w:w="4326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673" w:type="pct"/>
          <w:trHeight w:val="270" w:hRule="atLeast"/>
          <w:jc w:val="center"/>
        </w:trPr>
        <w:tc>
          <w:tcPr>
            <w:tcW w:w="4326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750" w:hRule="atLeast"/>
          <w:jc w:val="center"/>
        </w:trPr>
        <w:tc>
          <w:tcPr>
            <w:tcW w:w="4664" w:type="pct"/>
            <w:gridSpan w:val="7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/>
                <w:color w:val="000000"/>
                <w:kern w:val="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文化馆、图书馆、美术馆及19个乡镇文化站免费开放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199" w:hRule="atLeast"/>
          <w:jc w:val="center"/>
        </w:trPr>
        <w:tc>
          <w:tcPr>
            <w:tcW w:w="4664" w:type="pct"/>
            <w:gridSpan w:val="7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43" w:type="pct"/>
            <w:gridSpan w:val="47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文化馆、图书馆、美术馆及19个乡镇文化站免费开放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04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各乡镇文化站、图书馆、美术馆、文化馆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4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43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4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155</w:t>
            </w:r>
          </w:p>
        </w:tc>
        <w:tc>
          <w:tcPr>
            <w:tcW w:w="1043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155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4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136.4</w:t>
            </w:r>
          </w:p>
        </w:tc>
        <w:tc>
          <w:tcPr>
            <w:tcW w:w="1043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136.4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4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043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4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18.6</w:t>
            </w:r>
          </w:p>
        </w:tc>
        <w:tc>
          <w:tcPr>
            <w:tcW w:w="1043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18.6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1121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4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3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295" w:type="pct"/>
            <w:gridSpan w:val="4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001" w:type="pct"/>
            <w:gridSpan w:val="2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90" w:hRule="atLeast"/>
          <w:jc w:val="center"/>
        </w:trPr>
        <w:tc>
          <w:tcPr>
            <w:tcW w:w="368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295" w:type="pct"/>
            <w:gridSpan w:val="4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19个乡镇文化站的免费开放，完成文化馆，图书馆，美术馆免费开放。</w:t>
            </w:r>
          </w:p>
        </w:tc>
        <w:tc>
          <w:tcPr>
            <w:tcW w:w="2001" w:type="pct"/>
            <w:gridSpan w:val="2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19个乡镇文化站的免费开放，完成文化馆，图书馆，美术馆免费开放。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0" w:type="pct"/>
            <w:gridSpan w:val="4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92" w:type="pct"/>
            <w:gridSpan w:val="1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92" w:type="pct"/>
            <w:gridSpan w:val="16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19个乡镇文化站免费开放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图书馆、美术馆、文化馆免费开放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3个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pStyle w:val="2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19个乡镇文化站的免费开放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正常运转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保障图书馆、美术馆、文化馆免费开放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正常运转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2022年全年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5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上级补助资金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136.4万元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136.4万元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县级配套资金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18.6万元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18.6万元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92" w:type="pct"/>
            <w:gridSpan w:val="16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提升全民素质、文化修养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明显提升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明显提升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gridSpan w:val="1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4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92" w:type="pct"/>
            <w:gridSpan w:val="1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41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97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45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958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cantSplit/>
          <w:trHeight w:val="283" w:hRule="atLeast"/>
          <w:jc w:val="center"/>
        </w:trPr>
        <w:tc>
          <w:tcPr>
            <w:tcW w:w="368" w:type="pct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296" w:type="pct"/>
            <w:gridSpan w:val="6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480" w:hRule="atLeast"/>
          <w:jc w:val="center"/>
        </w:trPr>
        <w:tc>
          <w:tcPr>
            <w:tcW w:w="4664" w:type="pct"/>
            <w:gridSpan w:val="7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420" w:hRule="atLeast"/>
          <w:jc w:val="center"/>
        </w:trPr>
        <w:tc>
          <w:tcPr>
            <w:tcW w:w="4664" w:type="pct"/>
            <w:gridSpan w:val="7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260" w:hRule="atLeast"/>
          <w:jc w:val="center"/>
        </w:trPr>
        <w:tc>
          <w:tcPr>
            <w:tcW w:w="4664" w:type="pct"/>
            <w:gridSpan w:val="7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270" w:hRule="atLeast"/>
          <w:jc w:val="center"/>
        </w:trPr>
        <w:tc>
          <w:tcPr>
            <w:tcW w:w="4664" w:type="pct"/>
            <w:gridSpan w:val="7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335" w:type="pct"/>
          <w:trHeight w:val="270" w:hRule="atLeast"/>
          <w:jc w:val="center"/>
        </w:trPr>
        <w:tc>
          <w:tcPr>
            <w:tcW w:w="4664" w:type="pct"/>
            <w:gridSpan w:val="7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750" w:hRule="atLeast"/>
          <w:jc w:val="center"/>
        </w:trPr>
        <w:tc>
          <w:tcPr>
            <w:tcW w:w="4521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沐川县沐溪河流域生态环境综合提升项目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199" w:hRule="atLeast"/>
          <w:jc w:val="center"/>
        </w:trPr>
        <w:tc>
          <w:tcPr>
            <w:tcW w:w="4521" w:type="pct"/>
            <w:gridSpan w:val="7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390" w:type="pct"/>
            <w:gridSpan w:val="46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沐川县沐溪河流域生态环境综合提升项目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250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债券实施部门和单位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42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14537.47</w:t>
            </w:r>
          </w:p>
        </w:tc>
        <w:tc>
          <w:tcPr>
            <w:tcW w:w="1042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6723.25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46.25%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14537.47</w:t>
            </w:r>
          </w:p>
        </w:tc>
        <w:tc>
          <w:tcPr>
            <w:tcW w:w="1042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6723.25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46.25%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2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2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1130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2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295" w:type="pct"/>
            <w:gridSpan w:val="4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840" w:type="pct"/>
            <w:gridSpan w:val="2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295" w:type="pct"/>
            <w:gridSpan w:val="4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加强环境基础设施建设，加强城市基础设施建设，完善水利设施网络，加强沐溪河生态流域功能区的保护与管理。</w:t>
            </w:r>
          </w:p>
        </w:tc>
        <w:tc>
          <w:tcPr>
            <w:tcW w:w="1840" w:type="pct"/>
            <w:gridSpan w:val="26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加强环境基础设施建设，加强城市基础设施建设，完善水利设施网络，加强沐溪河生态流域功能区的保护与管理。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3" w:type="pct"/>
            <w:gridSpan w:val="10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4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包含2个大项，10个子项目的建设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10个子项目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改善沐川县生态质量和人居环境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完善沐川县乡镇基础设施建设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2022年完成本年指标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申报专项债券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55000万元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5.55亿元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2.67亿元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按期申报，提升项目建设速度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打造配套旅游设施，科学配套城乡资源，提升沐川城乡品位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pStyle w:val="2"/>
              <w:ind w:firstLine="320" w:firstLineChars="200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改善区域环境，提升城市品位，促进区域社会经济的发展</w:t>
            </w:r>
          </w:p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优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100%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改善沐溪河周边生质量和人居环境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优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100%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0"/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5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服务对象满意度</w:t>
            </w:r>
          </w:p>
        </w:tc>
        <w:tc>
          <w:tcPr>
            <w:tcW w:w="590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≥98%</w:t>
            </w:r>
          </w:p>
        </w:tc>
        <w:tc>
          <w:tcPr>
            <w:tcW w:w="452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≥98%</w:t>
            </w:r>
          </w:p>
        </w:tc>
        <w:tc>
          <w:tcPr>
            <w:tcW w:w="798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cantSplit/>
          <w:trHeight w:val="283" w:hRule="atLeast"/>
          <w:jc w:val="center"/>
        </w:trPr>
        <w:tc>
          <w:tcPr>
            <w:tcW w:w="385" w:type="pct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135" w:type="pct"/>
            <w:gridSpan w:val="6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480" w:hRule="atLeast"/>
          <w:jc w:val="center"/>
        </w:trPr>
        <w:tc>
          <w:tcPr>
            <w:tcW w:w="4521" w:type="pct"/>
            <w:gridSpan w:val="7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420" w:hRule="atLeast"/>
          <w:jc w:val="center"/>
        </w:trPr>
        <w:tc>
          <w:tcPr>
            <w:tcW w:w="4521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260" w:hRule="atLeast"/>
          <w:jc w:val="center"/>
        </w:trPr>
        <w:tc>
          <w:tcPr>
            <w:tcW w:w="4521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270" w:hRule="atLeast"/>
          <w:jc w:val="center"/>
        </w:trPr>
        <w:tc>
          <w:tcPr>
            <w:tcW w:w="4521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143" w:type="pct"/>
          <w:wAfter w:w="335" w:type="pct"/>
          <w:trHeight w:val="270" w:hRule="atLeast"/>
          <w:jc w:val="center"/>
        </w:trPr>
        <w:tc>
          <w:tcPr>
            <w:tcW w:w="4521" w:type="pct"/>
            <w:gridSpan w:val="7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750" w:hRule="atLeast"/>
          <w:jc w:val="center"/>
        </w:trPr>
        <w:tc>
          <w:tcPr>
            <w:tcW w:w="4441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体育彩票公益金（分成）</w:t>
            </w: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199" w:hRule="atLeast"/>
          <w:jc w:val="center"/>
        </w:trPr>
        <w:tc>
          <w:tcPr>
            <w:tcW w:w="4441" w:type="pct"/>
            <w:gridSpan w:val="7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304" w:type="pct"/>
            <w:gridSpan w:val="4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体育彩票公益金（分成）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175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沐川县青少年业余体育学校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5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5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51.53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16.31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31.65%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5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5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51.53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16.31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31.65%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1136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5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90" w:hRule="atLeast"/>
          <w:jc w:val="center"/>
        </w:trPr>
        <w:tc>
          <w:tcPr>
            <w:tcW w:w="1136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5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296" w:type="pct"/>
            <w:gridSpan w:val="3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755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296" w:type="pct"/>
            <w:gridSpan w:val="39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完成体校日常业业务训练，保障体校日常训练的运转。</w:t>
            </w:r>
          </w:p>
        </w:tc>
        <w:tc>
          <w:tcPr>
            <w:tcW w:w="1755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完成体校日常业业务训练，保障体校日常训练的运转。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0" w:type="pct"/>
            <w:gridSpan w:val="9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8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7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保障日常训练任务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每日开展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组织实施群众体育活动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≥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≥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5场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保质保量完成训练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保障群众体育活动质量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完成全年业训指标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资金保障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51.53万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16.3万元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加强资金拨付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提供业训运动场地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体育中心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7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极大的丰富群众体育活动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提升运动员水平，提高参赛质量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9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8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49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719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cantSplit/>
          <w:trHeight w:val="283" w:hRule="atLeast"/>
          <w:jc w:val="center"/>
        </w:trPr>
        <w:tc>
          <w:tcPr>
            <w:tcW w:w="389" w:type="pct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052" w:type="pct"/>
            <w:gridSpan w:val="6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480" w:hRule="atLeast"/>
          <w:jc w:val="center"/>
        </w:trPr>
        <w:tc>
          <w:tcPr>
            <w:tcW w:w="4441" w:type="pct"/>
            <w:gridSpan w:val="7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420" w:hRule="atLeast"/>
          <w:jc w:val="center"/>
        </w:trPr>
        <w:tc>
          <w:tcPr>
            <w:tcW w:w="4441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260" w:hRule="atLeast"/>
          <w:jc w:val="center"/>
        </w:trPr>
        <w:tc>
          <w:tcPr>
            <w:tcW w:w="4441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270" w:hRule="atLeast"/>
          <w:jc w:val="center"/>
        </w:trPr>
        <w:tc>
          <w:tcPr>
            <w:tcW w:w="4441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223" w:type="pct"/>
          <w:wAfter w:w="335" w:type="pct"/>
          <w:trHeight w:val="270" w:hRule="atLeast"/>
          <w:jc w:val="center"/>
        </w:trPr>
        <w:tc>
          <w:tcPr>
            <w:tcW w:w="4441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4"/>
          <w:wBefore w:w="255" w:type="pct"/>
          <w:wAfter w:w="50" w:type="pct"/>
          <w:trHeight w:val="750" w:hRule="atLeast"/>
          <w:jc w:val="center"/>
        </w:trPr>
        <w:tc>
          <w:tcPr>
            <w:tcW w:w="469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沐川县体育中心扩改建项目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4"/>
          <w:wBefore w:w="255" w:type="pct"/>
          <w:wAfter w:w="50" w:type="pct"/>
          <w:trHeight w:val="199" w:hRule="atLeast"/>
          <w:jc w:val="center"/>
        </w:trPr>
        <w:tc>
          <w:tcPr>
            <w:tcW w:w="4693" w:type="pct"/>
            <w:gridSpan w:val="7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4"/>
          <w:wBefore w:w="255" w:type="pct"/>
          <w:wAfter w:w="50" w:type="pct"/>
          <w:cantSplit/>
          <w:trHeight w:val="283" w:hRule="atLeast"/>
          <w:jc w:val="center"/>
        </w:trPr>
        <w:tc>
          <w:tcPr>
            <w:tcW w:w="1147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46" w:type="pct"/>
            <w:gridSpan w:val="4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沐川县体育中心扩改建项目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126" w:type="pct"/>
            <w:gridSpan w:val="1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4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5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4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5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255.29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66.41%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4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5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255.29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4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5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4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5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83.41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114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4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5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303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707" w:type="pct"/>
            <w:gridSpan w:val="2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03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体育场扩改建。</w:t>
            </w:r>
          </w:p>
        </w:tc>
        <w:tc>
          <w:tcPr>
            <w:tcW w:w="1707" w:type="pct"/>
            <w:gridSpan w:val="2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体育场扩改建。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7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一个场馆改建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基础体育设施修缮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1项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改建体育场馆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修缮体育设施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2022年建设完成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2022年建设完成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按实际工程进度付款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383.41万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255.29万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加快报账程序，加强资金拨付效率。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健全体健身场地，修缮体育设施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有效提升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保障全民健身活动持续开展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有效提升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54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8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670" w:type="pct"/>
            <w:gridSpan w:val="6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cantSplit/>
          <w:trHeight w:val="283" w:hRule="atLeast"/>
          <w:jc w:val="center"/>
        </w:trPr>
        <w:tc>
          <w:tcPr>
            <w:tcW w:w="397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011" w:type="pct"/>
            <w:gridSpan w:val="6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trHeight w:val="480" w:hRule="atLeast"/>
          <w:jc w:val="center"/>
        </w:trPr>
        <w:tc>
          <w:tcPr>
            <w:tcW w:w="4408" w:type="pct"/>
            <w:gridSpan w:val="7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trHeight w:val="420" w:hRule="atLeast"/>
          <w:jc w:val="center"/>
        </w:trPr>
        <w:tc>
          <w:tcPr>
            <w:tcW w:w="4408" w:type="pct"/>
            <w:gridSpan w:val="7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trHeight w:val="260" w:hRule="atLeast"/>
          <w:jc w:val="center"/>
        </w:trPr>
        <w:tc>
          <w:tcPr>
            <w:tcW w:w="4408" w:type="pct"/>
            <w:gridSpan w:val="7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trHeight w:val="270" w:hRule="atLeast"/>
          <w:jc w:val="center"/>
        </w:trPr>
        <w:tc>
          <w:tcPr>
            <w:tcW w:w="4408" w:type="pct"/>
            <w:gridSpan w:val="7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55" w:type="pct"/>
          <w:wAfter w:w="335" w:type="pct"/>
          <w:trHeight w:val="270" w:hRule="atLeast"/>
          <w:jc w:val="center"/>
        </w:trPr>
        <w:tc>
          <w:tcPr>
            <w:tcW w:w="4408" w:type="pct"/>
            <w:gridSpan w:val="7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750" w:hRule="atLeast"/>
          <w:jc w:val="center"/>
        </w:trPr>
        <w:tc>
          <w:tcPr>
            <w:tcW w:w="4697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省十四运备战经费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199" w:hRule="atLeast"/>
          <w:jc w:val="center"/>
        </w:trPr>
        <w:tc>
          <w:tcPr>
            <w:tcW w:w="4697" w:type="pct"/>
            <w:gridSpan w:val="7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49" w:type="pct"/>
            <w:gridSpan w:val="4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省十四运备战经费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11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沐川县青少年业余体育学校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114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5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306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993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06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跆拳道、足球、举重项目备战省十四运会。</w:t>
            </w:r>
          </w:p>
        </w:tc>
        <w:tc>
          <w:tcPr>
            <w:tcW w:w="1993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跆拳道、足球、举重项目备战省十四运会。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7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8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2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跆拳道、足球、举重项目备战省十四运会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3个项目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高质量完成备战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满足运动员、教练员的备战需求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充分保障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省十运运开展期间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开展期间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本级配套资金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5万元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5万元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2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保障运动员竞技水平正常发挥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82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55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cantSplit/>
          <w:trHeight w:val="283" w:hRule="atLeast"/>
          <w:jc w:val="center"/>
        </w:trPr>
        <w:tc>
          <w:tcPr>
            <w:tcW w:w="398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299" w:type="pct"/>
            <w:gridSpan w:val="6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480" w:hRule="atLeast"/>
          <w:jc w:val="center"/>
        </w:trPr>
        <w:tc>
          <w:tcPr>
            <w:tcW w:w="4697" w:type="pct"/>
            <w:gridSpan w:val="7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420" w:hRule="atLeast"/>
          <w:jc w:val="center"/>
        </w:trPr>
        <w:tc>
          <w:tcPr>
            <w:tcW w:w="4697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260" w:hRule="atLeast"/>
          <w:jc w:val="center"/>
        </w:trPr>
        <w:tc>
          <w:tcPr>
            <w:tcW w:w="4697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270" w:hRule="atLeast"/>
          <w:jc w:val="center"/>
        </w:trPr>
        <w:tc>
          <w:tcPr>
            <w:tcW w:w="4697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270" w:type="pct"/>
          <w:wAfter w:w="31" w:type="pct"/>
          <w:trHeight w:val="270" w:hRule="atLeast"/>
          <w:jc w:val="center"/>
        </w:trPr>
        <w:tc>
          <w:tcPr>
            <w:tcW w:w="4697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75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/>
                <w:color w:val="000000"/>
                <w:kern w:val="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东西部协作农文旅融合开放式研学旅行精品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199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50" w:type="pct"/>
            <w:gridSpan w:val="4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东西部协作农文旅融合开放式研学旅行精品项目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10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四川乌蒙沐歌文化旅游有限公司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38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038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128.16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42.27%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8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038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128.16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8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1153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8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306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993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06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完成东西部协作项目规划任务、完成研学基地建设。</w:t>
            </w:r>
          </w:p>
        </w:tc>
        <w:tc>
          <w:tcPr>
            <w:tcW w:w="1993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完成东西部协作项目规划任务、完成研学基地建设。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7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4个研学基地建设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4个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完成研学基地配套课程建设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4个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建成高质量的研学基地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完成研学基地配套设施建设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2022-2023年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2年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42.27%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资金保障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300万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12.82万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加快项目建设，提高报账效率。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增加第三产业就业岗位，增加财税收入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有效带动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极大丰富我县旅游载体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强化群众环保意识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提升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8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56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955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cantSplit/>
          <w:trHeight w:val="283" w:hRule="atLeast"/>
          <w:jc w:val="center"/>
        </w:trPr>
        <w:tc>
          <w:tcPr>
            <w:tcW w:w="403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299" w:type="pct"/>
            <w:gridSpan w:val="6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480" w:hRule="atLeast"/>
          <w:jc w:val="center"/>
        </w:trPr>
        <w:tc>
          <w:tcPr>
            <w:tcW w:w="4703" w:type="pct"/>
            <w:gridSpan w:val="7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42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26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27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5"/>
          <w:gridAfter w:val="2"/>
          <w:wBefore w:w="281" w:type="pct"/>
          <w:wAfter w:w="15" w:type="pct"/>
          <w:trHeight w:val="27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75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/>
                <w:color w:val="000000"/>
                <w:kern w:val="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文旅发展资金解决桃源山居景区监控系统服务费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199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38" w:type="pct"/>
            <w:gridSpan w:val="4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文旅发展资金解决桃源山居景区监控系统服务费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397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四川乌蒙沐歌文化旅游有限公司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3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4.44</w:t>
            </w:r>
          </w:p>
        </w:tc>
        <w:tc>
          <w:tcPr>
            <w:tcW w:w="103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3.84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4.44</w:t>
            </w:r>
          </w:p>
        </w:tc>
        <w:tc>
          <w:tcPr>
            <w:tcW w:w="103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3.84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1165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60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9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317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980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17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桃园山居景区监控系统服务费</w:t>
            </w:r>
          </w:p>
        </w:tc>
        <w:tc>
          <w:tcPr>
            <w:tcW w:w="1980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桃园山居景区监控系统服务费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8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景区监控系统运行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监控系统良好运行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县级下达资金4.44万元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4.44万元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3.84万元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0.6万元未到期，2023年到期支付0.6万元。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加强景区管理，提升景区服务质量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提升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监控系统良好运转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57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8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456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41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cantSplit/>
          <w:trHeight w:val="283" w:hRule="atLeast"/>
          <w:jc w:val="center"/>
        </w:trPr>
        <w:tc>
          <w:tcPr>
            <w:tcW w:w="405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298" w:type="pct"/>
            <w:gridSpan w:val="6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480" w:hRule="atLeast"/>
          <w:jc w:val="center"/>
        </w:trPr>
        <w:tc>
          <w:tcPr>
            <w:tcW w:w="4703" w:type="pct"/>
            <w:gridSpan w:val="7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42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26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27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gridAfter w:val="1"/>
          <w:wBefore w:w="288" w:type="pct"/>
          <w:wAfter w:w="7" w:type="pct"/>
          <w:trHeight w:val="270" w:hRule="atLeast"/>
          <w:jc w:val="center"/>
        </w:trPr>
        <w:tc>
          <w:tcPr>
            <w:tcW w:w="4703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750" w:hRule="atLeast"/>
          <w:jc w:val="center"/>
        </w:trPr>
        <w:tc>
          <w:tcPr>
            <w:tcW w:w="4704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/>
                <w:color w:val="000000"/>
                <w:kern w:val="0"/>
                <w:lang w:eastAsia="zh-CN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文化体育和旅游局运转事务资</w:t>
            </w: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金项目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199" w:hRule="atLeast"/>
          <w:jc w:val="center"/>
        </w:trPr>
        <w:tc>
          <w:tcPr>
            <w:tcW w:w="4704" w:type="pct"/>
            <w:gridSpan w:val="7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36" w:type="pct"/>
            <w:gridSpan w:val="4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项目预留解决文化体育和旅游局运转事务资金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391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4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04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04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1168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5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46" w:type="pct"/>
            <w:gridSpan w:val="1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313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982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13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保障文体局日常事务运转，保障单位日常事务开支。</w:t>
            </w:r>
          </w:p>
        </w:tc>
        <w:tc>
          <w:tcPr>
            <w:tcW w:w="1982" w:type="pct"/>
            <w:gridSpan w:val="2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保障文体局日常事务运转，保障单位日常事务开支。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8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保障单位及下属单位运转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5个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保障单位正常有序运转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2022年全年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县级财政资金保障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20万元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20万元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助推单位运转，保障事务运行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53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91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cantSplit/>
          <w:trHeight w:val="283" w:hRule="atLeast"/>
          <w:jc w:val="center"/>
        </w:trPr>
        <w:tc>
          <w:tcPr>
            <w:tcW w:w="407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296" w:type="pct"/>
            <w:gridSpan w:val="6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480" w:hRule="atLeast"/>
          <w:jc w:val="center"/>
        </w:trPr>
        <w:tc>
          <w:tcPr>
            <w:tcW w:w="4704" w:type="pct"/>
            <w:gridSpan w:val="7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420" w:hRule="atLeast"/>
          <w:jc w:val="center"/>
        </w:trPr>
        <w:tc>
          <w:tcPr>
            <w:tcW w:w="4704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260" w:hRule="atLeast"/>
          <w:jc w:val="center"/>
        </w:trPr>
        <w:tc>
          <w:tcPr>
            <w:tcW w:w="4704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270" w:hRule="atLeast"/>
          <w:jc w:val="center"/>
        </w:trPr>
        <w:tc>
          <w:tcPr>
            <w:tcW w:w="4704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wBefore w:w="295" w:type="pct"/>
          <w:trHeight w:val="270" w:hRule="atLeast"/>
          <w:jc w:val="center"/>
        </w:trPr>
        <w:tc>
          <w:tcPr>
            <w:tcW w:w="4704" w:type="pct"/>
            <w:gridSpan w:val="7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  <w:p>
            <w:pPr>
              <w:pStyle w:val="2"/>
              <w:rPr>
                <w:rFonts w:eastAsia="楷体_GB2312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trHeight w:val="750" w:hRule="atLeast"/>
          <w:jc w:val="center"/>
        </w:trPr>
        <w:tc>
          <w:tcPr>
            <w:tcW w:w="4700" w:type="pct"/>
            <w:gridSpan w:val="7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/>
                <w:color w:val="000000"/>
                <w:kern w:val="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文旅康养及服务业项目推进经费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trHeight w:val="199" w:hRule="atLeast"/>
          <w:jc w:val="center"/>
        </w:trPr>
        <w:tc>
          <w:tcPr>
            <w:tcW w:w="4700" w:type="pct"/>
            <w:gridSpan w:val="7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533" w:type="pct"/>
            <w:gridSpan w:val="44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文旅康养及服务业项目推进经费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391" w:type="pct"/>
            <w:gridSpan w:val="15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文旅推进工作组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6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036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6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1036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0.5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6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6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6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36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1167" w:type="pct"/>
            <w:gridSpan w:val="3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63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1036" w:type="pct"/>
            <w:gridSpan w:val="17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0.5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318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972" w:type="pct"/>
            <w:gridSpan w:val="2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318" w:type="pct"/>
            <w:gridSpan w:val="38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文旅康养及服务业项目推进组主要负责统筹推进全县文旅资源开发、景区景点建设、三产服务业等重点项目建设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。</w:t>
            </w:r>
          </w:p>
        </w:tc>
        <w:tc>
          <w:tcPr>
            <w:tcW w:w="1972" w:type="pct"/>
            <w:gridSpan w:val="24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统筹推进全县文旅资源开发、景区景点建设、三产服务业等重点项目建设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68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48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9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成立一个工作指导组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305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指导全县开展文旅康养项目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2022年全年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全年资金计划保障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50万元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0.5万元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加强工作推进，加快报账进度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489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促进第三产业就业，增加收入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有效促进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加快推进全县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文旅</w:t>
            </w:r>
            <w:r>
              <w:rPr>
                <w:rFonts w:hint="eastAsia" w:eastAsia="宋体"/>
                <w:color w:val="000000"/>
                <w:sz w:val="16"/>
                <w:szCs w:val="16"/>
              </w:rPr>
              <w:t>项目建设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有效推进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推进全县文旅资源开发、景区景点建设、三产服务业等重点项目建设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。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有效推进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gridSpan w:val="8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489" w:type="pct"/>
            <w:gridSpan w:val="10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560" w:type="pct"/>
            <w:gridSpan w:val="20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581" w:type="pct"/>
            <w:gridSpan w:val="9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55" w:type="pct"/>
            <w:gridSpan w:val="8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936" w:type="pct"/>
            <w:gridSpan w:val="7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wBefore w:w="299" w:type="pct"/>
          <w:cantSplit/>
          <w:trHeight w:val="283" w:hRule="atLeast"/>
          <w:jc w:val="center"/>
        </w:trPr>
        <w:tc>
          <w:tcPr>
            <w:tcW w:w="409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291" w:type="pct"/>
            <w:gridSpan w:val="6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gridAfter w:val="5"/>
          <w:wBefore w:w="299" w:type="pct"/>
          <w:wAfter w:w="335" w:type="pct"/>
          <w:trHeight w:val="480" w:hRule="atLeast"/>
          <w:jc w:val="center"/>
        </w:trPr>
        <w:tc>
          <w:tcPr>
            <w:tcW w:w="4365" w:type="pct"/>
            <w:gridSpan w:val="6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gridAfter w:val="5"/>
          <w:wBefore w:w="299" w:type="pct"/>
          <w:wAfter w:w="335" w:type="pct"/>
          <w:trHeight w:val="420" w:hRule="atLeast"/>
          <w:jc w:val="center"/>
        </w:trPr>
        <w:tc>
          <w:tcPr>
            <w:tcW w:w="4365" w:type="pct"/>
            <w:gridSpan w:val="6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gridAfter w:val="5"/>
          <w:wBefore w:w="299" w:type="pct"/>
          <w:wAfter w:w="335" w:type="pct"/>
          <w:trHeight w:val="260" w:hRule="atLeast"/>
          <w:jc w:val="center"/>
        </w:trPr>
        <w:tc>
          <w:tcPr>
            <w:tcW w:w="4365" w:type="pct"/>
            <w:gridSpan w:val="6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gridAfter w:val="5"/>
          <w:wBefore w:w="299" w:type="pct"/>
          <w:wAfter w:w="335" w:type="pct"/>
          <w:trHeight w:val="270" w:hRule="atLeast"/>
          <w:jc w:val="center"/>
        </w:trPr>
        <w:tc>
          <w:tcPr>
            <w:tcW w:w="4365" w:type="pct"/>
            <w:gridSpan w:val="6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3"/>
        <w:tblW w:w="57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73"/>
        <w:gridCol w:w="1010"/>
        <w:gridCol w:w="1894"/>
        <w:gridCol w:w="1349"/>
        <w:gridCol w:w="1229"/>
        <w:gridCol w:w="955"/>
        <w:gridCol w:w="1266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上级下达中央文化人才专项经费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9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上级下达中央文化人才专项经费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8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沐川县文化馆、沐川县图书馆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2.49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24.9%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2.49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24.9%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2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聘请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5位三区文化志愿者，推动文化工作开展</w:t>
            </w:r>
          </w:p>
        </w:tc>
        <w:tc>
          <w:tcPr>
            <w:tcW w:w="2112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聘请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5位三区文化志愿者，推动文化工作开展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招聘三区文化志愿者工作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5个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5个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维护文旅形象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推动文旅工作发展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上级下达资金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10万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2.49万元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加快资金兑付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促进文旅人员就业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5个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维护文旅人员行形象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提升文旅服务质量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63" w:type="pct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80" w:hRule="atLeast"/>
          <w:jc w:val="center"/>
        </w:trPr>
        <w:tc>
          <w:tcPr>
            <w:tcW w:w="4638" w:type="pct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2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6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7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3"/>
        <w:tblW w:w="57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73"/>
        <w:gridCol w:w="1010"/>
        <w:gridCol w:w="1894"/>
        <w:gridCol w:w="1349"/>
        <w:gridCol w:w="1229"/>
        <w:gridCol w:w="955"/>
        <w:gridCol w:w="1266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省十四运会经费</w:t>
            </w: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9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省十四运会经费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8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沐川县青少年业余体育学校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194.24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40.10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20.64%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154.14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40.10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40.10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2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完成省十四运会的筹备工作，完成项目参赛工作。</w:t>
            </w:r>
          </w:p>
        </w:tc>
        <w:tc>
          <w:tcPr>
            <w:tcW w:w="2112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完成省十四运会的筹备工作，完成项目参赛工作。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完成十四运会国际象棋，象棋，桥牌，围棋，足球五个群众项目的承办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5项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完成项目承办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服务运动员，裁判等高质量完成比赛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十四运会期间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比赛期间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比赛期间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上级补助资金，县级配套资金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194万元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40万元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项目筹备和前期工作完成，后续未报账；加强报账效率提高报账进度。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经济效益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br w:type="textWrapping"/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社会效益</w:t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br w:type="textWrapping"/>
            </w: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推进场馆建设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提升全民身体素质，推进群众体育活动。</w:t>
            </w:r>
          </w:p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稳步提升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稳步提升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63" w:type="pct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80" w:hRule="atLeast"/>
          <w:jc w:val="center"/>
        </w:trPr>
        <w:tc>
          <w:tcPr>
            <w:tcW w:w="4638" w:type="pct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2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6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7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3"/>
        <w:tblW w:w="57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573"/>
        <w:gridCol w:w="1010"/>
        <w:gridCol w:w="1896"/>
        <w:gridCol w:w="1347"/>
        <w:gridCol w:w="1229"/>
        <w:gridCol w:w="955"/>
        <w:gridCol w:w="1264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  <w:kern w:val="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中央公共文化服务体系建设资金</w:t>
            </w:r>
            <w:r>
              <w:rPr>
                <w:rFonts w:eastAsia="方正小标宋简体"/>
                <w:color w:val="000000"/>
                <w:kern w:val="0"/>
              </w:rPr>
              <w:t>项目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8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中央公共文化服务体系建设资金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7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项目实施单位和部门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3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3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30.08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21.67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72.04%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3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30.08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21.67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72.04%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3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3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3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1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中央公共文化服务体系建设资金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-广播电视户户通运行维护</w:t>
            </w:r>
          </w:p>
        </w:tc>
        <w:tc>
          <w:tcPr>
            <w:tcW w:w="2111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完成广播电视户户通的运行维护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广播电视户户通的运行和维护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17000套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10%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高质量完成运行和维护工作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省级资金下达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30.80万元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21.672万元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和其他项目一起招投标，按照进度划款。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保障户户通的运行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良好运转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及时维修户户通，保障农户收看电视节目收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良好运转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1002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62" w:type="pct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80" w:hRule="atLeast"/>
          <w:jc w:val="center"/>
        </w:trPr>
        <w:tc>
          <w:tcPr>
            <w:tcW w:w="4638" w:type="pct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2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6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7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3"/>
        <w:tblW w:w="57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73"/>
        <w:gridCol w:w="1010"/>
        <w:gridCol w:w="1894"/>
        <w:gridCol w:w="1349"/>
        <w:gridCol w:w="1229"/>
        <w:gridCol w:w="955"/>
        <w:gridCol w:w="1266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非物质文化遗产项目</w:t>
            </w:r>
            <w:r>
              <w:rPr>
                <w:rFonts w:hint="eastAsia" w:eastAsia="方正小标宋简体"/>
                <w:color w:val="000000"/>
                <w:kern w:val="0"/>
                <w:lang w:eastAsia="zh-CN"/>
              </w:rPr>
              <w:t>项目</w:t>
            </w: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9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非物质文化遗产项目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8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35.18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2.5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35.18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2.5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0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2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5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沐川草龙推广，巡演，草龙国家级和省级传承人的补助等。</w:t>
            </w:r>
          </w:p>
        </w:tc>
        <w:tc>
          <w:tcPr>
            <w:tcW w:w="2112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完成沐川草龙推广，巡演，草龙国家级和省级传承人的补助等。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非遗项目演出等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≥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2场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非遗传承人补助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2人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2人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完成非遗项目巡演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保护、开发非遗项目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上级资金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35.18万元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2.5万元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项目实施，未完成报账，加快报账进度。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促进社会闲散人员就业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≥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300人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≥</w:t>
            </w: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300人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对外交流，向世界展示中国非遗文化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保护和开发非遗文化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6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63" w:type="pct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16"/>
                <w:szCs w:val="16"/>
                <w:lang w:eastAsia="zh-CN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80" w:hRule="atLeast"/>
          <w:jc w:val="center"/>
        </w:trPr>
        <w:tc>
          <w:tcPr>
            <w:tcW w:w="4638" w:type="pct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42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6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1" w:type="pct"/>
          <w:trHeight w:val="270" w:hRule="atLeast"/>
          <w:jc w:val="center"/>
        </w:trPr>
        <w:tc>
          <w:tcPr>
            <w:tcW w:w="4638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3"/>
        <w:tblW w:w="57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573"/>
        <w:gridCol w:w="1010"/>
        <w:gridCol w:w="1898"/>
        <w:gridCol w:w="1345"/>
        <w:gridCol w:w="1229"/>
        <w:gridCol w:w="955"/>
        <w:gridCol w:w="1262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/>
                <w:color w:val="000000"/>
                <w:kern w:val="0"/>
              </w:rPr>
            </w:pPr>
            <w:r>
              <w:rPr>
                <w:rFonts w:hint="eastAsia" w:eastAsia="方正小标宋简体"/>
                <w:color w:val="000000"/>
                <w:kern w:val="0"/>
              </w:rPr>
              <w:t>沐川县公共自行车运行系统项目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/>
                <w:color w:val="000000"/>
                <w:kern w:val="0"/>
              </w:rPr>
              <w:t>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7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</w:rPr>
              <w:t>沐川县公共自行车运行系统项目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沐川县文化体育和旅游局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6" w:type="pct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四川乌蒙沐歌文化旅游有限公司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4" w:type="pct"/>
            <w:noWrap w:val="0"/>
            <w:vAlign w:val="center"/>
          </w:tcPr>
          <w:p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2" w:type="pct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51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51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解决公共自行车运行系统的遗留问题</w:t>
            </w:r>
          </w:p>
        </w:tc>
        <w:tc>
          <w:tcPr>
            <w:tcW w:w="2110" w:type="pct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解决公共自行车运行系统的遗留问题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解决公共自行车系统遗留问题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1项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1项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良好解决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良好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2022年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县本级资金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27万元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27万元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解决公共自行车遗留问题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方便行人出行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优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7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服务对象满意度</w:t>
            </w:r>
          </w:p>
        </w:tc>
        <w:tc>
          <w:tcPr>
            <w:tcW w:w="624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000" w:type="pct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3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61" w:type="pct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宋体"/>
                <w:color w:val="000000"/>
                <w:sz w:val="16"/>
                <w:szCs w:val="16"/>
                <w:lang w:eastAsia="zh-CN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pct"/>
          <w:trHeight w:val="480" w:hRule="atLeast"/>
          <w:jc w:val="center"/>
        </w:trPr>
        <w:tc>
          <w:tcPr>
            <w:tcW w:w="4639" w:type="pct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pct"/>
          <w:trHeight w:val="420" w:hRule="atLeast"/>
          <w:jc w:val="center"/>
        </w:trPr>
        <w:tc>
          <w:tcPr>
            <w:tcW w:w="4639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pct"/>
          <w:trHeight w:val="260" w:hRule="atLeast"/>
          <w:jc w:val="center"/>
        </w:trPr>
        <w:tc>
          <w:tcPr>
            <w:tcW w:w="4639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pct"/>
          <w:trHeight w:val="270" w:hRule="atLeast"/>
          <w:jc w:val="center"/>
        </w:trPr>
        <w:tc>
          <w:tcPr>
            <w:tcW w:w="4639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0FC02BF"/>
    <w:rsid w:val="03966D7D"/>
    <w:rsid w:val="045D1075"/>
    <w:rsid w:val="049868E8"/>
    <w:rsid w:val="057C552B"/>
    <w:rsid w:val="08206641"/>
    <w:rsid w:val="0A461000"/>
    <w:rsid w:val="0ACC7A53"/>
    <w:rsid w:val="0C6F1945"/>
    <w:rsid w:val="10525806"/>
    <w:rsid w:val="13A520F1"/>
    <w:rsid w:val="200A7EAB"/>
    <w:rsid w:val="21425423"/>
    <w:rsid w:val="22B660C8"/>
    <w:rsid w:val="23CA0C85"/>
    <w:rsid w:val="24141D9B"/>
    <w:rsid w:val="24277076"/>
    <w:rsid w:val="2579277F"/>
    <w:rsid w:val="25EA1EE7"/>
    <w:rsid w:val="297C64FE"/>
    <w:rsid w:val="2D1E0AF2"/>
    <w:rsid w:val="2E026666"/>
    <w:rsid w:val="399F1080"/>
    <w:rsid w:val="39BA53ED"/>
    <w:rsid w:val="3C940DD1"/>
    <w:rsid w:val="41034806"/>
    <w:rsid w:val="41AC44C7"/>
    <w:rsid w:val="463A342C"/>
    <w:rsid w:val="4ADF76BB"/>
    <w:rsid w:val="50D8030A"/>
    <w:rsid w:val="517D7C2E"/>
    <w:rsid w:val="53B4545D"/>
    <w:rsid w:val="54C60350"/>
    <w:rsid w:val="5A703824"/>
    <w:rsid w:val="5B793214"/>
    <w:rsid w:val="5E24557B"/>
    <w:rsid w:val="612543F2"/>
    <w:rsid w:val="61834DEC"/>
    <w:rsid w:val="64724786"/>
    <w:rsid w:val="64B67287"/>
    <w:rsid w:val="65741BD4"/>
    <w:rsid w:val="67567318"/>
    <w:rsid w:val="67CB129B"/>
    <w:rsid w:val="680447AD"/>
    <w:rsid w:val="690E2B8E"/>
    <w:rsid w:val="6AF16C6D"/>
    <w:rsid w:val="6B555B6D"/>
    <w:rsid w:val="7130216F"/>
    <w:rsid w:val="72844AE1"/>
    <w:rsid w:val="78511348"/>
    <w:rsid w:val="79AC25AE"/>
    <w:rsid w:val="79F25C4D"/>
    <w:rsid w:val="7CB44308"/>
    <w:rsid w:val="7CD66C7D"/>
    <w:rsid w:val="7E1F5E31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9378</Words>
  <Characters>10538</Characters>
  <Lines>0</Lines>
  <Paragraphs>0</Paragraphs>
  <TotalTime>4</TotalTime>
  <ScaleCrop>false</ScaleCrop>
  <LinksUpToDate>false</LinksUpToDate>
  <CharactersWithSpaces>10930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2023-07-10T01:52:00Z</dcterms:created>
  <dc:creator>MCDST</dc:creator>
  <cp:lastModifiedBy>肆。</cp:lastModifiedBy>
  <dcterms:modified xsi:type="dcterms:W3CDTF">2023-07-20T08:25:18Z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CFA215F26BFD41A6AB9AC8D14791B50D</vt:lpwstr>
  </property>
</Properties>
</file>