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公文小标宋"/>
          <w:spacing w:val="1"/>
          <w:sz w:val="36"/>
          <w:szCs w:val="36"/>
        </w:rPr>
      </w:pPr>
      <w:r>
        <w:rPr>
          <w:rFonts w:eastAsia="方正小标宋简体"/>
          <w:b/>
          <w:bCs/>
          <w:spacing w:val="1"/>
          <w:sz w:val="36"/>
          <w:szCs w:val="36"/>
        </w:rPr>
        <w:t>2022</w:t>
      </w:r>
      <w:r>
        <w:rPr>
          <w:rFonts w:eastAsia="方正小标宋简体"/>
          <w:spacing w:val="1"/>
          <w:sz w:val="36"/>
          <w:szCs w:val="36"/>
        </w:rPr>
        <w:t>年度植被恢复项目支出绩效自评报告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1、项目情况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我县于2012年在国家互联网中心登记注册了特色产业国家域名电子商标：中国竹子之乡，这项荣誉是我县对外宣传的一张重要名片。“中国竹子之乡”国家域名电子商标于2022年9月28日到期，为防止抢注现象出现，2022年10月向政府申请解决“中国竹子之乡”国家域名续费费用，所需经费在我县2021年森林植被恢复费及省级分成项目支出资金中列支。</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2、绩效目标</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项目实施的总体目标为：提升沐川县对外的美誉度、知名度，达到沐川独特品牌的塑造与传播。具体目标为：完成“中国竹子之乡”国家域名续费，使用年限10年，打造沐川的城市名片。</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根据《四川省财政厅 四川省林业和草原局关于下达2021年森林植被恢复费及省级分成项目支出资金预算的通知》(川财资环〔2022〕40号)，下达我县森林植被恢复费分成44.27万元，资金下达率100%。</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沐川县林业局关于解决“中国竹子之乡”国家域名续费资金的请示》（沐林〔2022〕134号），向政府申请解决“中国竹子之乡”国家域名续费费用19200元，使用年限10年，所需经费在我县2021年森林植被恢复费及省级分成项目支出资金中列支，该请示得到同意批复。</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项目预算批复资金为44.27万元，资金实际支付为1.92万元，预算执行率4.34%，资金支付于品标网联（厦门）信息科技有限公司，用于“中国竹子之乡”国家域名续费。</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完成“中国竹子之乡”国家域名续费。</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1、数量指标：完成1个国家域名续费。</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2、质量指标：城市形象知名度提升率≥10%。</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3、时效指标：使用年限为10年。</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4、成本指标：10年费用19200元。</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5、满意度指标：市民满意度≥93%。</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“中国竹子之乡”是沐川个性特色的具体体现，国家域名电子商标的注册能够提升沐川的城市形象，扩大对外宣传能力，吸引更多的人发现并了解沐川，对旅游业的发展也有一定的促进作用。</w:t>
      </w:r>
    </w:p>
    <w:p>
      <w:pPr>
        <w:pStyle w:val="3"/>
        <w:spacing w:before="0" w:after="0" w:line="360" w:lineRule="auto"/>
        <w:rPr>
          <w:rFonts w:eastAsia="黑体"/>
          <w:sz w:val="32"/>
        </w:rPr>
      </w:pPr>
      <w:r>
        <w:rPr>
          <w:rFonts w:eastAsia="黑体"/>
          <w:sz w:val="32"/>
        </w:rPr>
        <w:t>三、偏离绩效目标的原因和下一步改进措施</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2022年度项目自评得分为95分，绩效目标与预算同步批复、同步公开。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附件：1.2022年度植被恢复项目绩效目标自评表</w:t>
      </w:r>
    </w:p>
    <w:p>
      <w:pPr>
        <w:pStyle w:val="11"/>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2.2022年度植被恢复项目支出绩效评价指标体系</w:t>
      </w:r>
    </w:p>
    <w:p>
      <w:pPr>
        <w:pStyle w:val="11"/>
        <w:spacing w:line="360" w:lineRule="auto"/>
        <w:ind w:right="320" w:firstLine="1600" w:firstLineChars="500"/>
        <w:jc w:val="right"/>
        <w:rPr>
          <w:rFonts w:ascii="Times New Roman" w:hAnsi="Times New Roman" w:eastAsia="仿宋_GB2312" w:cs="Times New Roman"/>
          <w:sz w:val="32"/>
          <w:szCs w:val="32"/>
        </w:rPr>
      </w:pPr>
    </w:p>
    <w:p>
      <w:pPr>
        <w:pStyle w:val="11"/>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w:t>
      </w:r>
      <w:bookmarkStart w:id="1" w:name="_GoBack"/>
      <w:bookmarkEnd w:id="1"/>
      <w:r>
        <w:rPr>
          <w:rFonts w:ascii="Times New Roman" w:hAnsi="Times New Roman" w:eastAsia="仿宋_GB2312" w:cs="Times New Roman"/>
          <w:sz w:val="32"/>
          <w:szCs w:val="32"/>
        </w:rPr>
        <w:t>林业局</w:t>
      </w:r>
    </w:p>
    <w:p>
      <w:pPr>
        <w:pStyle w:val="11"/>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2023年7月12日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2022年度植被恢复项目绩效目标自评表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96"/>
        <w:gridCol w:w="1130"/>
        <w:gridCol w:w="1381"/>
        <w:gridCol w:w="1133"/>
        <w:gridCol w:w="1200"/>
        <w:gridCol w:w="1222"/>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5" w:type="pct"/>
            <w:gridSpan w:val="5"/>
            <w:vAlign w:val="center"/>
          </w:tcPr>
          <w:p>
            <w:pPr>
              <w:widowControl/>
              <w:spacing w:line="200" w:lineRule="exact"/>
              <w:jc w:val="center"/>
              <w:rPr>
                <w:color w:val="000000"/>
                <w:sz w:val="20"/>
                <w:szCs w:val="20"/>
              </w:rPr>
            </w:pPr>
            <w:r>
              <w:rPr>
                <w:color w:val="000000"/>
                <w:sz w:val="20"/>
                <w:szCs w:val="20"/>
              </w:rPr>
              <w:t>植被恢复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704"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6"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21"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44.27</w:t>
            </w:r>
          </w:p>
        </w:tc>
        <w:tc>
          <w:tcPr>
            <w:tcW w:w="1421" w:type="pct"/>
            <w:gridSpan w:val="2"/>
            <w:vAlign w:val="center"/>
          </w:tcPr>
          <w:p>
            <w:pPr>
              <w:widowControl/>
              <w:spacing w:line="200" w:lineRule="exact"/>
              <w:jc w:val="center"/>
              <w:rPr>
                <w:color w:val="000000"/>
                <w:sz w:val="20"/>
                <w:szCs w:val="20"/>
              </w:rPr>
            </w:pPr>
            <w:r>
              <w:rPr>
                <w:color w:val="000000"/>
                <w:sz w:val="20"/>
                <w:szCs w:val="20"/>
              </w:rPr>
              <w:t>1.92</w:t>
            </w:r>
          </w:p>
        </w:tc>
        <w:tc>
          <w:tcPr>
            <w:tcW w:w="729" w:type="pct"/>
            <w:vAlign w:val="center"/>
          </w:tcPr>
          <w:p>
            <w:pPr>
              <w:widowControl/>
              <w:spacing w:line="200" w:lineRule="exact"/>
              <w:jc w:val="center"/>
              <w:rPr>
                <w:color w:val="000000"/>
                <w:sz w:val="20"/>
                <w:szCs w:val="20"/>
              </w:rPr>
            </w:pPr>
            <w:r>
              <w:rPr>
                <w:color w:val="000000"/>
                <w:sz w:val="20"/>
                <w:szCs w:val="20"/>
              </w:rPr>
              <w:t>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44.27</w:t>
            </w:r>
          </w:p>
        </w:tc>
        <w:tc>
          <w:tcPr>
            <w:tcW w:w="1421" w:type="pct"/>
            <w:gridSpan w:val="2"/>
            <w:vAlign w:val="center"/>
          </w:tcPr>
          <w:p>
            <w:pPr>
              <w:widowControl/>
              <w:spacing w:line="200" w:lineRule="exact"/>
              <w:jc w:val="center"/>
              <w:rPr>
                <w:color w:val="000000"/>
                <w:sz w:val="20"/>
                <w:szCs w:val="20"/>
              </w:rPr>
            </w:pPr>
            <w:r>
              <w:rPr>
                <w:color w:val="000000"/>
                <w:sz w:val="20"/>
                <w:szCs w:val="20"/>
              </w:rPr>
              <w:t>1.92</w:t>
            </w:r>
          </w:p>
        </w:tc>
        <w:tc>
          <w:tcPr>
            <w:tcW w:w="729" w:type="pct"/>
            <w:vAlign w:val="center"/>
          </w:tcPr>
          <w:p>
            <w:pPr>
              <w:widowControl/>
              <w:spacing w:line="200" w:lineRule="exact"/>
              <w:jc w:val="center"/>
              <w:rPr>
                <w:color w:val="000000"/>
                <w:sz w:val="20"/>
                <w:szCs w:val="20"/>
              </w:rPr>
            </w:pPr>
            <w:r>
              <w:rPr>
                <w:color w:val="000000"/>
                <w:sz w:val="20"/>
                <w:szCs w:val="20"/>
              </w:rPr>
              <w:t>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5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420"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提升沐川县对外的美誉度、知名度，达到沐川独特品牌的塑造与传播。</w:t>
            </w:r>
          </w:p>
        </w:tc>
        <w:tc>
          <w:tcPr>
            <w:tcW w:w="2150" w:type="pct"/>
            <w:gridSpan w:val="3"/>
            <w:vAlign w:val="center"/>
          </w:tcPr>
          <w:p>
            <w:pPr>
              <w:widowControl/>
              <w:spacing w:line="200" w:lineRule="exact"/>
              <w:rPr>
                <w:color w:val="000000"/>
                <w:sz w:val="20"/>
                <w:szCs w:val="20"/>
              </w:rPr>
            </w:pPr>
            <w:r>
              <w:rPr>
                <w:color w:val="000000"/>
                <w:sz w:val="20"/>
                <w:szCs w:val="20"/>
              </w:rPr>
              <w:t>完成“中国竹子之乡”国家域名续费，提升沐川县对外的美誉度、知名度。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04"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16"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国家域名注册</w:t>
            </w:r>
          </w:p>
        </w:tc>
        <w:tc>
          <w:tcPr>
            <w:tcW w:w="704" w:type="pct"/>
            <w:vAlign w:val="center"/>
          </w:tcPr>
          <w:p>
            <w:pPr>
              <w:widowControl/>
              <w:spacing w:line="200" w:lineRule="exact"/>
              <w:jc w:val="center"/>
              <w:rPr>
                <w:color w:val="000000"/>
                <w:sz w:val="20"/>
                <w:szCs w:val="20"/>
              </w:rPr>
            </w:pPr>
            <w:r>
              <w:rPr>
                <w:color w:val="000000"/>
                <w:sz w:val="20"/>
                <w:szCs w:val="20"/>
              </w:rPr>
              <w:t>＝1个</w:t>
            </w:r>
          </w:p>
        </w:tc>
        <w:tc>
          <w:tcPr>
            <w:tcW w:w="716" w:type="pct"/>
            <w:vAlign w:val="center"/>
          </w:tcPr>
          <w:p>
            <w:pPr>
              <w:widowControl/>
              <w:spacing w:line="200" w:lineRule="exact"/>
              <w:jc w:val="center"/>
              <w:rPr>
                <w:color w:val="000000"/>
                <w:sz w:val="20"/>
                <w:szCs w:val="20"/>
              </w:rPr>
            </w:pPr>
            <w:r>
              <w:rPr>
                <w:color w:val="000000"/>
                <w:sz w:val="20"/>
                <w:szCs w:val="20"/>
              </w:rPr>
              <w:t>=1个</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城市形象知名度提升率</w:t>
            </w:r>
          </w:p>
        </w:tc>
        <w:tc>
          <w:tcPr>
            <w:tcW w:w="704" w:type="pct"/>
            <w:vAlign w:val="center"/>
          </w:tcPr>
          <w:p>
            <w:pPr>
              <w:widowControl/>
              <w:spacing w:line="200" w:lineRule="exact"/>
              <w:jc w:val="center"/>
              <w:rPr>
                <w:color w:val="000000"/>
                <w:sz w:val="20"/>
                <w:szCs w:val="20"/>
              </w:rPr>
            </w:pPr>
            <w:r>
              <w:rPr>
                <w:color w:val="000000"/>
                <w:sz w:val="20"/>
                <w:szCs w:val="20"/>
              </w:rPr>
              <w:t>≥10%</w:t>
            </w:r>
          </w:p>
        </w:tc>
        <w:tc>
          <w:tcPr>
            <w:tcW w:w="716" w:type="pct"/>
            <w:vAlign w:val="center"/>
          </w:tcPr>
          <w:p>
            <w:pPr>
              <w:widowControl/>
              <w:spacing w:line="200" w:lineRule="exact"/>
              <w:jc w:val="center"/>
              <w:rPr>
                <w:color w:val="000000"/>
                <w:sz w:val="20"/>
                <w:szCs w:val="20"/>
              </w:rPr>
            </w:pPr>
            <w:r>
              <w:rPr>
                <w:color w:val="000000"/>
                <w:sz w:val="20"/>
                <w:szCs w:val="20"/>
              </w:rPr>
              <w:t>≥10%。</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使用年限</w:t>
            </w:r>
          </w:p>
        </w:tc>
        <w:tc>
          <w:tcPr>
            <w:tcW w:w="704" w:type="pct"/>
            <w:vAlign w:val="center"/>
          </w:tcPr>
          <w:p>
            <w:pPr>
              <w:widowControl/>
              <w:spacing w:line="200" w:lineRule="exact"/>
              <w:jc w:val="center"/>
              <w:rPr>
                <w:color w:val="000000"/>
                <w:sz w:val="20"/>
                <w:szCs w:val="20"/>
              </w:rPr>
            </w:pPr>
            <w:r>
              <w:rPr>
                <w:color w:val="000000"/>
                <w:sz w:val="20"/>
                <w:szCs w:val="20"/>
              </w:rPr>
              <w:t>10年</w:t>
            </w:r>
          </w:p>
        </w:tc>
        <w:tc>
          <w:tcPr>
            <w:tcW w:w="716" w:type="pct"/>
            <w:vAlign w:val="center"/>
          </w:tcPr>
          <w:p>
            <w:pPr>
              <w:widowControl/>
              <w:spacing w:line="200" w:lineRule="exact"/>
              <w:jc w:val="center"/>
              <w:rPr>
                <w:color w:val="000000"/>
                <w:sz w:val="20"/>
                <w:szCs w:val="20"/>
              </w:rPr>
            </w:pPr>
            <w:r>
              <w:rPr>
                <w:color w:val="000000"/>
                <w:sz w:val="20"/>
                <w:szCs w:val="20"/>
              </w:rPr>
              <w:t>10年</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合同费用</w:t>
            </w:r>
          </w:p>
        </w:tc>
        <w:tc>
          <w:tcPr>
            <w:tcW w:w="704" w:type="pct"/>
            <w:vAlign w:val="center"/>
          </w:tcPr>
          <w:p>
            <w:pPr>
              <w:widowControl/>
              <w:spacing w:line="200" w:lineRule="exact"/>
              <w:jc w:val="center"/>
              <w:rPr>
                <w:color w:val="000000"/>
                <w:sz w:val="20"/>
                <w:szCs w:val="20"/>
              </w:rPr>
            </w:pPr>
            <w:r>
              <w:rPr>
                <w:color w:val="000000"/>
                <w:sz w:val="20"/>
                <w:szCs w:val="20"/>
              </w:rPr>
              <w:t>＝19200元</w:t>
            </w:r>
          </w:p>
        </w:tc>
        <w:tc>
          <w:tcPr>
            <w:tcW w:w="716" w:type="pct"/>
            <w:vAlign w:val="center"/>
          </w:tcPr>
          <w:p>
            <w:pPr>
              <w:widowControl/>
              <w:spacing w:line="200" w:lineRule="exact"/>
              <w:jc w:val="center"/>
              <w:rPr>
                <w:color w:val="000000"/>
                <w:sz w:val="20"/>
                <w:szCs w:val="20"/>
              </w:rPr>
            </w:pPr>
            <w:r>
              <w:rPr>
                <w:color w:val="000000"/>
                <w:sz w:val="20"/>
                <w:szCs w:val="20"/>
              </w:rPr>
              <w:t>＝19200元</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jc w:val="center"/>
              <w:rPr>
                <w:color w:val="000000"/>
                <w:sz w:val="20"/>
                <w:szCs w:val="20"/>
              </w:rPr>
            </w:pPr>
            <w:r>
              <w:rPr>
                <w:color w:val="000000"/>
                <w:sz w:val="20"/>
                <w:szCs w:val="20"/>
              </w:rPr>
              <w:t>扩大宣传力度</w:t>
            </w:r>
          </w:p>
        </w:tc>
        <w:tc>
          <w:tcPr>
            <w:tcW w:w="704" w:type="pct"/>
            <w:vAlign w:val="center"/>
          </w:tcPr>
          <w:p>
            <w:pPr>
              <w:widowControl/>
              <w:spacing w:line="200" w:lineRule="exact"/>
              <w:jc w:val="center"/>
              <w:rPr>
                <w:color w:val="000000"/>
                <w:sz w:val="20"/>
                <w:szCs w:val="20"/>
              </w:rPr>
            </w:pPr>
            <w:r>
              <w:rPr>
                <w:color w:val="000000"/>
                <w:sz w:val="20"/>
                <w:szCs w:val="20"/>
              </w:rPr>
              <w:t>优</w:t>
            </w:r>
          </w:p>
        </w:tc>
        <w:tc>
          <w:tcPr>
            <w:tcW w:w="716" w:type="pct"/>
            <w:vAlign w:val="center"/>
          </w:tcPr>
          <w:p>
            <w:pPr>
              <w:widowControl/>
              <w:spacing w:line="200" w:lineRule="exact"/>
              <w:jc w:val="center"/>
              <w:rPr>
                <w:color w:val="000000"/>
                <w:sz w:val="20"/>
                <w:szCs w:val="20"/>
              </w:rPr>
            </w:pPr>
            <w:r>
              <w:rPr>
                <w:color w:val="000000"/>
                <w:sz w:val="20"/>
                <w:szCs w:val="20"/>
              </w:rPr>
              <w:t>优</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color w:val="000000"/>
                <w:sz w:val="20"/>
                <w:szCs w:val="20"/>
              </w:rPr>
              <w:t>市民满意度</w:t>
            </w:r>
          </w:p>
        </w:tc>
        <w:tc>
          <w:tcPr>
            <w:tcW w:w="704" w:type="pct"/>
            <w:vAlign w:val="center"/>
          </w:tcPr>
          <w:p>
            <w:pPr>
              <w:widowControl/>
              <w:spacing w:line="200" w:lineRule="exact"/>
              <w:jc w:val="center"/>
              <w:rPr>
                <w:sz w:val="20"/>
                <w:szCs w:val="20"/>
              </w:rPr>
            </w:pPr>
            <w:r>
              <w:rPr>
                <w:color w:val="000000"/>
                <w:sz w:val="20"/>
                <w:szCs w:val="20"/>
              </w:rPr>
              <w:t>≥92%</w:t>
            </w:r>
          </w:p>
        </w:tc>
        <w:tc>
          <w:tcPr>
            <w:tcW w:w="716" w:type="pct"/>
            <w:vAlign w:val="center"/>
          </w:tcPr>
          <w:p>
            <w:pPr>
              <w:widowControl/>
              <w:spacing w:line="200" w:lineRule="exact"/>
              <w:jc w:val="center"/>
              <w:rPr>
                <w:sz w:val="20"/>
                <w:szCs w:val="20"/>
              </w:rPr>
            </w:pPr>
            <w:r>
              <w:rPr>
                <w:color w:val="000000"/>
                <w:sz w:val="20"/>
                <w:szCs w:val="20"/>
              </w:rPr>
              <w:t>≥93%</w:t>
            </w:r>
          </w:p>
        </w:tc>
        <w:tc>
          <w:tcPr>
            <w:tcW w:w="729"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9"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pPr>
      <w: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2022年度植被恢复项目支出绩效评价指标体系</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634"/>
        <w:gridCol w:w="768"/>
        <w:gridCol w:w="1318"/>
        <w:gridCol w:w="1177"/>
        <w:gridCol w:w="1480"/>
        <w:gridCol w:w="1246"/>
        <w:gridCol w:w="781"/>
        <w:gridCol w:w="584"/>
        <w:gridCol w:w="506"/>
        <w:gridCol w:w="625"/>
        <w:gridCol w:w="631"/>
        <w:gridCol w:w="4178"/>
        <w:gridCol w:w="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86" w:type="pct"/>
            <w:gridSpan w:val="5"/>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74"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400"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37"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gridSpan w:val="2"/>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422"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6"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74" w:type="pct"/>
            <w:vMerge w:val="continue"/>
            <w:vAlign w:val="center"/>
          </w:tcPr>
          <w:p>
            <w:pPr>
              <w:spacing w:line="400" w:lineRule="exact"/>
              <w:jc w:val="center"/>
              <w:rPr>
                <w:rFonts w:ascii="仿宋_GB2312" w:hAnsi="Arial Unicode MS" w:cs="Arial Unicode MS"/>
                <w:b/>
                <w:bCs/>
                <w:kern w:val="0"/>
                <w:sz w:val="18"/>
                <w:szCs w:val="18"/>
              </w:rPr>
            </w:pPr>
          </w:p>
        </w:tc>
        <w:tc>
          <w:tcPr>
            <w:tcW w:w="39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00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37"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gridSpan w:val="2"/>
            <w:vMerge w:val="continue"/>
            <w:vAlign w:val="center"/>
          </w:tcPr>
          <w:p>
            <w:pPr>
              <w:spacing w:line="400" w:lineRule="exact"/>
              <w:jc w:val="center"/>
              <w:rPr>
                <w:rFonts w:ascii="仿宋_GB2312" w:hAnsi="Arial Unicode MS" w:cs="Arial Unicode MS"/>
                <w:kern w:val="0"/>
                <w:sz w:val="18"/>
                <w:szCs w:val="18"/>
              </w:rPr>
            </w:pPr>
          </w:p>
        </w:tc>
        <w:tc>
          <w:tcPr>
            <w:tcW w:w="422" w:type="pct"/>
            <w:vMerge w:val="continue"/>
            <w:vAlign w:val="center"/>
          </w:tcPr>
          <w:p>
            <w:pPr>
              <w:spacing w:line="400" w:lineRule="exact"/>
              <w:jc w:val="center"/>
              <w:rPr>
                <w:rFonts w:ascii="仿宋_GB2312" w:hAnsi="Arial Unicode MS" w:cs="Arial Unicode MS"/>
                <w:kern w:val="0"/>
                <w:sz w:val="18"/>
                <w:szCs w:val="18"/>
              </w:rPr>
            </w:pPr>
          </w:p>
        </w:tc>
        <w:tc>
          <w:tcPr>
            <w:tcW w:w="376" w:type="pct"/>
            <w:vMerge w:val="continue"/>
            <w:vAlign w:val="center"/>
          </w:tcPr>
          <w:p>
            <w:pPr>
              <w:spacing w:line="400" w:lineRule="exact"/>
              <w:jc w:val="center"/>
              <w:rPr>
                <w:rFonts w:ascii="仿宋_GB2312" w:hAnsi="Arial Unicode MS" w:cs="Arial Unicode MS"/>
                <w:kern w:val="0"/>
                <w:sz w:val="18"/>
                <w:szCs w:val="18"/>
              </w:rPr>
            </w:pPr>
          </w:p>
        </w:tc>
        <w:tc>
          <w:tcPr>
            <w:tcW w:w="474" w:type="pct"/>
            <w:vMerge w:val="continue"/>
            <w:vAlign w:val="center"/>
          </w:tcPr>
          <w:p>
            <w:pPr>
              <w:spacing w:line="400" w:lineRule="exact"/>
              <w:jc w:val="center"/>
              <w:rPr>
                <w:rFonts w:ascii="仿宋_GB2312" w:hAnsi="Arial Unicode MS" w:cs="Arial Unicode MS"/>
                <w:kern w:val="0"/>
                <w:sz w:val="18"/>
                <w:szCs w:val="18"/>
              </w:rPr>
            </w:pPr>
          </w:p>
        </w:tc>
        <w:tc>
          <w:tcPr>
            <w:tcW w:w="399"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20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20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37"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bookmarkStart w:id="0" w:name="OLE_LINK1" w:colFirst="13" w:colLast="14"/>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200"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功能性</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反映公共基础设施建设功能是否达到计划能力，建成后是否正常并良好运行，延续性是否达到预期</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发现基础设施功能明显未实现预期的，发现一项扣1分，直至扣完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主要查看建设项目是否实施方案实现预期功能，是否能够持续良好地运作，有效地维护，特别是公共设施类的项目，是否能有效满足人民群众的现实需要</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配套性</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项目建成后相关工程、点位是否相关协调，配套设施是否整体协调，是否全面衔接发挥整体效益</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重点查看区域内建设规划在空间分布、功能配套整合、土地利用等方面是否存在明显有违常理，不科学合理的情况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20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24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设备购置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运行状况</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购置的设备常态化运行情况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重点查看购置设备日常使用频率及正常运转情况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203" w:type="pct"/>
            <w:vMerge w:val="continue"/>
            <w:vAlign w:val="center"/>
          </w:tcPr>
          <w:p>
            <w:pPr>
              <w:spacing w:line="300" w:lineRule="exact"/>
              <w:jc w:val="center"/>
              <w:rPr>
                <w:rFonts w:ascii="仿宋_GB2312" w:hAnsi="Arial Unicode MS" w:cs="Arial Unicode MS"/>
                <w:kern w:val="0"/>
                <w:sz w:val="18"/>
                <w:szCs w:val="18"/>
              </w:rPr>
            </w:pPr>
          </w:p>
        </w:tc>
        <w:tc>
          <w:tcPr>
            <w:tcW w:w="246" w:type="pct"/>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ind w:firstLine="180" w:firstLineChars="100"/>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知名度提升</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知名度提升情况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项目实施后对沐川知名度的提升情况。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4789" w:type="pct"/>
            <w:gridSpan w:val="14"/>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95</w:t>
            </w:r>
          </w:p>
        </w:tc>
      </w:tr>
      <w:bookmarkEnd w:id="0"/>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b/>
                              <w:bCs/>
                            </w:rPr>
                          </w:pPr>
                          <w:r>
                            <w:rPr>
                              <w:b/>
                              <w:bCs/>
                            </w:rPr>
                            <w:fldChar w:fldCharType="begin"/>
                          </w:r>
                          <w:r>
                            <w:rPr>
                              <w:b/>
                              <w:bCs/>
                            </w:rPr>
                            <w:instrText xml:space="preserve"> PAGE  \* MERGEFORMAT </w:instrText>
                          </w:r>
                          <w:r>
                            <w:rPr>
                              <w:b/>
                              <w:bCs/>
                            </w:rPr>
                            <w:fldChar w:fldCharType="separate"/>
                          </w:r>
                          <w:r>
                            <w:rPr>
                              <w:b/>
                              <w:bCs/>
                            </w:rPr>
                            <w:t>1</w:t>
                          </w:r>
                          <w:r>
                            <w:rPr>
                              <w:b/>
                              <w:bCs/>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rPr>
                        <w:b/>
                        <w:bCs/>
                      </w:rPr>
                    </w:pPr>
                    <w:r>
                      <w:rPr>
                        <w:b/>
                        <w:bCs/>
                      </w:rPr>
                      <w:fldChar w:fldCharType="begin"/>
                    </w:r>
                    <w:r>
                      <w:rPr>
                        <w:b/>
                        <w:bCs/>
                      </w:rPr>
                      <w:instrText xml:space="preserve"> PAGE  \* MERGEFORMAT </w:instrText>
                    </w:r>
                    <w:r>
                      <w:rPr>
                        <w:b/>
                        <w:bCs/>
                      </w:rPr>
                      <w:fldChar w:fldCharType="separate"/>
                    </w:r>
                    <w:r>
                      <w:rPr>
                        <w:b/>
                        <w:bCs/>
                      </w:rPr>
                      <w:t>1</w:t>
                    </w:r>
                    <w:r>
                      <w:rPr>
                        <w:b/>
                        <w:bCs/>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D226EA5-9FFF-4EDD-B1A9-0FD7DAAFA930}" w:val="KUr9E1jDwoctlTxO78vqBJIM23/+6g0CQSWey4p=PHafNzhkLRYZiAVun5bsmFdXG"/>
    <w:docVar w:name="commondata" w:val="eyJoZGlkIjoiZTgxNTJkNDk3ZTBmZDg5MTJhMDY2NzllNjYwMWY1MWMifQ=="/>
    <w:docVar w:name="DocumentID" w:val="{95CD3CD6-7E8F-4D61-8E53-2FCD8E8D8031}"/>
  </w:docVars>
  <w:rsids>
    <w:rsidRoot w:val="0B0634F0"/>
    <w:rsid w:val="00122C63"/>
    <w:rsid w:val="003B7C79"/>
    <w:rsid w:val="00447D9A"/>
    <w:rsid w:val="004E11C8"/>
    <w:rsid w:val="00785146"/>
    <w:rsid w:val="009E7D34"/>
    <w:rsid w:val="009F5C93"/>
    <w:rsid w:val="00A26CB4"/>
    <w:rsid w:val="00A93D23"/>
    <w:rsid w:val="00B45C15"/>
    <w:rsid w:val="00D56F70"/>
    <w:rsid w:val="00F901F6"/>
    <w:rsid w:val="0890362F"/>
    <w:rsid w:val="0B0634F0"/>
    <w:rsid w:val="10F772D2"/>
    <w:rsid w:val="2101264B"/>
    <w:rsid w:val="2609055C"/>
    <w:rsid w:val="2BEF00BA"/>
    <w:rsid w:val="3E0844C2"/>
    <w:rsid w:val="402D539C"/>
    <w:rsid w:val="4BFB31A2"/>
    <w:rsid w:val="4FBB1C67"/>
    <w:rsid w:val="58102D59"/>
    <w:rsid w:val="5F021EAC"/>
    <w:rsid w:val="63335D92"/>
    <w:rsid w:val="6CE6163F"/>
    <w:rsid w:val="6DED6A5F"/>
    <w:rsid w:val="6E881A5B"/>
    <w:rsid w:val="75562450"/>
    <w:rsid w:val="7E735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3156</Words>
  <Characters>3356</Characters>
  <Lines>26</Lines>
  <Paragraphs>7</Paragraphs>
  <TotalTime>5</TotalTime>
  <ScaleCrop>false</ScaleCrop>
  <LinksUpToDate>false</LinksUpToDate>
  <CharactersWithSpaces>3369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2023-10-17T02:22:01Z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