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年度生态护林员</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森林植被丰富，全县林地面积161万亩，森林覆盖率高达77.34%，其中集体和个人所有的生态公益林面积53.07万亩，涉及19个乡镇，190多个村。为切实加强森林资源管理，保护生态建设成果，我县积极利用生态补偿和生态保护工程资金解决部分贫困人口兼职生态护林员。</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实现“山有人管、林有人护、火有人防、责有人担”的总体要求，更好保障我县森林资源安全。2022年的具体目标为：根据《四川省财政厅四川省林业和草原局关于下达2022年中央财政林业草原生态保护恢复资金预算(第一批)的通知》（川财资环〔2022〕35号），下达我县生态护林员补助167万元，任务为生态护林员不低于167人，对生态护林员进行网格化管理，日常巡查覆盖率≥95%</w:t>
      </w:r>
      <w:r>
        <w:rPr>
          <w:rFonts w:hint="eastAsia" w:ascii="Times New Roman" w:hAnsi="Times New Roman" w:eastAsia="仿宋_GB2312" w:cs="Times New Roman"/>
          <w:sz w:val="32"/>
          <w:szCs w:val="32"/>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1、资金计划及到位。《四川省财政厅四川省林业和草原局关于下达2022年中央财政林业草原生态保护恢复资金预算(第一批)的通知》（川财资环〔2022〕35号），下达我县生态护林员补助167万元，资金下达率100%。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w:t>
      </w:r>
      <w:r>
        <w:rPr>
          <w:rFonts w:hint="eastAsia" w:ascii="Times New Roman" w:hAnsi="Times New Roman" w:eastAsia="仿宋_GB2312" w:cs="Times New Roman"/>
          <w:sz w:val="32"/>
          <w:szCs w:val="32"/>
        </w:rPr>
        <w:t>2022年12月底</w:t>
      </w:r>
      <w:r>
        <w:rPr>
          <w:rFonts w:ascii="Times New Roman" w:hAnsi="Times New Roman" w:eastAsia="仿宋_GB2312" w:cs="Times New Roman"/>
          <w:sz w:val="32"/>
          <w:szCs w:val="32"/>
        </w:rPr>
        <w:t>项目资金的实际支出146.12万元，资金开支范围、标准及支付进度严格按照规定，支付依据合规合法，资金支付与预算相符。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项目预算批复资金为167万元，按照每月400元/人的标准，每季度发放，资金实际支付为146.12万元，预算执行率87.5%，资金主要用于生态护林员的管护劳务报酬等支出。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在脱贫人口中续聘生态护林员609名，对所在区域内的森林进行管护。</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1、数量指标：在脱贫人口中续聘生态护林员609名，以下为具体乡镇人数：</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695"/>
        <w:gridCol w:w="1758"/>
        <w:gridCol w:w="235"/>
        <w:gridCol w:w="769"/>
        <w:gridCol w:w="1678"/>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c>
          <w:tcPr>
            <w:tcW w:w="138" w:type="pct"/>
            <w:vMerge w:val="restart"/>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序号</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乡镇名称</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护林员人数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沐溪镇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8</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底堡乡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大楠镇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9</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杨村乡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箭板镇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32</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10</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高笋乡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舟坝镇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45</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11</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茨竹乡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5</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黄丹镇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12</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武圣乡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利店镇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67</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13</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永福镇</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7</w:t>
            </w:r>
          </w:p>
        </w:tc>
        <w:tc>
          <w:tcPr>
            <w:tcW w:w="99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富新镇</w:t>
            </w:r>
          </w:p>
        </w:tc>
        <w:tc>
          <w:tcPr>
            <w:tcW w:w="103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40</w:t>
            </w:r>
          </w:p>
        </w:tc>
        <w:tc>
          <w:tcPr>
            <w:tcW w:w="138" w:type="pct"/>
            <w:vMerge w:val="continue"/>
            <w:vAlign w:val="center"/>
          </w:tcPr>
          <w:p>
            <w:pPr>
              <w:pStyle w:val="7"/>
              <w:jc w:val="center"/>
              <w:rPr>
                <w:rFonts w:ascii="Times New Roman" w:hAnsi="Times New Roman" w:eastAsia="仿宋_GB2312" w:cs="Times New Roman"/>
                <w:b w:val="0"/>
                <w:bCs w:val="0"/>
                <w:sz w:val="28"/>
                <w:szCs w:val="28"/>
                <w:lang w:val="en-US"/>
              </w:rPr>
            </w:pPr>
          </w:p>
        </w:tc>
        <w:tc>
          <w:tcPr>
            <w:tcW w:w="451"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14</w:t>
            </w:r>
          </w:p>
        </w:tc>
        <w:tc>
          <w:tcPr>
            <w:tcW w:w="984"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合计</w:t>
            </w:r>
          </w:p>
        </w:tc>
        <w:tc>
          <w:tcPr>
            <w:tcW w:w="969" w:type="pct"/>
            <w:vAlign w:val="center"/>
          </w:tcPr>
          <w:p>
            <w:pPr>
              <w:pStyle w:val="7"/>
              <w:ind w:left="0"/>
              <w:jc w:val="center"/>
              <w:rPr>
                <w:rFonts w:ascii="Times New Roman" w:hAnsi="Times New Roman" w:eastAsia="仿宋_GB2312" w:cs="Times New Roman"/>
                <w:b w:val="0"/>
                <w:bCs w:val="0"/>
                <w:sz w:val="28"/>
                <w:szCs w:val="28"/>
                <w:lang w:val="en-US"/>
              </w:rPr>
            </w:pPr>
            <w:r>
              <w:rPr>
                <w:rFonts w:ascii="Times New Roman" w:hAnsi="Times New Roman" w:eastAsia="仿宋_GB2312" w:cs="Times New Roman"/>
                <w:b w:val="0"/>
                <w:bCs w:val="0"/>
                <w:sz w:val="28"/>
                <w:szCs w:val="28"/>
                <w:lang w:val="en-US"/>
              </w:rPr>
              <w:t>609</w:t>
            </w:r>
          </w:p>
        </w:tc>
      </w:tr>
    </w:tbl>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2、质量指标：日常巡查覆盖率≥95%。</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3、时效指标：生态护林员补助兑现率≥85%，管护时间为2022年1月5日至2022年12月31日。</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4、成本指标：400元/人/月，由乡镇人民政府委托村两委与生态护林员签订管护劳务协议。</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5、满意度指标：护林员满意度≥92%。</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将全县609名护林员管护区域分解落实到山头地块，确保山有人管，绿有人护，每名护林员均安装并上线使用熊猫护林员APP，据实填写巡山记录，并积极参与森防卡口值班检查，指导全县609名护林员熟练使用“数字熊猫监测”即报系统，加大森林防火巡护力度，重点时段在护林员巡护的基础上增加村组干部巡护，发现火灾隐患及时正确处置。</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护林员对森林进行管护，确保山有人管，绿有人护，减少了森林火灾、乱砍滥伐、偷捕盗猎的现象，项目的实施，增加就业岗位609个，建档立卡人口护林员年收入增加，减轻了生活负担。</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附件：1.2022年度生态护林员项目绩效目标自评表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2.2022年度生态护林员项目支出绩效评价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w:t>
      </w:r>
      <w:bookmarkStart w:id="0" w:name="_GoBack"/>
      <w:bookmarkEnd w:id="0"/>
      <w:r>
        <w:rPr>
          <w:rFonts w:ascii="Times New Roman" w:hAnsi="Times New Roman" w:eastAsia="仿宋_GB2312" w:cs="Times New Roman"/>
          <w:sz w:val="32"/>
          <w:szCs w:val="32"/>
        </w:rPr>
        <w:t>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2023年7月15日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2022年度生态护林员项目绩效目标自评表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生态护林员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167</w:t>
            </w:r>
          </w:p>
        </w:tc>
        <w:tc>
          <w:tcPr>
            <w:tcW w:w="1314" w:type="pct"/>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167</w:t>
            </w:r>
          </w:p>
        </w:tc>
        <w:tc>
          <w:tcPr>
            <w:tcW w:w="2240" w:type="dxa"/>
            <w:gridSpan w:val="2"/>
            <w:vAlign w:val="center"/>
          </w:tcPr>
          <w:p>
            <w:pPr>
              <w:widowControl/>
              <w:spacing w:line="200" w:lineRule="exact"/>
              <w:jc w:val="center"/>
              <w:rPr>
                <w:color w:val="000000"/>
                <w:sz w:val="20"/>
                <w:szCs w:val="20"/>
              </w:rPr>
            </w:pPr>
            <w:r>
              <w:rPr>
                <w:color w:val="000000"/>
                <w:sz w:val="20"/>
                <w:szCs w:val="20"/>
              </w:rPr>
              <w:t>146.12</w:t>
            </w:r>
          </w:p>
        </w:tc>
        <w:tc>
          <w:tcPr>
            <w:tcW w:w="833" w:type="pct"/>
            <w:vAlign w:val="center"/>
          </w:tcPr>
          <w:p>
            <w:pPr>
              <w:widowControl/>
              <w:spacing w:line="200" w:lineRule="exact"/>
              <w:jc w:val="center"/>
              <w:rPr>
                <w:color w:val="000000"/>
                <w:sz w:val="20"/>
                <w:szCs w:val="20"/>
              </w:rPr>
            </w:pPr>
            <w:r>
              <w:rPr>
                <w:color w:val="000000"/>
                <w:sz w:val="20"/>
                <w:szCs w:val="20"/>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实现“山有人管、林有人护、火有人防、责有人担”的总体要求，更好保障我县森林资源安全。</w:t>
            </w:r>
          </w:p>
        </w:tc>
        <w:tc>
          <w:tcPr>
            <w:tcW w:w="2147" w:type="pct"/>
            <w:gridSpan w:val="3"/>
            <w:vAlign w:val="center"/>
          </w:tcPr>
          <w:p>
            <w:pPr>
              <w:widowControl/>
              <w:spacing w:line="200" w:lineRule="exact"/>
              <w:rPr>
                <w:color w:val="000000"/>
                <w:sz w:val="20"/>
                <w:szCs w:val="20"/>
              </w:rPr>
            </w:pPr>
            <w:r>
              <w:rPr>
                <w:color w:val="000000"/>
                <w:sz w:val="20"/>
                <w:szCs w:val="20"/>
              </w:rPr>
              <w:t>在脱贫人口中续聘生态护林员609名，对所在区域内的森林进行管护。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生态护林员</w:t>
            </w:r>
          </w:p>
        </w:tc>
        <w:tc>
          <w:tcPr>
            <w:tcW w:w="640" w:type="pct"/>
            <w:vAlign w:val="center"/>
          </w:tcPr>
          <w:p>
            <w:pPr>
              <w:widowControl/>
              <w:spacing w:line="200" w:lineRule="exact"/>
              <w:jc w:val="center"/>
              <w:rPr>
                <w:color w:val="000000"/>
                <w:sz w:val="20"/>
                <w:szCs w:val="20"/>
              </w:rPr>
            </w:pPr>
            <w:r>
              <w:rPr>
                <w:color w:val="000000"/>
                <w:sz w:val="20"/>
                <w:szCs w:val="20"/>
              </w:rPr>
              <w:t>≥167人</w:t>
            </w:r>
          </w:p>
        </w:tc>
        <w:tc>
          <w:tcPr>
            <w:tcW w:w="674" w:type="pct"/>
            <w:vAlign w:val="center"/>
          </w:tcPr>
          <w:p>
            <w:pPr>
              <w:widowControl/>
              <w:spacing w:line="200" w:lineRule="exact"/>
              <w:jc w:val="center"/>
              <w:rPr>
                <w:color w:val="000000"/>
                <w:sz w:val="20"/>
                <w:szCs w:val="20"/>
              </w:rPr>
            </w:pPr>
            <w:r>
              <w:rPr>
                <w:color w:val="000000"/>
                <w:sz w:val="20"/>
                <w:szCs w:val="20"/>
              </w:rPr>
              <w:t>＝609人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日常巡查覆盖率</w:t>
            </w:r>
          </w:p>
        </w:tc>
        <w:tc>
          <w:tcPr>
            <w:tcW w:w="640" w:type="pct"/>
            <w:vAlign w:val="center"/>
          </w:tcPr>
          <w:p>
            <w:pPr>
              <w:widowControl/>
              <w:spacing w:line="200" w:lineRule="exact"/>
              <w:jc w:val="center"/>
              <w:rPr>
                <w:color w:val="000000"/>
                <w:sz w:val="20"/>
                <w:szCs w:val="20"/>
              </w:rPr>
            </w:pPr>
            <w:r>
              <w:rPr>
                <w:color w:val="000000"/>
                <w:sz w:val="20"/>
                <w:szCs w:val="20"/>
              </w:rPr>
              <w:t>≥95%</w:t>
            </w:r>
          </w:p>
        </w:tc>
        <w:tc>
          <w:tcPr>
            <w:tcW w:w="674" w:type="pct"/>
            <w:vAlign w:val="center"/>
          </w:tcPr>
          <w:p>
            <w:pPr>
              <w:widowControl/>
              <w:spacing w:line="200" w:lineRule="exact"/>
              <w:jc w:val="center"/>
              <w:rPr>
                <w:color w:val="000000"/>
                <w:sz w:val="20"/>
                <w:szCs w:val="20"/>
              </w:rPr>
            </w:pPr>
            <w:r>
              <w:rPr>
                <w:color w:val="000000"/>
                <w:sz w:val="20"/>
                <w:szCs w:val="20"/>
              </w:rPr>
              <w:t>≥96%;</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管护开展时间</w:t>
            </w:r>
          </w:p>
        </w:tc>
        <w:tc>
          <w:tcPr>
            <w:tcW w:w="640" w:type="pct"/>
            <w:vAlign w:val="center"/>
          </w:tcPr>
          <w:p>
            <w:pPr>
              <w:widowControl/>
              <w:spacing w:line="200" w:lineRule="exact"/>
              <w:jc w:val="center"/>
              <w:rPr>
                <w:color w:val="000000"/>
                <w:sz w:val="20"/>
                <w:szCs w:val="20"/>
              </w:rPr>
            </w:pPr>
            <w:r>
              <w:rPr>
                <w:color w:val="000000"/>
                <w:sz w:val="20"/>
                <w:szCs w:val="20"/>
              </w:rPr>
              <w:t>2022年全年</w:t>
            </w:r>
          </w:p>
        </w:tc>
        <w:tc>
          <w:tcPr>
            <w:tcW w:w="674" w:type="pct"/>
            <w:vAlign w:val="center"/>
          </w:tcPr>
          <w:p>
            <w:pPr>
              <w:widowControl/>
              <w:spacing w:line="200" w:lineRule="exact"/>
              <w:jc w:val="center"/>
              <w:rPr>
                <w:color w:val="000000"/>
                <w:sz w:val="20"/>
                <w:szCs w:val="20"/>
              </w:rPr>
            </w:pPr>
            <w:r>
              <w:rPr>
                <w:color w:val="000000"/>
                <w:sz w:val="20"/>
                <w:szCs w:val="20"/>
              </w:rPr>
              <w:t>2022年全年</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＝400元/人/月</w:t>
            </w:r>
          </w:p>
        </w:tc>
        <w:tc>
          <w:tcPr>
            <w:tcW w:w="674" w:type="pct"/>
            <w:vAlign w:val="center"/>
          </w:tcPr>
          <w:p>
            <w:pPr>
              <w:widowControl/>
              <w:spacing w:line="200" w:lineRule="exact"/>
              <w:jc w:val="center"/>
              <w:rPr>
                <w:color w:val="000000"/>
                <w:sz w:val="20"/>
                <w:szCs w:val="20"/>
              </w:rPr>
            </w:pPr>
            <w:r>
              <w:rPr>
                <w:color w:val="000000"/>
                <w:sz w:val="20"/>
                <w:szCs w:val="20"/>
              </w:rPr>
              <w:t>＝400元/人/月</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减少森林火灾、乱砍滥伐</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sz w:val="20"/>
                <w:szCs w:val="20"/>
              </w:rPr>
            </w:pPr>
          </w:p>
        </w:tc>
        <w:tc>
          <w:tcPr>
            <w:tcW w:w="1475" w:type="pct"/>
            <w:gridSpan w:val="2"/>
            <w:vAlign w:val="center"/>
          </w:tcPr>
          <w:p>
            <w:pPr>
              <w:widowControl/>
              <w:spacing w:line="200" w:lineRule="exact"/>
              <w:jc w:val="center"/>
              <w:rPr>
                <w:sz w:val="20"/>
                <w:szCs w:val="20"/>
              </w:rPr>
            </w:pPr>
            <w:r>
              <w:rPr>
                <w:sz w:val="20"/>
                <w:szCs w:val="20"/>
              </w:rPr>
              <w:t>解决就业岗位</w:t>
            </w:r>
          </w:p>
        </w:tc>
        <w:tc>
          <w:tcPr>
            <w:tcW w:w="640" w:type="pct"/>
            <w:vAlign w:val="center"/>
          </w:tcPr>
          <w:p>
            <w:pPr>
              <w:widowControl/>
              <w:spacing w:line="200" w:lineRule="exact"/>
              <w:jc w:val="center"/>
              <w:rPr>
                <w:sz w:val="20"/>
                <w:szCs w:val="20"/>
              </w:rPr>
            </w:pPr>
            <w:r>
              <w:rPr>
                <w:sz w:val="20"/>
                <w:szCs w:val="20"/>
              </w:rPr>
              <w:t>≥167个</w:t>
            </w:r>
          </w:p>
        </w:tc>
        <w:tc>
          <w:tcPr>
            <w:tcW w:w="674" w:type="pct"/>
            <w:vAlign w:val="center"/>
          </w:tcPr>
          <w:p>
            <w:pPr>
              <w:widowControl/>
              <w:spacing w:line="200" w:lineRule="exact"/>
              <w:jc w:val="center"/>
              <w:rPr>
                <w:sz w:val="20"/>
                <w:szCs w:val="20"/>
              </w:rPr>
            </w:pPr>
            <w:r>
              <w:rPr>
                <w:sz w:val="20"/>
                <w:szCs w:val="20"/>
              </w:rPr>
              <w:t>609</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sz w:val="20"/>
                <w:szCs w:val="20"/>
              </w:rPr>
              <w:t>护林员满意度</w:t>
            </w:r>
          </w:p>
        </w:tc>
        <w:tc>
          <w:tcPr>
            <w:tcW w:w="640" w:type="pct"/>
            <w:vAlign w:val="center"/>
          </w:tcPr>
          <w:p>
            <w:pPr>
              <w:widowControl/>
              <w:spacing w:line="200" w:lineRule="exact"/>
              <w:jc w:val="center"/>
              <w:rPr>
                <w:sz w:val="20"/>
                <w:szCs w:val="20"/>
              </w:rPr>
            </w:pPr>
            <w:r>
              <w:rPr>
                <w:sz w:val="20"/>
                <w:szCs w:val="20"/>
              </w:rPr>
              <w:t>≥92%</w:t>
            </w:r>
          </w:p>
        </w:tc>
        <w:tc>
          <w:tcPr>
            <w:tcW w:w="674" w:type="pct"/>
            <w:vAlign w:val="center"/>
          </w:tcPr>
          <w:p>
            <w:pPr>
              <w:widowControl/>
              <w:spacing w:line="200" w:lineRule="exact"/>
              <w:jc w:val="center"/>
              <w:rPr>
                <w:sz w:val="20"/>
                <w:szCs w:val="20"/>
              </w:rPr>
            </w:pPr>
            <w:r>
              <w:rPr>
                <w:sz w:val="20"/>
                <w:szCs w:val="20"/>
              </w:rPr>
              <w:t>≥92%</w:t>
            </w:r>
          </w:p>
        </w:tc>
        <w:tc>
          <w:tcPr>
            <w:tcW w:w="833"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2022年度生态护林员项目支出绩效评价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考核护林员工作完成质量</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E0812652-3B99-404F-921F-0E9302C8925A}" w:val="KUr9E1jDwoctlTxO78vqBJIM23/+6g0CQSWey4p=PHafNzhkLRYZiAVun5bsmFdXG"/>
    <w:docVar w:name="commondata" w:val="eyJoZGlkIjoiZTgxNTJkNDk3ZTBmZDg5MTJhMDY2NzllNjYwMWY1MWMifQ=="/>
    <w:docVar w:name="DocumentID" w:val="{E573543A-3BB8-4CD0-858C-FA1563895B45}"/>
  </w:docVars>
  <w:rsids>
    <w:rsidRoot w:val="0B0634F0"/>
    <w:rsid w:val="00076E61"/>
    <w:rsid w:val="001562ED"/>
    <w:rsid w:val="00183F39"/>
    <w:rsid w:val="00301576"/>
    <w:rsid w:val="004054C5"/>
    <w:rsid w:val="004C0288"/>
    <w:rsid w:val="00602662"/>
    <w:rsid w:val="00620980"/>
    <w:rsid w:val="006D6FA9"/>
    <w:rsid w:val="007665A5"/>
    <w:rsid w:val="007E03EF"/>
    <w:rsid w:val="009F24FD"/>
    <w:rsid w:val="00A15DF5"/>
    <w:rsid w:val="00A74300"/>
    <w:rsid w:val="00AA21C1"/>
    <w:rsid w:val="00BC518D"/>
    <w:rsid w:val="00C9181E"/>
    <w:rsid w:val="00D31287"/>
    <w:rsid w:val="00EF582F"/>
    <w:rsid w:val="00F26A9C"/>
    <w:rsid w:val="00F4674C"/>
    <w:rsid w:val="0890362F"/>
    <w:rsid w:val="0A7B4BF3"/>
    <w:rsid w:val="0B0634F0"/>
    <w:rsid w:val="1BB91216"/>
    <w:rsid w:val="2101264B"/>
    <w:rsid w:val="29076229"/>
    <w:rsid w:val="2BF66D18"/>
    <w:rsid w:val="3E0844C2"/>
    <w:rsid w:val="402D539C"/>
    <w:rsid w:val="49544D62"/>
    <w:rsid w:val="4DE5387F"/>
    <w:rsid w:val="4FBB1C67"/>
    <w:rsid w:val="58102D59"/>
    <w:rsid w:val="5F021EAC"/>
    <w:rsid w:val="63335D92"/>
    <w:rsid w:val="6DED6A5F"/>
    <w:rsid w:val="6E881A5B"/>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3945</Words>
  <Characters>4239</Characters>
  <Lines>33</Lines>
  <Paragraphs>9</Paragraphs>
  <TotalTime>7</TotalTime>
  <ScaleCrop>false</ScaleCrop>
  <LinksUpToDate>false</LinksUpToDate>
  <CharactersWithSpaces>4251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2023-10-17T02:20:45Z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