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年度禁食野生动物繁育主体退出补偿</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为贯彻落实全国人大常委会《关于全面禁止非法野生动物交易、革除滥食野生动物陋习、切实保障人民群众生命健康安全的决定》精神，沐川县制定了《禁食陆生野生动物人工繁育主体退出补偿及动物处置工作方案》决定依法退出陆生野生动物人工繁育主体，按照“关闭退出一批、转变用途一批、移交管理一批”要求，依法查处超范围养殖、非法养殖的行为。</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依法取得人工驯养繁殖许可证并依法封控的养殖场给予补偿，补偿标准按照《四川省林业和草原局关于印发四川省禁食陆生野生动物退出补偿指导标准的函》(川林护函〔2020〕565号)规定退出补偿指导标准给予补偿。</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2022年该项目的总体绩效目标为全面禁止和惩治非法野生动物交易，合理补偿群众因退出野生动物养殖受到的财产损失。</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2022年，沐川林业局计划完成退出人工驯养物种数量6种，补助标准达标率达100%，补偿资金兑付及时率≥90%，养殖户满意度≥90%。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1、资金计划及到位。根据（沐财预追</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总057第0422号）2022年项目预算资金为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2、资金使用。截止评价时点项目资金的实际支出19.34万元，用于解决沐川县禁食陆生野生动物人工繁育主体退出补偿，资金开支范围、标准及支付进度严格按照规定，支付依据合规合法，资金支付与预算相符。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万元，资金实际支付为19.34万元，资金使用率</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2022年沐川县林业局加强对野生动物的保护管理，联合市场监管、公安、网信等部门开展野生动物专项执法，严厉打击线上、线下违法经营、销售野生动物行为。</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对全县野生动物人工繁育主体转型退出的养殖户，按补偿标准发放补偿资金，补助标准达标率达100%，补偿资金兑付及时率达到92%，资金发放及时，完成预期补偿范围，全县野生动物养殖户情绪平稳，未发生上访事件，我局联合其它相关部门积极开展野生动物专项执法，严厉打击野生动物销售行为，此外，我局积极关注退出养殖户的后续情况，科学引导养殖户转型转产。</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实施有利于全面禁止非法野生动物交易、革除滥食野生动物陋习，保障人民群众的生命安全，退出的养殖场（户）在有关部门的帮助下，积极利用现有的生产设施设备，科学转产转型，实现了二次创业就业，本项目主要采用放生和无害化处置的方式实施，能够最大程度降低对环境的影响，有利于生态环境的可持续发展。</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1.2022年度禁食野生动物繁育主体退出补偿项目绩效目标自评表</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2.2022年度禁食野生动物繁育主体退出补偿项目支出绩效评价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7月15日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2022年度禁食野生动物繁育主体退出补偿项目绩效目标自评表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676"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禁食野生动物繁育主体退出补偿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580"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560"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871" w:type="pct"/>
            <w:vAlign w:val="center"/>
          </w:tcPr>
          <w:p>
            <w:pPr>
              <w:widowControl/>
              <w:spacing w:line="200" w:lineRule="exact"/>
              <w:jc w:val="center"/>
              <w:rPr>
                <w:rFonts w:ascii="仿宋_GB2312" w:hAnsi="仿宋_GB2312" w:cs="仿宋_GB2312"/>
                <w:color w:val="000000"/>
                <w:sz w:val="20"/>
                <w:szCs w:val="20"/>
              </w:rPr>
            </w:pPr>
          </w:p>
        </w:tc>
        <w:tc>
          <w:tcPr>
            <w:tcW w:w="66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188"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66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188"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952"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其中：中央、省补助</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市级财政资</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1133"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2025" w:type="dxa"/>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624"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其他资金</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4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jc w:val="center"/>
        </w:trPr>
        <w:tc>
          <w:tcPr>
            <w:tcW w:w="429"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全面禁止和惩治非法野生动物交易，合理补偿群众因退出野生动物养殖受到的财产损失.</w:t>
            </w:r>
          </w:p>
        </w:tc>
        <w:tc>
          <w:tcPr>
            <w:tcW w:w="2140" w:type="pct"/>
            <w:gridSpan w:val="3"/>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开展野生动物专项执法，严厉打击线上、线下违法经营、销售野生动物行为，对全县野生动物人工繁育主体转型退出的养殖户，按补偿标准发放补偿资金。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536"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58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60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退出人工驯养物种数量</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补助标准达标率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补偿资金兑付及时率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补偿金额</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经济效益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ind w:firstLine="200" w:firstLineChars="100"/>
              <w:rPr>
                <w:rFonts w:ascii="仿宋_GB2312" w:hAnsi="仿宋_GB2312" w:cs="仿宋_GB2312"/>
                <w:color w:val="000000"/>
                <w:sz w:val="20"/>
                <w:szCs w:val="20"/>
              </w:rPr>
            </w:pPr>
            <w:r>
              <w:rPr>
                <w:rFonts w:ascii="仿宋_GB2312" w:hAnsi="仿宋_GB2312" w:cs="仿宋_GB2312"/>
                <w:color w:val="000000"/>
                <w:sz w:val="20"/>
                <w:szCs w:val="20"/>
              </w:rPr>
              <w:t>有序有效转产转型升级</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社会效益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w:t>
            </w:r>
            <w:r>
              <w:rPr>
                <w:rFonts w:ascii="仿宋_GB2312" w:hAnsi="仿宋_GB2312" w:cs="仿宋_GB2312"/>
                <w:color w:val="000000"/>
                <w:sz w:val="20"/>
                <w:szCs w:val="20"/>
              </w:rPr>
              <w:t>滥食野生动物陋习</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服务对象</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养殖户满意度</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7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2022年度禁食野生动物繁育主体退出补偿项目支出绩效评价</w:t>
      </w:r>
      <w:r>
        <w:rPr>
          <w:rFonts w:hint="eastAsia" w:ascii="方正公文楷体" w:hAnsi="方正公文楷体" w:eastAsia="方正公文楷体" w:cs="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355"/>
        <w:gridCol w:w="1596"/>
        <w:gridCol w:w="1127"/>
        <w:gridCol w:w="781"/>
        <w:gridCol w:w="259"/>
        <w:gridCol w:w="325"/>
        <w:gridCol w:w="506"/>
        <w:gridCol w:w="209"/>
        <w:gridCol w:w="400"/>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43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11"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433" w:type="pct"/>
            <w:vMerge w:val="continue"/>
            <w:vAlign w:val="center"/>
          </w:tcPr>
          <w:p>
            <w:pPr>
              <w:spacing w:line="400" w:lineRule="exact"/>
              <w:jc w:val="center"/>
              <w:rPr>
                <w:rFonts w:ascii="仿宋_GB2312" w:hAnsi="Arial Unicode MS" w:cs="Arial Unicode MS"/>
                <w:kern w:val="0"/>
                <w:sz w:val="18"/>
                <w:szCs w:val="18"/>
              </w:rPr>
            </w:pPr>
          </w:p>
        </w:tc>
        <w:tc>
          <w:tcPr>
            <w:tcW w:w="511"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满意度</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养殖户满意度</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r>
              <w:rPr>
                <w:rFonts w:hint="eastAsia" w:ascii="仿宋_GB2312" w:hAnsi="Arial Unicode MS" w:cs="Arial Unicode MS"/>
                <w:kern w:val="0"/>
                <w:sz w:val="18"/>
                <w:szCs w:val="18"/>
              </w:rPr>
              <w:t>。</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资金拨付及时性</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补偿资金兑付及时性</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好</w:t>
            </w:r>
          </w:p>
        </w:tc>
        <w:tc>
          <w:tcPr>
            <w:tcW w:w="1348"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考察对养殖户补偿资金兑付的情况。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- 2 -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B358B245-69B5-4E66-BF26-5EFF38C317DA}" w:val="KUr9E1jDwoctlTxO78vqBJIM23/+6g0CQSWey4p=PHafNzhkLRYZiAVun5bsmFdXG"/>
    <w:docVar w:name="commondata" w:val="eyJoZGlkIjoiZTgxNTJkNDk3ZTBmZDg5MTJhMDY2NzllNjYwMWY1MWMifQ=="/>
    <w:docVar w:name="DocumentID" w:val="{D74392EA-8A6E-4449-BFF3-E9685FE8A4FA}"/>
  </w:docVars>
  <w:rsids>
    <w:rsidRoot w:val="0B0634F0"/>
    <w:rsid w:val="000E56E1"/>
    <w:rsid w:val="00195771"/>
    <w:rsid w:val="00261431"/>
    <w:rsid w:val="002C7BDD"/>
    <w:rsid w:val="004110E9"/>
    <w:rsid w:val="00450AE5"/>
    <w:rsid w:val="00455E80"/>
    <w:rsid w:val="00762B12"/>
    <w:rsid w:val="00891641"/>
    <w:rsid w:val="009713F3"/>
    <w:rsid w:val="00BC50C3"/>
    <w:rsid w:val="00C27CA0"/>
    <w:rsid w:val="00CF7CA5"/>
    <w:rsid w:val="00D8036F"/>
    <w:rsid w:val="00DC4B03"/>
    <w:rsid w:val="00F61DBF"/>
    <w:rsid w:val="0A0A62C8"/>
    <w:rsid w:val="0B0634F0"/>
    <w:rsid w:val="10DA2AE9"/>
    <w:rsid w:val="2101264B"/>
    <w:rsid w:val="2A7C0F8E"/>
    <w:rsid w:val="402D539C"/>
    <w:rsid w:val="4DAD30FD"/>
    <w:rsid w:val="5223675F"/>
    <w:rsid w:val="55294BB3"/>
    <w:rsid w:val="58102D59"/>
    <w:rsid w:val="6DED6A5F"/>
    <w:rsid w:val="6E881A5B"/>
    <w:rsid w:val="7CF75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3949</Words>
  <Characters>4156</Characters>
  <Lines>32</Lines>
  <Paragraphs>9</Paragraphs>
  <TotalTime>14</TotalTime>
  <ScaleCrop>false</ScaleCrop>
  <LinksUpToDate>false</LinksUpToDate>
  <CharactersWithSpaces>4168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2023-10-17T02:20:07Z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