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hint="eastAsia" w:eastAsia="方正小标宋简体"/>
          <w:spacing w:val="1"/>
          <w:sz w:val="36"/>
          <w:szCs w:val="36"/>
        </w:rPr>
        <w:t>沐川县林业局</w:t>
      </w:r>
    </w:p>
    <w:p>
      <w:pPr>
        <w:kinsoku w:val="0"/>
        <w:overflowPunct w:val="0"/>
        <w:spacing w:line="700" w:lineRule="exact"/>
        <w:jc w:val="center"/>
        <w:rPr>
          <w:rFonts w:ascii="方正公文小标宋" w:hAnsi="方正公文小标宋" w:eastAsia="方正公文小标宋" w:cs="方正公文小标宋"/>
          <w:spacing w:val="1"/>
          <w:sz w:val="36"/>
          <w:szCs w:val="36"/>
        </w:rPr>
      </w:pPr>
      <w:r>
        <w:rPr>
          <w:rFonts w:hint="eastAsia" w:eastAsia="方正小标宋简体"/>
          <w:b/>
          <w:bCs/>
          <w:spacing w:val="1"/>
          <w:sz w:val="36"/>
          <w:szCs w:val="36"/>
        </w:rPr>
        <w:t>2022</w:t>
      </w:r>
      <w:r>
        <w:rPr>
          <w:rFonts w:hint="eastAsia" w:eastAsia="方正小标宋简体"/>
          <w:spacing w:val="1"/>
          <w:sz w:val="36"/>
          <w:szCs w:val="36"/>
        </w:rPr>
        <w:t>年度竹博园项目支出绩效自评报告</w:t>
      </w:r>
    </w:p>
    <w:p>
      <w:pPr>
        <w:pStyle w:val="3"/>
        <w:spacing w:before="0" w:after="0" w:line="360" w:lineRule="auto"/>
        <w:rPr>
          <w:rFonts w:ascii="黑体" w:hAnsi="黑体" w:eastAsia="黑体" w:cs="黑体"/>
          <w:sz w:val="32"/>
        </w:rPr>
      </w:pPr>
      <w:r>
        <w:rPr>
          <w:rFonts w:hint="eastAsia" w:ascii="黑体" w:hAnsi="黑体" w:eastAsia="黑体" w:cs="黑体"/>
          <w:sz w:val="32"/>
        </w:rPr>
        <w:t>一、项目基本情况</w:t>
      </w:r>
    </w:p>
    <w:p>
      <w:pPr>
        <w:pStyle w:val="4"/>
        <w:spacing w:before="0" w:after="0" w:line="360" w:lineRule="auto"/>
        <w:rPr>
          <w:rFonts w:ascii="楷体" w:hAnsi="楷体" w:eastAsia="楷体" w:cs="楷体"/>
          <w:b w:val="0"/>
          <w:bCs/>
        </w:rPr>
      </w:pPr>
      <w:r>
        <w:rPr>
          <w:rFonts w:hint="eastAsia" w:ascii="楷体" w:hAnsi="楷体" w:eastAsia="楷体" w:cs="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2020年4月22日，《沐川竹博园项目会议纪要》（沐府纪办〔2020〕51号）提出在沐溪镇凤凰村（枣儿坝）打造占地40亩的以竹为主题的竹博园，运用现代造景技术，种植竹品种80个以上(含省内外)、修建廊亭一个、建设步游道、排水工程、地面绿化美化。</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分三个标段建设：竹博园A段(以原吉源木业厂区内中间道为界线到河边段),由四川久祥建筑工程有限公司实施；竹博园B段(以原吉源木业厂区内中间道为界线到公路段),由四川民源市政工程有限公司实施；竹博园内步行道和排水沟建设，由乐山金惠投资集团有限公司实施。</w:t>
      </w:r>
    </w:p>
    <w:p>
      <w:pPr>
        <w:pStyle w:val="11"/>
        <w:spacing w:line="360" w:lineRule="auto"/>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的总体目标为：完成竹博园的建设，吸引游客增长，带动周边居民和村民就业。项目2022年的绩效目标为：完成对四川久祥建筑工程有限公司、四川民源市政工程有限公司2家公司合同款的拨付，资金拨款及时，项目验收合格率100%，游客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根据《沐川竹博园项目会议纪要》（沐府纪办〔2020〕51号），资金主要来源于上级林业奖补资金、上级返还植被恢复费或专项债资金。2022年，项目下达预算批复100万元，资金到位率100%。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项目预算批复资金为100万元，资金实际支付为100万元，预算执行率100%，资金用于支付2家公司的工程款，其中：四川久祥建筑工程有限公司30万元；四川民源市政工程有限公司70万元，资金按照合约正常拨付。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竹博园工程建设已经完成，按照工程进度，完成对四川久祥建筑工程有限公司和四川民源市政工程有限公司的资金拨付。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1、数量指标：建设了占地40余亩、拥有80余种竹类的以竹生态、竹文化为主题的竹博园，完成2家公司的合同拨款。</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2、质量指标：竣工验收合格率100%。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3、时效指标：项目按计划完工率≥97%。</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4、成本指标：拨付合同款100万元。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5、满意度指标：游客满意度≥90%。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竹博园的建设既宣传了竹知识,弘扬了竹文化,又能吸引游客，促进了沐川的旅游发展,提高了知名度，同时改善了生态环境，实现生态效益与经济效益双促进。</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附件：1.2022年度竹博园项目绩效目标自评表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2.2022年度竹博园项目支出绩效评价</w:t>
      </w:r>
      <w:r>
        <w:rPr>
          <w:rFonts w:hint="eastAsia" w:ascii="Times New Roman" w:hAnsi="Times New Roman" w:eastAsia="仿宋_GB2312" w:cs="Times New Roman"/>
          <w:b/>
          <w:bCs/>
          <w:sz w:val="32"/>
          <w:szCs w:val="32"/>
        </w:rPr>
        <w:t>自评得分表</w:t>
      </w:r>
    </w:p>
    <w:p>
      <w:pPr>
        <w:pStyle w:val="2"/>
        <w:ind w:right="320"/>
        <w:jc w:val="right"/>
      </w:pPr>
    </w:p>
    <w:p>
      <w:pPr>
        <w:pStyle w:val="2"/>
        <w:ind w:right="320"/>
        <w:jc w:val="right"/>
      </w:pPr>
      <w:r>
        <w:t>沐川县林业局</w:t>
      </w:r>
    </w:p>
    <w:p>
      <w:pPr>
        <w:jc w:val="right"/>
      </w:pPr>
      <w:r>
        <w:t>2023年</w:t>
      </w:r>
      <w:bookmarkStart w:id="1" w:name="_GoBack"/>
      <w:bookmarkEnd w:id="1"/>
      <w:r>
        <w:t>7月14日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ascii="方正公文楷体" w:hAnsi="方正公文楷体" w:eastAsia="方正公文楷体" w:cs="方正公文楷体"/>
          <w:sz w:val="24"/>
          <w:szCs w:val="24"/>
        </w:rPr>
      </w:pPr>
      <w:r>
        <w:rPr>
          <w:rFonts w:hint="eastAsia" w:ascii="方正公文楷体" w:hAnsi="方正公文楷体" w:eastAsia="方正公文楷体" w:cs="方正公文楷体"/>
          <w:color w:val="000000"/>
          <w:kern w:val="0"/>
          <w:sz w:val="24"/>
          <w:szCs w:val="24"/>
        </w:rPr>
        <w:t>2022年度竹博园项目绩效目标自评表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496"/>
        <w:gridCol w:w="1449"/>
        <w:gridCol w:w="1277"/>
        <w:gridCol w:w="920"/>
        <w:gridCol w:w="1200"/>
        <w:gridCol w:w="1222"/>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项目（政策）名称</w:t>
            </w:r>
          </w:p>
        </w:tc>
        <w:tc>
          <w:tcPr>
            <w:tcW w:w="3439" w:type="pct"/>
            <w:gridSpan w:val="5"/>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竹博园项目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项目主管部门</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c>
          <w:tcPr>
            <w:tcW w:w="704"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资金使用单位</w:t>
            </w:r>
          </w:p>
        </w:tc>
        <w:tc>
          <w:tcPr>
            <w:tcW w:w="144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项目资金</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（万元）</w:t>
            </w:r>
          </w:p>
        </w:tc>
        <w:tc>
          <w:tcPr>
            <w:tcW w:w="749" w:type="pct"/>
            <w:vAlign w:val="center"/>
          </w:tcPr>
          <w:p>
            <w:pPr>
              <w:widowControl/>
              <w:spacing w:line="200" w:lineRule="exact"/>
              <w:jc w:val="center"/>
              <w:rPr>
                <w:rFonts w:ascii="仿宋_GB2312" w:hAnsi="仿宋_GB2312" w:cs="仿宋_GB2312"/>
                <w:color w:val="000000"/>
                <w:sz w:val="20"/>
                <w:szCs w:val="20"/>
              </w:rPr>
            </w:pPr>
          </w:p>
        </w:tc>
        <w:tc>
          <w:tcPr>
            <w:tcW w:w="54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全年预算数</w:t>
            </w:r>
          </w:p>
        </w:tc>
        <w:tc>
          <w:tcPr>
            <w:tcW w:w="1421"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全年执行数</w:t>
            </w:r>
          </w:p>
        </w:tc>
        <w:tc>
          <w:tcPr>
            <w:tcW w:w="7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年度资金总额：</w:t>
            </w:r>
          </w:p>
        </w:tc>
        <w:tc>
          <w:tcPr>
            <w:tcW w:w="54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1421"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其中：中央、省补助</w:t>
            </w:r>
          </w:p>
        </w:tc>
        <w:tc>
          <w:tcPr>
            <w:tcW w:w="54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1421"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市级财政资</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县级财政资</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其他资金</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restar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总体目标完成情况</w:t>
            </w:r>
          </w:p>
        </w:tc>
        <w:tc>
          <w:tcPr>
            <w:tcW w:w="2430" w:type="pct"/>
            <w:gridSpan w:val="4"/>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w:t>
            </w:r>
          </w:p>
        </w:tc>
        <w:tc>
          <w:tcPr>
            <w:tcW w:w="2150"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vAlign w:val="center"/>
          </w:tcPr>
          <w:p>
            <w:pPr>
              <w:widowControl/>
              <w:spacing w:line="200" w:lineRule="exact"/>
              <w:jc w:val="center"/>
              <w:rPr>
                <w:rFonts w:ascii="仿宋_GB2312" w:hAnsi="仿宋_GB2312" w:cs="仿宋_GB2312"/>
                <w:color w:val="000000"/>
                <w:sz w:val="20"/>
                <w:szCs w:val="20"/>
              </w:rPr>
            </w:pPr>
          </w:p>
        </w:tc>
        <w:tc>
          <w:tcPr>
            <w:tcW w:w="2430" w:type="pct"/>
            <w:gridSpan w:val="4"/>
            <w:vAlign w:val="center"/>
          </w:tcPr>
          <w:p>
            <w:pPr>
              <w:widowControl/>
              <w:spacing w:line="200" w:lineRule="exact"/>
              <w:rPr>
                <w:rFonts w:ascii="仿宋_GB2312" w:hAnsi="仿宋_GB2312" w:cs="仿宋_GB2312"/>
                <w:color w:val="000000"/>
                <w:sz w:val="20"/>
                <w:szCs w:val="20"/>
              </w:rPr>
            </w:pPr>
            <w:r>
              <w:rPr>
                <w:rFonts w:ascii="仿宋_GB2312" w:hAnsi="仿宋_GB2312" w:cs="仿宋_GB2312"/>
                <w:color w:val="000000"/>
                <w:sz w:val="20"/>
                <w:szCs w:val="20"/>
              </w:rPr>
              <w:t>完成竹博园的建设，吸引游客增长，带动周边居民和村民就业。</w:t>
            </w:r>
          </w:p>
        </w:tc>
        <w:tc>
          <w:tcPr>
            <w:tcW w:w="2150" w:type="pct"/>
            <w:gridSpan w:val="3"/>
            <w:vAlign w:val="center"/>
          </w:tcPr>
          <w:p>
            <w:pPr>
              <w:widowControl/>
              <w:spacing w:line="200" w:lineRule="exact"/>
              <w:rPr>
                <w:rFonts w:ascii="仿宋_GB2312" w:hAnsi="仿宋_GB2312" w:cs="仿宋_GB2312"/>
                <w:color w:val="000000"/>
                <w:sz w:val="20"/>
                <w:szCs w:val="20"/>
              </w:rPr>
            </w:pPr>
            <w:r>
              <w:rPr>
                <w:rFonts w:ascii="仿宋_GB2312" w:hAnsi="仿宋_GB2312" w:cs="仿宋_GB2312"/>
                <w:color w:val="000000"/>
                <w:sz w:val="20"/>
                <w:szCs w:val="20"/>
              </w:rPr>
              <w:t>完成竹博园的建设，</w:t>
            </w:r>
            <w:r>
              <w:rPr>
                <w:rFonts w:hint="eastAsia" w:ascii="仿宋_GB2312" w:hAnsi="仿宋_GB2312" w:cs="仿宋_GB2312"/>
                <w:color w:val="000000"/>
                <w:sz w:val="20"/>
                <w:szCs w:val="20"/>
              </w:rPr>
              <w:t>完成2家公司的合同拨款</w:t>
            </w:r>
            <w:r>
              <w:rPr>
                <w:rFonts w:ascii="仿宋_GB2312" w:hAnsi="仿宋_GB2312" w:cs="仿宋_GB2312"/>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restart"/>
            <w:textDirection w:val="tbRlV"/>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绩效指标</w:t>
            </w:r>
          </w:p>
        </w:tc>
        <w:tc>
          <w:tcPr>
            <w:tcW w:w="291" w:type="pct"/>
            <w:vAlign w:val="center"/>
          </w:tcPr>
          <w:p>
            <w:pPr>
              <w:widowControl/>
              <w:spacing w:line="18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一级</w:t>
            </w:r>
          </w:p>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二级指标</w:t>
            </w:r>
          </w:p>
        </w:tc>
        <w:tc>
          <w:tcPr>
            <w:tcW w:w="1289"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三级指标</w:t>
            </w:r>
          </w:p>
        </w:tc>
        <w:tc>
          <w:tcPr>
            <w:tcW w:w="704"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指标值</w:t>
            </w:r>
          </w:p>
        </w:tc>
        <w:tc>
          <w:tcPr>
            <w:tcW w:w="717"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全年实际完成值</w:t>
            </w:r>
          </w:p>
        </w:tc>
        <w:tc>
          <w:tcPr>
            <w:tcW w:w="7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产</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出</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850" w:type="pct"/>
            <w:vMerge w:val="restar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数量指标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竹博园建设</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＝1个</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＝1个</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项目建设单位</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＝2家</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=2家</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质量指标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ascii="仿宋_GB2312" w:hAnsi="仿宋_GB2312" w:cs="仿宋_GB2312"/>
                <w:color w:val="000000"/>
                <w:sz w:val="20"/>
                <w:szCs w:val="20"/>
              </w:rPr>
              <w:t>竣工验收合格率</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时效指标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ascii="仿宋_GB2312" w:hAnsi="仿宋_GB2312" w:cs="仿宋_GB2312"/>
                <w:color w:val="000000"/>
                <w:sz w:val="20"/>
                <w:szCs w:val="20"/>
              </w:rPr>
              <w:t>项目按计划完工率</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≥96%</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≥97%</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成本指标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应拨款合同费用</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＝100万元</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＝100万元</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效</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益</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社会效益</w:t>
            </w:r>
          </w:p>
          <w:p>
            <w:pPr>
              <w:widowControl/>
              <w:spacing w:line="200" w:lineRule="exact"/>
              <w:jc w:val="center"/>
              <w:textAlignment w:val="center"/>
              <w:rPr>
                <w:rFonts w:ascii="仿宋_GB2312" w:hAnsi="仿宋_GB2312" w:cs="仿宋_GB2312"/>
                <w:sz w:val="20"/>
                <w:szCs w:val="20"/>
              </w:rPr>
            </w:pPr>
            <w:r>
              <w:rPr>
                <w:rFonts w:hint="eastAsia" w:ascii="仿宋_GB2312" w:hAnsi="仿宋_GB2312" w:cs="仿宋_GB2312"/>
                <w:kern w:val="0"/>
                <w:sz w:val="20"/>
                <w:szCs w:val="20"/>
              </w:rPr>
              <w:t>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有效传播竹文化</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经济效益指标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增加旅游收入</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≥5%</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≥5%</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生态效益指标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改善生态环境</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服务对象</w:t>
            </w:r>
          </w:p>
          <w:p>
            <w:pPr>
              <w:widowControl/>
              <w:spacing w:line="200" w:lineRule="exact"/>
              <w:jc w:val="center"/>
              <w:textAlignment w:val="center"/>
              <w:rPr>
                <w:rFonts w:ascii="仿宋_GB2312" w:hAnsi="仿宋_GB2312" w:cs="仿宋_GB2312"/>
                <w:sz w:val="20"/>
                <w:szCs w:val="20"/>
              </w:rPr>
            </w:pPr>
            <w:r>
              <w:rPr>
                <w:rFonts w:hint="eastAsia" w:ascii="仿宋_GB2312" w:hAnsi="仿宋_GB2312" w:cs="仿宋_GB2312"/>
                <w:kern w:val="0"/>
                <w:sz w:val="20"/>
                <w:szCs w:val="20"/>
              </w:rPr>
              <w:t>满意度指标</w:t>
            </w:r>
          </w:p>
        </w:tc>
        <w:tc>
          <w:tcPr>
            <w:tcW w:w="1289" w:type="pct"/>
            <w:gridSpan w:val="2"/>
            <w:vAlign w:val="center"/>
          </w:tcPr>
          <w:p>
            <w:pPr>
              <w:widowControl/>
              <w:spacing w:line="200" w:lineRule="exact"/>
              <w:jc w:val="center"/>
              <w:rPr>
                <w:rFonts w:ascii="仿宋_GB2312" w:hAnsi="仿宋_GB2312" w:cs="仿宋_GB2312"/>
                <w:sz w:val="20"/>
                <w:szCs w:val="20"/>
              </w:rPr>
            </w:pPr>
            <w:r>
              <w:rPr>
                <w:rFonts w:hint="eastAsia" w:ascii="仿宋_GB2312" w:hAnsi="仿宋_GB2312" w:cs="仿宋_GB2312"/>
                <w:color w:val="000000"/>
                <w:sz w:val="20"/>
                <w:szCs w:val="20"/>
              </w:rPr>
              <w:t>游客</w:t>
            </w:r>
            <w:r>
              <w:rPr>
                <w:rFonts w:ascii="仿宋_GB2312" w:hAnsi="仿宋_GB2312" w:cs="仿宋_GB2312"/>
                <w:color w:val="000000"/>
                <w:sz w:val="20"/>
                <w:szCs w:val="20"/>
              </w:rPr>
              <w:t>满意度</w:t>
            </w:r>
          </w:p>
        </w:tc>
        <w:tc>
          <w:tcPr>
            <w:tcW w:w="704" w:type="pct"/>
            <w:vAlign w:val="center"/>
          </w:tcPr>
          <w:p>
            <w:pPr>
              <w:widowControl/>
              <w:spacing w:line="200" w:lineRule="exact"/>
              <w:jc w:val="center"/>
              <w:rPr>
                <w:rFonts w:ascii="仿宋_GB2312" w:hAnsi="仿宋_GB2312" w:cs="仿宋_GB2312"/>
                <w:sz w:val="20"/>
                <w:szCs w:val="20"/>
              </w:rPr>
            </w:pPr>
            <w:r>
              <w:rPr>
                <w:rFonts w:ascii="仿宋_GB2312" w:hAnsi="仿宋_GB2312" w:cs="仿宋_GB2312"/>
                <w:color w:val="000000"/>
                <w:sz w:val="20"/>
                <w:szCs w:val="20"/>
              </w:rPr>
              <w:t>≥9</w:t>
            </w:r>
            <w:r>
              <w:rPr>
                <w:rFonts w:hint="eastAsia" w:ascii="仿宋_GB2312" w:hAnsi="仿宋_GB2312" w:cs="仿宋_GB2312"/>
                <w:color w:val="000000"/>
                <w:sz w:val="20"/>
                <w:szCs w:val="20"/>
              </w:rPr>
              <w:t>0</w:t>
            </w:r>
            <w:r>
              <w:rPr>
                <w:rFonts w:ascii="仿宋_GB2312" w:hAnsi="仿宋_GB2312" w:cs="仿宋_GB2312"/>
                <w:color w:val="000000"/>
                <w:sz w:val="20"/>
                <w:szCs w:val="20"/>
              </w:rPr>
              <w:t>%</w:t>
            </w:r>
          </w:p>
        </w:tc>
        <w:tc>
          <w:tcPr>
            <w:tcW w:w="717" w:type="pct"/>
            <w:vAlign w:val="center"/>
          </w:tcPr>
          <w:p>
            <w:pPr>
              <w:widowControl/>
              <w:spacing w:line="200" w:lineRule="exact"/>
              <w:jc w:val="center"/>
              <w:rPr>
                <w:rFonts w:ascii="仿宋_GB2312" w:hAnsi="仿宋_GB2312" w:cs="仿宋_GB2312"/>
                <w:sz w:val="20"/>
                <w:szCs w:val="20"/>
              </w:rPr>
            </w:pPr>
            <w:r>
              <w:rPr>
                <w:rFonts w:ascii="仿宋_GB2312" w:hAnsi="仿宋_GB2312" w:cs="仿宋_GB2312"/>
                <w:color w:val="000000"/>
                <w:sz w:val="20"/>
                <w:szCs w:val="20"/>
              </w:rPr>
              <w:t>≥9</w:t>
            </w:r>
            <w:r>
              <w:rPr>
                <w:rFonts w:hint="eastAsia" w:ascii="仿宋_GB2312" w:hAnsi="仿宋_GB2312" w:cs="仿宋_GB2312"/>
                <w:color w:val="000000"/>
                <w:sz w:val="20"/>
                <w:szCs w:val="20"/>
              </w:rPr>
              <w:t>0</w:t>
            </w:r>
            <w:r>
              <w:rPr>
                <w:rFonts w:ascii="仿宋_GB2312" w:hAnsi="仿宋_GB2312" w:cs="仿宋_GB2312"/>
                <w:color w:val="000000"/>
                <w:sz w:val="20"/>
                <w:szCs w:val="20"/>
              </w:rPr>
              <w:t>%</w:t>
            </w:r>
          </w:p>
        </w:tc>
        <w:tc>
          <w:tcPr>
            <w:tcW w:w="729" w:type="pct"/>
            <w:vAlign w:val="center"/>
          </w:tcPr>
          <w:p>
            <w:pPr>
              <w:widowControl/>
              <w:spacing w:line="200" w:lineRule="exact"/>
              <w:jc w:val="center"/>
              <w:rPr>
                <w:rFonts w:ascii="仿宋_GB2312" w:hAnsi="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说明</w:t>
            </w:r>
          </w:p>
        </w:tc>
        <w:tc>
          <w:tcPr>
            <w:tcW w:w="4580" w:type="pct"/>
            <w:gridSpan w:val="7"/>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ascii="方正公文楷体" w:hAnsi="方正公文楷体" w:eastAsia="方正公文楷体" w:cs="方正公文楷体"/>
          <w:color w:val="000000"/>
          <w:kern w:val="0"/>
          <w:sz w:val="24"/>
          <w:szCs w:val="24"/>
        </w:rPr>
      </w:pPr>
      <w:r>
        <w:rPr>
          <w:rFonts w:ascii="方正公文楷体" w:hAnsi="方正公文楷体" w:eastAsia="方正公文楷体" w:cs="方正公文楷体"/>
          <w:color w:val="000000"/>
          <w:kern w:val="0"/>
          <w:sz w:val="24"/>
          <w:szCs w:val="24"/>
        </w:rPr>
        <w:t>2022年度竹博园项目支出绩效评价</w:t>
      </w:r>
      <w:r>
        <w:rPr>
          <w:rFonts w:hint="eastAsia" w:ascii="方正公文楷体" w:hAnsi="方正公文楷体" w:eastAsia="方正公文楷体" w:cs="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634"/>
        <w:gridCol w:w="768"/>
        <w:gridCol w:w="1318"/>
        <w:gridCol w:w="1177"/>
        <w:gridCol w:w="1480"/>
        <w:gridCol w:w="1246"/>
        <w:gridCol w:w="781"/>
        <w:gridCol w:w="584"/>
        <w:gridCol w:w="506"/>
        <w:gridCol w:w="625"/>
        <w:gridCol w:w="631"/>
        <w:gridCol w:w="4178"/>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74"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7"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76" w:type="pct"/>
            <w:vMerge w:val="continue"/>
            <w:vAlign w:val="center"/>
          </w:tcPr>
          <w:p>
            <w:pPr>
              <w:spacing w:line="400" w:lineRule="exact"/>
              <w:jc w:val="center"/>
              <w:rPr>
                <w:rFonts w:ascii="仿宋_GB2312" w:hAnsi="Arial Unicode MS" w:cs="Arial Unicode MS"/>
                <w:kern w:val="0"/>
                <w:sz w:val="18"/>
                <w:szCs w:val="18"/>
              </w:rPr>
            </w:pPr>
          </w:p>
        </w:tc>
        <w:tc>
          <w:tcPr>
            <w:tcW w:w="474"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7"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bookmarkStart w:id="0" w:name="OLE_LINK1" w:colFirst="13" w:colLast="14"/>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基础设施建设</w:t>
            </w:r>
          </w:p>
        </w:tc>
        <w:tc>
          <w:tcPr>
            <w:tcW w:w="42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从业带动能力</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项目带动周边从事相关行业情况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w:t>
            </w:r>
            <w:r>
              <w:rPr>
                <w:rFonts w:hint="eastAsia" w:ascii="仿宋_GB2312" w:hAnsi="Arial Unicode MS" w:cs="Arial Unicode MS"/>
                <w:kern w:val="0"/>
                <w:sz w:val="18"/>
                <w:szCs w:val="18"/>
              </w:rPr>
              <w:t>项目实施后带动相关人员就业情况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ind w:firstLine="180" w:firstLineChars="100"/>
              <w:rPr>
                <w:rFonts w:ascii="仿宋_GB2312" w:hAnsi="Arial Unicode MS" w:cs="Arial Unicode MS"/>
                <w:kern w:val="0"/>
                <w:sz w:val="18"/>
                <w:szCs w:val="18"/>
              </w:rPr>
            </w:pPr>
            <w:r>
              <w:rPr>
                <w:rFonts w:hint="eastAsia" w:ascii="仿宋_GB2312" w:hAnsi="Arial Unicode MS" w:cs="Arial Unicode MS"/>
                <w:kern w:val="0"/>
                <w:sz w:val="18"/>
                <w:szCs w:val="18"/>
              </w:rPr>
              <w:t>经济效益</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增加值提升</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项目实施涉及产值增长情况</w:t>
            </w:r>
          </w:p>
        </w:tc>
        <w:tc>
          <w:tcPr>
            <w:tcW w:w="39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指标得分=产值增长率/标准值*指标分值</w:t>
            </w:r>
          </w:p>
        </w:tc>
        <w:tc>
          <w:tcPr>
            <w:tcW w:w="133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考察项目实施后旅游收入情况等。</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ind w:firstLine="180" w:firstLineChars="100"/>
              <w:rPr>
                <w:rFonts w:ascii="仿宋_GB2312" w:hAnsi="Arial Unicode MS" w:cs="Arial Unicode MS"/>
                <w:kern w:val="0"/>
                <w:sz w:val="18"/>
                <w:szCs w:val="18"/>
              </w:rPr>
            </w:pPr>
            <w:r>
              <w:rPr>
                <w:rFonts w:hint="eastAsia" w:ascii="仿宋_GB2312" w:hAnsi="Arial Unicode MS" w:cs="Arial Unicode MS"/>
                <w:kern w:val="0"/>
                <w:sz w:val="18"/>
                <w:szCs w:val="18"/>
              </w:rPr>
              <w:t>完成质量</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质量达标</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是否符合验收标准</w:t>
            </w:r>
          </w:p>
        </w:tc>
        <w:tc>
          <w:tcPr>
            <w:tcW w:w="39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指标得分=项目达标数/实施项目总数*100%*指标分值</w:t>
            </w:r>
          </w:p>
        </w:tc>
        <w:tc>
          <w:tcPr>
            <w:tcW w:w="133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质量达标率＞100时按100%计算，当质量达标率＜90%时，不得分。</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4789" w:type="pct"/>
            <w:gridSpan w:val="14"/>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bookmarkEnd w:id="0"/>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14F7ABF-6C96-4967-8159-453305F87E99}" w:val="KUr9E1jDwoctlTxO78vqBJIM23/+6g0CQSWey4p=PHafNzhkLRYZiAVun5bsmFdXG"/>
    <w:docVar w:name="commondata" w:val="eyJoZGlkIjoiZTgxNTJkNDk3ZTBmZDg5MTJhMDY2NzllNjYwMWY1MWMifQ=="/>
    <w:docVar w:name="DocumentID" w:val="{275854F9-CEAC-4CE9-91F0-CDF61784B7AA}"/>
  </w:docVars>
  <w:rsids>
    <w:rsidRoot w:val="0B0634F0"/>
    <w:rsid w:val="00183D18"/>
    <w:rsid w:val="0039688E"/>
    <w:rsid w:val="00537290"/>
    <w:rsid w:val="0054021D"/>
    <w:rsid w:val="00652455"/>
    <w:rsid w:val="009B6CE1"/>
    <w:rsid w:val="00C21A3B"/>
    <w:rsid w:val="00C856D9"/>
    <w:rsid w:val="00E4084B"/>
    <w:rsid w:val="00E54795"/>
    <w:rsid w:val="00F73D8E"/>
    <w:rsid w:val="0890362F"/>
    <w:rsid w:val="0B0634F0"/>
    <w:rsid w:val="0E5533CB"/>
    <w:rsid w:val="10F772D2"/>
    <w:rsid w:val="1A395A32"/>
    <w:rsid w:val="2101264B"/>
    <w:rsid w:val="2FA04145"/>
    <w:rsid w:val="3E0844C2"/>
    <w:rsid w:val="402D539C"/>
    <w:rsid w:val="40C36408"/>
    <w:rsid w:val="438979B6"/>
    <w:rsid w:val="4FBB1C67"/>
    <w:rsid w:val="58102D59"/>
    <w:rsid w:val="5CA76460"/>
    <w:rsid w:val="5F021EAC"/>
    <w:rsid w:val="63335D92"/>
    <w:rsid w:val="6DED6A5F"/>
    <w:rsid w:val="6E881A5B"/>
    <w:rsid w:val="75562450"/>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3354</Words>
  <Characters>3548</Characters>
  <Lines>341</Lines>
  <Paragraphs>264</Paragraphs>
  <TotalTime>7</TotalTime>
  <ScaleCrop>false</ScaleCrop>
  <LinksUpToDate>false</LinksUpToDate>
  <CharactersWithSpaces>3560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2023-10-17T02:22:24Z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