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年度沐川县自然保护地综合管理能力提升</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spacing w:line="360" w:lineRule="auto"/>
        <w:ind w:firstLine="640" w:firstLineChars="200"/>
      </w:pPr>
      <w:r>
        <w:t>项目具体目标为：提升自然保护地综合管理能力。</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spacing w:line="360" w:lineRule="auto"/>
        <w:ind w:firstLine="640" w:firstLineChars="200"/>
      </w:pPr>
      <w:r>
        <w:t>2022年下达资金预算批复390万元。</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spacing w:line="360" w:lineRule="auto"/>
        <w:ind w:firstLine="640" w:firstLineChars="200"/>
      </w:pPr>
      <w:r>
        <w:t>项目预算批复资金为390万元，资金实际支付为0万元，预算执行率0%，资金正处于兑付阶段。</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spacing w:line="360" w:lineRule="auto"/>
        <w:ind w:firstLine="640" w:firstLineChars="200"/>
      </w:pPr>
      <w:r>
        <w:t>完成自然保护地综合管理能力的提升。</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spacing w:line="360" w:lineRule="auto"/>
        <w:ind w:firstLine="640" w:firstLineChars="200"/>
      </w:pPr>
      <w:r>
        <w:t>绩效指标基本完成，完成了自然保护地综合管理能力的提升。</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spacing w:line="360" w:lineRule="auto"/>
        <w:ind w:firstLine="640" w:firstLineChars="200"/>
      </w:pPr>
      <w:r>
        <w:t>自然保护地建设和管理能力得到提高，充分发挥国家级自然保护区在自然资源和生态环境保护方面的积极作用。</w:t>
      </w:r>
    </w:p>
    <w:p>
      <w:pPr>
        <w:pStyle w:val="3"/>
        <w:spacing w:before="0" w:after="0" w:line="360" w:lineRule="auto"/>
        <w:rPr>
          <w:rFonts w:eastAsia="黑体"/>
          <w:sz w:val="32"/>
        </w:rPr>
      </w:pPr>
      <w:r>
        <w:rPr>
          <w:rFonts w:eastAsia="黑体"/>
          <w:sz w:val="32"/>
        </w:rPr>
        <w:t>三、偏离绩效目标的原因和下一步改进措施</w:t>
      </w:r>
    </w:p>
    <w:p>
      <w:pPr>
        <w:spacing w:line="360" w:lineRule="auto"/>
        <w:ind w:firstLine="640" w:firstLineChars="200"/>
      </w:pPr>
      <w:r>
        <w:t>资金正处于兑现阶段，下一步：加快资金拨付进度。</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2022年度项目自评得分为94分，绩效目标与预算同步批复、同步公开。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w:t>
      </w: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1.2022年度自然保护地综合管理能力提升项目绩效目标自评表</w:t>
      </w:r>
    </w:p>
    <w:p>
      <w:pPr>
        <w:pStyle w:val="11"/>
        <w:spacing w:line="360" w:lineRule="auto"/>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2.2022年度自然保护地综合管理能力提升项目支出绩效评价</w:t>
      </w:r>
      <w:r>
        <w:rPr>
          <w:rFonts w:hint="eastAsia" w:ascii="Times New Roman" w:hAnsi="Times New Roman" w:eastAsia="仿宋_GB2312" w:cs="Times New Roman"/>
          <w:b/>
          <w:bCs/>
          <w:sz w:val="32"/>
          <w:szCs w:val="32"/>
        </w:rPr>
        <w:t>自评得分表</w:t>
      </w:r>
    </w:p>
    <w:p>
      <w:pPr>
        <w:pStyle w:val="11"/>
        <w:spacing w:line="360" w:lineRule="auto"/>
        <w:ind w:right="320" w:firstLine="1600" w:firstLineChars="500"/>
        <w:jc w:val="right"/>
        <w:rPr>
          <w:rFonts w:ascii="Times New Roman" w:hAnsi="Times New Roman" w:eastAsia="仿宋_GB2312" w:cs="Times New Roman"/>
          <w:sz w:val="32"/>
          <w:szCs w:val="32"/>
        </w:rPr>
      </w:pPr>
    </w:p>
    <w:p>
      <w:pPr>
        <w:pStyle w:val="11"/>
        <w:spacing w:line="360" w:lineRule="auto"/>
        <w:ind w:right="320"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沐川县</w:t>
      </w:r>
      <w:bookmarkStart w:id="0" w:name="_GoBack"/>
      <w:bookmarkEnd w:id="0"/>
      <w:r>
        <w:rPr>
          <w:rFonts w:ascii="Times New Roman" w:hAnsi="Times New Roman" w:eastAsia="仿宋_GB2312" w:cs="Times New Roman"/>
          <w:sz w:val="32"/>
          <w:szCs w:val="32"/>
        </w:rPr>
        <w:t>林业局</w:t>
      </w:r>
    </w:p>
    <w:p>
      <w:pPr>
        <w:pStyle w:val="11"/>
        <w:spacing w:line="360" w:lineRule="auto"/>
        <w:ind w:firstLine="1600" w:firstLineChars="500"/>
        <w:jc w:val="right"/>
        <w:rPr>
          <w:rFonts w:ascii="Times New Roman" w:hAnsi="Times New Roman" w:eastAsia="仿宋_GB2312" w:cs="Times New Roman"/>
          <w:sz w:val="32"/>
          <w:szCs w:val="32"/>
        </w:rPr>
      </w:pPr>
      <w:r>
        <w:rPr>
          <w:rFonts w:ascii="Times New Roman" w:hAnsi="Times New Roman" w:eastAsia="仿宋_GB2312" w:cs="Times New Roman"/>
          <w:sz w:val="32"/>
          <w:szCs w:val="32"/>
        </w:rPr>
        <w:t>2023年7月12日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2022年度自然保护地综合管理能力提升建设项目绩效目标自评表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自然保护地综合管理能力提升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390</w:t>
            </w:r>
          </w:p>
        </w:tc>
        <w:tc>
          <w:tcPr>
            <w:tcW w:w="1421" w:type="pct"/>
            <w:gridSpan w:val="2"/>
            <w:vAlign w:val="center"/>
          </w:tcPr>
          <w:p>
            <w:pPr>
              <w:widowControl/>
              <w:spacing w:line="200" w:lineRule="exact"/>
              <w:jc w:val="center"/>
              <w:rPr>
                <w:color w:val="000000"/>
                <w:sz w:val="20"/>
                <w:szCs w:val="20"/>
              </w:rPr>
            </w:pPr>
            <w:r>
              <w:rPr>
                <w:color w:val="000000"/>
                <w:sz w:val="20"/>
                <w:szCs w:val="20"/>
              </w:rPr>
              <w:t>0</w:t>
            </w:r>
          </w:p>
        </w:tc>
        <w:tc>
          <w:tcPr>
            <w:tcW w:w="729" w:type="pct"/>
            <w:vAlign w:val="center"/>
          </w:tcPr>
          <w:p>
            <w:pPr>
              <w:widowControl/>
              <w:spacing w:line="200" w:lineRule="exact"/>
              <w:jc w:val="center"/>
              <w:rPr>
                <w:color w:val="000000"/>
                <w:sz w:val="20"/>
                <w:szCs w:val="20"/>
              </w:rPr>
            </w:pPr>
            <w:r>
              <w:rPr>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390</w:t>
            </w:r>
          </w:p>
        </w:tc>
        <w:tc>
          <w:tcPr>
            <w:tcW w:w="1421" w:type="pct"/>
            <w:gridSpan w:val="2"/>
            <w:vAlign w:val="center"/>
          </w:tcPr>
          <w:p>
            <w:pPr>
              <w:widowControl/>
              <w:spacing w:line="200" w:lineRule="exact"/>
              <w:jc w:val="center"/>
              <w:rPr>
                <w:color w:val="000000"/>
                <w:sz w:val="20"/>
                <w:szCs w:val="20"/>
              </w:rPr>
            </w:pPr>
            <w:r>
              <w:rPr>
                <w:color w:val="000000"/>
                <w:sz w:val="20"/>
                <w:szCs w:val="20"/>
              </w:rPr>
              <w:t>0</w:t>
            </w:r>
          </w:p>
        </w:tc>
        <w:tc>
          <w:tcPr>
            <w:tcW w:w="729" w:type="pct"/>
            <w:vAlign w:val="center"/>
          </w:tcPr>
          <w:p>
            <w:pPr>
              <w:widowControl/>
              <w:spacing w:line="200" w:lineRule="exact"/>
              <w:jc w:val="center"/>
              <w:rPr>
                <w:color w:val="000000"/>
                <w:sz w:val="20"/>
                <w:szCs w:val="20"/>
              </w:rPr>
            </w:pPr>
            <w:r>
              <w:rPr>
                <w:color w:val="000000"/>
                <w:sz w:val="20"/>
                <w:szCs w:val="20"/>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color w:val="000000"/>
                <w:sz w:val="20"/>
                <w:szCs w:val="20"/>
              </w:rPr>
              <w:t>完成自然保护地综合管理能力的提升。</w:t>
            </w:r>
          </w:p>
        </w:tc>
        <w:tc>
          <w:tcPr>
            <w:tcW w:w="2150" w:type="pct"/>
            <w:gridSpan w:val="3"/>
            <w:vAlign w:val="center"/>
          </w:tcPr>
          <w:p>
            <w:pPr>
              <w:widowControl/>
              <w:spacing w:line="200" w:lineRule="exact"/>
              <w:rPr>
                <w:color w:val="000000"/>
                <w:sz w:val="20"/>
                <w:szCs w:val="20"/>
              </w:rPr>
            </w:pPr>
            <w:r>
              <w:rPr>
                <w:color w:val="000000"/>
                <w:sz w:val="20"/>
                <w:szCs w:val="20"/>
              </w:rPr>
              <w:t>完成自然保护地综合管理能力的提升。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项目完成质量达标率</w:t>
            </w:r>
          </w:p>
        </w:tc>
        <w:tc>
          <w:tcPr>
            <w:tcW w:w="704" w:type="pct"/>
            <w:vAlign w:val="center"/>
          </w:tcPr>
          <w:p>
            <w:pPr>
              <w:widowControl/>
              <w:spacing w:line="200" w:lineRule="exact"/>
              <w:jc w:val="center"/>
              <w:rPr>
                <w:color w:val="000000"/>
                <w:sz w:val="20"/>
                <w:szCs w:val="20"/>
              </w:rPr>
            </w:pPr>
            <w:r>
              <w:rPr>
                <w:color w:val="000000"/>
                <w:sz w:val="20"/>
                <w:szCs w:val="20"/>
              </w:rPr>
              <w:t>≥90%</w:t>
            </w:r>
          </w:p>
        </w:tc>
        <w:tc>
          <w:tcPr>
            <w:tcW w:w="716" w:type="pct"/>
            <w:vAlign w:val="center"/>
          </w:tcPr>
          <w:p>
            <w:pPr>
              <w:widowControl/>
              <w:spacing w:line="200" w:lineRule="exact"/>
              <w:jc w:val="center"/>
              <w:rPr>
                <w:color w:val="000000"/>
                <w:sz w:val="20"/>
                <w:szCs w:val="20"/>
              </w:rPr>
            </w:pPr>
            <w:r>
              <w:rPr>
                <w:color w:val="000000"/>
                <w:sz w:val="20"/>
                <w:szCs w:val="20"/>
              </w:rPr>
              <w:t>≥91%</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项目完成及时率</w:t>
            </w:r>
          </w:p>
        </w:tc>
        <w:tc>
          <w:tcPr>
            <w:tcW w:w="704" w:type="pct"/>
            <w:vAlign w:val="center"/>
          </w:tcPr>
          <w:p>
            <w:pPr>
              <w:widowControl/>
              <w:spacing w:line="200" w:lineRule="exact"/>
              <w:jc w:val="center"/>
              <w:rPr>
                <w:color w:val="000000"/>
                <w:sz w:val="20"/>
                <w:szCs w:val="20"/>
              </w:rPr>
            </w:pPr>
            <w:r>
              <w:rPr>
                <w:color w:val="000000"/>
                <w:sz w:val="20"/>
                <w:szCs w:val="20"/>
              </w:rPr>
              <w:t>≥96%</w:t>
            </w:r>
          </w:p>
        </w:tc>
        <w:tc>
          <w:tcPr>
            <w:tcW w:w="716" w:type="pct"/>
            <w:vAlign w:val="center"/>
          </w:tcPr>
          <w:p>
            <w:pPr>
              <w:widowControl/>
              <w:spacing w:line="200" w:lineRule="exact"/>
              <w:jc w:val="center"/>
              <w:rPr>
                <w:color w:val="000000"/>
                <w:sz w:val="20"/>
                <w:szCs w:val="20"/>
              </w:rPr>
            </w:pPr>
            <w:r>
              <w:rPr>
                <w:color w:val="000000"/>
                <w:sz w:val="20"/>
                <w:szCs w:val="20"/>
              </w:rPr>
              <w:t>≥97%</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项目提升成本</w:t>
            </w:r>
          </w:p>
        </w:tc>
        <w:tc>
          <w:tcPr>
            <w:tcW w:w="704" w:type="pct"/>
            <w:vAlign w:val="center"/>
          </w:tcPr>
          <w:p>
            <w:pPr>
              <w:widowControl/>
              <w:spacing w:line="200" w:lineRule="exact"/>
              <w:jc w:val="center"/>
              <w:rPr>
                <w:color w:val="000000"/>
                <w:sz w:val="20"/>
                <w:szCs w:val="20"/>
              </w:rPr>
            </w:pPr>
            <w:r>
              <w:rPr>
                <w:color w:val="000000"/>
                <w:sz w:val="20"/>
                <w:szCs w:val="20"/>
              </w:rPr>
              <w:t>≤390万元</w:t>
            </w:r>
          </w:p>
        </w:tc>
        <w:tc>
          <w:tcPr>
            <w:tcW w:w="716" w:type="pct"/>
            <w:vAlign w:val="center"/>
          </w:tcPr>
          <w:p>
            <w:pPr>
              <w:widowControl/>
              <w:spacing w:line="200" w:lineRule="exact"/>
              <w:jc w:val="center"/>
              <w:rPr>
                <w:color w:val="000000"/>
                <w:sz w:val="20"/>
                <w:szCs w:val="20"/>
              </w:rPr>
            </w:pPr>
            <w:r>
              <w:rPr>
                <w:color w:val="000000"/>
                <w:sz w:val="20"/>
                <w:szCs w:val="20"/>
              </w:rPr>
              <w:t>=0万元</w:t>
            </w:r>
          </w:p>
        </w:tc>
        <w:tc>
          <w:tcPr>
            <w:tcW w:w="729" w:type="pct"/>
            <w:vAlign w:val="center"/>
          </w:tcPr>
          <w:p>
            <w:pPr>
              <w:widowControl/>
              <w:spacing w:line="200" w:lineRule="exact"/>
              <w:jc w:val="center"/>
              <w:rPr>
                <w:color w:val="000000"/>
                <w:sz w:val="20"/>
                <w:szCs w:val="20"/>
              </w:rPr>
            </w:pPr>
            <w:r>
              <w:rPr>
                <w:color w:val="000000"/>
                <w:sz w:val="20"/>
                <w:szCs w:val="20"/>
              </w:rPr>
              <w:t>资金正处于兑现阶段，加快资金拨付进度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有效提高建设和管理能力</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color w:val="000000"/>
                <w:sz w:val="20"/>
                <w:szCs w:val="20"/>
              </w:rPr>
              <w:t>保护区成效获得公众认可度</w:t>
            </w:r>
          </w:p>
        </w:tc>
        <w:tc>
          <w:tcPr>
            <w:tcW w:w="704" w:type="pct"/>
            <w:vAlign w:val="center"/>
          </w:tcPr>
          <w:p>
            <w:pPr>
              <w:widowControl/>
              <w:spacing w:line="200" w:lineRule="exact"/>
              <w:jc w:val="center"/>
              <w:rPr>
                <w:sz w:val="20"/>
                <w:szCs w:val="20"/>
              </w:rPr>
            </w:pPr>
            <w:r>
              <w:rPr>
                <w:color w:val="000000"/>
                <w:sz w:val="20"/>
                <w:szCs w:val="20"/>
              </w:rPr>
              <w:t>≥92%</w:t>
            </w:r>
          </w:p>
        </w:tc>
        <w:tc>
          <w:tcPr>
            <w:tcW w:w="716" w:type="pct"/>
            <w:vAlign w:val="center"/>
          </w:tcPr>
          <w:p>
            <w:pPr>
              <w:widowControl/>
              <w:spacing w:line="200" w:lineRule="exact"/>
              <w:jc w:val="center"/>
              <w:rPr>
                <w:sz w:val="20"/>
                <w:szCs w:val="20"/>
              </w:rPr>
            </w:pPr>
            <w:r>
              <w:rPr>
                <w:color w:val="000000"/>
                <w:sz w:val="20"/>
                <w:szCs w:val="20"/>
              </w:rPr>
              <w:t>≥92%</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rPr>
          <w:sz w:val="21"/>
          <w:szCs w:val="21"/>
        </w:rPr>
      </w:pPr>
      <w:r>
        <w:rPr>
          <w:sz w:val="21"/>
          <w:szCs w:val="21"/>
        </w:rPr>
        <w:br w:type="page"/>
      </w:r>
    </w:p>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hint="eastAsia" w:eastAsia="方正公文楷体"/>
          <w:color w:val="000000"/>
          <w:kern w:val="0"/>
          <w:sz w:val="24"/>
          <w:szCs w:val="24"/>
        </w:rPr>
      </w:pPr>
      <w:r>
        <w:rPr>
          <w:rFonts w:eastAsia="方正公文楷体"/>
          <w:color w:val="000000"/>
          <w:kern w:val="0"/>
          <w:sz w:val="24"/>
          <w:szCs w:val="24"/>
        </w:rPr>
        <w:t>2022年度自然保护地综合管理能力项目支出绩效评价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1402"/>
        <w:gridCol w:w="1140"/>
        <w:gridCol w:w="1171"/>
        <w:gridCol w:w="1777"/>
        <w:gridCol w:w="1127"/>
        <w:gridCol w:w="781"/>
        <w:gridCol w:w="584"/>
        <w:gridCol w:w="506"/>
        <w:gridCol w:w="609"/>
        <w:gridCol w:w="615"/>
        <w:gridCol w:w="4213"/>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327"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569"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7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569"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8"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75" w:type="pct"/>
            <w:vMerge w:val="continue"/>
            <w:vAlign w:val="center"/>
          </w:tcPr>
          <w:p>
            <w:pPr>
              <w:spacing w:line="400" w:lineRule="exact"/>
              <w:jc w:val="center"/>
              <w:rPr>
                <w:rFonts w:ascii="仿宋_GB2312" w:hAnsi="Arial Unicode MS" w:cs="Arial Unicode MS"/>
                <w:kern w:val="0"/>
                <w:sz w:val="18"/>
                <w:szCs w:val="18"/>
              </w:rPr>
            </w:pPr>
          </w:p>
        </w:tc>
        <w:tc>
          <w:tcPr>
            <w:tcW w:w="569"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8"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75"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569"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4789" w:type="pct"/>
            <w:gridSpan w:val="1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94</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altName w:val="Arial"/>
    <w:panose1 w:val="020B0604020202020204"/>
    <w:charset w:val="80"/>
    <w:family w:val="swiss"/>
    <w:pitch w:val="default"/>
    <w:sig w:usb0="00000000" w:usb1="00000000"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宋体"/>
    <w:panose1 w:val="020005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楷体_GB2312"/>
    <w:panose1 w:val="020005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486FB767-AAF9-4ED3-9C65-63DFE8E9CE0C}" w:val="KUr9E1jDwoctlTxO78vqBJIM23/+6g0CQSWey4p=PHafNzhkLRYZiAVun5bsmFdXG"/>
    <w:docVar w:name="commondata" w:val="eyJoZGlkIjoiZTgxNTJkNDk3ZTBmZDg5MTJhMDY2NzllNjYwMWY1MWMifQ=="/>
    <w:docVar w:name="DocumentID" w:val="{2D7152F4-809D-451C-95F8-5F33FE345812}"/>
  </w:docVars>
  <w:rsids>
    <w:rsidRoot w:val="0B0634F0"/>
    <w:rsid w:val="00247B30"/>
    <w:rsid w:val="00275788"/>
    <w:rsid w:val="002F7F7D"/>
    <w:rsid w:val="004C7C22"/>
    <w:rsid w:val="0051360E"/>
    <w:rsid w:val="00760468"/>
    <w:rsid w:val="00B92D8B"/>
    <w:rsid w:val="00BE2410"/>
    <w:rsid w:val="00D90768"/>
    <w:rsid w:val="00DD55E5"/>
    <w:rsid w:val="0890362F"/>
    <w:rsid w:val="0B0634F0"/>
    <w:rsid w:val="10F772D2"/>
    <w:rsid w:val="1A395A32"/>
    <w:rsid w:val="2101264B"/>
    <w:rsid w:val="25755F61"/>
    <w:rsid w:val="3E0844C2"/>
    <w:rsid w:val="402D539C"/>
    <w:rsid w:val="4C086D1A"/>
    <w:rsid w:val="4F0102F5"/>
    <w:rsid w:val="4FBB1C67"/>
    <w:rsid w:val="51234082"/>
    <w:rsid w:val="58102D59"/>
    <w:rsid w:val="5E832090"/>
    <w:rsid w:val="5F021EAC"/>
    <w:rsid w:val="63335D92"/>
    <w:rsid w:val="6DED6A5F"/>
    <w:rsid w:val="6E881A5B"/>
    <w:rsid w:val="75562450"/>
    <w:rsid w:val="7E703C3A"/>
    <w:rsid w:val="7E7350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字符"/>
    <w:link w:val="3"/>
    <w:qFormat/>
    <w:uiPriority w:val="0"/>
    <w:rPr>
      <w:b/>
      <w:kern w:val="44"/>
      <w:sz w:val="44"/>
    </w:rPr>
  </w:style>
  <w:style w:type="character" w:customStyle="1" w:styleId="20">
    <w:name w:val="标题 2 字符"/>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3027</Words>
  <Characters>3167</Characters>
  <Lines>305</Lines>
  <Paragraphs>236</Paragraphs>
  <TotalTime>2</TotalTime>
  <ScaleCrop>false</ScaleCrop>
  <LinksUpToDate>false</LinksUpToDate>
  <CharactersWithSpaces>3179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沐川县林业局</cp:lastModifiedBy>
  <dcterms:modified xsi:type="dcterms:W3CDTF">2023-10-17T02:22:35Z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23365E4A76BC40789C715C73995BE054_11</vt:lpwstr>
  </property>
</Properties>
</file>