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w:t>
      </w:r>
      <w:r>
        <w:rPr>
          <w:rFonts w:hint="eastAsia" w:eastAsia="方正小标宋简体"/>
          <w:spacing w:val="1"/>
          <w:sz w:val="36"/>
          <w:szCs w:val="36"/>
        </w:rPr>
        <w:t>林业局</w:t>
      </w:r>
    </w:p>
    <w:p>
      <w:pPr>
        <w:kinsoku w:val="0"/>
        <w:overflowPunct w:val="0"/>
        <w:spacing w:line="700" w:lineRule="exact"/>
        <w:jc w:val="center"/>
        <w:rPr>
          <w:rFonts w:eastAsia="方正小标宋简体"/>
          <w:spacing w:val="1"/>
          <w:sz w:val="36"/>
          <w:szCs w:val="36"/>
        </w:rPr>
      </w:pPr>
      <w:r>
        <w:rPr>
          <w:rFonts w:hint="eastAsia" w:eastAsia="方正小标宋简体"/>
          <w:b/>
          <w:bCs/>
          <w:spacing w:val="1"/>
          <w:sz w:val="36"/>
          <w:szCs w:val="36"/>
        </w:rPr>
        <w:t>2022</w:t>
      </w:r>
      <w:r>
        <w:rPr>
          <w:rFonts w:hint="eastAsia" w:eastAsia="方正小标宋简体"/>
          <w:spacing w:val="1"/>
          <w:sz w:val="36"/>
          <w:szCs w:val="36"/>
        </w:rPr>
        <w:t>年度</w:t>
      </w:r>
      <w:r>
        <w:rPr>
          <w:rFonts w:eastAsia="方正小标宋简体"/>
          <w:spacing w:val="1"/>
          <w:sz w:val="36"/>
          <w:szCs w:val="36"/>
        </w:rPr>
        <w:t>部门整体支出绩效自评报告</w:t>
      </w:r>
    </w:p>
    <w:p>
      <w:pPr>
        <w:pStyle w:val="4"/>
        <w:spacing w:before="0" w:after="0" w:line="360" w:lineRule="auto"/>
        <w:ind w:firstLine="640" w:firstLineChars="200"/>
        <w:rPr>
          <w:rFonts w:ascii="黑体" w:hAnsi="黑体" w:eastAsia="黑体" w:cs="黑体"/>
          <w:b w:val="0"/>
          <w:bCs/>
          <w:sz w:val="32"/>
        </w:rPr>
      </w:pPr>
      <w:r>
        <w:rPr>
          <w:rFonts w:ascii="黑体" w:hAnsi="黑体" w:eastAsia="黑体" w:cs="黑体"/>
          <w:b w:val="0"/>
          <w:bCs/>
          <w:sz w:val="32"/>
        </w:rPr>
        <w:t>一、部门概况</w:t>
      </w:r>
    </w:p>
    <w:p>
      <w:pPr>
        <w:pStyle w:val="5"/>
        <w:spacing w:before="0" w:after="0" w:line="360" w:lineRule="auto"/>
        <w:ind w:firstLine="640" w:firstLineChars="200"/>
        <w:rPr>
          <w:rFonts w:ascii="Times New Roman" w:hAnsi="Times New Roman" w:eastAsia="楷体_GB2312"/>
          <w:b w:val="0"/>
          <w:bCs/>
        </w:rPr>
      </w:pPr>
      <w:r>
        <w:rPr>
          <w:rFonts w:ascii="Times New Roman" w:hAnsi="Times New Roman" w:eastAsia="楷体_GB2312"/>
          <w:b w:val="0"/>
          <w:bCs/>
        </w:rPr>
        <w:t>(一)机构组成</w:t>
      </w:r>
    </w:p>
    <w:p>
      <w:pPr>
        <w:spacing w:line="360" w:lineRule="auto"/>
        <w:ind w:firstLine="640" w:firstLineChars="200"/>
        <w:rPr>
          <w:rFonts w:ascii="仿宋_GB2312" w:hAnsi="仿宋_GB2312" w:cs="仿宋_GB2312"/>
        </w:rPr>
      </w:pPr>
      <w:r>
        <w:t>县林业局内设机构2个，分别是办公室、林长制工作股（挂火灾预防股牌子）；下属事业单位4个，分别是县林业技术服务中心、县野生动植物保护中心、县木材检查站、县国有林场。</w:t>
      </w:r>
    </w:p>
    <w:p>
      <w:pPr>
        <w:pStyle w:val="5"/>
        <w:spacing w:before="0" w:after="0" w:line="360" w:lineRule="auto"/>
        <w:ind w:firstLine="640" w:firstLineChars="200"/>
        <w:rPr>
          <w:rFonts w:ascii="楷体" w:hAnsi="楷体" w:eastAsia="楷体" w:cs="楷体"/>
          <w:b w:val="0"/>
          <w:bCs/>
        </w:rPr>
      </w:pPr>
      <w:r>
        <w:rPr>
          <w:rFonts w:ascii="Times New Roman" w:hAnsi="Times New Roman" w:eastAsia="楷体_GB2312"/>
          <w:b w:val="0"/>
          <w:bCs/>
        </w:rPr>
        <w:t>(二)机构职能</w:t>
      </w:r>
    </w:p>
    <w:p>
      <w:pPr>
        <w:spacing w:line="600" w:lineRule="exact"/>
        <w:ind w:firstLine="640" w:firstLineChars="200"/>
        <w:rPr>
          <w:rFonts w:eastAsia="楷体_GB2312"/>
        </w:rPr>
      </w:pPr>
      <w:r>
        <w:t>县林业局为县人民政府工作部门，是全县林业工作的主管部门。根据“三定”规定，县林业局主要承担林业生态保护修复与监督管理、造林绿化、森林与湿地资源监督管理、石漠化防治、陆生野生动植物资源监督管理、县域内各类风景名胜和自然保护地监督管理、森林防灭火等工作。</w:t>
      </w:r>
    </w:p>
    <w:p>
      <w:pPr>
        <w:pStyle w:val="5"/>
        <w:spacing w:before="0" w:after="0" w:line="360" w:lineRule="auto"/>
        <w:ind w:firstLine="640" w:firstLineChars="200"/>
        <w:rPr>
          <w:rFonts w:ascii="Times New Roman" w:hAnsi="Times New Roman" w:eastAsia="楷体_GB2312"/>
          <w:b w:val="0"/>
          <w:bCs/>
        </w:rPr>
      </w:pPr>
      <w:r>
        <w:rPr>
          <w:rFonts w:ascii="Times New Roman" w:hAnsi="Times New Roman" w:eastAsia="楷体_GB2312"/>
          <w:b w:val="0"/>
          <w:bCs/>
        </w:rPr>
        <w:t>(三)人员概况</w:t>
      </w:r>
    </w:p>
    <w:p>
      <w:pPr>
        <w:spacing w:line="360" w:lineRule="auto"/>
        <w:ind w:firstLine="640" w:firstLineChars="200"/>
      </w:pPr>
      <w:r>
        <w:t>核定机关行政编制6名，机关工勤编制1名，现有在编在岗机关行政人员7名，机关工勤人员1名。设局长1名，副局长1名，机关党委书记1名，中层职数2名。</w:t>
      </w:r>
    </w:p>
    <w:p>
      <w:pPr>
        <w:spacing w:line="360" w:lineRule="auto"/>
        <w:ind w:firstLine="640" w:firstLineChars="200"/>
      </w:pPr>
      <w:r>
        <w:t>机关核定事业编制23名，现有在编在岗职工20名，其中管理岗位4名、专业技术岗位13名、工勤岗位3名。</w:t>
      </w:r>
    </w:p>
    <w:p>
      <w:pPr>
        <w:pStyle w:val="4"/>
        <w:spacing w:before="0" w:after="0" w:line="360" w:lineRule="auto"/>
        <w:ind w:firstLine="640" w:firstLineChars="200"/>
        <w:rPr>
          <w:rFonts w:ascii="黑体" w:hAnsi="黑体" w:eastAsia="黑体" w:cs="黑体"/>
          <w:b w:val="0"/>
          <w:bCs/>
          <w:sz w:val="32"/>
        </w:rPr>
      </w:pPr>
      <w:r>
        <w:rPr>
          <w:rFonts w:ascii="黑体" w:hAnsi="黑体" w:eastAsia="黑体" w:cs="黑体"/>
          <w:b w:val="0"/>
          <w:bCs/>
          <w:sz w:val="32"/>
        </w:rPr>
        <w:t>二、部门财政资金收支情况</w:t>
      </w:r>
    </w:p>
    <w:p>
      <w:pPr>
        <w:pStyle w:val="5"/>
        <w:spacing w:before="0" w:after="0" w:line="360" w:lineRule="auto"/>
        <w:ind w:firstLine="640" w:firstLineChars="200"/>
        <w:rPr>
          <w:rFonts w:ascii="Times New Roman" w:hAnsi="Times New Roman" w:eastAsia="楷体_GB2312"/>
          <w:b w:val="0"/>
          <w:bCs/>
        </w:rPr>
      </w:pPr>
      <w:r>
        <w:rPr>
          <w:rFonts w:ascii="Times New Roman" w:hAnsi="Times New Roman" w:eastAsia="楷体_GB2312"/>
          <w:b w:val="0"/>
          <w:bCs/>
        </w:rPr>
        <w:t>(一)部门财政资金收入情况</w:t>
      </w:r>
    </w:p>
    <w:p>
      <w:pPr>
        <w:spacing w:line="360" w:lineRule="auto"/>
        <w:ind w:firstLine="640" w:firstLineChars="200"/>
      </w:pPr>
      <w:r>
        <w:rPr>
          <w:rFonts w:hint="eastAsia"/>
        </w:rPr>
        <w:t>2022年我局汇总全年实现财政拨款总收入4234.59万元，其中：一般公共预算财政拨款收入3453.08万元，年初财政拨款结转和结余7</w:t>
      </w:r>
      <w:r>
        <w:t>76.51</w:t>
      </w:r>
      <w:r>
        <w:rPr>
          <w:rFonts w:hint="eastAsia"/>
        </w:rPr>
        <w:t>万元。</w:t>
      </w:r>
    </w:p>
    <w:p>
      <w:pPr>
        <w:pStyle w:val="5"/>
        <w:spacing w:before="0" w:after="0" w:line="360" w:lineRule="auto"/>
        <w:ind w:firstLine="640" w:firstLineChars="200"/>
        <w:rPr>
          <w:rFonts w:ascii="Times New Roman" w:hAnsi="Times New Roman" w:eastAsia="楷体_GB2312"/>
          <w:b w:val="0"/>
          <w:bCs/>
        </w:rPr>
      </w:pPr>
      <w:r>
        <w:rPr>
          <w:rFonts w:ascii="Times New Roman" w:hAnsi="Times New Roman" w:eastAsia="楷体_GB2312"/>
          <w:b w:val="0"/>
          <w:bCs/>
        </w:rPr>
        <w:t>(二)部门财政资金支出情况</w:t>
      </w:r>
    </w:p>
    <w:p>
      <w:pPr>
        <w:spacing w:line="360" w:lineRule="auto"/>
        <w:ind w:firstLine="640" w:firstLineChars="200"/>
      </w:pPr>
      <w:r>
        <w:rPr>
          <w:rFonts w:hint="eastAsia"/>
        </w:rPr>
        <w:t>2022年我局汇总财政资金支出总额为4234.59万元，其中：基本支出1128.41万元，项目支出3106.18万元。基本支出中人员经费支出1030.08万元，公用经费98.33万元。</w:t>
      </w:r>
    </w:p>
    <w:p>
      <w:pPr>
        <w:pStyle w:val="4"/>
        <w:spacing w:before="0" w:after="0" w:line="360" w:lineRule="auto"/>
        <w:ind w:firstLine="640" w:firstLineChars="200"/>
        <w:rPr>
          <w:rFonts w:ascii="黑体" w:hAnsi="黑体" w:eastAsia="黑体" w:cs="黑体"/>
          <w:b w:val="0"/>
          <w:bCs/>
          <w:sz w:val="32"/>
        </w:rPr>
      </w:pPr>
      <w:r>
        <w:rPr>
          <w:rFonts w:ascii="黑体" w:hAnsi="黑体" w:eastAsia="黑体" w:cs="黑体"/>
          <w:b w:val="0"/>
          <w:bCs/>
          <w:sz w:val="32"/>
        </w:rPr>
        <w:t>三、部门预算管理情况</w:t>
      </w:r>
    </w:p>
    <w:p>
      <w:pPr>
        <w:pStyle w:val="5"/>
        <w:spacing w:before="0" w:after="0" w:line="360" w:lineRule="auto"/>
        <w:ind w:firstLine="640" w:firstLineChars="200"/>
        <w:rPr>
          <w:rFonts w:ascii="Times New Roman" w:hAnsi="Times New Roman" w:eastAsia="楷体_GB2312"/>
          <w:b w:val="0"/>
          <w:bCs/>
        </w:rPr>
      </w:pPr>
      <w:r>
        <w:rPr>
          <w:rFonts w:ascii="Times New Roman" w:hAnsi="Times New Roman" w:eastAsia="楷体_GB2312"/>
          <w:b w:val="0"/>
          <w:bCs/>
        </w:rPr>
        <w:t>(一)预算编制情况</w:t>
      </w:r>
    </w:p>
    <w:p>
      <w:pPr>
        <w:spacing w:line="360" w:lineRule="auto"/>
        <w:ind w:firstLine="640" w:firstLineChars="200"/>
      </w:pPr>
      <w:r>
        <w:rPr>
          <w:rFonts w:hint="eastAsia"/>
        </w:rPr>
        <w:t>2022年部门年初预算收入1129.56万元，支出预算安排1129.56万元，收支平衡。严格按照新《预算法》的要求，根据单位年初工作计划和目标任务的实际，科学合理编制部门年度预算草案，同步设置绩效目标。在编制基本支出过程中，认真核实单位实际财政供养人数和单位实有编制情况，正确编制人员经费和公用经费，在预算编制项目支出过程中，按照县财政的安排，给业务股室下发预算编报通知，各股室编制预算并做了事前绩效评估，财务汇总，经局主要领导研究审定，提出预算草案，上报财政审核。</w:t>
      </w:r>
    </w:p>
    <w:p>
      <w:pPr>
        <w:spacing w:line="360" w:lineRule="auto"/>
        <w:ind w:firstLine="640" w:firstLineChars="200"/>
      </w:pPr>
      <w:r>
        <w:rPr>
          <w:rFonts w:hint="eastAsia"/>
        </w:rPr>
        <w:t>2022年部门整体绩效目标是对全县林业生态保护修复、森林湿地资源、陆生野生动植物资源的监督管理；监督管理全县石漠化防治、全县各类风景名胜和自然保护地；开展森林防火等方面工作。我局对2022年的古树名木保护经费项目、五马坪景区管护管理经费项目、朱</w:t>
      </w:r>
      <w:r>
        <w:rPr>
          <w:rFonts w:hint="eastAsia" w:ascii="仿宋" w:hAnsi="仿宋" w:eastAsia="仿宋"/>
        </w:rPr>
        <w:t>鹮</w:t>
      </w:r>
      <w:r>
        <w:rPr>
          <w:rFonts w:hint="eastAsia"/>
        </w:rPr>
        <w:t>驯养繁育管理经费、长江上游森林生态系统修复项目等项目设置了绩效目标，目标内容完整，细化量化指标清晰明了，标准合理，与预算相匹配。</w:t>
      </w:r>
    </w:p>
    <w:p>
      <w:pPr>
        <w:spacing w:line="360" w:lineRule="auto"/>
        <w:ind w:firstLine="640" w:firstLineChars="200"/>
      </w:pPr>
      <w:r>
        <w:rPr>
          <w:rFonts w:hint="eastAsia"/>
        </w:rPr>
        <w:t>2022年我局全年围绕全面推进林长制工作、林业资源保护管理工作、林竹产业建设工作三大方面展开工作，完成了古树名木保护经费项目、五马坪景区管护管理经费项目、朱</w:t>
      </w:r>
      <w:r>
        <w:rPr>
          <w:rFonts w:hint="eastAsia" w:ascii="仿宋" w:hAnsi="仿宋" w:eastAsia="仿宋"/>
        </w:rPr>
        <w:t>鹮</w:t>
      </w:r>
      <w:r>
        <w:rPr>
          <w:rFonts w:hint="eastAsia"/>
        </w:rPr>
        <w:t>驯养繁育管理经费、长江上游森林生态系统修复项目、森林生态效益补偿、森林防灭火能力建设、竹博园项目等15个项目，各项工作有力有效，绩效目标基本实现。</w:t>
      </w:r>
    </w:p>
    <w:p>
      <w:pPr>
        <w:pStyle w:val="5"/>
        <w:spacing w:before="0" w:after="0" w:line="360" w:lineRule="auto"/>
        <w:ind w:firstLine="640" w:firstLineChars="200"/>
        <w:rPr>
          <w:rFonts w:ascii="Times New Roman" w:hAnsi="Times New Roman" w:eastAsia="楷体_GB2312"/>
          <w:b w:val="0"/>
          <w:bCs/>
        </w:rPr>
      </w:pPr>
      <w:r>
        <w:rPr>
          <w:rFonts w:ascii="Times New Roman" w:hAnsi="Times New Roman" w:eastAsia="楷体_GB2312"/>
          <w:b w:val="0"/>
          <w:bCs/>
        </w:rPr>
        <w:t>(二)预算执行情况</w:t>
      </w:r>
    </w:p>
    <w:p>
      <w:pPr>
        <w:spacing w:line="360" w:lineRule="auto"/>
        <w:ind w:firstLine="640" w:firstLineChars="200"/>
      </w:pPr>
      <w:r>
        <w:t>一是预算完成情况：</w:t>
      </w:r>
      <w:r>
        <w:rPr>
          <w:rFonts w:hint="eastAsia"/>
        </w:rPr>
        <w:t>2022年我局汇总全年实现财政拨款总收入4234.59万元，其中：一般公共预算财政拨款收入3453.08万元，年初财政拨款结转和结余7</w:t>
      </w:r>
      <w:r>
        <w:t>76.51</w:t>
      </w:r>
      <w:r>
        <w:rPr>
          <w:rFonts w:hint="eastAsia"/>
        </w:rPr>
        <w:t>万元。2022年我局汇总财政资金支出总额为4234.59万元，其中：基本支出1128.41万元，项目支出3106.18万元；基本支出中人员经费支出1030.08万元，公用经费98.33万元。</w:t>
      </w:r>
    </w:p>
    <w:p>
      <w:pPr>
        <w:spacing w:line="360" w:lineRule="auto"/>
        <w:ind w:firstLine="640" w:firstLineChars="200"/>
      </w:pPr>
      <w:r>
        <w:t>二是“三公”经费等预算执行情况：2022年“三公”经费财政拨款</w:t>
      </w:r>
      <w:r>
        <w:rPr>
          <w:rFonts w:hint="eastAsia"/>
        </w:rPr>
        <w:t>预算数16.7万元，当年三公经费支出数</w:t>
      </w:r>
      <w:r>
        <w:t>16</w:t>
      </w:r>
      <w:r>
        <w:rPr>
          <w:rFonts w:hint="eastAsia"/>
        </w:rPr>
        <w:t>.</w:t>
      </w:r>
      <w:r>
        <w:t>10</w:t>
      </w:r>
      <w:r>
        <w:rPr>
          <w:rFonts w:hint="eastAsia"/>
        </w:rPr>
        <w:t>万元，其中：公务用车10.7万元，公务接待5.4万元，</w:t>
      </w:r>
      <w:r>
        <w:t>严格按照中央省市县的相关文件要求，控制“三公”经费支出，对公务接待“一事一结”，“三单”齐全</w:t>
      </w:r>
      <w:r>
        <w:rPr>
          <w:rFonts w:hint="eastAsia"/>
        </w:rPr>
        <w:t>。</w:t>
      </w:r>
    </w:p>
    <w:p>
      <w:pPr>
        <w:spacing w:line="360" w:lineRule="auto"/>
        <w:ind w:firstLine="640" w:firstLineChars="200"/>
      </w:pPr>
      <w:r>
        <w:rPr>
          <w:rFonts w:hint="eastAsia"/>
        </w:rPr>
        <w:t>三是2022年预算执行中严格执行预算管理规定，无违规记录。</w:t>
      </w:r>
    </w:p>
    <w:p>
      <w:pPr>
        <w:pStyle w:val="4"/>
        <w:spacing w:before="0" w:after="0" w:line="360" w:lineRule="auto"/>
        <w:ind w:firstLine="640" w:firstLineChars="200"/>
        <w:rPr>
          <w:rFonts w:ascii="黑体" w:hAnsi="黑体" w:eastAsia="黑体" w:cs="黑体"/>
          <w:b w:val="0"/>
          <w:bCs/>
          <w:sz w:val="32"/>
        </w:rPr>
      </w:pPr>
      <w:r>
        <w:rPr>
          <w:rFonts w:hint="eastAsia" w:ascii="黑体" w:hAnsi="黑体" w:eastAsia="黑体" w:cs="黑体"/>
          <w:b w:val="0"/>
          <w:bCs/>
          <w:sz w:val="32"/>
        </w:rPr>
        <w:t>四、</w:t>
      </w:r>
      <w:r>
        <w:rPr>
          <w:rFonts w:ascii="黑体" w:hAnsi="黑体" w:eastAsia="黑体" w:cs="黑体"/>
          <w:b w:val="0"/>
          <w:bCs/>
          <w:sz w:val="32"/>
        </w:rPr>
        <w:t>整体绩效情况</w:t>
      </w:r>
    </w:p>
    <w:p>
      <w:pPr>
        <w:spacing w:line="360" w:lineRule="auto"/>
        <w:ind w:firstLine="640" w:firstLineChars="200"/>
      </w:pPr>
      <w:r>
        <w:rPr>
          <w:rFonts w:hint="eastAsia"/>
        </w:rPr>
        <w:t>2022年，我局坚持“旅游兴县、产业强县”工作主线，把握“绿色发展、追赶跨越”工作基调，立足新发展阶段，贯彻新发展理念，融入新发展格局，在省、市林业主管部门和县委、县政府的指导下，扎实推进林业工作。</w:t>
      </w:r>
    </w:p>
    <w:p>
      <w:pPr>
        <w:pStyle w:val="5"/>
        <w:spacing w:before="0" w:after="0" w:line="360" w:lineRule="auto"/>
        <w:ind w:firstLine="640" w:firstLineChars="200"/>
        <w:rPr>
          <w:rFonts w:ascii="Times New Roman" w:hAnsi="Times New Roman" w:eastAsia="楷体_GB2312"/>
          <w:b w:val="0"/>
          <w:bCs/>
        </w:rPr>
      </w:pPr>
      <w:r>
        <w:rPr>
          <w:rFonts w:hint="eastAsia" w:ascii="Times New Roman" w:hAnsi="Times New Roman" w:eastAsia="楷体_GB2312"/>
          <w:b w:val="0"/>
          <w:bCs/>
        </w:rPr>
        <w:t>（一）林竹产业建设工作</w:t>
      </w:r>
    </w:p>
    <w:p>
      <w:pPr>
        <w:spacing w:line="360" w:lineRule="auto"/>
        <w:ind w:firstLine="640" w:firstLineChars="200"/>
      </w:pPr>
      <w:r>
        <w:rPr>
          <w:rFonts w:hint="eastAsia"/>
        </w:rPr>
        <w:t>1.巩固退耕、天保两大工程。一是对前一轮14.4万亩退耕还林（已到期）实施常规管护，2000—2006年退耕还生态林抚育面积14.01万亩，到位资金280.22万元，按照补助标准20元/亩已经兑现到户。二是完成了全县31.06万亩生态公益林常规管护，到位资金497.03万元，按照16元/亩标准兑现到户。三是在脱贫人口中续聘生态护林员609名，对所在区域内的森林进行管护，管护工资400元/月/人，并按季支付。国有林场森林管护10.6万亩，实行常规管护。</w:t>
      </w:r>
    </w:p>
    <w:p>
      <w:pPr>
        <w:spacing w:line="360" w:lineRule="auto"/>
        <w:ind w:firstLine="640" w:firstLineChars="200"/>
      </w:pPr>
      <w:r>
        <w:rPr>
          <w:rFonts w:hint="eastAsia"/>
        </w:rPr>
        <w:t>2.营造林和新修林区路。一是完成了营林任务。2022年上级下达我县营林任务2.5万亩，截至目前已完成各项营林任务</w:t>
      </w:r>
      <w:r>
        <w:rPr>
          <w:rFonts w:hint="eastAsia"/>
          <w:color w:val="FF0000"/>
        </w:rPr>
        <w:t>。</w:t>
      </w:r>
      <w:r>
        <w:rPr>
          <w:rFonts w:hint="eastAsia"/>
        </w:rPr>
        <w:t>中央财政林业改革发展资金营造竹林项目8000亩、省级林业草原改革发展资金（竹基地建设）4000亩项目、中央预算内投资计划2021年横断山区水源涵养与生物多样性保护项目4150亩已完成建设任务。二是全力实施了油茶保障性苗圃基地项目建设。积极向上争取到了乐山市唯一一处油茶保障性苗圃基地，在我县建成了年产200万株良种油茶苗木基地，2022年新建基地占地115.2亩，其中50亩位于国有林场凉风坳山王埂林区、65.2亩位于富新镇，项目总投资达到了150万。三是完成了油茶造林项目。油茶产业在不与粮争地的条件下，缓解了食用油供需矛盾，增加了林农收入，调整了农村产业结构，2022年我局制定了《沐川县2022年森林植被恢复费省级分成资金10000亩油茶造林项目实施方案》，利用箭板、大楠镇良好的区位优势和油茶生产基础，辐射带动了周边富新镇、舟坝镇、黄丹镇等乡镇种植发展油茶产业，进一步壮大了我县油茶产业。四是完成了新建林区路。积极与县交通运输局等部门沟通协调，新建林区产业路、资源路。</w:t>
      </w:r>
    </w:p>
    <w:p>
      <w:pPr>
        <w:spacing w:line="360" w:lineRule="auto"/>
        <w:ind w:firstLine="640" w:firstLineChars="200"/>
      </w:pPr>
      <w:r>
        <w:rPr>
          <w:rFonts w:hint="eastAsia"/>
        </w:rPr>
        <w:t>3.基本完成园区建设任务。一是完成了五指山竹笋产业园区项目。培育了食用笋用林4000亩，完成了园区道路硬化、园区产业设施配套与环境综合整治，新修了竹笋配套加工厂，提升了竹艺村人居环境。同时加强基地提质增效，已培育现代竹产业基地3万亩，创建省级现代竹产业基地2个。同步建设完成了永福镇1000亩慈竹低效林改造为绵竹园区，沐溪、舟坝建设面积为2000亩“甜竹园区”2个。目前所有项目都已建设完成，已进入资料收集和资金兑付阶段。二是完成了现代竹产业园区升星晋级工作。通过对标补短，完善园区建设编制规划，加强园区管理，制定园区管理制度，根据园区企业需求，提升了园区服务水平。同时投入资金，提升园区配套硬件设施、设置园区标牌和界面、美化园区环境等。园区内建设了沐川竹产业馆，对全县竹产业三产融合发展情况作了全方位展示。</w:t>
      </w:r>
    </w:p>
    <w:p>
      <w:pPr>
        <w:spacing w:line="360" w:lineRule="auto"/>
        <w:ind w:firstLine="640" w:firstLineChars="200"/>
      </w:pPr>
      <w:r>
        <w:rPr>
          <w:rFonts w:hint="eastAsia"/>
        </w:rPr>
        <w:t>3.推动竹产业转型升级。一是协助永丰集团、云雾公司完成技改。以永丰纸业集团公司为核心，加大技改提升，沐川禾丰纸业有限责任公司10万吨生活用纸升级改造项目，目前已完成主体工程建设和安装调试。二是永丰浆纸公司新建了一条15万吨/年本色浆生产线及配套设施，总投资9.3亿元，项目本年度已完成备案、节能审查、水资源论证、环评批复等所有报批手续，同时已完成碱炉、汽轮发电机、蒸煮工艺及控制系统等主体设备招标工作。三是投资约4000万元的云雾食品公司技改升级项目已完成。四是新引进了菱兴农业有限公司，在富新镇新建了竹笋加工厂，目前已建成投产，大大缓解了农户竹笋销售难的问题，有力助推林农增收。</w:t>
      </w:r>
    </w:p>
    <w:p>
      <w:pPr>
        <w:spacing w:line="360" w:lineRule="auto"/>
        <w:ind w:firstLine="640" w:firstLineChars="200"/>
      </w:pPr>
      <w:r>
        <w:rPr>
          <w:rFonts w:hint="eastAsia"/>
        </w:rPr>
        <w:t>5.全力实施国家战略储备林和林业碳汇开发项目。一是全力实施国家战略储备林项目，项目总投资约36亿，规划营造林建设约38万亩，依托储备林建设促进森林康养、生态旅游等产业发展。本项目分三期实施，</w:t>
      </w:r>
      <w:r>
        <w:t>第一期项目可研、立项等前期准备工作均已完成，目前项目正在进入确定实施方式阶段。</w:t>
      </w:r>
      <w:r>
        <w:rPr>
          <w:rFonts w:hint="eastAsia"/>
        </w:rPr>
        <w:t>二是积极探索符合沐川实际的林业碳汇开发，我县依托国储林项目建设，探索符合沐川实际可实施的路径，已基本完成沐川县林业碳汇开发方案。</w:t>
      </w:r>
    </w:p>
    <w:p>
      <w:pPr>
        <w:pStyle w:val="5"/>
        <w:spacing w:before="0" w:after="0" w:line="360" w:lineRule="auto"/>
        <w:ind w:firstLine="640" w:firstLineChars="200"/>
        <w:rPr>
          <w:rFonts w:ascii="Times New Roman" w:hAnsi="Times New Roman" w:eastAsia="楷体_GB2312"/>
          <w:b w:val="0"/>
          <w:bCs/>
        </w:rPr>
      </w:pPr>
      <w:r>
        <w:rPr>
          <w:rFonts w:hint="eastAsia" w:ascii="Times New Roman" w:hAnsi="Times New Roman" w:eastAsia="楷体_GB2312"/>
          <w:b w:val="0"/>
          <w:bCs/>
        </w:rPr>
        <w:t>（二）林业资源保护管理工作</w:t>
      </w:r>
    </w:p>
    <w:p>
      <w:pPr>
        <w:spacing w:line="360" w:lineRule="auto"/>
        <w:ind w:firstLine="640" w:firstLineChars="200"/>
      </w:pPr>
      <w:r>
        <w:rPr>
          <w:rFonts w:hint="eastAsia"/>
        </w:rPr>
        <w:t>1.森林防灭火工作。一是协调电信、移动、联通等运营商和微信、QQ等平台推送森林防火信息30万余条；联系县教育局开展了“六个一”和“开学第一课”森林防灭火宣传教育活动；利用乡镇赶集时间节点宣传森林防灭火知识，共发放宣传单9万余份、县禁火令8万余份、森林防火应知应会6万余份；在全县范围内增加了森林防火宣传标语标牌1万余个（含自制标牌）、张贴了森林防灭火宣传标语230余幅；高火险期在重点林区路口增设了临时检查卡点口152个，加强过往人员森林防火知识宣传，杜绝林区用火，降低火灾、火情发生率。二是联合森防办等其他部门对乡镇和重点单位开展了森林防灭火督查40余次，发现问题及时发提醒函，敦促问题单位加强火点、烟点查处力度；指导全县609名护林员熟练使用“数字熊猫监测”即报系统，加大森林防火巡护力度，重点时段在护林员巡护的基础上增加村组干部巡护，发现火灾隐患及时正确处置。三是县森林专业扑火队已安排专业队员对全县各乡镇、村扑火队员进行森林防灭火相关知识培训13余次，重点培训火灾的扑救、避险、自救及扑火工具的操作使用、维修维护等知识，各乡镇、村已开展扑火演练142场次，确保发生火灾、火情能做到“打早、打小、打了”。上半年在富新镇圆满完成县级森林火灾应急演练。</w:t>
      </w:r>
    </w:p>
    <w:p>
      <w:pPr>
        <w:spacing w:line="600" w:lineRule="exact"/>
        <w:ind w:firstLine="640" w:firstLineChars="200"/>
      </w:pPr>
      <w:r>
        <w:t>2.野生动植物保护。一是加大宣传力度。深入学校、自然保护区、森林公园及乡镇对群众进行保护野生动植物宣传教育工作，印发野生动物保护宣传资料2000余份，增强广大群众保护野生动物意识。二是开展保护救护。将群众发现的海南</w:t>
      </w:r>
      <w:r>
        <w:rPr>
          <w:rFonts w:hint="eastAsia" w:ascii="微软雅黑" w:hAnsi="微软雅黑" w:eastAsia="微软雅黑" w:cs="微软雅黑"/>
        </w:rPr>
        <w:t>鳽</w:t>
      </w:r>
      <w:r>
        <w:t>、猫头鹰等野生动物进行精心救护，确认能野外生存后，在芹菜坪自然保护区放归自然，三年来，救助各类野生动物近100只；加强兰草交易市场等野生植物保护管理，联合市场监管、公安、网信等部门开展野生植物专项执法，严厉打击线上、线下违法经营、销售野生植物行为。三是加强繁育管理。积极完善朱寰繁育中心管理制度和章程，不定时开展工作检查，每月召开工作会议，确保中心正常运转，目前朱</w:t>
      </w:r>
      <w:r>
        <w:rPr>
          <w:rFonts w:eastAsia="仿宋"/>
        </w:rPr>
        <w:t>鹮</w:t>
      </w:r>
      <w:r>
        <w:t>种群数量高达80只。四是实施补偿机制。2022年我县将野生动物损坏农林作物事件引入保险机制，县财政安排投保资金20万元，经招投标由人保财险沐川支公司承保，凡发生野生动物损害农林作物及家禽家畜的情况，由保险公司赔偿，从而保障了全县受损群众财产损失。</w:t>
      </w:r>
    </w:p>
    <w:p>
      <w:pPr>
        <w:spacing w:line="600" w:lineRule="exact"/>
        <w:ind w:firstLine="640" w:firstLineChars="200"/>
      </w:pPr>
      <w:r>
        <w:t>3.病虫害防治。今年出台了《沐川县林业有害生物应急预案》，按照“早准备、早预防、早治理”的原则，常规性的开展了病虫害防治和监测工作，防止了规模性灾害的发生，做到了及时发现、及时防治。</w:t>
      </w:r>
    </w:p>
    <w:p>
      <w:pPr>
        <w:pStyle w:val="5"/>
        <w:spacing w:before="0" w:after="0" w:line="360" w:lineRule="auto"/>
        <w:ind w:firstLine="320" w:firstLineChars="100"/>
        <w:rPr>
          <w:rFonts w:ascii="Times New Roman" w:hAnsi="Times New Roman" w:eastAsia="楷体_GB2312"/>
          <w:b w:val="0"/>
          <w:bCs/>
        </w:rPr>
      </w:pPr>
      <w:r>
        <w:rPr>
          <w:rFonts w:hint="eastAsia" w:ascii="Times New Roman" w:hAnsi="Times New Roman" w:eastAsia="楷体_GB2312"/>
          <w:b w:val="0"/>
          <w:bCs/>
        </w:rPr>
        <w:t>（三）全面推进林长制工作</w:t>
      </w:r>
    </w:p>
    <w:p>
      <w:pPr>
        <w:ind w:firstLine="640" w:firstLineChars="200"/>
      </w:pPr>
      <w:r>
        <w:rPr>
          <w:rFonts w:hint="eastAsia"/>
        </w:rPr>
        <w:t>一是</w:t>
      </w:r>
      <w:r>
        <w:t>健全组织体系。全县设立</w:t>
      </w:r>
      <w:r>
        <w:rPr>
          <w:rFonts w:hint="eastAsia"/>
        </w:rPr>
        <w:t>三级</w:t>
      </w:r>
      <w:r>
        <w:t>林长472人，其中县</w:t>
      </w:r>
      <w:r>
        <w:rPr>
          <w:rFonts w:hint="eastAsia"/>
        </w:rPr>
        <w:t>级</w:t>
      </w:r>
      <w:r>
        <w:t>林长2人、县级副林长27人</w:t>
      </w:r>
      <w:r>
        <w:rPr>
          <w:rFonts w:hint="eastAsia"/>
        </w:rPr>
        <w:t>、</w:t>
      </w:r>
      <w:r>
        <w:t>乡（镇）级林长26人、乡（镇）级副林长105人</w:t>
      </w:r>
      <w:r>
        <w:rPr>
          <w:rFonts w:hint="eastAsia"/>
        </w:rPr>
        <w:t>、</w:t>
      </w:r>
      <w:r>
        <w:t>村（社区）级林长151人、村（社区）级副林长158人</w:t>
      </w:r>
      <w:r>
        <w:rPr>
          <w:rFonts w:hint="eastAsia"/>
        </w:rPr>
        <w:t>、</w:t>
      </w:r>
      <w:r>
        <w:t>国有林长单位林长1人、</w:t>
      </w:r>
      <w:r>
        <w:rPr>
          <w:rFonts w:hint="eastAsia"/>
        </w:rPr>
        <w:t>国有林长单位</w:t>
      </w:r>
      <w:r>
        <w:t>副林长2人，落实监管员151人、护林员632人，并根据实际情况动态调整50余人次，设置乡、村两级林长制公示牌170个。县林长制办公室设立在县林业局，负责林长制日常工作。</w:t>
      </w:r>
      <w:r>
        <w:rPr>
          <w:rFonts w:hint="eastAsia"/>
        </w:rPr>
        <w:t>二是</w:t>
      </w:r>
      <w:r>
        <w:t>开展巡林工作。全县三级林长主动作为，履职尽责，切实开展巡林活动，目前累计开展巡林21564次，其中县级林长巡林234次，乡（镇）级林长2185次，村级林长巡林19085次，国有林草单位巡林60次，累计发现整改问题442个，整改率100%，有力保护森林资源。</w:t>
      </w:r>
      <w:r>
        <w:rPr>
          <w:rFonts w:hint="eastAsia"/>
        </w:rPr>
        <w:t>三是创新探索新模式</w:t>
      </w:r>
      <w:r>
        <w:t>。认真落实中央、省、市关于全面推行林长制的工作要求，充分发挥检察机关、公安机关的职能优势，协同做好森林资源的培育、保护和利用</w:t>
      </w:r>
      <w:r>
        <w:rPr>
          <w:rFonts w:hint="eastAsia"/>
        </w:rPr>
        <w:t>工作</w:t>
      </w:r>
      <w:r>
        <w:t>，创新探索建立“林长+检察长+警长”工作模式，印发《沐川县“林长+警长+检察长”联动工作机制的意见》。截至目前，全县设立县林区检察长、警长各1名，设立乡（镇）林区检察长3名、乡（镇）林区警长13名，不断</w:t>
      </w:r>
      <w:r>
        <w:rPr>
          <w:rFonts w:hint="eastAsia"/>
        </w:rPr>
        <w:t>完善</w:t>
      </w:r>
      <w:r>
        <w:t>全县森林等生态资源管理体系</w:t>
      </w:r>
      <w:r>
        <w:rPr>
          <w:rFonts w:hint="eastAsia"/>
        </w:rPr>
        <w:t>，</w:t>
      </w:r>
      <w:r>
        <w:t>提升治理能力，为维护我县森林资源和生态安全提供坚强的制度支撑和法治保障。</w:t>
      </w:r>
    </w:p>
    <w:p>
      <w:pPr>
        <w:pStyle w:val="4"/>
        <w:spacing w:before="0" w:after="0" w:line="360" w:lineRule="auto"/>
        <w:ind w:firstLine="643" w:firstLineChars="200"/>
        <w:rPr>
          <w:rFonts w:ascii="黑体" w:hAnsi="黑体" w:eastAsia="黑体" w:cs="黑体"/>
          <w:sz w:val="32"/>
        </w:rPr>
      </w:pPr>
      <w:r>
        <w:rPr>
          <w:rFonts w:hint="eastAsia" w:ascii="黑体" w:hAnsi="黑体" w:eastAsia="黑体" w:cs="黑体"/>
          <w:sz w:val="32"/>
        </w:rPr>
        <w:t>五</w:t>
      </w:r>
      <w:r>
        <w:rPr>
          <w:rFonts w:ascii="黑体" w:hAnsi="黑体" w:eastAsia="黑体" w:cs="黑体"/>
          <w:sz w:val="32"/>
        </w:rPr>
        <w:t>、评价结论及建议</w:t>
      </w:r>
    </w:p>
    <w:p>
      <w:pPr>
        <w:pStyle w:val="5"/>
        <w:spacing w:before="0" w:after="0" w:line="360" w:lineRule="auto"/>
        <w:ind w:firstLine="640" w:firstLineChars="200"/>
        <w:rPr>
          <w:rFonts w:ascii="Times New Roman" w:hAnsi="Times New Roman" w:eastAsia="楷体_GB2312"/>
          <w:b w:val="0"/>
          <w:bCs/>
        </w:rPr>
      </w:pPr>
      <w:r>
        <w:rPr>
          <w:rFonts w:ascii="Times New Roman" w:hAnsi="Times New Roman" w:eastAsia="楷体_GB2312"/>
          <w:b w:val="0"/>
          <w:bCs/>
        </w:rPr>
        <w:t>(一)评价结论</w:t>
      </w:r>
    </w:p>
    <w:p>
      <w:pPr>
        <w:spacing w:line="360" w:lineRule="auto"/>
        <w:ind w:firstLine="640" w:firstLineChars="200"/>
      </w:pPr>
      <w:r>
        <w:rPr>
          <w:rFonts w:hint="eastAsia"/>
        </w:rPr>
        <w:t>通过自评，自评得分97分，总体评价为“优”。</w:t>
      </w:r>
    </w:p>
    <w:p>
      <w:pPr>
        <w:pStyle w:val="5"/>
        <w:spacing w:before="0" w:after="0" w:line="360" w:lineRule="auto"/>
        <w:ind w:firstLine="640" w:firstLineChars="200"/>
        <w:rPr>
          <w:rFonts w:ascii="Times New Roman" w:hAnsi="Times New Roman" w:eastAsia="楷体_GB2312"/>
          <w:b w:val="0"/>
          <w:bCs/>
        </w:rPr>
      </w:pPr>
      <w:r>
        <w:rPr>
          <w:rFonts w:ascii="Times New Roman" w:hAnsi="Times New Roman" w:eastAsia="楷体_GB2312"/>
          <w:b w:val="0"/>
          <w:bCs/>
        </w:rPr>
        <w:t>(二)存在问题</w:t>
      </w:r>
    </w:p>
    <w:p>
      <w:pPr>
        <w:spacing w:line="360" w:lineRule="auto"/>
        <w:ind w:firstLine="640" w:firstLineChars="200"/>
      </w:pPr>
      <w:r>
        <w:rPr>
          <w:rFonts w:hint="eastAsia"/>
        </w:rPr>
        <w:t>1.</w:t>
      </w:r>
      <w:r>
        <w:t>绩效目标、指标设置有待优化。一是部分绩效目标和指标设置不够科学、不够具体，操作性不强。二是部分产出数量指标设置较低。</w:t>
      </w:r>
    </w:p>
    <w:p>
      <w:pPr>
        <w:spacing w:line="360" w:lineRule="auto"/>
        <w:ind w:firstLine="640" w:firstLineChars="200"/>
      </w:pPr>
      <w:r>
        <w:rPr>
          <w:rFonts w:hint="eastAsia"/>
        </w:rPr>
        <w:t>2.项目资金兑现不及时，导致个别项目预算完成率低等问题。</w:t>
      </w:r>
    </w:p>
    <w:p>
      <w:pPr>
        <w:pStyle w:val="5"/>
        <w:spacing w:before="0" w:after="0" w:line="360" w:lineRule="auto"/>
        <w:ind w:firstLine="640" w:firstLineChars="200"/>
        <w:rPr>
          <w:rFonts w:ascii="Times New Roman" w:hAnsi="Times New Roman" w:eastAsia="楷体_GB2312"/>
          <w:b w:val="0"/>
          <w:bCs/>
        </w:rPr>
      </w:pPr>
      <w:r>
        <w:rPr>
          <w:rFonts w:ascii="Times New Roman" w:hAnsi="Times New Roman" w:eastAsia="楷体_GB2312"/>
          <w:b w:val="0"/>
          <w:bCs/>
        </w:rPr>
        <w:t>(三)改进建议</w:t>
      </w:r>
    </w:p>
    <w:p>
      <w:pPr>
        <w:spacing w:line="360" w:lineRule="auto"/>
        <w:ind w:firstLine="640" w:firstLineChars="200"/>
      </w:pPr>
      <w:r>
        <w:rPr>
          <w:rFonts w:hint="eastAsia"/>
        </w:rPr>
        <w:t>1.细化预算编制工作，目标，科学合理设置绩效目标。</w:t>
      </w:r>
    </w:p>
    <w:p>
      <w:pPr>
        <w:spacing w:line="360" w:lineRule="auto"/>
        <w:ind w:firstLine="640" w:firstLineChars="200"/>
      </w:pPr>
      <w:r>
        <w:rPr>
          <w:rFonts w:hint="eastAsia"/>
        </w:rPr>
        <w:t>2.加强预算支出的审核、跟踪及预算执行情况的分析，加快项目资金拨付。</w:t>
      </w:r>
    </w:p>
    <w:p>
      <w:pPr>
        <w:pStyle w:val="2"/>
        <w:ind w:firstLine="600"/>
      </w:pPr>
    </w:p>
    <w:p>
      <w:pPr>
        <w:spacing w:line="360" w:lineRule="auto"/>
        <w:ind w:firstLine="643" w:firstLineChars="200"/>
        <w:rPr>
          <w:b/>
          <w:bCs/>
        </w:rPr>
      </w:pPr>
      <w:r>
        <w:rPr>
          <w:rFonts w:hint="eastAsia"/>
          <w:b/>
          <w:bCs/>
        </w:rPr>
        <w:t>附件：1.部门整体支出绩效目标自评表</w:t>
      </w:r>
    </w:p>
    <w:p>
      <w:pPr>
        <w:spacing w:line="360" w:lineRule="auto"/>
        <w:ind w:left="960" w:leftChars="300" w:firstLine="643" w:firstLineChars="200"/>
        <w:rPr>
          <w:b/>
          <w:bCs/>
        </w:rPr>
      </w:pPr>
      <w:r>
        <w:rPr>
          <w:rFonts w:hint="eastAsia"/>
          <w:b/>
          <w:bCs/>
        </w:rPr>
        <w:t>2.部门整体支出绩效评价自评得分表</w:t>
      </w:r>
    </w:p>
    <w:p>
      <w:pPr>
        <w:pStyle w:val="6"/>
        <w:ind w:right="320"/>
        <w:jc w:val="right"/>
      </w:pPr>
    </w:p>
    <w:p/>
    <w:p>
      <w:pPr>
        <w:pStyle w:val="6"/>
        <w:ind w:right="320"/>
        <w:jc w:val="right"/>
      </w:pPr>
      <w:r>
        <w:rPr>
          <w:rFonts w:hint="eastAsia"/>
        </w:rPr>
        <w:t>沐川</w:t>
      </w:r>
      <w:bookmarkStart w:id="0" w:name="_GoBack"/>
      <w:bookmarkEnd w:id="0"/>
      <w:r>
        <w:rPr>
          <w:rFonts w:hint="eastAsia"/>
        </w:rPr>
        <w:t>县林业局</w:t>
      </w:r>
    </w:p>
    <w:p>
      <w:pPr>
        <w:jc w:val="right"/>
      </w:pPr>
      <w:r>
        <w:rPr>
          <w:rFonts w:hint="eastAsia"/>
        </w:rPr>
        <w:t>2023年7月17日</w:t>
      </w:r>
    </w:p>
    <w:p>
      <w:pPr>
        <w:rPr>
          <w:rFonts w:ascii="仿宋_GB2312" w:hAnsi="仿宋_GB2312" w:cs="仿宋_GB2312"/>
        </w:rPr>
      </w:pPr>
      <w:r>
        <w:rPr>
          <w:rFonts w:hint="eastAsia" w:ascii="仿宋_GB2312" w:hAnsi="仿宋_GB2312" w:cs="仿宋_GB2312"/>
        </w:rPr>
        <w:br w:type="page"/>
      </w:r>
    </w:p>
    <w:p>
      <w:pPr>
        <w:pStyle w:val="4"/>
        <w:spacing w:before="0" w:after="0" w:line="360" w:lineRule="auto"/>
        <w:rPr>
          <w:rFonts w:eastAsia="黑体"/>
          <w:sz w:val="32"/>
        </w:rPr>
      </w:pPr>
      <w:r>
        <w:rPr>
          <w:rFonts w:eastAsia="黑体"/>
          <w:sz w:val="32"/>
        </w:rPr>
        <w:t>附件1：部门整体支出绩效目标自评表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652"/>
        <w:gridCol w:w="1144"/>
        <w:gridCol w:w="994"/>
        <w:gridCol w:w="1225"/>
        <w:gridCol w:w="813"/>
        <w:gridCol w:w="1182"/>
        <w:gridCol w:w="1226"/>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9"/>
            <w:vAlign w:val="center"/>
          </w:tcPr>
          <w:p>
            <w:pPr>
              <w:widowControl/>
              <w:spacing w:line="400" w:lineRule="exact"/>
              <w:jc w:val="center"/>
              <w:textAlignment w:val="center"/>
              <w:rPr>
                <w:rFonts w:ascii="仿宋_GB2312" w:hAnsi="仿宋_GB2312" w:cs="仿宋_GB2312"/>
                <w:b/>
                <w:bCs/>
                <w:kern w:val="0"/>
                <w:sz w:val="21"/>
                <w:szCs w:val="21"/>
              </w:rPr>
            </w:pPr>
            <w:r>
              <w:rPr>
                <w:rFonts w:hint="eastAsia" w:ascii="仿宋_GB2312" w:hAnsi="仿宋_GB2312" w:cs="仿宋_GB2312"/>
                <w:b/>
                <w:bCs/>
                <w:color w:val="000000"/>
                <w:kern w:val="0"/>
                <w:sz w:val="21"/>
                <w:szCs w:val="21"/>
              </w:rPr>
              <w:t>林业局2022年度部门整体支出绩效目标自评表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0" w:type="auto"/>
            <w:gridSpan w:val="9"/>
            <w:vAlign w:val="center"/>
          </w:tcPr>
          <w:p>
            <w:pPr>
              <w:widowControl/>
              <w:spacing w:line="260" w:lineRule="exact"/>
              <w:jc w:val="center"/>
              <w:rPr>
                <w:rFonts w:ascii="仿宋_GB2312" w:hAnsi="仿宋_GB2312" w:cs="仿宋_GB2312"/>
                <w:b/>
                <w:bCs/>
                <w:kern w:val="0"/>
                <w:sz w:val="21"/>
                <w:szCs w:val="21"/>
              </w:rPr>
            </w:pPr>
            <w:r>
              <w:rPr>
                <w:rFonts w:hint="eastAsia" w:ascii="仿宋_GB2312" w:hAnsi="仿宋_GB2312" w:cs="仿宋_GB2312"/>
                <w:b/>
                <w:bCs/>
                <w:color w:val="000000"/>
                <w:kern w:val="0"/>
                <w:sz w:val="21"/>
                <w:szCs w:val="21"/>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部门名称</w:t>
            </w:r>
          </w:p>
        </w:tc>
        <w:tc>
          <w:tcPr>
            <w:tcW w:w="0" w:type="auto"/>
            <w:gridSpan w:val="7"/>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沐川县林业局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年度主要任务</w:t>
            </w: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任务名称</w:t>
            </w: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主要内容</w:t>
            </w:r>
          </w:p>
        </w:tc>
        <w:tc>
          <w:tcPr>
            <w:tcW w:w="0" w:type="auto"/>
            <w:gridSpan w:val="3"/>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预算金额（万元）</w:t>
            </w:r>
          </w:p>
        </w:tc>
        <w:tc>
          <w:tcPr>
            <w:tcW w:w="0" w:type="auto"/>
            <w:gridSpan w:val="3"/>
            <w:noWrap/>
            <w:vAlign w:val="center"/>
          </w:tcPr>
          <w:p>
            <w:pPr>
              <w:widowControl/>
              <w:spacing w:line="260" w:lineRule="exact"/>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实际执行（万元）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总额</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财政拨款</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其他资金</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总额</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财政拨款</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其他资金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人员经费</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机关在职人员工资福利支出</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1030.08</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1030.08</w:t>
            </w:r>
          </w:p>
        </w:tc>
        <w:tc>
          <w:tcPr>
            <w:tcW w:w="0" w:type="auto"/>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1030.08</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1030.08</w:t>
            </w:r>
          </w:p>
        </w:tc>
        <w:tc>
          <w:tcPr>
            <w:tcW w:w="0" w:type="auto"/>
            <w:vAlign w:val="center"/>
          </w:tcPr>
          <w:p>
            <w:pPr>
              <w:widowControl/>
              <w:spacing w:line="260" w:lineRule="exact"/>
              <w:jc w:val="center"/>
              <w:rPr>
                <w:rFonts w:ascii="仿宋_GB2312" w:hAnsi="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公用经费</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机关运转商品和服务支出</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98.33</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98.33</w:t>
            </w:r>
          </w:p>
        </w:tc>
        <w:tc>
          <w:tcPr>
            <w:tcW w:w="0" w:type="auto"/>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98.33</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98.33</w:t>
            </w:r>
          </w:p>
        </w:tc>
        <w:tc>
          <w:tcPr>
            <w:tcW w:w="0" w:type="auto"/>
            <w:vAlign w:val="center"/>
          </w:tcPr>
          <w:p>
            <w:pPr>
              <w:widowControl/>
              <w:spacing w:line="260" w:lineRule="exact"/>
              <w:jc w:val="center"/>
              <w:rPr>
                <w:rFonts w:ascii="仿宋_GB2312" w:hAnsi="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项目支出</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水利基础设施建设项目支出</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3106.18</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3106.18</w:t>
            </w:r>
          </w:p>
        </w:tc>
        <w:tc>
          <w:tcPr>
            <w:tcW w:w="0" w:type="auto"/>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3106.18</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3106.18</w:t>
            </w:r>
          </w:p>
        </w:tc>
        <w:tc>
          <w:tcPr>
            <w:tcW w:w="0" w:type="auto"/>
            <w:vAlign w:val="center"/>
          </w:tcPr>
          <w:p>
            <w:pPr>
              <w:widowControl/>
              <w:spacing w:line="260" w:lineRule="exact"/>
              <w:jc w:val="center"/>
              <w:rPr>
                <w:rFonts w:ascii="仿宋_GB2312" w:hAnsi="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金额合计</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4234.59</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4234.59</w:t>
            </w:r>
          </w:p>
        </w:tc>
        <w:tc>
          <w:tcPr>
            <w:tcW w:w="0" w:type="auto"/>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4234.59</w:t>
            </w:r>
          </w:p>
        </w:tc>
        <w:tc>
          <w:tcPr>
            <w:tcW w:w="0" w:type="auto"/>
            <w:noWrap/>
            <w:vAlign w:val="center"/>
          </w:tcPr>
          <w:p>
            <w:pPr>
              <w:widowControl/>
              <w:spacing w:line="260" w:lineRule="exact"/>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4234.59</w:t>
            </w:r>
          </w:p>
        </w:tc>
        <w:tc>
          <w:tcPr>
            <w:tcW w:w="0" w:type="auto"/>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restart"/>
            <w:vAlign w:val="center"/>
          </w:tcPr>
          <w:p>
            <w:pPr>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年度总体目标</w:t>
            </w:r>
          </w:p>
        </w:tc>
        <w:tc>
          <w:tcPr>
            <w:tcW w:w="0" w:type="auto"/>
            <w:gridSpan w:val="3"/>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预期目标</w:t>
            </w:r>
          </w:p>
        </w:tc>
        <w:tc>
          <w:tcPr>
            <w:tcW w:w="0" w:type="auto"/>
            <w:gridSpan w:val="5"/>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3"/>
            <w:vAlign w:val="center"/>
          </w:tcPr>
          <w:p>
            <w:pPr>
              <w:widowControl/>
              <w:spacing w:line="260" w:lineRule="exact"/>
              <w:rPr>
                <w:rFonts w:ascii="仿宋_GB2312" w:hAnsi="仿宋_GB2312" w:cs="仿宋_GB2312"/>
                <w:kern w:val="0"/>
                <w:sz w:val="18"/>
                <w:szCs w:val="18"/>
              </w:rPr>
            </w:pPr>
            <w:r>
              <w:rPr>
                <w:rFonts w:hint="eastAsia" w:ascii="仿宋_GB2312" w:hAnsi="仿宋_GB2312" w:cs="仿宋_GB2312"/>
                <w:kern w:val="0"/>
                <w:sz w:val="18"/>
                <w:szCs w:val="18"/>
              </w:rPr>
              <w:t>对全县林业生态保护修复、森林湿地资源、陆生野生动植物资源的监督管理；监督管理全县石漠化防治、全县各类风景名胜和自然保护地；开展森林防火等方面工作。</w:t>
            </w:r>
          </w:p>
        </w:tc>
        <w:tc>
          <w:tcPr>
            <w:tcW w:w="0" w:type="auto"/>
            <w:gridSpan w:val="5"/>
            <w:vAlign w:val="center"/>
          </w:tcPr>
          <w:p>
            <w:pPr>
              <w:widowControl/>
              <w:spacing w:line="260" w:lineRule="exact"/>
              <w:rPr>
                <w:rFonts w:ascii="仿宋_GB2312" w:hAnsi="仿宋_GB2312" w:cs="仿宋_GB2312"/>
                <w:kern w:val="0"/>
                <w:sz w:val="18"/>
                <w:szCs w:val="18"/>
              </w:rPr>
            </w:pPr>
            <w:r>
              <w:rPr>
                <w:rFonts w:hint="eastAsia" w:ascii="仿宋_GB2312" w:hAnsi="仿宋_GB2312" w:cs="仿宋_GB2312"/>
                <w:kern w:val="0"/>
                <w:sz w:val="18"/>
                <w:szCs w:val="18"/>
              </w:rPr>
              <w:t>全年围绕全面推进林长制工作、林业资源保护管理工作、林竹产业建设工作三大方面展开工作，完成了古树名木保护经费项目、五马坪景区管护管理经费项目、朱</w:t>
            </w:r>
            <w:r>
              <w:rPr>
                <w:rFonts w:hint="eastAsia" w:ascii="仿宋" w:hAnsi="仿宋" w:eastAsia="仿宋" w:cs="仿宋_GB2312"/>
                <w:kern w:val="0"/>
                <w:sz w:val="18"/>
                <w:szCs w:val="18"/>
              </w:rPr>
              <w:t>鹮</w:t>
            </w:r>
            <w:r>
              <w:rPr>
                <w:rFonts w:hint="eastAsia" w:ascii="仿宋_GB2312" w:hAnsi="仿宋_GB2312" w:cs="仿宋_GB2312"/>
                <w:kern w:val="0"/>
                <w:sz w:val="18"/>
                <w:szCs w:val="18"/>
              </w:rPr>
              <w:t>驯养繁育管理经费、长江上游森林生态系统修复项目、森林生态效益补偿、森林防灭火能力建设、竹博园项目等15个项目，各项工作有力有效，绩效目标基本实现。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年度绩效指标</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一级指标</w:t>
            </w: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二级指标</w:t>
            </w: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三级指标</w:t>
            </w:r>
          </w:p>
        </w:tc>
        <w:tc>
          <w:tcPr>
            <w:tcW w:w="0" w:type="auto"/>
            <w:gridSpan w:val="2"/>
            <w:vAlign w:val="center"/>
          </w:tcPr>
          <w:p>
            <w:pPr>
              <w:widowControl/>
              <w:spacing w:line="260" w:lineRule="exact"/>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预期指标值（包含数字及文字描述）</w:t>
            </w:r>
          </w:p>
        </w:tc>
        <w:tc>
          <w:tcPr>
            <w:tcW w:w="0" w:type="auto"/>
            <w:gridSpan w:val="2"/>
            <w:vAlign w:val="center"/>
          </w:tcPr>
          <w:p>
            <w:pPr>
              <w:widowControl/>
              <w:spacing w:line="260" w:lineRule="exact"/>
              <w:jc w:val="center"/>
              <w:rPr>
                <w:rFonts w:ascii="仿宋_GB2312" w:hAnsi="仿宋_GB2312" w:cs="仿宋_GB2312"/>
                <w:color w:val="000000"/>
                <w:kern w:val="0"/>
                <w:sz w:val="18"/>
                <w:szCs w:val="18"/>
              </w:rPr>
            </w:pPr>
            <w:r>
              <w:rPr>
                <w:rFonts w:hint="eastAsia" w:ascii="仿宋_GB2312" w:hAnsi="仿宋_GB2312" w:cs="仿宋_GB2312"/>
                <w:color w:val="000000"/>
                <w:kern w:val="0"/>
                <w:sz w:val="18"/>
                <w:szCs w:val="18"/>
              </w:rPr>
              <w:t>实际完成指标值（包含数字及文字描述）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完成指标</w:t>
            </w: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数量指标</w:t>
            </w:r>
          </w:p>
        </w:tc>
        <w:tc>
          <w:tcPr>
            <w:tcW w:w="0" w:type="auto"/>
            <w:gridSpan w:val="2"/>
            <w:vAlign w:val="center"/>
          </w:tcPr>
          <w:p>
            <w:pPr>
              <w:widowControl/>
              <w:spacing w:line="200" w:lineRule="exact"/>
              <w:rPr>
                <w:rFonts w:ascii="仿宋_GB2312" w:hAnsi="仿宋_GB2312" w:cs="仿宋_GB2312"/>
                <w:kern w:val="0"/>
                <w:sz w:val="18"/>
                <w:szCs w:val="18"/>
              </w:rPr>
            </w:pPr>
            <w:r>
              <w:rPr>
                <w:rFonts w:hint="eastAsia" w:ascii="仿宋_GB2312" w:hAnsi="仿宋_GB2312" w:cs="仿宋_GB2312"/>
                <w:color w:val="000000"/>
                <w:sz w:val="18"/>
                <w:szCs w:val="18"/>
              </w:rPr>
              <w:t>完成已挂牌古树名木保护</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＝113株</w:t>
            </w: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w:t>
            </w:r>
            <w:r>
              <w:rPr>
                <w:rFonts w:hint="eastAsia" w:ascii="仿宋_GB2312" w:hAnsi="仿宋_GB2312" w:cs="仿宋_GB2312"/>
                <w:color w:val="000000"/>
                <w:kern w:val="0"/>
                <w:sz w:val="18"/>
                <w:szCs w:val="18"/>
              </w:rPr>
              <w:t>113株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国家级公益林面积</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＝249263亩</w:t>
            </w:r>
          </w:p>
        </w:tc>
        <w:tc>
          <w:tcPr>
            <w:tcW w:w="0" w:type="auto"/>
            <w:gridSpan w:val="2"/>
            <w:noWrap/>
            <w:vAlign w:val="center"/>
          </w:tcPr>
          <w:p>
            <w:pPr>
              <w:widowControl/>
              <w:spacing w:line="20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＝249263亩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省级公益林面积</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＝61383亩</w:t>
            </w:r>
          </w:p>
        </w:tc>
        <w:tc>
          <w:tcPr>
            <w:tcW w:w="0" w:type="auto"/>
            <w:gridSpan w:val="2"/>
            <w:noWrap/>
            <w:vAlign w:val="center"/>
          </w:tcPr>
          <w:p>
            <w:pPr>
              <w:widowControl/>
              <w:spacing w:line="20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＝61383亩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00" w:lineRule="exact"/>
              <w:jc w:val="center"/>
              <w:rPr>
                <w:rFonts w:ascii="仿宋_GB2312" w:hAnsi="仿宋_GB2312" w:cs="仿宋_GB2312"/>
                <w:color w:val="000000"/>
                <w:sz w:val="18"/>
                <w:szCs w:val="18"/>
              </w:rPr>
            </w:pPr>
            <w:r>
              <w:rPr>
                <w:rFonts w:hint="eastAsia" w:ascii="仿宋_GB2312" w:hAnsi="仿宋_GB2312" w:cs="仿宋_GB2312"/>
                <w:color w:val="000000"/>
                <w:sz w:val="18"/>
                <w:szCs w:val="18"/>
              </w:rPr>
              <w:t>竹博园建设</w:t>
            </w:r>
          </w:p>
        </w:tc>
        <w:tc>
          <w:tcPr>
            <w:tcW w:w="0" w:type="auto"/>
            <w:gridSpan w:val="2"/>
            <w:vAlign w:val="center"/>
          </w:tcPr>
          <w:p>
            <w:pPr>
              <w:widowControl/>
              <w:spacing w:line="200" w:lineRule="exact"/>
              <w:jc w:val="center"/>
              <w:rPr>
                <w:rFonts w:ascii="仿宋_GB2312" w:hAnsi="仿宋_GB2312" w:cs="仿宋_GB2312"/>
                <w:color w:val="000000"/>
                <w:sz w:val="18"/>
                <w:szCs w:val="18"/>
              </w:rPr>
            </w:pPr>
            <w:r>
              <w:rPr>
                <w:rFonts w:hint="eastAsia" w:ascii="仿宋_GB2312" w:hAnsi="仿宋_GB2312" w:cs="仿宋_GB2312"/>
                <w:color w:val="000000"/>
                <w:sz w:val="18"/>
                <w:szCs w:val="18"/>
              </w:rPr>
              <w:t>＝1个</w:t>
            </w:r>
          </w:p>
        </w:tc>
        <w:tc>
          <w:tcPr>
            <w:tcW w:w="0" w:type="auto"/>
            <w:gridSpan w:val="2"/>
            <w:noWrap/>
            <w:vAlign w:val="center"/>
          </w:tcPr>
          <w:p>
            <w:pPr>
              <w:widowControl/>
              <w:spacing w:line="200" w:lineRule="exact"/>
              <w:jc w:val="center"/>
              <w:rPr>
                <w:rFonts w:ascii="仿宋_GB2312" w:hAnsi="仿宋_GB2312" w:cs="仿宋_GB2312"/>
                <w:color w:val="000000"/>
                <w:sz w:val="18"/>
                <w:szCs w:val="18"/>
              </w:rPr>
            </w:pPr>
            <w:r>
              <w:rPr>
                <w:rFonts w:hint="eastAsia" w:ascii="仿宋_GB2312" w:hAnsi="仿宋_GB2312" w:cs="仿宋_GB2312"/>
                <w:color w:val="000000"/>
                <w:sz w:val="18"/>
                <w:szCs w:val="18"/>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质量指标</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已挂牌古树名木保护覆盖率</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≥100%</w:t>
            </w: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管护任务完成合格率</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≥90%</w:t>
            </w:r>
          </w:p>
        </w:tc>
        <w:tc>
          <w:tcPr>
            <w:tcW w:w="0" w:type="auto"/>
            <w:gridSpan w:val="2"/>
            <w:noWrap/>
            <w:vAlign w:val="center"/>
          </w:tcPr>
          <w:p>
            <w:pPr>
              <w:widowControl/>
              <w:spacing w:line="20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时效指标</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项目当期任务完成率</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＝100%</w:t>
            </w:r>
          </w:p>
        </w:tc>
        <w:tc>
          <w:tcPr>
            <w:tcW w:w="0" w:type="auto"/>
            <w:gridSpan w:val="2"/>
            <w:noWrap/>
            <w:vAlign w:val="center"/>
          </w:tcPr>
          <w:p>
            <w:pPr>
              <w:widowControl/>
              <w:spacing w:line="20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00" w:lineRule="exact"/>
              <w:jc w:val="center"/>
              <w:rPr>
                <w:rFonts w:ascii="仿宋_GB2312" w:hAnsi="仿宋_GB2312" w:cs="仿宋_GB2312"/>
                <w:kern w:val="0"/>
                <w:sz w:val="18"/>
                <w:szCs w:val="18"/>
              </w:rPr>
            </w:pPr>
          </w:p>
        </w:tc>
        <w:tc>
          <w:tcPr>
            <w:tcW w:w="0" w:type="auto"/>
            <w:gridSpan w:val="2"/>
            <w:vAlign w:val="center"/>
          </w:tcPr>
          <w:p>
            <w:pPr>
              <w:widowControl/>
              <w:spacing w:line="200" w:lineRule="exact"/>
              <w:jc w:val="center"/>
              <w:rPr>
                <w:rFonts w:ascii="仿宋_GB2312" w:hAnsi="仿宋_GB2312" w:cs="仿宋_GB2312"/>
                <w:kern w:val="0"/>
                <w:sz w:val="18"/>
                <w:szCs w:val="18"/>
              </w:rPr>
            </w:pPr>
          </w:p>
        </w:tc>
        <w:tc>
          <w:tcPr>
            <w:tcW w:w="0" w:type="auto"/>
            <w:gridSpan w:val="2"/>
            <w:noWrap/>
            <w:vAlign w:val="center"/>
          </w:tcPr>
          <w:p>
            <w:pPr>
              <w:widowControl/>
              <w:spacing w:line="20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成本指标</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古树名木保护</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≤30000</w:t>
            </w:r>
          </w:p>
        </w:tc>
        <w:tc>
          <w:tcPr>
            <w:tcW w:w="0" w:type="auto"/>
            <w:gridSpan w:val="2"/>
            <w:noWrap/>
            <w:vAlign w:val="center"/>
          </w:tcPr>
          <w:p>
            <w:pPr>
              <w:widowControl/>
              <w:spacing w:line="20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00" w:lineRule="exact"/>
              <w:jc w:val="center"/>
              <w:rPr>
                <w:rFonts w:ascii="仿宋_GB2312" w:hAnsi="仿宋_GB2312" w:cs="仿宋_GB2312"/>
                <w:color w:val="000000"/>
                <w:sz w:val="18"/>
                <w:szCs w:val="18"/>
              </w:rPr>
            </w:pPr>
            <w:r>
              <w:rPr>
                <w:rFonts w:hint="eastAsia" w:ascii="仿宋_GB2312" w:hAnsi="仿宋_GB2312" w:cs="仿宋_GB2312"/>
                <w:color w:val="000000"/>
                <w:sz w:val="18"/>
                <w:szCs w:val="18"/>
              </w:rPr>
              <w:t>公益林补助标准</w:t>
            </w:r>
          </w:p>
        </w:tc>
        <w:tc>
          <w:tcPr>
            <w:tcW w:w="0" w:type="auto"/>
            <w:gridSpan w:val="2"/>
            <w:vAlign w:val="center"/>
          </w:tcPr>
          <w:p>
            <w:pPr>
              <w:widowControl/>
              <w:spacing w:line="200" w:lineRule="exact"/>
              <w:jc w:val="center"/>
              <w:rPr>
                <w:rFonts w:ascii="仿宋_GB2312" w:hAnsi="仿宋_GB2312" w:cs="仿宋_GB2312"/>
                <w:color w:val="000000"/>
                <w:sz w:val="18"/>
                <w:szCs w:val="18"/>
              </w:rPr>
            </w:pPr>
            <w:r>
              <w:rPr>
                <w:rFonts w:hint="eastAsia" w:ascii="仿宋_GB2312" w:hAnsi="仿宋_GB2312" w:cs="仿宋_GB2312"/>
                <w:color w:val="000000"/>
                <w:sz w:val="18"/>
                <w:szCs w:val="18"/>
              </w:rPr>
              <w:t>≤16元/亩</w:t>
            </w:r>
          </w:p>
        </w:tc>
        <w:tc>
          <w:tcPr>
            <w:tcW w:w="0" w:type="auto"/>
            <w:gridSpan w:val="2"/>
            <w:noWrap/>
            <w:vAlign w:val="center"/>
          </w:tcPr>
          <w:p>
            <w:pPr>
              <w:widowControl/>
              <w:spacing w:line="200" w:lineRule="exact"/>
              <w:jc w:val="center"/>
              <w:rPr>
                <w:rFonts w:ascii="仿宋_GB2312" w:hAnsi="仿宋_GB2312" w:cs="仿宋_GB2312"/>
                <w:color w:val="000000"/>
                <w:sz w:val="18"/>
                <w:szCs w:val="18"/>
              </w:rPr>
            </w:pPr>
            <w:r>
              <w:rPr>
                <w:rFonts w:hint="eastAsia" w:ascii="仿宋_GB2312" w:hAnsi="仿宋_GB2312" w:cs="仿宋_GB2312"/>
                <w:color w:val="000000"/>
                <w:sz w:val="18"/>
                <w:szCs w:val="18"/>
              </w:rPr>
              <w:t>=16元/亩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效益指标</w:t>
            </w: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经济效益</w:t>
            </w:r>
            <w:r>
              <w:rPr>
                <w:rFonts w:hint="eastAsia" w:ascii="仿宋_GB2312" w:hAnsi="仿宋_GB2312" w:cs="仿宋_GB2312"/>
                <w:kern w:val="0"/>
                <w:sz w:val="18"/>
                <w:szCs w:val="18"/>
              </w:rPr>
              <w:br w:type="textWrapping"/>
            </w:r>
            <w:r>
              <w:rPr>
                <w:rFonts w:hint="eastAsia" w:ascii="仿宋_GB2312" w:hAnsi="仿宋_GB2312" w:cs="仿宋_GB2312"/>
                <w:kern w:val="0"/>
                <w:sz w:val="18"/>
                <w:szCs w:val="18"/>
              </w:rPr>
              <w:t>指标</w:t>
            </w:r>
          </w:p>
        </w:tc>
        <w:tc>
          <w:tcPr>
            <w:tcW w:w="0" w:type="auto"/>
            <w:gridSpan w:val="2"/>
            <w:vAlign w:val="center"/>
          </w:tcPr>
          <w:p>
            <w:pPr>
              <w:widowControl/>
              <w:spacing w:line="200" w:lineRule="exact"/>
              <w:ind w:firstLine="180" w:firstLineChars="100"/>
              <w:jc w:val="center"/>
              <w:rPr>
                <w:rFonts w:ascii="仿宋_GB2312" w:hAnsi="仿宋_GB2312" w:cs="仿宋_GB2312"/>
                <w:kern w:val="0"/>
                <w:sz w:val="18"/>
                <w:szCs w:val="18"/>
              </w:rPr>
            </w:pPr>
            <w:r>
              <w:rPr>
                <w:rFonts w:hint="eastAsia" w:ascii="仿宋_GB2312" w:hAnsi="仿宋_GB2312" w:cs="仿宋_GB2312"/>
                <w:color w:val="000000"/>
                <w:sz w:val="18"/>
                <w:szCs w:val="18"/>
              </w:rPr>
              <w:t>增加旅游收入</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≥5%</w:t>
            </w:r>
          </w:p>
        </w:tc>
        <w:tc>
          <w:tcPr>
            <w:tcW w:w="0" w:type="auto"/>
            <w:gridSpan w:val="2"/>
            <w:noWrap/>
            <w:vAlign w:val="center"/>
          </w:tcPr>
          <w:p>
            <w:pPr>
              <w:widowControl/>
              <w:spacing w:line="20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指标2：</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社会效益</w:t>
            </w:r>
            <w:r>
              <w:rPr>
                <w:rFonts w:hint="eastAsia" w:ascii="仿宋_GB2312" w:hAnsi="仿宋_GB2312" w:cs="仿宋_GB2312"/>
                <w:kern w:val="0"/>
                <w:sz w:val="18"/>
                <w:szCs w:val="18"/>
              </w:rPr>
              <w:br w:type="textWrapping"/>
            </w:r>
            <w:r>
              <w:rPr>
                <w:rFonts w:hint="eastAsia" w:ascii="仿宋_GB2312" w:hAnsi="仿宋_GB2312" w:cs="仿宋_GB2312"/>
                <w:kern w:val="0"/>
                <w:sz w:val="18"/>
                <w:szCs w:val="18"/>
              </w:rPr>
              <w:t>指标</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kern w:val="0"/>
                <w:sz w:val="18"/>
                <w:szCs w:val="18"/>
              </w:rPr>
              <w:t>增强群众对野生动物的保护意识</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优</w:t>
            </w:r>
          </w:p>
        </w:tc>
        <w:tc>
          <w:tcPr>
            <w:tcW w:w="0" w:type="auto"/>
            <w:gridSpan w:val="2"/>
            <w:noWrap/>
            <w:vAlign w:val="center"/>
          </w:tcPr>
          <w:p>
            <w:pPr>
              <w:widowControl/>
              <w:spacing w:line="20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指标2：</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生态效益</w:t>
            </w:r>
            <w:r>
              <w:rPr>
                <w:rFonts w:hint="eastAsia" w:ascii="仿宋_GB2312" w:hAnsi="仿宋_GB2312" w:cs="仿宋_GB2312"/>
                <w:kern w:val="0"/>
                <w:sz w:val="18"/>
                <w:szCs w:val="18"/>
              </w:rPr>
              <w:br w:type="textWrapping"/>
            </w:r>
            <w:r>
              <w:rPr>
                <w:rFonts w:hint="eastAsia" w:ascii="仿宋_GB2312" w:hAnsi="仿宋_GB2312" w:cs="仿宋_GB2312"/>
                <w:kern w:val="0"/>
                <w:sz w:val="18"/>
                <w:szCs w:val="18"/>
              </w:rPr>
              <w:t>指标</w:t>
            </w:r>
          </w:p>
        </w:tc>
        <w:tc>
          <w:tcPr>
            <w:tcW w:w="0" w:type="auto"/>
            <w:gridSpan w:val="2"/>
            <w:vAlign w:val="center"/>
          </w:tcPr>
          <w:p>
            <w:pPr>
              <w:widowControl/>
              <w:spacing w:line="200" w:lineRule="exact"/>
              <w:ind w:firstLine="180" w:firstLineChars="100"/>
              <w:jc w:val="center"/>
              <w:rPr>
                <w:rFonts w:ascii="仿宋_GB2312" w:hAnsi="仿宋_GB2312" w:cs="仿宋_GB2312"/>
                <w:kern w:val="0"/>
                <w:sz w:val="18"/>
                <w:szCs w:val="18"/>
              </w:rPr>
            </w:pPr>
            <w:r>
              <w:rPr>
                <w:rFonts w:hint="eastAsia" w:ascii="仿宋_GB2312" w:hAnsi="仿宋_GB2312" w:cs="仿宋_GB2312"/>
                <w:color w:val="000000"/>
                <w:sz w:val="18"/>
                <w:szCs w:val="18"/>
              </w:rPr>
              <w:t>改善生态环境，促进林分结构改善</w:t>
            </w:r>
          </w:p>
        </w:tc>
        <w:tc>
          <w:tcPr>
            <w:tcW w:w="0" w:type="auto"/>
            <w:gridSpan w:val="2"/>
            <w:vAlign w:val="center"/>
          </w:tcPr>
          <w:p>
            <w:pPr>
              <w:widowControl/>
              <w:spacing w:line="200" w:lineRule="exact"/>
              <w:jc w:val="center"/>
              <w:rPr>
                <w:rFonts w:ascii="仿宋_GB2312" w:hAnsi="仿宋_GB2312" w:cs="仿宋_GB2312"/>
                <w:kern w:val="0"/>
                <w:sz w:val="18"/>
                <w:szCs w:val="18"/>
              </w:rPr>
            </w:pPr>
            <w:r>
              <w:rPr>
                <w:rFonts w:hint="eastAsia" w:ascii="仿宋_GB2312" w:hAnsi="仿宋_GB2312" w:cs="仿宋_GB2312"/>
                <w:color w:val="000000"/>
                <w:sz w:val="18"/>
                <w:szCs w:val="18"/>
              </w:rPr>
              <w:t>优</w:t>
            </w:r>
          </w:p>
        </w:tc>
        <w:tc>
          <w:tcPr>
            <w:tcW w:w="0" w:type="auto"/>
            <w:gridSpan w:val="2"/>
            <w:noWrap/>
            <w:vAlign w:val="center"/>
          </w:tcPr>
          <w:p>
            <w:pPr>
              <w:widowControl/>
              <w:spacing w:line="200" w:lineRule="exact"/>
              <w:jc w:val="center"/>
              <w:rPr>
                <w:rFonts w:ascii="仿宋_GB2312" w:hAnsi="仿宋_GB2312" w:cs="仿宋_GB2312"/>
                <w:color w:val="000000"/>
                <w:kern w:val="0"/>
                <w:sz w:val="18"/>
                <w:szCs w:val="18"/>
              </w:rPr>
            </w:pPr>
            <w:r>
              <w:rPr>
                <w:rFonts w:hint="eastAsia" w:ascii="仿宋_GB2312" w:hAnsi="仿宋_GB2312" w:cs="仿宋_GB2312"/>
                <w:color w:val="000000"/>
                <w:sz w:val="18"/>
                <w:szCs w:val="18"/>
              </w:rPr>
              <w:t>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指标2：</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可持续影响</w:t>
            </w:r>
            <w:r>
              <w:rPr>
                <w:rFonts w:hint="eastAsia" w:ascii="仿宋_GB2312" w:hAnsi="仿宋_GB2312" w:cs="仿宋_GB2312"/>
                <w:kern w:val="0"/>
                <w:sz w:val="18"/>
                <w:szCs w:val="18"/>
              </w:rPr>
              <w:br w:type="textWrapping"/>
            </w:r>
            <w:r>
              <w:rPr>
                <w:rFonts w:hint="eastAsia" w:ascii="仿宋_GB2312" w:hAnsi="仿宋_GB2312" w:cs="仿宋_GB2312"/>
                <w:kern w:val="0"/>
                <w:sz w:val="18"/>
                <w:szCs w:val="18"/>
              </w:rPr>
              <w:t>指标</w:t>
            </w: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指标1：</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指标2：</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满意度指标</w:t>
            </w:r>
          </w:p>
        </w:tc>
        <w:tc>
          <w:tcPr>
            <w:tcW w:w="0" w:type="auto"/>
            <w:vMerge w:val="restart"/>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满意度指标</w:t>
            </w: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服务对象满意度指标：</w:t>
            </w: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≥92%</w:t>
            </w: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r>
              <w:rPr>
                <w:rFonts w:hint="eastAsia" w:ascii="仿宋_GB2312" w:hAnsi="仿宋_GB2312" w:cs="仿宋_GB2312"/>
                <w:kern w:val="0"/>
                <w:sz w:val="18"/>
                <w:szCs w:val="18"/>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指标2：</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Merge w:val="continue"/>
            <w:vAlign w:val="center"/>
          </w:tcPr>
          <w:p>
            <w:pPr>
              <w:widowControl/>
              <w:spacing w:line="260" w:lineRule="exact"/>
              <w:jc w:val="center"/>
              <w:rPr>
                <w:rFonts w:ascii="仿宋_GB2312" w:hAnsi="仿宋_GB2312" w:cs="仿宋_GB2312"/>
                <w:kern w:val="0"/>
                <w:sz w:val="18"/>
                <w:szCs w:val="18"/>
              </w:rPr>
            </w:pPr>
          </w:p>
        </w:tc>
        <w:tc>
          <w:tcPr>
            <w:tcW w:w="0" w:type="auto"/>
            <w:vAlign w:val="center"/>
          </w:tcPr>
          <w:p>
            <w:pPr>
              <w:widowControl/>
              <w:spacing w:line="260" w:lineRule="exact"/>
              <w:jc w:val="center"/>
              <w:rPr>
                <w:rFonts w:ascii="仿宋_GB2312" w:hAnsi="仿宋_GB2312" w:cs="仿宋_GB2312"/>
                <w:kern w:val="0"/>
                <w:sz w:val="18"/>
                <w:szCs w:val="18"/>
              </w:rPr>
            </w:pPr>
            <w:r>
              <w:rPr>
                <w:rFonts w:hint="eastAsia" w:ascii="仿宋_GB2312" w:hAnsi="仿宋_GB2312" w:cs="仿宋_GB2312"/>
                <w:kern w:val="0"/>
                <w:sz w:val="18"/>
                <w:szCs w:val="18"/>
              </w:rPr>
              <w:t>……</w:t>
            </w: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vAlign w:val="center"/>
          </w:tcPr>
          <w:p>
            <w:pPr>
              <w:widowControl/>
              <w:spacing w:line="260" w:lineRule="exact"/>
              <w:jc w:val="center"/>
              <w:rPr>
                <w:rFonts w:ascii="仿宋_GB2312" w:hAnsi="仿宋_GB2312" w:cs="仿宋_GB2312"/>
                <w:kern w:val="0"/>
                <w:sz w:val="18"/>
                <w:szCs w:val="18"/>
              </w:rPr>
            </w:pPr>
          </w:p>
        </w:tc>
        <w:tc>
          <w:tcPr>
            <w:tcW w:w="0" w:type="auto"/>
            <w:gridSpan w:val="2"/>
            <w:noWrap/>
            <w:vAlign w:val="center"/>
          </w:tcPr>
          <w:p>
            <w:pPr>
              <w:widowControl/>
              <w:spacing w:line="260" w:lineRule="exact"/>
              <w:jc w:val="center"/>
              <w:rPr>
                <w:rFonts w:ascii="仿宋_GB2312" w:hAnsi="仿宋_GB2312" w:cs="仿宋_GB2312"/>
                <w:color w:val="000000"/>
                <w:kern w:val="0"/>
                <w:sz w:val="18"/>
                <w:szCs w:val="18"/>
              </w:rPr>
            </w:pPr>
          </w:p>
        </w:tc>
      </w:tr>
    </w:tbl>
    <w:p>
      <w:r>
        <w:rPr>
          <w:rFonts w:hint="eastAsia"/>
        </w:rPr>
        <w:br w:type="page"/>
      </w:r>
    </w:p>
    <w:p>
      <w:pPr>
        <w:pStyle w:val="4"/>
        <w:spacing w:before="0" w:after="0" w:line="360" w:lineRule="auto"/>
        <w:rPr>
          <w:rFonts w:eastAsia="黑体"/>
          <w:sz w:val="32"/>
        </w:rPr>
      </w:pPr>
      <w:r>
        <w:rPr>
          <w:rFonts w:eastAsia="黑体"/>
          <w:sz w:val="32"/>
        </w:rPr>
        <w:t>附件2：部门整体支出绩效评价自评得分表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7"/>
        <w:gridCol w:w="573"/>
        <w:gridCol w:w="622"/>
        <w:gridCol w:w="457"/>
        <w:gridCol w:w="1558"/>
        <w:gridCol w:w="4150"/>
        <w:gridCol w:w="4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5000" w:type="pct"/>
            <w:gridSpan w:val="7"/>
            <w:vAlign w:val="center"/>
          </w:tcPr>
          <w:p>
            <w:pPr>
              <w:widowControl/>
              <w:spacing w:line="260" w:lineRule="exact"/>
              <w:jc w:val="center"/>
              <w:rPr>
                <w:rFonts w:ascii="仿宋_GB2312" w:hAnsi="仿宋_GB2312" w:cs="仿宋_GB2312"/>
                <w:b/>
                <w:bCs/>
                <w:color w:val="000000"/>
                <w:kern w:val="0"/>
                <w:sz w:val="21"/>
                <w:szCs w:val="21"/>
              </w:rPr>
            </w:pPr>
            <w:r>
              <w:rPr>
                <w:rFonts w:hint="eastAsia" w:ascii="仿宋_GB2312" w:hAnsi="仿宋_GB2312" w:cs="仿宋_GB2312"/>
                <w:b/>
                <w:bCs/>
                <w:color w:val="000000"/>
                <w:kern w:val="0"/>
                <w:sz w:val="21"/>
                <w:szCs w:val="21"/>
              </w:rPr>
              <w:t>沐川县林业局2022年度部门整体支出绩效评价自评得分表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128" w:type="pct"/>
            <w:gridSpan w:val="3"/>
            <w:vAlign w:val="center"/>
          </w:tcPr>
          <w:p>
            <w:pPr>
              <w:widowControl/>
              <w:spacing w:line="260" w:lineRule="exact"/>
              <w:jc w:val="center"/>
              <w:rPr>
                <w:rFonts w:ascii="仿宋_GB2312" w:hAnsi="仿宋_GB2312" w:cs="仿宋_GB2312"/>
                <w:b/>
                <w:bCs/>
                <w:color w:val="000000"/>
                <w:kern w:val="0"/>
                <w:sz w:val="21"/>
                <w:szCs w:val="21"/>
              </w:rPr>
            </w:pPr>
            <w:r>
              <w:rPr>
                <w:rFonts w:ascii="仿宋_GB2312" w:hAnsi="仿宋_GB2312" w:cs="仿宋_GB2312"/>
                <w:b/>
                <w:bCs/>
                <w:color w:val="000000"/>
                <w:kern w:val="0"/>
                <w:sz w:val="21"/>
                <w:szCs w:val="21"/>
              </w:rPr>
              <w:t>绩效指标</w:t>
            </w:r>
          </w:p>
        </w:tc>
        <w:tc>
          <w:tcPr>
            <w:tcW w:w="268" w:type="pct"/>
            <w:vMerge w:val="restart"/>
            <w:vAlign w:val="center"/>
          </w:tcPr>
          <w:p>
            <w:pPr>
              <w:widowControl/>
              <w:spacing w:line="260" w:lineRule="exact"/>
              <w:jc w:val="center"/>
              <w:rPr>
                <w:rFonts w:ascii="仿宋_GB2312" w:hAnsi="仿宋_GB2312" w:cs="仿宋_GB2312"/>
                <w:b/>
                <w:bCs/>
                <w:color w:val="000000"/>
                <w:kern w:val="0"/>
                <w:sz w:val="21"/>
                <w:szCs w:val="21"/>
              </w:rPr>
            </w:pPr>
            <w:r>
              <w:rPr>
                <w:rFonts w:ascii="仿宋_GB2312" w:hAnsi="仿宋_GB2312" w:cs="仿宋_GB2312"/>
                <w:b/>
                <w:bCs/>
                <w:color w:val="000000"/>
                <w:kern w:val="0"/>
                <w:sz w:val="21"/>
                <w:szCs w:val="21"/>
              </w:rPr>
              <w:t>指标</w:t>
            </w:r>
          </w:p>
          <w:p>
            <w:pPr>
              <w:widowControl/>
              <w:spacing w:line="260" w:lineRule="exact"/>
              <w:jc w:val="center"/>
              <w:rPr>
                <w:rFonts w:ascii="仿宋_GB2312" w:hAnsi="仿宋_GB2312" w:cs="仿宋_GB2312"/>
                <w:b/>
                <w:bCs/>
                <w:color w:val="000000"/>
                <w:kern w:val="0"/>
                <w:sz w:val="21"/>
                <w:szCs w:val="21"/>
              </w:rPr>
            </w:pPr>
            <w:r>
              <w:rPr>
                <w:rFonts w:ascii="仿宋_GB2312" w:hAnsi="仿宋_GB2312" w:cs="仿宋_GB2312"/>
                <w:b/>
                <w:bCs/>
                <w:color w:val="000000"/>
                <w:kern w:val="0"/>
                <w:sz w:val="21"/>
                <w:szCs w:val="21"/>
              </w:rPr>
              <w:t>分值</w:t>
            </w:r>
          </w:p>
        </w:tc>
        <w:tc>
          <w:tcPr>
            <w:tcW w:w="914" w:type="pct"/>
            <w:vMerge w:val="restart"/>
            <w:vAlign w:val="center"/>
          </w:tcPr>
          <w:p>
            <w:pPr>
              <w:widowControl/>
              <w:spacing w:line="260" w:lineRule="exact"/>
              <w:jc w:val="center"/>
              <w:rPr>
                <w:rFonts w:ascii="仿宋_GB2312" w:hAnsi="仿宋_GB2312" w:cs="仿宋_GB2312"/>
                <w:b/>
                <w:bCs/>
                <w:color w:val="000000"/>
                <w:kern w:val="0"/>
                <w:sz w:val="21"/>
                <w:szCs w:val="21"/>
              </w:rPr>
            </w:pPr>
            <w:r>
              <w:rPr>
                <w:rFonts w:ascii="仿宋_GB2312" w:hAnsi="仿宋_GB2312" w:cs="仿宋_GB2312"/>
                <w:b/>
                <w:bCs/>
                <w:color w:val="000000"/>
                <w:kern w:val="0"/>
                <w:sz w:val="21"/>
                <w:szCs w:val="21"/>
              </w:rPr>
              <w:t>指标解释</w:t>
            </w:r>
          </w:p>
        </w:tc>
        <w:tc>
          <w:tcPr>
            <w:tcW w:w="2434" w:type="pct"/>
            <w:vMerge w:val="restart"/>
            <w:vAlign w:val="center"/>
          </w:tcPr>
          <w:p>
            <w:pPr>
              <w:widowControl/>
              <w:spacing w:line="260" w:lineRule="exact"/>
              <w:jc w:val="center"/>
              <w:rPr>
                <w:rFonts w:ascii="仿宋_GB2312" w:hAnsi="仿宋_GB2312" w:cs="仿宋_GB2312"/>
                <w:b/>
                <w:bCs/>
                <w:color w:val="000000"/>
                <w:kern w:val="0"/>
                <w:sz w:val="21"/>
                <w:szCs w:val="21"/>
              </w:rPr>
            </w:pPr>
            <w:r>
              <w:rPr>
                <w:rFonts w:ascii="仿宋_GB2312" w:hAnsi="仿宋_GB2312" w:cs="仿宋_GB2312"/>
                <w:b/>
                <w:bCs/>
                <w:color w:val="000000"/>
                <w:kern w:val="0"/>
                <w:sz w:val="21"/>
                <w:szCs w:val="21"/>
              </w:rPr>
              <w:t>计分标准</w:t>
            </w:r>
          </w:p>
        </w:tc>
        <w:tc>
          <w:tcPr>
            <w:tcW w:w="253" w:type="pct"/>
            <w:vMerge w:val="restart"/>
            <w:vAlign w:val="center"/>
          </w:tcPr>
          <w:p>
            <w:pPr>
              <w:widowControl/>
              <w:spacing w:line="260" w:lineRule="exact"/>
              <w:jc w:val="center"/>
              <w:rPr>
                <w:rFonts w:ascii="仿宋_GB2312" w:hAnsi="仿宋_GB2312" w:cs="仿宋_GB2312"/>
                <w:b/>
                <w:bCs/>
                <w:color w:val="000000"/>
                <w:kern w:val="0"/>
                <w:sz w:val="21"/>
                <w:szCs w:val="21"/>
              </w:rPr>
            </w:pPr>
            <w:r>
              <w:rPr>
                <w:rFonts w:ascii="仿宋_GB2312" w:hAnsi="仿宋_GB2312" w:cs="仿宋_GB2312"/>
                <w:b/>
                <w:bCs/>
                <w:color w:val="000000"/>
                <w:kern w:val="0"/>
                <w:sz w:val="21"/>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Align w:val="center"/>
          </w:tcPr>
          <w:p>
            <w:pPr>
              <w:widowControl/>
              <w:spacing w:line="260" w:lineRule="exact"/>
              <w:jc w:val="center"/>
              <w:rPr>
                <w:rFonts w:ascii="仿宋_GB2312" w:hAnsi="仿宋_GB2312" w:cs="仿宋_GB2312"/>
                <w:b/>
                <w:bCs/>
                <w:color w:val="000000"/>
                <w:kern w:val="0"/>
                <w:sz w:val="21"/>
                <w:szCs w:val="21"/>
              </w:rPr>
            </w:pPr>
            <w:r>
              <w:rPr>
                <w:rFonts w:ascii="仿宋_GB2312" w:hAnsi="仿宋_GB2312" w:cs="仿宋_GB2312"/>
                <w:b/>
                <w:bCs/>
                <w:color w:val="000000"/>
                <w:kern w:val="0"/>
                <w:sz w:val="21"/>
                <w:szCs w:val="21"/>
              </w:rPr>
              <w:t>一级指标</w:t>
            </w:r>
          </w:p>
        </w:tc>
        <w:tc>
          <w:tcPr>
            <w:tcW w:w="336" w:type="pct"/>
            <w:vAlign w:val="center"/>
          </w:tcPr>
          <w:p>
            <w:pPr>
              <w:widowControl/>
              <w:spacing w:line="260" w:lineRule="exact"/>
              <w:jc w:val="center"/>
              <w:rPr>
                <w:rFonts w:ascii="仿宋_GB2312" w:hAnsi="仿宋_GB2312" w:cs="仿宋_GB2312"/>
                <w:b/>
                <w:bCs/>
                <w:color w:val="000000"/>
                <w:kern w:val="0"/>
                <w:sz w:val="21"/>
                <w:szCs w:val="21"/>
              </w:rPr>
            </w:pPr>
            <w:r>
              <w:rPr>
                <w:rFonts w:ascii="仿宋_GB2312" w:hAnsi="仿宋_GB2312" w:cs="仿宋_GB2312"/>
                <w:b/>
                <w:bCs/>
                <w:color w:val="000000"/>
                <w:kern w:val="0"/>
                <w:sz w:val="21"/>
                <w:szCs w:val="21"/>
              </w:rPr>
              <w:t>二级指标</w:t>
            </w:r>
          </w:p>
        </w:tc>
        <w:tc>
          <w:tcPr>
            <w:tcW w:w="364" w:type="pct"/>
            <w:vAlign w:val="center"/>
          </w:tcPr>
          <w:p>
            <w:pPr>
              <w:widowControl/>
              <w:spacing w:line="260" w:lineRule="exact"/>
              <w:jc w:val="center"/>
              <w:rPr>
                <w:rFonts w:ascii="仿宋_GB2312" w:hAnsi="仿宋_GB2312" w:cs="仿宋_GB2312"/>
                <w:b/>
                <w:bCs/>
                <w:color w:val="000000"/>
                <w:kern w:val="0"/>
                <w:sz w:val="21"/>
                <w:szCs w:val="21"/>
              </w:rPr>
            </w:pPr>
            <w:r>
              <w:rPr>
                <w:rFonts w:ascii="仿宋_GB2312" w:hAnsi="仿宋_GB2312" w:cs="仿宋_GB2312"/>
                <w:b/>
                <w:bCs/>
                <w:color w:val="000000"/>
                <w:kern w:val="0"/>
                <w:sz w:val="21"/>
                <w:szCs w:val="21"/>
              </w:rPr>
              <w:t>三级指标</w:t>
            </w:r>
          </w:p>
        </w:tc>
        <w:tc>
          <w:tcPr>
            <w:tcW w:w="268" w:type="pct"/>
            <w:vMerge w:val="continue"/>
            <w:vAlign w:val="center"/>
          </w:tcPr>
          <w:p>
            <w:pPr>
              <w:jc w:val="center"/>
              <w:rPr>
                <w:rFonts w:eastAsia="宋体"/>
                <w:b/>
                <w:bCs/>
                <w:color w:val="000000"/>
                <w:sz w:val="18"/>
                <w:szCs w:val="18"/>
              </w:rPr>
            </w:pPr>
          </w:p>
        </w:tc>
        <w:tc>
          <w:tcPr>
            <w:tcW w:w="914" w:type="pct"/>
            <w:vMerge w:val="continue"/>
            <w:vAlign w:val="center"/>
          </w:tcPr>
          <w:p>
            <w:pPr>
              <w:jc w:val="center"/>
              <w:rPr>
                <w:rFonts w:eastAsia="宋体"/>
                <w:b/>
                <w:bCs/>
                <w:color w:val="000000"/>
                <w:sz w:val="18"/>
                <w:szCs w:val="18"/>
              </w:rPr>
            </w:pPr>
          </w:p>
        </w:tc>
        <w:tc>
          <w:tcPr>
            <w:tcW w:w="2434" w:type="pct"/>
            <w:vMerge w:val="continue"/>
            <w:vAlign w:val="center"/>
          </w:tcPr>
          <w:p>
            <w:pPr>
              <w:jc w:val="center"/>
              <w:rPr>
                <w:rFonts w:eastAsia="宋体"/>
                <w:b/>
                <w:bCs/>
                <w:color w:val="000000"/>
                <w:sz w:val="18"/>
                <w:szCs w:val="18"/>
              </w:rPr>
            </w:pPr>
          </w:p>
        </w:tc>
        <w:tc>
          <w:tcPr>
            <w:tcW w:w="253" w:type="pct"/>
            <w:vMerge w:val="continue"/>
            <w:vAlign w:val="center"/>
          </w:tcPr>
          <w:p>
            <w:pPr>
              <w:jc w:val="center"/>
              <w:rPr>
                <w:rFonts w:eastAsia="宋体"/>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restart"/>
            <w:vAlign w:val="center"/>
          </w:tcPr>
          <w:p>
            <w:pPr>
              <w:jc w:val="center"/>
              <w:textAlignment w:val="center"/>
              <w:rPr>
                <w:rFonts w:eastAsia="宋体"/>
                <w:color w:val="000000"/>
                <w:sz w:val="18"/>
                <w:szCs w:val="18"/>
              </w:rPr>
            </w:pPr>
            <w:r>
              <w:rPr>
                <w:rFonts w:eastAsia="宋体"/>
                <w:color w:val="000000"/>
                <w:sz w:val="18"/>
                <w:szCs w:val="18"/>
              </w:rPr>
              <w:t>部门预算管理(80分)</w:t>
            </w:r>
          </w:p>
        </w:tc>
        <w:tc>
          <w:tcPr>
            <w:tcW w:w="336" w:type="pct"/>
            <w:vMerge w:val="restart"/>
            <w:vAlign w:val="center"/>
          </w:tcPr>
          <w:p>
            <w:pPr>
              <w:jc w:val="center"/>
              <w:textAlignment w:val="center"/>
              <w:rPr>
                <w:rFonts w:eastAsia="宋体"/>
                <w:color w:val="000000"/>
                <w:sz w:val="18"/>
                <w:szCs w:val="18"/>
              </w:rPr>
            </w:pPr>
            <w:r>
              <w:rPr>
                <w:rFonts w:eastAsia="宋体"/>
                <w:color w:val="000000"/>
                <w:sz w:val="18"/>
                <w:szCs w:val="18"/>
              </w:rPr>
              <w:t>预算编制(30分)</w:t>
            </w:r>
          </w:p>
        </w:tc>
        <w:tc>
          <w:tcPr>
            <w:tcW w:w="364" w:type="pct"/>
            <w:vAlign w:val="center"/>
          </w:tcPr>
          <w:p>
            <w:pPr>
              <w:jc w:val="center"/>
              <w:textAlignment w:val="center"/>
              <w:rPr>
                <w:rFonts w:eastAsia="宋体"/>
                <w:color w:val="000000"/>
                <w:sz w:val="18"/>
                <w:szCs w:val="18"/>
              </w:rPr>
            </w:pPr>
            <w:r>
              <w:rPr>
                <w:rFonts w:eastAsia="宋体"/>
                <w:color w:val="000000"/>
                <w:sz w:val="18"/>
                <w:szCs w:val="18"/>
              </w:rPr>
              <w:t>目标制定</w:t>
            </w:r>
          </w:p>
        </w:tc>
        <w:tc>
          <w:tcPr>
            <w:tcW w:w="268" w:type="pct"/>
            <w:vAlign w:val="center"/>
          </w:tcPr>
          <w:p>
            <w:pPr>
              <w:jc w:val="center"/>
              <w:textAlignment w:val="center"/>
              <w:rPr>
                <w:rFonts w:eastAsia="宋体"/>
                <w:color w:val="000000"/>
                <w:sz w:val="18"/>
                <w:szCs w:val="18"/>
              </w:rPr>
            </w:pPr>
            <w:r>
              <w:rPr>
                <w:rFonts w:eastAsia="宋体"/>
                <w:color w:val="000000"/>
                <w:sz w:val="18"/>
                <w:szCs w:val="18"/>
              </w:rPr>
              <w:t>10</w:t>
            </w:r>
          </w:p>
        </w:tc>
        <w:tc>
          <w:tcPr>
            <w:tcW w:w="914" w:type="pct"/>
            <w:vAlign w:val="center"/>
          </w:tcPr>
          <w:p>
            <w:pPr>
              <w:textAlignment w:val="center"/>
              <w:rPr>
                <w:rFonts w:eastAsia="宋体"/>
                <w:color w:val="000000"/>
                <w:sz w:val="18"/>
                <w:szCs w:val="18"/>
              </w:rPr>
            </w:pPr>
            <w:r>
              <w:rPr>
                <w:rFonts w:eastAsia="宋体"/>
                <w:color w:val="000000"/>
                <w:sz w:val="18"/>
                <w:szCs w:val="18"/>
              </w:rPr>
              <w:t>评价部门绩效目标是否要素完整、细化量化。</w:t>
            </w:r>
          </w:p>
        </w:tc>
        <w:tc>
          <w:tcPr>
            <w:tcW w:w="2434" w:type="pct"/>
            <w:vAlign w:val="center"/>
          </w:tcPr>
          <w:p>
            <w:pPr>
              <w:textAlignment w:val="center"/>
              <w:rPr>
                <w:rFonts w:eastAsia="宋体"/>
                <w:color w:val="000000"/>
                <w:sz w:val="18"/>
                <w:szCs w:val="18"/>
              </w:rPr>
            </w:pPr>
            <w:r>
              <w:rPr>
                <w:rFonts w:eastAsia="宋体"/>
                <w:color w:val="000000"/>
                <w:sz w:val="18"/>
                <w:szCs w:val="18"/>
              </w:rPr>
              <w:t>1.绩效目标编制要素完整的，得5分，否则酌情扣分。</w:t>
            </w:r>
          </w:p>
          <w:p>
            <w:pPr>
              <w:textAlignment w:val="center"/>
              <w:rPr>
                <w:rFonts w:eastAsia="宋体"/>
                <w:color w:val="000000"/>
                <w:sz w:val="18"/>
                <w:szCs w:val="18"/>
              </w:rPr>
            </w:pPr>
            <w:r>
              <w:rPr>
                <w:rFonts w:eastAsia="宋体"/>
                <w:color w:val="000000"/>
                <w:sz w:val="18"/>
                <w:szCs w:val="18"/>
              </w:rPr>
              <w:t>2.绩效指标细化量化的，得5分，否则酌情扣分。</w:t>
            </w:r>
          </w:p>
          <w:p>
            <w:pPr>
              <w:textAlignment w:val="center"/>
              <w:rPr>
                <w:rFonts w:eastAsia="宋体"/>
                <w:color w:val="000000"/>
                <w:sz w:val="18"/>
                <w:szCs w:val="18"/>
              </w:rPr>
            </w:pPr>
            <w:r>
              <w:rPr>
                <w:rFonts w:eastAsia="宋体"/>
                <w:color w:val="000000"/>
                <w:sz w:val="18"/>
                <w:szCs w:val="18"/>
              </w:rPr>
              <w:t>有项目绩效目标的部门，根据项目绩效目标编制质量打分，无项目绩效目标的部门，根据部门整体支出绩效目标打分。</w:t>
            </w:r>
          </w:p>
        </w:tc>
        <w:tc>
          <w:tcPr>
            <w:tcW w:w="253" w:type="pct"/>
            <w:vAlign w:val="center"/>
          </w:tcPr>
          <w:p>
            <w:pPr>
              <w:jc w:val="center"/>
              <w:rPr>
                <w:rFonts w:eastAsia="宋体"/>
                <w:color w:val="000000"/>
                <w:sz w:val="18"/>
                <w:szCs w:val="18"/>
              </w:rPr>
            </w:pPr>
            <w:r>
              <w:rPr>
                <w:rFonts w:hint="eastAsia" w:eastAsia="宋体"/>
                <w:color w:val="00000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continue"/>
            <w:vAlign w:val="center"/>
          </w:tcPr>
          <w:p>
            <w:pPr>
              <w:jc w:val="center"/>
              <w:rPr>
                <w:rFonts w:eastAsia="宋体"/>
                <w:color w:val="000000"/>
                <w:sz w:val="18"/>
                <w:szCs w:val="18"/>
              </w:rPr>
            </w:pPr>
          </w:p>
        </w:tc>
        <w:tc>
          <w:tcPr>
            <w:tcW w:w="336" w:type="pct"/>
            <w:vMerge w:val="continue"/>
            <w:vAlign w:val="center"/>
          </w:tcPr>
          <w:p>
            <w:pPr>
              <w:jc w:val="center"/>
              <w:rPr>
                <w:rFonts w:eastAsia="宋体"/>
                <w:color w:val="000000"/>
                <w:sz w:val="18"/>
                <w:szCs w:val="18"/>
              </w:rPr>
            </w:pPr>
          </w:p>
        </w:tc>
        <w:tc>
          <w:tcPr>
            <w:tcW w:w="364" w:type="pct"/>
            <w:vAlign w:val="center"/>
          </w:tcPr>
          <w:p>
            <w:pPr>
              <w:jc w:val="center"/>
              <w:textAlignment w:val="center"/>
              <w:rPr>
                <w:rFonts w:eastAsia="宋体"/>
                <w:color w:val="000000"/>
                <w:sz w:val="18"/>
                <w:szCs w:val="18"/>
              </w:rPr>
            </w:pPr>
            <w:r>
              <w:rPr>
                <w:rFonts w:eastAsia="宋体"/>
                <w:color w:val="000000"/>
                <w:sz w:val="18"/>
                <w:szCs w:val="18"/>
              </w:rPr>
              <w:t>目标实现</w:t>
            </w:r>
          </w:p>
        </w:tc>
        <w:tc>
          <w:tcPr>
            <w:tcW w:w="268" w:type="pct"/>
            <w:vAlign w:val="center"/>
          </w:tcPr>
          <w:p>
            <w:pPr>
              <w:jc w:val="center"/>
              <w:textAlignment w:val="center"/>
              <w:rPr>
                <w:rFonts w:eastAsia="宋体"/>
                <w:color w:val="000000"/>
                <w:sz w:val="18"/>
                <w:szCs w:val="18"/>
              </w:rPr>
            </w:pPr>
            <w:r>
              <w:rPr>
                <w:rFonts w:eastAsia="宋体"/>
                <w:color w:val="000000"/>
                <w:sz w:val="18"/>
                <w:szCs w:val="18"/>
              </w:rPr>
              <w:t>10</w:t>
            </w:r>
          </w:p>
        </w:tc>
        <w:tc>
          <w:tcPr>
            <w:tcW w:w="914" w:type="pct"/>
            <w:vAlign w:val="center"/>
          </w:tcPr>
          <w:p>
            <w:pPr>
              <w:textAlignment w:val="center"/>
              <w:rPr>
                <w:rFonts w:eastAsia="宋体"/>
                <w:color w:val="000000"/>
                <w:sz w:val="18"/>
                <w:szCs w:val="18"/>
              </w:rPr>
            </w:pPr>
            <w:r>
              <w:rPr>
                <w:rFonts w:eastAsia="宋体"/>
                <w:color w:val="000000"/>
                <w:sz w:val="18"/>
                <w:szCs w:val="18"/>
              </w:rPr>
              <w:t>评价部门绩效目标实际实现程度与预期目标的偏离度。</w:t>
            </w:r>
          </w:p>
        </w:tc>
        <w:tc>
          <w:tcPr>
            <w:tcW w:w="2434" w:type="pct"/>
            <w:vAlign w:val="center"/>
          </w:tcPr>
          <w:p>
            <w:pPr>
              <w:textAlignment w:val="center"/>
              <w:rPr>
                <w:rFonts w:eastAsia="宋体"/>
                <w:color w:val="000000"/>
                <w:sz w:val="18"/>
                <w:szCs w:val="18"/>
              </w:rPr>
            </w:pPr>
            <w:r>
              <w:rPr>
                <w:rFonts w:eastAsia="宋体"/>
                <w:color w:val="000000"/>
                <w:sz w:val="18"/>
                <w:szCs w:val="18"/>
              </w:rPr>
              <w:t>以项目完成数量为核心，评价项目实际完成情况</w:t>
            </w:r>
            <w:r>
              <w:rPr>
                <w:rFonts w:hint="eastAsia" w:eastAsia="宋体"/>
                <w:color w:val="000000"/>
                <w:sz w:val="18"/>
                <w:szCs w:val="18"/>
              </w:rPr>
              <w:t>与</w:t>
            </w:r>
            <w:r>
              <w:rPr>
                <w:rFonts w:eastAsia="宋体"/>
                <w:color w:val="000000"/>
                <w:sz w:val="18"/>
                <w:szCs w:val="18"/>
              </w:rPr>
              <w:t>预期绩效目标偏离度，单个数量指标实际完成未达到预期指标或超过预期指标30%以上的，均不计分。该项指标得分=达到预期值的数量指标个数/全部数量指标个数(即评价选取的项目绩效目标包含的所有数量指标)</w:t>
            </w:r>
          </w:p>
        </w:tc>
        <w:tc>
          <w:tcPr>
            <w:tcW w:w="253" w:type="pct"/>
            <w:vAlign w:val="center"/>
          </w:tcPr>
          <w:p>
            <w:pPr>
              <w:jc w:val="center"/>
              <w:rPr>
                <w:rFonts w:eastAsia="宋体"/>
                <w:color w:val="000000"/>
                <w:sz w:val="18"/>
                <w:szCs w:val="18"/>
              </w:rPr>
            </w:pPr>
            <w:r>
              <w:rPr>
                <w:rFonts w:hint="eastAsia" w:eastAsia="宋体"/>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continue"/>
            <w:vAlign w:val="center"/>
          </w:tcPr>
          <w:p>
            <w:pPr>
              <w:jc w:val="center"/>
              <w:rPr>
                <w:rFonts w:eastAsia="宋体"/>
                <w:color w:val="000000"/>
                <w:sz w:val="18"/>
                <w:szCs w:val="18"/>
              </w:rPr>
            </w:pPr>
          </w:p>
        </w:tc>
        <w:tc>
          <w:tcPr>
            <w:tcW w:w="336" w:type="pct"/>
            <w:vMerge w:val="continue"/>
            <w:vAlign w:val="center"/>
          </w:tcPr>
          <w:p>
            <w:pPr>
              <w:jc w:val="center"/>
              <w:rPr>
                <w:rFonts w:eastAsia="宋体"/>
                <w:color w:val="000000"/>
                <w:sz w:val="18"/>
                <w:szCs w:val="18"/>
              </w:rPr>
            </w:pPr>
          </w:p>
        </w:tc>
        <w:tc>
          <w:tcPr>
            <w:tcW w:w="364" w:type="pct"/>
            <w:vAlign w:val="center"/>
          </w:tcPr>
          <w:p>
            <w:pPr>
              <w:jc w:val="center"/>
              <w:textAlignment w:val="center"/>
              <w:rPr>
                <w:rFonts w:eastAsia="宋体"/>
                <w:color w:val="000000"/>
                <w:sz w:val="18"/>
                <w:szCs w:val="18"/>
              </w:rPr>
            </w:pPr>
            <w:r>
              <w:rPr>
                <w:rFonts w:eastAsia="宋体"/>
                <w:color w:val="000000"/>
                <w:sz w:val="18"/>
                <w:szCs w:val="18"/>
              </w:rPr>
              <w:t>编制准确</w:t>
            </w:r>
          </w:p>
        </w:tc>
        <w:tc>
          <w:tcPr>
            <w:tcW w:w="268" w:type="pct"/>
            <w:vAlign w:val="center"/>
          </w:tcPr>
          <w:p>
            <w:pPr>
              <w:jc w:val="center"/>
              <w:textAlignment w:val="center"/>
              <w:rPr>
                <w:rFonts w:eastAsia="宋体"/>
                <w:color w:val="000000"/>
                <w:sz w:val="18"/>
                <w:szCs w:val="18"/>
              </w:rPr>
            </w:pPr>
            <w:r>
              <w:rPr>
                <w:rFonts w:eastAsia="宋体"/>
                <w:color w:val="000000"/>
                <w:sz w:val="18"/>
                <w:szCs w:val="18"/>
              </w:rPr>
              <w:t>10</w:t>
            </w:r>
          </w:p>
        </w:tc>
        <w:tc>
          <w:tcPr>
            <w:tcW w:w="914" w:type="pct"/>
            <w:vAlign w:val="center"/>
          </w:tcPr>
          <w:p>
            <w:pPr>
              <w:textAlignment w:val="center"/>
              <w:rPr>
                <w:rFonts w:eastAsia="宋体"/>
                <w:color w:val="000000"/>
                <w:sz w:val="18"/>
                <w:szCs w:val="18"/>
              </w:rPr>
            </w:pPr>
            <w:r>
              <w:rPr>
                <w:rFonts w:eastAsia="宋体"/>
                <w:color w:val="000000"/>
                <w:sz w:val="18"/>
                <w:szCs w:val="18"/>
              </w:rPr>
              <w:t>评价部门年初预算编制是否科学准确。</w:t>
            </w:r>
          </w:p>
        </w:tc>
        <w:tc>
          <w:tcPr>
            <w:tcW w:w="2434" w:type="pct"/>
            <w:vAlign w:val="center"/>
          </w:tcPr>
          <w:p>
            <w:pPr>
              <w:textAlignment w:val="center"/>
              <w:rPr>
                <w:rFonts w:eastAsia="宋体"/>
                <w:color w:val="000000"/>
                <w:sz w:val="18"/>
                <w:szCs w:val="18"/>
              </w:rPr>
            </w:pPr>
            <w:r>
              <w:rPr>
                <w:rFonts w:eastAsia="宋体"/>
                <w:color w:val="000000"/>
                <w:sz w:val="18"/>
                <w:szCs w:val="18"/>
              </w:rPr>
              <w:t>指标得分=(1-(10×部门全年预算调剂金额/年初部门预算数))*指标分值。其中：若部门全年预算调剂金额/年初部门预算数&gt;0.1，此项得0分。</w:t>
            </w:r>
          </w:p>
        </w:tc>
        <w:tc>
          <w:tcPr>
            <w:tcW w:w="253" w:type="pct"/>
            <w:vAlign w:val="center"/>
          </w:tcPr>
          <w:p>
            <w:pPr>
              <w:jc w:val="center"/>
              <w:rPr>
                <w:rFonts w:eastAsia="宋体"/>
                <w:color w:val="000000"/>
                <w:sz w:val="18"/>
                <w:szCs w:val="18"/>
              </w:rPr>
            </w:pPr>
            <w:r>
              <w:rPr>
                <w:rFonts w:hint="eastAsia" w:eastAsia="宋体"/>
                <w:color w:val="00000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continue"/>
            <w:vAlign w:val="center"/>
          </w:tcPr>
          <w:p>
            <w:pPr>
              <w:jc w:val="center"/>
              <w:rPr>
                <w:rFonts w:eastAsia="宋体"/>
                <w:color w:val="000000"/>
                <w:sz w:val="18"/>
                <w:szCs w:val="18"/>
              </w:rPr>
            </w:pPr>
          </w:p>
        </w:tc>
        <w:tc>
          <w:tcPr>
            <w:tcW w:w="336" w:type="pct"/>
            <w:vMerge w:val="restart"/>
            <w:vAlign w:val="center"/>
          </w:tcPr>
          <w:p>
            <w:pPr>
              <w:jc w:val="center"/>
              <w:textAlignment w:val="center"/>
              <w:rPr>
                <w:rFonts w:eastAsia="宋体"/>
                <w:color w:val="000000"/>
                <w:sz w:val="18"/>
                <w:szCs w:val="18"/>
              </w:rPr>
            </w:pPr>
            <w:r>
              <w:rPr>
                <w:rFonts w:eastAsia="宋体"/>
                <w:color w:val="000000"/>
                <w:sz w:val="18"/>
                <w:szCs w:val="18"/>
              </w:rPr>
              <w:t>预算执行(30分)</w:t>
            </w:r>
          </w:p>
        </w:tc>
        <w:tc>
          <w:tcPr>
            <w:tcW w:w="364" w:type="pct"/>
            <w:vAlign w:val="center"/>
          </w:tcPr>
          <w:p>
            <w:pPr>
              <w:jc w:val="center"/>
              <w:textAlignment w:val="center"/>
              <w:rPr>
                <w:rFonts w:eastAsia="宋体"/>
                <w:color w:val="000000"/>
                <w:sz w:val="18"/>
                <w:szCs w:val="18"/>
              </w:rPr>
            </w:pPr>
            <w:r>
              <w:rPr>
                <w:rFonts w:eastAsia="宋体"/>
                <w:color w:val="000000"/>
                <w:sz w:val="18"/>
                <w:szCs w:val="18"/>
              </w:rPr>
              <w:t>支出控制</w:t>
            </w:r>
          </w:p>
        </w:tc>
        <w:tc>
          <w:tcPr>
            <w:tcW w:w="268" w:type="pct"/>
            <w:vAlign w:val="center"/>
          </w:tcPr>
          <w:p>
            <w:pPr>
              <w:jc w:val="center"/>
              <w:textAlignment w:val="center"/>
              <w:rPr>
                <w:rFonts w:eastAsia="宋体"/>
                <w:color w:val="000000"/>
                <w:sz w:val="18"/>
                <w:szCs w:val="18"/>
              </w:rPr>
            </w:pPr>
            <w:r>
              <w:rPr>
                <w:rFonts w:eastAsia="宋体"/>
                <w:color w:val="000000"/>
                <w:sz w:val="18"/>
                <w:szCs w:val="18"/>
              </w:rPr>
              <w:t>10</w:t>
            </w:r>
          </w:p>
        </w:tc>
        <w:tc>
          <w:tcPr>
            <w:tcW w:w="914" w:type="pct"/>
            <w:vAlign w:val="center"/>
          </w:tcPr>
          <w:p>
            <w:pPr>
              <w:textAlignment w:val="center"/>
              <w:rPr>
                <w:rFonts w:eastAsia="宋体"/>
                <w:color w:val="000000"/>
                <w:sz w:val="18"/>
                <w:szCs w:val="18"/>
              </w:rPr>
            </w:pPr>
            <w:r>
              <w:rPr>
                <w:rFonts w:eastAsia="宋体"/>
                <w:color w:val="000000"/>
                <w:sz w:val="18"/>
                <w:szCs w:val="18"/>
              </w:rPr>
              <w:t>部门公用经费及非定额公用支出控制情况。</w:t>
            </w:r>
          </w:p>
        </w:tc>
        <w:tc>
          <w:tcPr>
            <w:tcW w:w="2434" w:type="pct"/>
            <w:vAlign w:val="center"/>
          </w:tcPr>
          <w:p>
            <w:pPr>
              <w:textAlignment w:val="center"/>
              <w:rPr>
                <w:rFonts w:eastAsia="宋体"/>
                <w:color w:val="000000"/>
                <w:sz w:val="18"/>
                <w:szCs w:val="18"/>
              </w:rPr>
            </w:pPr>
            <w:r>
              <w:rPr>
                <w:rFonts w:eastAsia="宋体"/>
                <w:color w:val="000000"/>
                <w:sz w:val="18"/>
                <w:szCs w:val="18"/>
              </w:rPr>
              <w:t>计算部门日常公用经费、项目支出中“办公费、印刷费、水费、电费、物业管理费”等科目年初预算数与决算数偏差程度预决算偏差程度在10%以内的，得10分。偏差度在10%-20%之间的，得5分，偏差度超过20%的，不得分。</w:t>
            </w:r>
          </w:p>
        </w:tc>
        <w:tc>
          <w:tcPr>
            <w:tcW w:w="253" w:type="pct"/>
            <w:vAlign w:val="center"/>
          </w:tcPr>
          <w:p>
            <w:pPr>
              <w:jc w:val="center"/>
              <w:rPr>
                <w:rFonts w:eastAsia="宋体"/>
                <w:color w:val="000000"/>
                <w:sz w:val="18"/>
                <w:szCs w:val="18"/>
              </w:rPr>
            </w:pPr>
            <w:r>
              <w:rPr>
                <w:rFonts w:hint="eastAsia" w:eastAsia="宋体"/>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continue"/>
            <w:vAlign w:val="center"/>
          </w:tcPr>
          <w:p>
            <w:pPr>
              <w:jc w:val="center"/>
              <w:rPr>
                <w:rFonts w:eastAsia="宋体"/>
                <w:color w:val="000000"/>
                <w:sz w:val="18"/>
                <w:szCs w:val="18"/>
              </w:rPr>
            </w:pPr>
          </w:p>
        </w:tc>
        <w:tc>
          <w:tcPr>
            <w:tcW w:w="336" w:type="pct"/>
            <w:vMerge w:val="continue"/>
            <w:vAlign w:val="center"/>
          </w:tcPr>
          <w:p>
            <w:pPr>
              <w:jc w:val="center"/>
              <w:rPr>
                <w:rFonts w:eastAsia="宋体"/>
                <w:color w:val="000000"/>
                <w:sz w:val="18"/>
                <w:szCs w:val="18"/>
              </w:rPr>
            </w:pPr>
          </w:p>
        </w:tc>
        <w:tc>
          <w:tcPr>
            <w:tcW w:w="364" w:type="pct"/>
            <w:vAlign w:val="center"/>
          </w:tcPr>
          <w:p>
            <w:pPr>
              <w:jc w:val="center"/>
              <w:textAlignment w:val="center"/>
              <w:rPr>
                <w:rFonts w:eastAsia="宋体"/>
                <w:color w:val="000000"/>
                <w:sz w:val="18"/>
                <w:szCs w:val="18"/>
              </w:rPr>
            </w:pPr>
            <w:r>
              <w:rPr>
                <w:rFonts w:eastAsia="宋体"/>
                <w:color w:val="000000"/>
                <w:sz w:val="18"/>
                <w:szCs w:val="18"/>
              </w:rPr>
              <w:t>动态调整</w:t>
            </w:r>
          </w:p>
        </w:tc>
        <w:tc>
          <w:tcPr>
            <w:tcW w:w="268" w:type="pct"/>
            <w:vAlign w:val="center"/>
          </w:tcPr>
          <w:p>
            <w:pPr>
              <w:jc w:val="center"/>
              <w:textAlignment w:val="center"/>
              <w:rPr>
                <w:rFonts w:eastAsia="宋体"/>
                <w:color w:val="000000"/>
                <w:sz w:val="18"/>
                <w:szCs w:val="18"/>
              </w:rPr>
            </w:pPr>
            <w:r>
              <w:rPr>
                <w:rFonts w:eastAsia="宋体"/>
                <w:color w:val="000000"/>
                <w:sz w:val="18"/>
                <w:szCs w:val="18"/>
              </w:rPr>
              <w:t>10</w:t>
            </w:r>
          </w:p>
        </w:tc>
        <w:tc>
          <w:tcPr>
            <w:tcW w:w="914" w:type="pct"/>
            <w:vAlign w:val="center"/>
          </w:tcPr>
          <w:p>
            <w:pPr>
              <w:textAlignment w:val="center"/>
              <w:rPr>
                <w:rFonts w:eastAsia="宋体"/>
                <w:color w:val="000000"/>
                <w:sz w:val="18"/>
                <w:szCs w:val="18"/>
              </w:rPr>
            </w:pPr>
            <w:r>
              <w:rPr>
                <w:rFonts w:eastAsia="宋体"/>
                <w:color w:val="000000"/>
                <w:sz w:val="18"/>
                <w:szCs w:val="18"/>
              </w:rPr>
              <w:t>评价部门开展绩效运行监控后，将绩效监控结果应用到预算调整的情况。</w:t>
            </w:r>
          </w:p>
        </w:tc>
        <w:tc>
          <w:tcPr>
            <w:tcW w:w="2434" w:type="pct"/>
            <w:vAlign w:val="center"/>
          </w:tcPr>
          <w:p>
            <w:pPr>
              <w:textAlignment w:val="center"/>
              <w:rPr>
                <w:rFonts w:eastAsia="宋体"/>
                <w:color w:val="000000"/>
                <w:sz w:val="18"/>
                <w:szCs w:val="18"/>
              </w:rPr>
            </w:pPr>
            <w:r>
              <w:rPr>
                <w:rFonts w:eastAsia="宋体"/>
                <w:color w:val="000000"/>
                <w:sz w:val="18"/>
                <w:szCs w:val="18"/>
              </w:rPr>
              <w:t>1.当部门绩效监控调整取消额和结余注销额均不为零时，指标得分=部门项目支出绩效监控调整取消额÷(部门绩效监控调整取消额+预算结余注销额)*10。</w:t>
            </w:r>
          </w:p>
          <w:p>
            <w:pPr>
              <w:textAlignment w:val="center"/>
              <w:rPr>
                <w:rFonts w:eastAsia="宋体"/>
                <w:color w:val="000000"/>
                <w:sz w:val="18"/>
                <w:szCs w:val="18"/>
              </w:rPr>
            </w:pPr>
            <w:r>
              <w:rPr>
                <w:rFonts w:eastAsia="宋体"/>
                <w:color w:val="000000"/>
                <w:sz w:val="18"/>
                <w:szCs w:val="18"/>
              </w:rPr>
              <w:t>2.当部门绩效监控调整取消额为零，结余注销额不为零时，指标得分=(1-10*结余注销额/年度预算总额)*10，结余注销额超过部门年度预算总额10%的，指标不得分。</w:t>
            </w:r>
          </w:p>
          <w:p>
            <w:pPr>
              <w:textAlignment w:val="center"/>
              <w:rPr>
                <w:rFonts w:eastAsia="宋体"/>
                <w:color w:val="000000"/>
                <w:sz w:val="18"/>
                <w:szCs w:val="18"/>
              </w:rPr>
            </w:pPr>
            <w:r>
              <w:rPr>
                <w:rFonts w:eastAsia="宋体"/>
                <w:color w:val="000000"/>
                <w:sz w:val="18"/>
                <w:szCs w:val="18"/>
              </w:rPr>
              <w:t>3.当部门绩效监控调整取消额与结余注销额均为零时，得满分</w:t>
            </w:r>
          </w:p>
        </w:tc>
        <w:tc>
          <w:tcPr>
            <w:tcW w:w="253" w:type="pct"/>
            <w:vAlign w:val="center"/>
          </w:tcPr>
          <w:p>
            <w:pPr>
              <w:jc w:val="center"/>
              <w:rPr>
                <w:rFonts w:eastAsia="宋体"/>
                <w:color w:val="000000"/>
                <w:sz w:val="18"/>
                <w:szCs w:val="18"/>
              </w:rPr>
            </w:pPr>
            <w:r>
              <w:rPr>
                <w:rFonts w:hint="eastAsia" w:eastAsia="宋体"/>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continue"/>
            <w:vAlign w:val="center"/>
          </w:tcPr>
          <w:p>
            <w:pPr>
              <w:jc w:val="center"/>
              <w:rPr>
                <w:rFonts w:eastAsia="宋体"/>
                <w:color w:val="000000"/>
                <w:sz w:val="18"/>
                <w:szCs w:val="18"/>
              </w:rPr>
            </w:pPr>
          </w:p>
        </w:tc>
        <w:tc>
          <w:tcPr>
            <w:tcW w:w="336" w:type="pct"/>
            <w:vMerge w:val="continue"/>
            <w:vAlign w:val="center"/>
          </w:tcPr>
          <w:p>
            <w:pPr>
              <w:jc w:val="center"/>
              <w:rPr>
                <w:rFonts w:eastAsia="宋体"/>
                <w:color w:val="000000"/>
                <w:sz w:val="18"/>
                <w:szCs w:val="18"/>
              </w:rPr>
            </w:pPr>
          </w:p>
        </w:tc>
        <w:tc>
          <w:tcPr>
            <w:tcW w:w="364" w:type="pct"/>
            <w:vAlign w:val="center"/>
          </w:tcPr>
          <w:p>
            <w:pPr>
              <w:jc w:val="center"/>
              <w:textAlignment w:val="center"/>
              <w:rPr>
                <w:rFonts w:eastAsia="宋体"/>
                <w:color w:val="000000"/>
                <w:sz w:val="18"/>
                <w:szCs w:val="18"/>
              </w:rPr>
            </w:pPr>
            <w:r>
              <w:rPr>
                <w:rFonts w:eastAsia="宋体"/>
                <w:color w:val="000000"/>
                <w:sz w:val="18"/>
                <w:szCs w:val="18"/>
              </w:rPr>
              <w:t>执行进度</w:t>
            </w:r>
          </w:p>
        </w:tc>
        <w:tc>
          <w:tcPr>
            <w:tcW w:w="268" w:type="pct"/>
            <w:vAlign w:val="center"/>
          </w:tcPr>
          <w:p>
            <w:pPr>
              <w:jc w:val="center"/>
              <w:textAlignment w:val="center"/>
              <w:rPr>
                <w:rFonts w:eastAsia="宋体"/>
                <w:color w:val="000000"/>
                <w:sz w:val="18"/>
                <w:szCs w:val="18"/>
              </w:rPr>
            </w:pPr>
            <w:r>
              <w:rPr>
                <w:rFonts w:eastAsia="宋体"/>
                <w:color w:val="000000"/>
                <w:sz w:val="18"/>
                <w:szCs w:val="18"/>
              </w:rPr>
              <w:t>10</w:t>
            </w:r>
          </w:p>
        </w:tc>
        <w:tc>
          <w:tcPr>
            <w:tcW w:w="914" w:type="pct"/>
            <w:vAlign w:val="center"/>
          </w:tcPr>
          <w:p>
            <w:pPr>
              <w:textAlignment w:val="center"/>
              <w:rPr>
                <w:rFonts w:eastAsia="宋体"/>
                <w:color w:val="000000"/>
                <w:sz w:val="18"/>
                <w:szCs w:val="18"/>
              </w:rPr>
            </w:pPr>
            <w:r>
              <w:rPr>
                <w:rFonts w:eastAsia="宋体"/>
                <w:color w:val="000000"/>
                <w:sz w:val="18"/>
                <w:szCs w:val="18"/>
              </w:rPr>
              <w:t>评价部门在6、9、11月的预算执行情况。</w:t>
            </w:r>
          </w:p>
        </w:tc>
        <w:tc>
          <w:tcPr>
            <w:tcW w:w="2434" w:type="pct"/>
            <w:vAlign w:val="center"/>
          </w:tcPr>
          <w:p>
            <w:pPr>
              <w:textAlignment w:val="center"/>
              <w:rPr>
                <w:rFonts w:eastAsia="宋体"/>
                <w:color w:val="000000"/>
                <w:sz w:val="18"/>
                <w:szCs w:val="18"/>
              </w:rPr>
            </w:pPr>
            <w:r>
              <w:rPr>
                <w:rFonts w:eastAsia="宋体"/>
                <w:color w:val="000000"/>
                <w:sz w:val="18"/>
                <w:szCs w:val="18"/>
              </w:rPr>
              <w:t>部门预算执行进度在6、9、11月应达到序时进度的80%、90%、90%，即实际支出进度分别达到40%、67.5%、82.5%。6、9、11月部门预算执行进度达到量化指标的分别得3、4、3分，未达到目标进度</w:t>
            </w:r>
            <w:r>
              <w:rPr>
                <w:rFonts w:hint="eastAsia" w:eastAsia="宋体"/>
                <w:color w:val="000000"/>
                <w:sz w:val="18"/>
                <w:szCs w:val="18"/>
              </w:rPr>
              <w:t>的</w:t>
            </w:r>
            <w:r>
              <w:rPr>
                <w:rFonts w:eastAsia="宋体"/>
                <w:color w:val="000000"/>
                <w:sz w:val="18"/>
                <w:szCs w:val="18"/>
              </w:rPr>
              <w:t>按其实际进度占目标进度的比重计算得分。</w:t>
            </w:r>
          </w:p>
        </w:tc>
        <w:tc>
          <w:tcPr>
            <w:tcW w:w="253" w:type="pct"/>
            <w:vAlign w:val="center"/>
          </w:tcPr>
          <w:p>
            <w:pPr>
              <w:jc w:val="center"/>
              <w:rPr>
                <w:rFonts w:eastAsia="宋体"/>
                <w:color w:val="000000"/>
                <w:sz w:val="18"/>
                <w:szCs w:val="18"/>
              </w:rPr>
            </w:pPr>
            <w:r>
              <w:rPr>
                <w:rFonts w:hint="eastAsia" w:eastAsia="宋体"/>
                <w:color w:val="00000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continue"/>
            <w:vAlign w:val="center"/>
          </w:tcPr>
          <w:p>
            <w:pPr>
              <w:jc w:val="center"/>
              <w:rPr>
                <w:rFonts w:eastAsia="宋体"/>
                <w:color w:val="000000"/>
                <w:sz w:val="18"/>
                <w:szCs w:val="18"/>
              </w:rPr>
            </w:pPr>
          </w:p>
        </w:tc>
        <w:tc>
          <w:tcPr>
            <w:tcW w:w="336" w:type="pct"/>
            <w:vMerge w:val="restart"/>
            <w:vAlign w:val="center"/>
          </w:tcPr>
          <w:p>
            <w:pPr>
              <w:jc w:val="center"/>
              <w:textAlignment w:val="center"/>
              <w:rPr>
                <w:rFonts w:eastAsia="宋体"/>
                <w:color w:val="000000"/>
                <w:sz w:val="18"/>
                <w:szCs w:val="18"/>
              </w:rPr>
            </w:pPr>
            <w:r>
              <w:rPr>
                <w:rFonts w:eastAsia="宋体"/>
                <w:color w:val="000000"/>
                <w:sz w:val="18"/>
                <w:szCs w:val="18"/>
              </w:rPr>
              <w:t>完成结果(20分)</w:t>
            </w:r>
          </w:p>
        </w:tc>
        <w:tc>
          <w:tcPr>
            <w:tcW w:w="364" w:type="pct"/>
            <w:vAlign w:val="center"/>
          </w:tcPr>
          <w:p>
            <w:pPr>
              <w:jc w:val="center"/>
              <w:textAlignment w:val="center"/>
              <w:rPr>
                <w:rFonts w:eastAsia="宋体"/>
                <w:color w:val="000000"/>
                <w:sz w:val="18"/>
                <w:szCs w:val="18"/>
              </w:rPr>
            </w:pPr>
            <w:r>
              <w:rPr>
                <w:rFonts w:eastAsia="宋体"/>
                <w:color w:val="000000"/>
                <w:sz w:val="18"/>
                <w:szCs w:val="18"/>
              </w:rPr>
              <w:t>预算完成</w:t>
            </w:r>
          </w:p>
        </w:tc>
        <w:tc>
          <w:tcPr>
            <w:tcW w:w="268" w:type="pct"/>
            <w:vAlign w:val="center"/>
          </w:tcPr>
          <w:p>
            <w:pPr>
              <w:jc w:val="center"/>
              <w:textAlignment w:val="center"/>
              <w:rPr>
                <w:rFonts w:eastAsia="宋体"/>
                <w:color w:val="000000"/>
                <w:sz w:val="18"/>
                <w:szCs w:val="18"/>
              </w:rPr>
            </w:pPr>
            <w:r>
              <w:rPr>
                <w:rFonts w:eastAsia="宋体"/>
                <w:color w:val="000000"/>
                <w:sz w:val="18"/>
                <w:szCs w:val="18"/>
              </w:rPr>
              <w:t>10</w:t>
            </w:r>
          </w:p>
        </w:tc>
        <w:tc>
          <w:tcPr>
            <w:tcW w:w="914" w:type="pct"/>
            <w:vAlign w:val="center"/>
          </w:tcPr>
          <w:p>
            <w:pPr>
              <w:textAlignment w:val="center"/>
              <w:rPr>
                <w:rFonts w:eastAsia="宋体"/>
                <w:color w:val="000000"/>
                <w:sz w:val="18"/>
                <w:szCs w:val="18"/>
              </w:rPr>
            </w:pPr>
            <w:r>
              <w:rPr>
                <w:rFonts w:eastAsia="宋体"/>
                <w:color w:val="000000"/>
                <w:sz w:val="18"/>
                <w:szCs w:val="18"/>
              </w:rPr>
              <w:t>评价部门预算项目年终预算执行情况。</w:t>
            </w:r>
          </w:p>
        </w:tc>
        <w:tc>
          <w:tcPr>
            <w:tcW w:w="2434" w:type="pct"/>
            <w:vAlign w:val="center"/>
          </w:tcPr>
          <w:p>
            <w:pPr>
              <w:textAlignment w:val="center"/>
              <w:rPr>
                <w:rFonts w:eastAsia="宋体"/>
                <w:color w:val="000000"/>
                <w:sz w:val="18"/>
                <w:szCs w:val="18"/>
              </w:rPr>
            </w:pPr>
            <w:r>
              <w:rPr>
                <w:rFonts w:eastAsia="宋体"/>
                <w:color w:val="000000"/>
                <w:sz w:val="18"/>
                <w:szCs w:val="18"/>
              </w:rPr>
              <w:t>部门预算项目12月预算执行进度达到100%的，得10分，未达100%的，按照实际进度量化计算得分。</w:t>
            </w:r>
          </w:p>
        </w:tc>
        <w:tc>
          <w:tcPr>
            <w:tcW w:w="253" w:type="pct"/>
            <w:vAlign w:val="center"/>
          </w:tcPr>
          <w:p>
            <w:pPr>
              <w:jc w:val="center"/>
              <w:rPr>
                <w:rFonts w:eastAsia="宋体"/>
                <w:color w:val="000000"/>
                <w:sz w:val="18"/>
                <w:szCs w:val="18"/>
              </w:rPr>
            </w:pPr>
            <w:r>
              <w:rPr>
                <w:rFonts w:hint="eastAsia" w:eastAsia="宋体"/>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continue"/>
            <w:vAlign w:val="center"/>
          </w:tcPr>
          <w:p>
            <w:pPr>
              <w:jc w:val="center"/>
              <w:rPr>
                <w:rFonts w:eastAsia="宋体"/>
                <w:color w:val="000000"/>
                <w:sz w:val="18"/>
                <w:szCs w:val="18"/>
              </w:rPr>
            </w:pPr>
          </w:p>
        </w:tc>
        <w:tc>
          <w:tcPr>
            <w:tcW w:w="336" w:type="pct"/>
            <w:vMerge w:val="continue"/>
            <w:vAlign w:val="center"/>
          </w:tcPr>
          <w:p>
            <w:pPr>
              <w:jc w:val="center"/>
              <w:rPr>
                <w:rFonts w:eastAsia="宋体"/>
                <w:color w:val="000000"/>
                <w:sz w:val="18"/>
                <w:szCs w:val="18"/>
              </w:rPr>
            </w:pPr>
          </w:p>
        </w:tc>
        <w:tc>
          <w:tcPr>
            <w:tcW w:w="364" w:type="pct"/>
            <w:vAlign w:val="center"/>
          </w:tcPr>
          <w:p>
            <w:pPr>
              <w:jc w:val="center"/>
              <w:textAlignment w:val="center"/>
              <w:rPr>
                <w:rFonts w:eastAsia="宋体"/>
                <w:color w:val="000000"/>
                <w:sz w:val="18"/>
                <w:szCs w:val="18"/>
              </w:rPr>
            </w:pPr>
            <w:r>
              <w:rPr>
                <w:rFonts w:eastAsia="宋体"/>
                <w:color w:val="000000"/>
                <w:sz w:val="18"/>
                <w:szCs w:val="18"/>
              </w:rPr>
              <w:t>违规记录</w:t>
            </w:r>
          </w:p>
        </w:tc>
        <w:tc>
          <w:tcPr>
            <w:tcW w:w="268" w:type="pct"/>
            <w:vAlign w:val="center"/>
          </w:tcPr>
          <w:p>
            <w:pPr>
              <w:jc w:val="center"/>
              <w:textAlignment w:val="center"/>
              <w:rPr>
                <w:rFonts w:eastAsia="宋体"/>
                <w:color w:val="000000"/>
                <w:sz w:val="18"/>
                <w:szCs w:val="18"/>
              </w:rPr>
            </w:pPr>
            <w:r>
              <w:rPr>
                <w:rFonts w:eastAsia="宋体"/>
                <w:color w:val="000000"/>
                <w:sz w:val="18"/>
                <w:szCs w:val="18"/>
              </w:rPr>
              <w:t>10</w:t>
            </w:r>
          </w:p>
        </w:tc>
        <w:tc>
          <w:tcPr>
            <w:tcW w:w="914" w:type="pct"/>
            <w:vAlign w:val="center"/>
          </w:tcPr>
          <w:p>
            <w:pPr>
              <w:textAlignment w:val="center"/>
              <w:rPr>
                <w:rFonts w:eastAsia="宋体"/>
                <w:color w:val="000000"/>
                <w:sz w:val="18"/>
                <w:szCs w:val="18"/>
              </w:rPr>
            </w:pPr>
            <w:r>
              <w:rPr>
                <w:rFonts w:eastAsia="宋体"/>
                <w:color w:val="000000"/>
                <w:sz w:val="18"/>
                <w:szCs w:val="18"/>
              </w:rPr>
              <w:t>根据审计监督、财政检查结果反映部门上一年度部门预算管理是否合规。</w:t>
            </w:r>
          </w:p>
        </w:tc>
        <w:tc>
          <w:tcPr>
            <w:tcW w:w="2434" w:type="pct"/>
            <w:vAlign w:val="center"/>
          </w:tcPr>
          <w:p>
            <w:pPr>
              <w:textAlignment w:val="center"/>
              <w:rPr>
                <w:rFonts w:eastAsia="宋体"/>
                <w:color w:val="000000"/>
                <w:sz w:val="18"/>
                <w:szCs w:val="18"/>
              </w:rPr>
            </w:pPr>
            <w:r>
              <w:rPr>
                <w:rFonts w:eastAsia="宋体"/>
                <w:color w:val="000000"/>
                <w:sz w:val="18"/>
                <w:szCs w:val="18"/>
              </w:rPr>
              <w:t>依据评价年度审计监督、财政检查结果，出现部门预算管理方面违纪违规问题的，每个问题扣0.5分，直至扣完。</w:t>
            </w:r>
          </w:p>
        </w:tc>
        <w:tc>
          <w:tcPr>
            <w:tcW w:w="253" w:type="pct"/>
            <w:vAlign w:val="center"/>
          </w:tcPr>
          <w:p>
            <w:pPr>
              <w:jc w:val="center"/>
              <w:rPr>
                <w:rFonts w:eastAsia="宋体"/>
                <w:color w:val="000000"/>
                <w:sz w:val="18"/>
                <w:szCs w:val="18"/>
              </w:rPr>
            </w:pPr>
            <w:r>
              <w:rPr>
                <w:rFonts w:hint="eastAsia" w:eastAsia="宋体"/>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restart"/>
            <w:vAlign w:val="center"/>
          </w:tcPr>
          <w:p>
            <w:pPr>
              <w:jc w:val="center"/>
              <w:textAlignment w:val="center"/>
              <w:rPr>
                <w:rFonts w:eastAsia="宋体"/>
                <w:color w:val="000000"/>
                <w:sz w:val="18"/>
                <w:szCs w:val="18"/>
              </w:rPr>
            </w:pPr>
            <w:r>
              <w:rPr>
                <w:rFonts w:eastAsia="宋体"/>
                <w:color w:val="000000"/>
                <w:sz w:val="18"/>
                <w:szCs w:val="18"/>
              </w:rPr>
              <w:t>绩效结果应用(10分)</w:t>
            </w:r>
          </w:p>
        </w:tc>
        <w:tc>
          <w:tcPr>
            <w:tcW w:w="336" w:type="pct"/>
            <w:vAlign w:val="center"/>
          </w:tcPr>
          <w:p>
            <w:pPr>
              <w:jc w:val="center"/>
              <w:textAlignment w:val="center"/>
              <w:rPr>
                <w:rFonts w:eastAsia="宋体"/>
                <w:color w:val="000000"/>
                <w:sz w:val="18"/>
                <w:szCs w:val="18"/>
              </w:rPr>
            </w:pPr>
            <w:r>
              <w:rPr>
                <w:rFonts w:eastAsia="宋体"/>
                <w:color w:val="000000"/>
                <w:sz w:val="18"/>
                <w:szCs w:val="18"/>
              </w:rPr>
              <w:t>信息公开(2分)</w:t>
            </w:r>
          </w:p>
        </w:tc>
        <w:tc>
          <w:tcPr>
            <w:tcW w:w="364" w:type="pct"/>
            <w:vAlign w:val="center"/>
          </w:tcPr>
          <w:p>
            <w:pPr>
              <w:jc w:val="center"/>
              <w:textAlignment w:val="center"/>
              <w:rPr>
                <w:rFonts w:eastAsia="宋体"/>
                <w:color w:val="000000"/>
                <w:sz w:val="18"/>
                <w:szCs w:val="18"/>
              </w:rPr>
            </w:pPr>
            <w:r>
              <w:rPr>
                <w:rFonts w:eastAsia="宋体"/>
                <w:color w:val="000000"/>
                <w:sz w:val="18"/>
                <w:szCs w:val="18"/>
              </w:rPr>
              <w:t>自评公开</w:t>
            </w:r>
          </w:p>
        </w:tc>
        <w:tc>
          <w:tcPr>
            <w:tcW w:w="268" w:type="pct"/>
            <w:vAlign w:val="center"/>
          </w:tcPr>
          <w:p>
            <w:pPr>
              <w:jc w:val="center"/>
              <w:textAlignment w:val="center"/>
              <w:rPr>
                <w:rFonts w:eastAsia="宋体"/>
                <w:color w:val="000000"/>
                <w:sz w:val="18"/>
                <w:szCs w:val="18"/>
              </w:rPr>
            </w:pPr>
            <w:r>
              <w:rPr>
                <w:rFonts w:eastAsia="宋体"/>
                <w:color w:val="000000"/>
                <w:sz w:val="18"/>
                <w:szCs w:val="18"/>
              </w:rPr>
              <w:t>2</w:t>
            </w:r>
          </w:p>
        </w:tc>
        <w:tc>
          <w:tcPr>
            <w:tcW w:w="914" w:type="pct"/>
            <w:vAlign w:val="center"/>
          </w:tcPr>
          <w:p>
            <w:pPr>
              <w:textAlignment w:val="center"/>
              <w:rPr>
                <w:rFonts w:eastAsia="宋体"/>
                <w:color w:val="000000"/>
                <w:sz w:val="18"/>
                <w:szCs w:val="18"/>
              </w:rPr>
            </w:pPr>
            <w:r>
              <w:rPr>
                <w:rFonts w:eastAsia="宋体"/>
                <w:color w:val="000000"/>
                <w:sz w:val="18"/>
                <w:szCs w:val="18"/>
              </w:rPr>
              <w:t>评价部门是否按要求将部门整体绩效自评情况和自行组织的评价情况向社会公开。</w:t>
            </w:r>
          </w:p>
        </w:tc>
        <w:tc>
          <w:tcPr>
            <w:tcW w:w="2434" w:type="pct"/>
            <w:vAlign w:val="center"/>
          </w:tcPr>
          <w:p>
            <w:pPr>
              <w:textAlignment w:val="center"/>
              <w:rPr>
                <w:rFonts w:eastAsia="宋体"/>
                <w:color w:val="000000"/>
                <w:sz w:val="18"/>
                <w:szCs w:val="18"/>
              </w:rPr>
            </w:pPr>
            <w:r>
              <w:rPr>
                <w:rFonts w:eastAsia="宋体"/>
                <w:color w:val="000000"/>
                <w:sz w:val="18"/>
                <w:szCs w:val="18"/>
              </w:rPr>
              <w:t>按要求将相关绩效信息随同决算公开的，得2分，否则不得分。</w:t>
            </w:r>
          </w:p>
        </w:tc>
        <w:tc>
          <w:tcPr>
            <w:tcW w:w="253" w:type="pct"/>
            <w:vAlign w:val="center"/>
          </w:tcPr>
          <w:p>
            <w:pPr>
              <w:jc w:val="center"/>
              <w:rPr>
                <w:rFonts w:eastAsia="宋体"/>
                <w:color w:val="000000"/>
                <w:sz w:val="18"/>
                <w:szCs w:val="18"/>
              </w:rPr>
            </w:pPr>
            <w:r>
              <w:rPr>
                <w:rFonts w:hint="eastAsia" w:eastAsia="宋体"/>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continue"/>
            <w:vAlign w:val="center"/>
          </w:tcPr>
          <w:p>
            <w:pPr>
              <w:jc w:val="center"/>
              <w:rPr>
                <w:rFonts w:eastAsia="宋体"/>
                <w:color w:val="000000"/>
                <w:sz w:val="18"/>
                <w:szCs w:val="18"/>
              </w:rPr>
            </w:pPr>
          </w:p>
        </w:tc>
        <w:tc>
          <w:tcPr>
            <w:tcW w:w="336" w:type="pct"/>
            <w:vMerge w:val="restart"/>
            <w:vAlign w:val="center"/>
          </w:tcPr>
          <w:p>
            <w:pPr>
              <w:jc w:val="center"/>
              <w:textAlignment w:val="center"/>
              <w:rPr>
                <w:rFonts w:eastAsia="宋体"/>
                <w:color w:val="000000"/>
                <w:sz w:val="18"/>
                <w:szCs w:val="18"/>
              </w:rPr>
            </w:pPr>
            <w:r>
              <w:rPr>
                <w:rFonts w:eastAsia="宋体"/>
                <w:color w:val="000000"/>
                <w:sz w:val="18"/>
                <w:szCs w:val="18"/>
              </w:rPr>
              <w:t>整改反馈(8分)</w:t>
            </w:r>
          </w:p>
        </w:tc>
        <w:tc>
          <w:tcPr>
            <w:tcW w:w="364" w:type="pct"/>
            <w:vAlign w:val="center"/>
          </w:tcPr>
          <w:p>
            <w:pPr>
              <w:jc w:val="center"/>
              <w:textAlignment w:val="center"/>
              <w:rPr>
                <w:rFonts w:eastAsia="宋体"/>
                <w:color w:val="000000"/>
                <w:sz w:val="18"/>
                <w:szCs w:val="18"/>
              </w:rPr>
            </w:pPr>
            <w:r>
              <w:rPr>
                <w:rFonts w:eastAsia="宋体"/>
                <w:color w:val="000000"/>
                <w:sz w:val="18"/>
                <w:szCs w:val="18"/>
              </w:rPr>
              <w:t>结果整改</w:t>
            </w:r>
          </w:p>
        </w:tc>
        <w:tc>
          <w:tcPr>
            <w:tcW w:w="268" w:type="pct"/>
            <w:vAlign w:val="center"/>
          </w:tcPr>
          <w:p>
            <w:pPr>
              <w:jc w:val="center"/>
              <w:textAlignment w:val="center"/>
              <w:rPr>
                <w:rFonts w:eastAsia="宋体"/>
                <w:color w:val="000000"/>
                <w:sz w:val="18"/>
                <w:szCs w:val="18"/>
              </w:rPr>
            </w:pPr>
            <w:r>
              <w:rPr>
                <w:rFonts w:eastAsia="宋体"/>
                <w:color w:val="000000"/>
                <w:sz w:val="18"/>
                <w:szCs w:val="18"/>
              </w:rPr>
              <w:t>4</w:t>
            </w:r>
          </w:p>
        </w:tc>
        <w:tc>
          <w:tcPr>
            <w:tcW w:w="914" w:type="pct"/>
            <w:vAlign w:val="center"/>
          </w:tcPr>
          <w:p>
            <w:pPr>
              <w:textAlignment w:val="center"/>
              <w:rPr>
                <w:rFonts w:eastAsia="宋体"/>
                <w:color w:val="000000"/>
                <w:sz w:val="18"/>
                <w:szCs w:val="18"/>
              </w:rPr>
            </w:pPr>
            <w:r>
              <w:rPr>
                <w:rFonts w:eastAsia="宋体"/>
                <w:color w:val="000000"/>
                <w:sz w:val="18"/>
                <w:szCs w:val="18"/>
              </w:rPr>
              <w:t>评价部门根据绩效管理结果整改问题、完善政策、改进管理的情况。</w:t>
            </w:r>
          </w:p>
        </w:tc>
        <w:tc>
          <w:tcPr>
            <w:tcW w:w="2434" w:type="pct"/>
            <w:vAlign w:val="center"/>
          </w:tcPr>
          <w:p>
            <w:pPr>
              <w:textAlignment w:val="center"/>
              <w:rPr>
                <w:rFonts w:eastAsia="宋体"/>
                <w:color w:val="000000"/>
                <w:sz w:val="18"/>
                <w:szCs w:val="18"/>
              </w:rPr>
            </w:pPr>
            <w:r>
              <w:rPr>
                <w:rFonts w:eastAsia="宋体"/>
                <w:color w:val="000000"/>
                <w:sz w:val="18"/>
                <w:szCs w:val="18"/>
              </w:rPr>
              <w:t>针对绩效管理过程中(包括绩效目标核查、绩效监控核查和重点绩效评价)提出的问题进行整改，将绩效管理结果应用于完善政策、改进管理、预算挂钩等的，得4分。否则，酌情扣分。</w:t>
            </w:r>
          </w:p>
        </w:tc>
        <w:tc>
          <w:tcPr>
            <w:tcW w:w="253" w:type="pct"/>
            <w:vAlign w:val="center"/>
          </w:tcPr>
          <w:p>
            <w:pPr>
              <w:jc w:val="center"/>
              <w:rPr>
                <w:rFonts w:eastAsia="宋体"/>
                <w:color w:val="000000"/>
                <w:sz w:val="18"/>
                <w:szCs w:val="18"/>
              </w:rPr>
            </w:pPr>
            <w:r>
              <w:rPr>
                <w:rFonts w:hint="eastAsia" w:eastAsia="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Merge w:val="continue"/>
            <w:vAlign w:val="center"/>
          </w:tcPr>
          <w:p>
            <w:pPr>
              <w:jc w:val="center"/>
              <w:rPr>
                <w:rFonts w:eastAsia="宋体"/>
                <w:color w:val="000000"/>
                <w:sz w:val="18"/>
                <w:szCs w:val="18"/>
              </w:rPr>
            </w:pPr>
          </w:p>
        </w:tc>
        <w:tc>
          <w:tcPr>
            <w:tcW w:w="336" w:type="pct"/>
            <w:vMerge w:val="continue"/>
            <w:vAlign w:val="center"/>
          </w:tcPr>
          <w:p>
            <w:pPr>
              <w:jc w:val="center"/>
              <w:rPr>
                <w:rFonts w:eastAsia="宋体"/>
                <w:color w:val="000000"/>
                <w:sz w:val="18"/>
                <w:szCs w:val="18"/>
              </w:rPr>
            </w:pPr>
          </w:p>
        </w:tc>
        <w:tc>
          <w:tcPr>
            <w:tcW w:w="364" w:type="pct"/>
            <w:vAlign w:val="center"/>
          </w:tcPr>
          <w:p>
            <w:pPr>
              <w:jc w:val="center"/>
              <w:textAlignment w:val="center"/>
              <w:rPr>
                <w:rFonts w:eastAsia="宋体"/>
                <w:color w:val="000000"/>
                <w:sz w:val="18"/>
                <w:szCs w:val="18"/>
              </w:rPr>
            </w:pPr>
            <w:r>
              <w:rPr>
                <w:rFonts w:eastAsia="宋体"/>
                <w:color w:val="000000"/>
                <w:sz w:val="18"/>
                <w:szCs w:val="18"/>
              </w:rPr>
              <w:t>应用反馈</w:t>
            </w:r>
          </w:p>
        </w:tc>
        <w:tc>
          <w:tcPr>
            <w:tcW w:w="268" w:type="pct"/>
            <w:vAlign w:val="center"/>
          </w:tcPr>
          <w:p>
            <w:pPr>
              <w:jc w:val="center"/>
              <w:textAlignment w:val="center"/>
              <w:rPr>
                <w:rFonts w:eastAsia="宋体"/>
                <w:color w:val="000000"/>
                <w:sz w:val="18"/>
                <w:szCs w:val="18"/>
              </w:rPr>
            </w:pPr>
            <w:r>
              <w:rPr>
                <w:rFonts w:eastAsia="宋体"/>
                <w:color w:val="000000"/>
                <w:sz w:val="18"/>
                <w:szCs w:val="18"/>
              </w:rPr>
              <w:t>4</w:t>
            </w:r>
          </w:p>
        </w:tc>
        <w:tc>
          <w:tcPr>
            <w:tcW w:w="914" w:type="pct"/>
            <w:vAlign w:val="center"/>
          </w:tcPr>
          <w:p>
            <w:pPr>
              <w:textAlignment w:val="center"/>
              <w:rPr>
                <w:rFonts w:eastAsia="宋体"/>
                <w:color w:val="000000"/>
                <w:sz w:val="18"/>
                <w:szCs w:val="18"/>
              </w:rPr>
            </w:pPr>
            <w:r>
              <w:rPr>
                <w:rFonts w:eastAsia="宋体"/>
                <w:color w:val="000000"/>
                <w:sz w:val="18"/>
                <w:szCs w:val="18"/>
              </w:rPr>
              <w:t>评价部门按要求及时向财政部门反馈结果应用情况。</w:t>
            </w:r>
          </w:p>
        </w:tc>
        <w:tc>
          <w:tcPr>
            <w:tcW w:w="2434" w:type="pct"/>
            <w:vAlign w:val="center"/>
          </w:tcPr>
          <w:p>
            <w:pPr>
              <w:textAlignment w:val="center"/>
              <w:rPr>
                <w:rFonts w:eastAsia="宋体"/>
                <w:color w:val="000000"/>
                <w:sz w:val="18"/>
                <w:szCs w:val="18"/>
              </w:rPr>
            </w:pPr>
            <w:r>
              <w:rPr>
                <w:rFonts w:eastAsia="宋体"/>
                <w:color w:val="000000"/>
                <w:sz w:val="18"/>
                <w:szCs w:val="18"/>
              </w:rPr>
              <w:t>部门在规定时间内向财政部门反馈应用绩效结果报告的，得满分，否则不得分。</w:t>
            </w:r>
          </w:p>
        </w:tc>
        <w:tc>
          <w:tcPr>
            <w:tcW w:w="253" w:type="pct"/>
            <w:vAlign w:val="center"/>
          </w:tcPr>
          <w:p>
            <w:pPr>
              <w:jc w:val="center"/>
              <w:rPr>
                <w:rFonts w:eastAsia="宋体"/>
                <w:color w:val="000000"/>
                <w:sz w:val="18"/>
                <w:szCs w:val="18"/>
              </w:rPr>
            </w:pPr>
            <w:r>
              <w:rPr>
                <w:rFonts w:hint="eastAsia" w:eastAsia="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Align w:val="center"/>
          </w:tcPr>
          <w:p>
            <w:pPr>
              <w:jc w:val="center"/>
              <w:textAlignment w:val="center"/>
              <w:rPr>
                <w:rFonts w:eastAsia="宋体"/>
                <w:color w:val="000000"/>
                <w:sz w:val="18"/>
                <w:szCs w:val="18"/>
              </w:rPr>
            </w:pPr>
            <w:r>
              <w:rPr>
                <w:rFonts w:eastAsia="宋体"/>
                <w:color w:val="000000"/>
                <w:sz w:val="18"/>
                <w:szCs w:val="18"/>
              </w:rPr>
              <w:t>自评质量</w:t>
            </w:r>
          </w:p>
          <w:p>
            <w:pPr>
              <w:jc w:val="center"/>
              <w:textAlignment w:val="center"/>
              <w:rPr>
                <w:rFonts w:eastAsia="宋体"/>
                <w:color w:val="000000"/>
                <w:sz w:val="18"/>
                <w:szCs w:val="18"/>
              </w:rPr>
            </w:pPr>
            <w:r>
              <w:rPr>
                <w:rFonts w:eastAsia="宋体"/>
                <w:color w:val="000000"/>
                <w:sz w:val="18"/>
                <w:szCs w:val="18"/>
              </w:rPr>
              <w:t>(10分)</w:t>
            </w:r>
          </w:p>
        </w:tc>
        <w:tc>
          <w:tcPr>
            <w:tcW w:w="336" w:type="pct"/>
            <w:vAlign w:val="center"/>
          </w:tcPr>
          <w:p>
            <w:pPr>
              <w:jc w:val="center"/>
              <w:textAlignment w:val="center"/>
              <w:rPr>
                <w:rFonts w:eastAsia="宋体"/>
                <w:color w:val="000000"/>
                <w:sz w:val="18"/>
                <w:szCs w:val="18"/>
              </w:rPr>
            </w:pPr>
            <w:r>
              <w:rPr>
                <w:rFonts w:eastAsia="宋体"/>
                <w:color w:val="000000"/>
                <w:sz w:val="18"/>
                <w:szCs w:val="18"/>
              </w:rPr>
              <w:t>自评质量(10分)</w:t>
            </w:r>
          </w:p>
        </w:tc>
        <w:tc>
          <w:tcPr>
            <w:tcW w:w="364" w:type="pct"/>
            <w:vAlign w:val="center"/>
          </w:tcPr>
          <w:p>
            <w:pPr>
              <w:jc w:val="center"/>
              <w:textAlignment w:val="center"/>
              <w:rPr>
                <w:rFonts w:eastAsia="宋体"/>
                <w:color w:val="000000"/>
                <w:sz w:val="18"/>
                <w:szCs w:val="18"/>
              </w:rPr>
            </w:pPr>
            <w:r>
              <w:rPr>
                <w:rFonts w:eastAsia="宋体"/>
                <w:color w:val="000000"/>
                <w:sz w:val="18"/>
                <w:szCs w:val="18"/>
              </w:rPr>
              <w:t>自评准确</w:t>
            </w:r>
          </w:p>
        </w:tc>
        <w:tc>
          <w:tcPr>
            <w:tcW w:w="268" w:type="pct"/>
            <w:vAlign w:val="center"/>
          </w:tcPr>
          <w:p>
            <w:pPr>
              <w:jc w:val="center"/>
              <w:textAlignment w:val="center"/>
              <w:rPr>
                <w:rFonts w:eastAsia="宋体"/>
                <w:color w:val="000000"/>
                <w:sz w:val="18"/>
                <w:szCs w:val="18"/>
              </w:rPr>
            </w:pPr>
            <w:r>
              <w:rPr>
                <w:rFonts w:eastAsia="宋体"/>
                <w:color w:val="000000"/>
                <w:sz w:val="18"/>
                <w:szCs w:val="18"/>
              </w:rPr>
              <w:t>10</w:t>
            </w:r>
          </w:p>
        </w:tc>
        <w:tc>
          <w:tcPr>
            <w:tcW w:w="914" w:type="pct"/>
            <w:vAlign w:val="center"/>
          </w:tcPr>
          <w:p>
            <w:pPr>
              <w:textAlignment w:val="center"/>
              <w:rPr>
                <w:rFonts w:eastAsia="宋体"/>
                <w:color w:val="000000"/>
                <w:sz w:val="18"/>
                <w:szCs w:val="18"/>
              </w:rPr>
            </w:pPr>
            <w:r>
              <w:rPr>
                <w:rFonts w:eastAsia="宋体"/>
                <w:color w:val="000000"/>
                <w:sz w:val="18"/>
                <w:szCs w:val="18"/>
              </w:rPr>
              <w:t>评价部门整体支出自评准确率。</w:t>
            </w:r>
          </w:p>
        </w:tc>
        <w:tc>
          <w:tcPr>
            <w:tcW w:w="2434" w:type="pct"/>
            <w:vAlign w:val="center"/>
          </w:tcPr>
          <w:p>
            <w:pPr>
              <w:textAlignment w:val="center"/>
              <w:rPr>
                <w:rFonts w:eastAsia="宋体"/>
                <w:color w:val="000000"/>
                <w:sz w:val="18"/>
                <w:szCs w:val="18"/>
              </w:rPr>
            </w:pPr>
            <w:r>
              <w:rPr>
                <w:rFonts w:eastAsia="宋体"/>
                <w:color w:val="000000"/>
                <w:sz w:val="18"/>
                <w:szCs w:val="18"/>
              </w:rPr>
              <w:t>部门整体支出自评得分与评价组抽查得分差异在5%以内的，不扣分；在5%-10%之间的，扣4分，在10%-20%的，扣8分，在20%以上的，扣10分。(部门在自评时，此项指标无需打分，部门自评满分为90分)</w:t>
            </w:r>
          </w:p>
        </w:tc>
        <w:tc>
          <w:tcPr>
            <w:tcW w:w="253" w:type="pct"/>
            <w:vAlign w:val="center"/>
          </w:tcPr>
          <w:p>
            <w:pPr>
              <w:jc w:val="center"/>
              <w:rPr>
                <w:rFonts w:eastAsia="宋体"/>
                <w:color w:val="000000"/>
                <w:sz w:val="18"/>
                <w:szCs w:val="18"/>
              </w:rPr>
            </w:pPr>
            <w:r>
              <w:rPr>
                <w:rFonts w:hint="eastAsia" w:eastAsia="宋体"/>
                <w:color w:val="00000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27" w:type="pct"/>
            <w:vAlign w:val="center"/>
          </w:tcPr>
          <w:p>
            <w:pPr>
              <w:jc w:val="center"/>
              <w:textAlignment w:val="center"/>
              <w:rPr>
                <w:rFonts w:eastAsia="宋体"/>
                <w:color w:val="000000"/>
                <w:sz w:val="18"/>
                <w:szCs w:val="18"/>
              </w:rPr>
            </w:pPr>
            <w:r>
              <w:rPr>
                <w:rFonts w:hint="eastAsia" w:eastAsia="宋体"/>
                <w:color w:val="000000"/>
                <w:sz w:val="18"/>
                <w:szCs w:val="18"/>
              </w:rPr>
              <w:t>总计</w:t>
            </w:r>
          </w:p>
        </w:tc>
        <w:tc>
          <w:tcPr>
            <w:tcW w:w="4318" w:type="pct"/>
            <w:gridSpan w:val="5"/>
            <w:vAlign w:val="center"/>
          </w:tcPr>
          <w:p>
            <w:pPr>
              <w:textAlignment w:val="center"/>
              <w:rPr>
                <w:rFonts w:eastAsia="宋体"/>
                <w:color w:val="000000"/>
                <w:sz w:val="18"/>
                <w:szCs w:val="18"/>
              </w:rPr>
            </w:pPr>
          </w:p>
        </w:tc>
        <w:tc>
          <w:tcPr>
            <w:tcW w:w="253" w:type="pct"/>
            <w:vAlign w:val="center"/>
          </w:tcPr>
          <w:p>
            <w:pPr>
              <w:jc w:val="center"/>
              <w:rPr>
                <w:rFonts w:eastAsia="宋体"/>
                <w:color w:val="000000"/>
                <w:sz w:val="18"/>
                <w:szCs w:val="18"/>
              </w:rPr>
            </w:pPr>
            <w:r>
              <w:rPr>
                <w:rFonts w:hint="eastAsia" w:eastAsia="宋体"/>
                <w:color w:val="000000"/>
                <w:sz w:val="18"/>
                <w:szCs w:val="18"/>
              </w:rPr>
              <w:t>97</w:t>
            </w:r>
          </w:p>
        </w:tc>
      </w:tr>
    </w:tbl>
    <w:p>
      <w:pPr>
        <w:pStyle w:val="6"/>
        <w:ind w:firstLine="0"/>
        <w:rPr>
          <w:sz w:val="21"/>
          <w:szCs w:val="21"/>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49" o:spid="_x0000_s2049" o:spt="202" type="#_x0000_t202" style="position:absolute;left:0pt;margin-left:199.9pt;margin-top:0.45pt;height:19.2pt;width:24pt;mso-position-horizontal-relative:margin;z-index:251659264;mso-width-relative:page;mso-height-relative:page;" filled="f" stroked="f" coordsize="21600,21600" o:gfxdata="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sG7gm1AAAAAcBAAAPAAAAAAAAAAEAIAAAACIAAABkcnMvZG93bnJldi54bWxQ&#10;SwECFAAUAAAACACHTuJA3R19WcIBAAB6AwAADgAAAAAAAAABACAAAAAjAQAAZHJzL2Uyb0RvYy54&#10;bWxQSwUGAAAAAAYABgBZAQAAVwUAAAAA&#10;">
          <v:path/>
          <v:fill on="f" focussize="0,0"/>
          <v:stroke on="f" weight="0.5pt" joinstyle="miter"/>
          <v:imagedata o:title=""/>
          <o:lock v:ext="edit"/>
          <v:textbox inset="0mm,0mm,0mm,0mm">
            <w:txbxContent>
              <w:p>
                <w:pPr>
                  <w:pStyle w:val="9"/>
                </w:pPr>
                <w:r>
                  <w:fldChar w:fldCharType="begin"/>
                </w:r>
                <w:r>
                  <w:instrText xml:space="preserve"> PAGE  \* MERGEFORMAT </w:instrText>
                </w:r>
                <w:r>
                  <w:fldChar w:fldCharType="separate"/>
                </w:r>
                <w:r>
                  <w:t>- 5 -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10DBE1C7-3CE4-4F29-98C7-0456119735B1}" w:val="KUr9E1jDwoctlTxO78vqBJIM23/+6g0CQSWey4p=PHafNzhkLRYZiAVun5bsmFdXG"/>
    <w:docVar w:name="commondata" w:val="eyJoZGlkIjoiZTgxNTJkNDk3ZTBmZDg5MTJhMDY2NzllNjYwMWY1MWMifQ=="/>
    <w:docVar w:name="DocumentID" w:val="{5B4634C5-305D-4DA9-9A3E-9F65E44C7079}"/>
  </w:docVars>
  <w:rsids>
    <w:rsidRoot w:val="00E24DDD"/>
    <w:rsid w:val="00012DAC"/>
    <w:rsid w:val="0003531B"/>
    <w:rsid w:val="00081F45"/>
    <w:rsid w:val="000C04E9"/>
    <w:rsid w:val="000C6196"/>
    <w:rsid w:val="000F2650"/>
    <w:rsid w:val="001054DC"/>
    <w:rsid w:val="0014735C"/>
    <w:rsid w:val="00153A56"/>
    <w:rsid w:val="00162AC8"/>
    <w:rsid w:val="001E298D"/>
    <w:rsid w:val="002421E5"/>
    <w:rsid w:val="002601A5"/>
    <w:rsid w:val="00276D67"/>
    <w:rsid w:val="002E3F87"/>
    <w:rsid w:val="003018D1"/>
    <w:rsid w:val="003108D2"/>
    <w:rsid w:val="00310A55"/>
    <w:rsid w:val="00313165"/>
    <w:rsid w:val="003804D1"/>
    <w:rsid w:val="003862A9"/>
    <w:rsid w:val="003D62AE"/>
    <w:rsid w:val="00410F9C"/>
    <w:rsid w:val="004421B1"/>
    <w:rsid w:val="00445A6F"/>
    <w:rsid w:val="004613C7"/>
    <w:rsid w:val="00471CB6"/>
    <w:rsid w:val="00476F1A"/>
    <w:rsid w:val="004871F7"/>
    <w:rsid w:val="00497B13"/>
    <w:rsid w:val="004A3B62"/>
    <w:rsid w:val="004D6BBD"/>
    <w:rsid w:val="004F17F4"/>
    <w:rsid w:val="00577934"/>
    <w:rsid w:val="00581685"/>
    <w:rsid w:val="005B26DE"/>
    <w:rsid w:val="005C1742"/>
    <w:rsid w:val="005E7B40"/>
    <w:rsid w:val="00656626"/>
    <w:rsid w:val="006A166A"/>
    <w:rsid w:val="006C3A82"/>
    <w:rsid w:val="0074175C"/>
    <w:rsid w:val="00786CBD"/>
    <w:rsid w:val="007E29A3"/>
    <w:rsid w:val="007F232C"/>
    <w:rsid w:val="00800955"/>
    <w:rsid w:val="00937B86"/>
    <w:rsid w:val="00956CCE"/>
    <w:rsid w:val="00981D71"/>
    <w:rsid w:val="009D3C78"/>
    <w:rsid w:val="009E2CA4"/>
    <w:rsid w:val="009E4887"/>
    <w:rsid w:val="009F41CD"/>
    <w:rsid w:val="00A92DF8"/>
    <w:rsid w:val="00B01DFB"/>
    <w:rsid w:val="00B0661D"/>
    <w:rsid w:val="00B5462F"/>
    <w:rsid w:val="00B60833"/>
    <w:rsid w:val="00B6795E"/>
    <w:rsid w:val="00BB3392"/>
    <w:rsid w:val="00C01A38"/>
    <w:rsid w:val="00C07942"/>
    <w:rsid w:val="00C162B8"/>
    <w:rsid w:val="00C17143"/>
    <w:rsid w:val="00C33BF0"/>
    <w:rsid w:val="00C44544"/>
    <w:rsid w:val="00C73944"/>
    <w:rsid w:val="00C76697"/>
    <w:rsid w:val="00C856C0"/>
    <w:rsid w:val="00C91110"/>
    <w:rsid w:val="00CE0015"/>
    <w:rsid w:val="00CF43BB"/>
    <w:rsid w:val="00D3020A"/>
    <w:rsid w:val="00D669E9"/>
    <w:rsid w:val="00D75A27"/>
    <w:rsid w:val="00DA437D"/>
    <w:rsid w:val="00DB50C9"/>
    <w:rsid w:val="00DD0962"/>
    <w:rsid w:val="00DE00B6"/>
    <w:rsid w:val="00E24DDD"/>
    <w:rsid w:val="00E27A6E"/>
    <w:rsid w:val="00E40E77"/>
    <w:rsid w:val="00E56562"/>
    <w:rsid w:val="00E64F74"/>
    <w:rsid w:val="00EE0524"/>
    <w:rsid w:val="00F00943"/>
    <w:rsid w:val="00F50D04"/>
    <w:rsid w:val="00F638A0"/>
    <w:rsid w:val="00FB5BB3"/>
    <w:rsid w:val="00FC4655"/>
    <w:rsid w:val="00FF6702"/>
    <w:rsid w:val="1408408A"/>
    <w:rsid w:val="1C7306BB"/>
    <w:rsid w:val="251474D5"/>
    <w:rsid w:val="332308FE"/>
    <w:rsid w:val="588D2EE7"/>
    <w:rsid w:val="5AAE67A5"/>
    <w:rsid w:val="6C4002ED"/>
    <w:rsid w:val="71BB79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paragraph" w:styleId="5">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240" w:lineRule="auto"/>
      <w:ind w:firstLine="420"/>
    </w:pPr>
    <w:rPr>
      <w:rFonts w:ascii="仿宋_GB2312" w:hAnsi="宋体" w:eastAsia="仿宋" w:cs="宋体"/>
      <w:color w:val="000000"/>
      <w:sz w:val="30"/>
      <w:szCs w:val="30"/>
    </w:rPr>
  </w:style>
  <w:style w:type="paragraph" w:styleId="3">
    <w:name w:val="Body Text Indent"/>
    <w:basedOn w:val="1"/>
    <w:next w:val="2"/>
    <w:qFormat/>
    <w:uiPriority w:val="0"/>
    <w:pPr>
      <w:spacing w:line="560" w:lineRule="exact"/>
      <w:ind w:firstLine="640" w:firstLineChars="200"/>
    </w:pPr>
  </w:style>
  <w:style w:type="paragraph" w:styleId="6">
    <w:name w:val="Normal Indent"/>
    <w:basedOn w:val="1"/>
    <w:next w:val="1"/>
    <w:qFormat/>
    <w:uiPriority w:val="99"/>
    <w:pPr>
      <w:ind w:firstLine="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2"/>
    <w:basedOn w:val="1"/>
    <w:next w:val="1"/>
    <w:qFormat/>
    <w:uiPriority w:val="0"/>
    <w:pPr>
      <w:spacing w:after="120" w:line="480" w:lineRule="auto"/>
      <w:ind w:left="420" w:leftChars="200"/>
    </w:p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semiHidden/>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character" w:styleId="14">
    <w:name w:val="page number"/>
    <w:basedOn w:val="1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6921</Words>
  <Characters>7525</Characters>
  <Lines>9</Lines>
  <Paragraphs>15</Paragraphs>
  <TotalTime>8</TotalTime>
  <ScaleCrop>false</ScaleCrop>
  <LinksUpToDate>false</LinksUpToDate>
  <CharactersWithSpaces>7525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2023-07-17T02:44:00Z</dcterms:created>
  <dc:creator>Windows User</dc:creator>
  <cp:lastModifiedBy>沐川县林业局</cp:lastModifiedBy>
  <dcterms:modified xsi:type="dcterms:W3CDTF">2023-10-17T02:11:52Z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D2E49F39789841748F32744EE78A6A87_13</vt:lpwstr>
  </property>
</Properties>
</file>