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spacing w:line="700" w:lineRule="exact"/>
        <w:jc w:val="center"/>
        <w:rPr>
          <w:rFonts w:eastAsia="方正小标宋简体"/>
          <w:spacing w:val="1"/>
          <w:sz w:val="36"/>
          <w:szCs w:val="36"/>
        </w:rPr>
      </w:pPr>
      <w:r>
        <w:rPr>
          <w:rFonts w:eastAsia="方正小标宋简体"/>
          <w:spacing w:val="1"/>
          <w:sz w:val="36"/>
          <w:szCs w:val="36"/>
        </w:rPr>
        <w:t>沐川县林业局</w:t>
      </w:r>
    </w:p>
    <w:p>
      <w:pPr>
        <w:kinsoku w:val="0"/>
        <w:overflowPunct w:val="0"/>
        <w:spacing w:line="700" w:lineRule="exact"/>
        <w:jc w:val="center"/>
        <w:rPr>
          <w:rFonts w:eastAsia="方正小标宋简体"/>
          <w:spacing w:val="1"/>
          <w:sz w:val="36"/>
          <w:szCs w:val="36"/>
        </w:rPr>
      </w:pPr>
      <w:r>
        <w:rPr>
          <w:rFonts w:eastAsia="方正小标宋简体"/>
          <w:b/>
          <w:bCs/>
          <w:spacing w:val="1"/>
          <w:sz w:val="36"/>
          <w:szCs w:val="36"/>
        </w:rPr>
        <w:t>2022</w:t>
      </w:r>
      <w:r>
        <w:rPr>
          <w:rFonts w:eastAsia="方正小标宋简体"/>
          <w:spacing w:val="1"/>
          <w:sz w:val="36"/>
          <w:szCs w:val="36"/>
        </w:rPr>
        <w:t>年度野生动物致害政府救助责任保险经费</w:t>
      </w:r>
    </w:p>
    <w:p>
      <w:pPr>
        <w:kinsoku w:val="0"/>
        <w:overflowPunct w:val="0"/>
        <w:spacing w:line="700" w:lineRule="exact"/>
        <w:jc w:val="center"/>
        <w:rPr>
          <w:rFonts w:eastAsia="方正公文小标宋"/>
          <w:spacing w:val="1"/>
          <w:sz w:val="36"/>
          <w:szCs w:val="36"/>
        </w:rPr>
      </w:pPr>
      <w:r>
        <w:rPr>
          <w:rFonts w:eastAsia="方正小标宋简体"/>
          <w:spacing w:val="1"/>
          <w:sz w:val="36"/>
          <w:szCs w:val="36"/>
        </w:rPr>
        <w:t>项目支出绩效自评报告</w:t>
      </w:r>
    </w:p>
    <w:p>
      <w:pPr>
        <w:pStyle w:val="3"/>
        <w:spacing w:before="0" w:after="0" w:line="360" w:lineRule="auto"/>
        <w:rPr>
          <w:rFonts w:eastAsia="黑体"/>
          <w:sz w:val="32"/>
        </w:rPr>
      </w:pPr>
      <w:r>
        <w:rPr>
          <w:rFonts w:eastAsia="黑体"/>
          <w:sz w:val="32"/>
        </w:rPr>
        <w:t>一、项目基本情况</w:t>
      </w:r>
    </w:p>
    <w:p>
      <w:pPr>
        <w:pStyle w:val="4"/>
        <w:spacing w:before="0" w:after="0" w:line="360" w:lineRule="auto"/>
        <w:rPr>
          <w:rFonts w:ascii="Times New Roman" w:hAnsi="Times New Roman" w:eastAsia="楷体"/>
          <w:b w:val="0"/>
          <w:bCs/>
        </w:rPr>
      </w:pPr>
      <w:r>
        <w:rPr>
          <w:rFonts w:ascii="Times New Roman" w:hAnsi="Times New Roman" w:eastAsia="楷体"/>
          <w:b w:val="0"/>
          <w:bCs/>
        </w:rPr>
        <w:t>（一）绩效目标情况</w:t>
      </w:r>
    </w:p>
    <w:p>
      <w:pPr>
        <w:pStyle w:val="10"/>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1、项目基本情况</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近年来，我县境内野生动物栖息环境不断改善，森林资源持续增长，野生动物得到了良好的保护，但是，也出现了野猴、野猪、黑熊等野生动物不定时到农户家里伤害家禽，危害农作物，甚至出现野生动物伤人事件。为了长效治理野生动物伤害家禽、农作物情况损失，保障受灾群众的合法权益，化解社会矛盾，沐川县引入县内保险机制，设立野生动物致害政府救助责任保险，实行政府统保，由县财政每年全额安排投保资金。</w:t>
      </w:r>
    </w:p>
    <w:p>
      <w:pPr>
        <w:pStyle w:val="10"/>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2、项目绩效目标</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该项目的总体绩效目标为长效治理野生动物危害家禽、农作物情况损失，切实保护受灾群众合法权益，化解社会矛盾，提高补偿效益。2022年，沐川林业局计划择优选定一家保险公司进行投保，保障对野生动物致害达到100%的赔偿，理赔速度要及时，林农满意度达95%以上，同时，要建立完善野生动物肇事损害赔偿制度和野生动物伤害保险制度。</w:t>
      </w:r>
    </w:p>
    <w:p>
      <w:pPr>
        <w:pStyle w:val="4"/>
        <w:spacing w:before="0" w:after="0" w:line="360" w:lineRule="auto"/>
        <w:rPr>
          <w:rFonts w:ascii="Times New Roman" w:hAnsi="Times New Roman" w:eastAsia="楷体"/>
          <w:b w:val="0"/>
          <w:bCs/>
        </w:rPr>
      </w:pPr>
      <w:r>
        <w:rPr>
          <w:rFonts w:ascii="Times New Roman" w:hAnsi="Times New Roman" w:eastAsia="楷体"/>
          <w:b w:val="0"/>
          <w:bCs/>
        </w:rPr>
        <w:t>（二）资金安排情况</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资金计划及到位。2021年，《沐川县林业局关于投保野生动物致害政府救助责任保险的请示》（沐林〔2021〕84号）提出设立野生动物致害政府救助责任保险，2021年7月，县政府同意批复，并提出保险费用从2022年起列入部门年初预算。2022年，项目下达资金预算20万元，项目资金全部来源于县本级财政资金，资金到位率100%。</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资金使用。2022年，经招投标确定由中国人民财产保险股份有限公司乐山市分公司承保，2022年3月，将20万元保费支付给人保财险乐山分公司，资金开支范围、标准及支付进度严格按照规定，支付依据合规合法，资金支付与预算相符。</w:t>
      </w:r>
    </w:p>
    <w:p>
      <w:pPr>
        <w:pStyle w:val="3"/>
        <w:spacing w:before="0" w:after="0" w:line="360" w:lineRule="auto"/>
        <w:rPr>
          <w:rFonts w:eastAsia="黑体"/>
          <w:sz w:val="32"/>
        </w:rPr>
      </w:pPr>
      <w:r>
        <w:rPr>
          <w:rFonts w:eastAsia="黑体"/>
          <w:sz w:val="32"/>
        </w:rPr>
        <w:t>二、绩效目标完成情况分析</w:t>
      </w:r>
    </w:p>
    <w:p>
      <w:pPr>
        <w:pStyle w:val="4"/>
        <w:spacing w:before="0" w:after="0" w:line="360" w:lineRule="auto"/>
        <w:rPr>
          <w:rFonts w:ascii="Times New Roman" w:hAnsi="Times New Roman" w:eastAsia="楷体"/>
          <w:b w:val="0"/>
          <w:bCs/>
        </w:rPr>
      </w:pPr>
      <w:r>
        <w:rPr>
          <w:rFonts w:ascii="Times New Roman" w:hAnsi="Times New Roman" w:eastAsia="楷体"/>
          <w:b w:val="0"/>
          <w:bCs/>
        </w:rPr>
        <w:t>（一）预算执行进度情况分析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预算批复资金为20万元，用于支付人保财险乐山分公司保费，资金实际支付为20万元，资金使用率100%，该项目实施按照据实审批报销，资金支出在项目支出控制额度内，按照厉行节约、从严从紧的要求进行支出。</w:t>
      </w:r>
    </w:p>
    <w:p>
      <w:pPr>
        <w:pStyle w:val="4"/>
        <w:spacing w:before="0" w:after="0" w:line="360" w:lineRule="auto"/>
        <w:rPr>
          <w:rFonts w:ascii="Times New Roman" w:hAnsi="Times New Roman" w:eastAsia="楷体"/>
          <w:b w:val="0"/>
          <w:bCs/>
        </w:rPr>
      </w:pPr>
      <w:r>
        <w:rPr>
          <w:rFonts w:ascii="Times New Roman" w:hAnsi="Times New Roman" w:eastAsia="楷体"/>
          <w:b w:val="0"/>
          <w:bCs/>
        </w:rPr>
        <w:t>（二）总体绩效目标完成情况分析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2022年沐川县林业局通过招投标确定由中国人民财产保险股份有限公司乐山市分公司承保，对因野生动物损害农作物、家禽等损失进行理赔。</w:t>
      </w:r>
    </w:p>
    <w:p>
      <w:pPr>
        <w:pStyle w:val="4"/>
        <w:spacing w:before="0" w:after="0" w:line="360" w:lineRule="auto"/>
        <w:rPr>
          <w:rFonts w:ascii="Times New Roman" w:hAnsi="Times New Roman" w:eastAsia="楷体"/>
          <w:b w:val="0"/>
          <w:bCs/>
        </w:rPr>
      </w:pPr>
      <w:r>
        <w:rPr>
          <w:rFonts w:ascii="Times New Roman" w:hAnsi="Times New Roman" w:eastAsia="楷体"/>
          <w:b w:val="0"/>
          <w:bCs/>
        </w:rPr>
        <w:t>（三）绩效指标完成情况分析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我县将野生动物损坏农林作物事件引入保险机制，建立完善了野生动物肇事损害赔偿制度和野生动物伤害保险制度，择优选定人保财险乐山分公司承保，凡发生野生动物损害农林作物及家禽家畜的情况，由保险公司赔偿，从而保障了全县受损群众财产损失，对野生动物致害达到100%的赔偿，理赔速度，林农满意度达96%。</w:t>
      </w:r>
    </w:p>
    <w:p>
      <w:pPr>
        <w:pStyle w:val="4"/>
        <w:spacing w:before="0" w:after="0" w:line="360" w:lineRule="auto"/>
        <w:rPr>
          <w:rFonts w:ascii="Times New Roman" w:hAnsi="Times New Roman" w:eastAsia="楷体"/>
          <w:b w:val="0"/>
          <w:bCs/>
        </w:rPr>
      </w:pPr>
      <w:r>
        <w:rPr>
          <w:rFonts w:ascii="Times New Roman" w:hAnsi="Times New Roman" w:eastAsia="楷体"/>
          <w:b w:val="0"/>
          <w:bCs/>
        </w:rPr>
        <w:t>（四）项目效益分析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野生动物致害政府救助责任保险有效转嫁了野生动物的侵害风险，减轻了野生动物危害造成人身伤害和财产损失，充分保障林区周边人民群众生命安全和财产利益。</w:t>
      </w:r>
    </w:p>
    <w:p>
      <w:pPr>
        <w:pStyle w:val="3"/>
        <w:spacing w:before="0" w:after="0" w:line="360" w:lineRule="auto"/>
        <w:rPr>
          <w:rFonts w:eastAsia="黑体"/>
          <w:sz w:val="32"/>
        </w:rPr>
      </w:pPr>
      <w:r>
        <w:rPr>
          <w:rFonts w:eastAsia="黑体"/>
          <w:sz w:val="32"/>
        </w:rPr>
        <w:t>三、偏离绩效目标的原因和下一步改进措施</w:t>
      </w:r>
    </w:p>
    <w:p>
      <w:pPr>
        <w:pStyle w:val="10"/>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绩效目标基本完成。</w:t>
      </w:r>
    </w:p>
    <w:p>
      <w:pPr>
        <w:pStyle w:val="3"/>
        <w:spacing w:before="0" w:after="0" w:line="360" w:lineRule="auto"/>
        <w:rPr>
          <w:rFonts w:eastAsia="黑体"/>
          <w:sz w:val="32"/>
        </w:rPr>
      </w:pPr>
      <w:r>
        <w:rPr>
          <w:rFonts w:eastAsia="黑体"/>
          <w:sz w:val="32"/>
        </w:rPr>
        <w:t>四、绩效自评结果拟应用和公开情况</w:t>
      </w:r>
    </w:p>
    <w:p>
      <w:pPr>
        <w:pStyle w:val="10"/>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2022年度项目自评得分为99分，该项目为长期每年开展项目，2023年建议继续预算此项目，每年绩效目标与预算同步批复、同步公开。</w:t>
      </w:r>
    </w:p>
    <w:p>
      <w:pPr>
        <w:pStyle w:val="3"/>
        <w:spacing w:before="0" w:after="0" w:line="360" w:lineRule="auto"/>
        <w:rPr>
          <w:rFonts w:eastAsia="黑体"/>
          <w:sz w:val="32"/>
        </w:rPr>
      </w:pPr>
      <w:r>
        <w:rPr>
          <w:rFonts w:eastAsia="黑体"/>
          <w:sz w:val="32"/>
        </w:rPr>
        <w:t>五、其他需要说明的问题</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无</w:t>
      </w:r>
    </w:p>
    <w:p>
      <w:pPr>
        <w:pStyle w:val="10"/>
        <w:spacing w:line="360" w:lineRule="auto"/>
        <w:ind w:firstLine="643" w:firstLineChars="200"/>
        <w:jc w:val="both"/>
        <w:rPr>
          <w:rFonts w:ascii="Times New Roman" w:hAnsi="Times New Roman" w:eastAsia="仿宋_GB2312" w:cs="Times New Roman"/>
          <w:b/>
          <w:bCs/>
          <w:sz w:val="32"/>
          <w:szCs w:val="32"/>
        </w:rPr>
      </w:pPr>
    </w:p>
    <w:p>
      <w:pPr>
        <w:pStyle w:val="10"/>
        <w:spacing w:line="360" w:lineRule="auto"/>
        <w:ind w:firstLine="643" w:firstLineChars="200"/>
        <w:jc w:val="both"/>
        <w:rPr>
          <w:rFonts w:ascii="Times New Roman" w:hAnsi="Times New Roman" w:eastAsia="仿宋_GB2312" w:cs="Times New Roman"/>
          <w:b/>
          <w:bCs/>
          <w:sz w:val="32"/>
          <w:szCs w:val="32"/>
        </w:rPr>
      </w:pPr>
    </w:p>
    <w:p>
      <w:pPr>
        <w:pStyle w:val="10"/>
        <w:spacing w:line="360" w:lineRule="auto"/>
        <w:ind w:firstLine="643" w:firstLineChars="200"/>
        <w:jc w:val="both"/>
        <w:rPr>
          <w:rFonts w:ascii="Times New Roman" w:hAnsi="Times New Roman" w:eastAsia="仿宋_GB2312" w:cs="Times New Roman"/>
          <w:b/>
          <w:bCs/>
          <w:sz w:val="32"/>
          <w:szCs w:val="32"/>
        </w:rPr>
      </w:pPr>
    </w:p>
    <w:p>
      <w:pPr>
        <w:pStyle w:val="10"/>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附件：</w:t>
      </w:r>
    </w:p>
    <w:p>
      <w:pPr>
        <w:pStyle w:val="10"/>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1.2022年度野生动物致害政府救助责任保险经费项目绩效目标自评表</w:t>
      </w:r>
    </w:p>
    <w:p>
      <w:pPr>
        <w:pStyle w:val="10"/>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2.2022年度野生动物致害政府救助责任保险经费项目支出绩效评价</w:t>
      </w:r>
      <w:r>
        <w:rPr>
          <w:rFonts w:hint="eastAsia" w:ascii="Times New Roman" w:hAnsi="Times New Roman" w:eastAsia="仿宋_GB2312" w:cs="Times New Roman"/>
          <w:b/>
          <w:bCs/>
          <w:sz w:val="32"/>
          <w:szCs w:val="32"/>
        </w:rPr>
        <w:t>自评得分表</w:t>
      </w:r>
    </w:p>
    <w:p>
      <w:pPr>
        <w:pStyle w:val="10"/>
        <w:spacing w:line="360" w:lineRule="auto"/>
        <w:ind w:right="320" w:firstLine="1600" w:firstLineChars="500"/>
        <w:jc w:val="right"/>
        <w:rPr>
          <w:rFonts w:ascii="Times New Roman" w:hAnsi="Times New Roman" w:eastAsia="仿宋_GB2312" w:cs="Times New Roman"/>
          <w:sz w:val="32"/>
          <w:szCs w:val="32"/>
        </w:rPr>
      </w:pPr>
    </w:p>
    <w:p>
      <w:pPr>
        <w:pStyle w:val="10"/>
        <w:spacing w:line="360" w:lineRule="auto"/>
        <w:ind w:right="320"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沐川县林业局</w:t>
      </w:r>
    </w:p>
    <w:p>
      <w:pPr>
        <w:pStyle w:val="10"/>
        <w:spacing w:line="360" w:lineRule="auto"/>
        <w:ind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2023年7</w:t>
      </w:r>
      <w:bookmarkStart w:id="0" w:name="_GoBack"/>
      <w:bookmarkEnd w:id="0"/>
      <w:r>
        <w:rPr>
          <w:rFonts w:ascii="Times New Roman" w:hAnsi="Times New Roman" w:eastAsia="仿宋_GB2312" w:cs="Times New Roman"/>
          <w:sz w:val="32"/>
          <w:szCs w:val="32"/>
        </w:rPr>
        <w:t>月1</w:t>
      </w: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日</w:t>
      </w:r>
    </w:p>
    <w:p>
      <w:pPr>
        <w:widowControl/>
        <w:jc w:val="left"/>
        <w:rPr>
          <w:b/>
          <w:kern w:val="44"/>
          <w:sz w:val="44"/>
        </w:rPr>
      </w:pPr>
      <w:r>
        <w:br w:type="page"/>
      </w:r>
    </w:p>
    <w:p>
      <w:pPr>
        <w:pStyle w:val="3"/>
        <w:spacing w:before="0" w:after="0" w:line="360" w:lineRule="auto"/>
        <w:rPr>
          <w:rFonts w:eastAsia="黑体"/>
          <w:sz w:val="32"/>
        </w:rPr>
      </w:pPr>
      <w:r>
        <w:rPr>
          <w:rFonts w:eastAsia="黑体"/>
          <w:sz w:val="32"/>
        </w:rPr>
        <w:t>附件1</w:t>
      </w:r>
    </w:p>
    <w:p>
      <w:pPr>
        <w:jc w:val="center"/>
        <w:rPr>
          <w:rFonts w:eastAsia="方正公文楷体"/>
          <w:sz w:val="24"/>
          <w:szCs w:val="24"/>
        </w:rPr>
      </w:pPr>
      <w:r>
        <w:rPr>
          <w:rFonts w:eastAsia="方正公文楷体"/>
          <w:color w:val="000000"/>
          <w:kern w:val="0"/>
          <w:sz w:val="24"/>
          <w:szCs w:val="24"/>
        </w:rPr>
        <w:t>2022年度野生动物致害政府救助责任保险经费项目绩效目标自评表</w:t>
      </w:r>
    </w:p>
    <w:tbl>
      <w:tblPr>
        <w:tblStyle w:val="1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496"/>
        <w:gridCol w:w="1028"/>
        <w:gridCol w:w="1485"/>
        <w:gridCol w:w="1133"/>
        <w:gridCol w:w="989"/>
        <w:gridCol w:w="1036"/>
        <w:gridCol w:w="1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320" w:lineRule="exact"/>
              <w:jc w:val="center"/>
              <w:textAlignment w:val="top"/>
              <w:rPr>
                <w:rFonts w:eastAsia="宋体"/>
                <w:color w:val="000000"/>
                <w:sz w:val="22"/>
                <w:szCs w:val="22"/>
              </w:rPr>
            </w:pPr>
            <w:r>
              <w:rPr>
                <w:rFonts w:eastAsia="宋体"/>
                <w:color w:val="000000"/>
                <w:kern w:val="0"/>
                <w:sz w:val="22"/>
                <w:szCs w:val="22"/>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Align w:val="center"/>
          </w:tcPr>
          <w:p>
            <w:pPr>
              <w:widowControl/>
              <w:spacing w:line="200" w:lineRule="exact"/>
              <w:jc w:val="center"/>
              <w:textAlignment w:val="center"/>
              <w:rPr>
                <w:color w:val="000000"/>
                <w:sz w:val="20"/>
                <w:szCs w:val="20"/>
              </w:rPr>
            </w:pPr>
            <w:r>
              <w:rPr>
                <w:color w:val="000000"/>
                <w:kern w:val="0"/>
                <w:sz w:val="20"/>
                <w:szCs w:val="20"/>
              </w:rPr>
              <w:t>项目（政策）名称</w:t>
            </w:r>
          </w:p>
        </w:tc>
        <w:tc>
          <w:tcPr>
            <w:tcW w:w="3676" w:type="pct"/>
            <w:gridSpan w:val="5"/>
            <w:vAlign w:val="center"/>
          </w:tcPr>
          <w:p>
            <w:pPr>
              <w:widowControl/>
              <w:spacing w:line="200" w:lineRule="exact"/>
              <w:jc w:val="center"/>
              <w:rPr>
                <w:color w:val="000000"/>
                <w:sz w:val="20"/>
                <w:szCs w:val="20"/>
              </w:rPr>
            </w:pPr>
            <w:r>
              <w:rPr>
                <w:color w:val="000000"/>
                <w:sz w:val="20"/>
                <w:szCs w:val="20"/>
              </w:rPr>
              <w:t>野生动物致害政府救助责任保险经费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Align w:val="center"/>
          </w:tcPr>
          <w:p>
            <w:pPr>
              <w:widowControl/>
              <w:spacing w:line="200" w:lineRule="exact"/>
              <w:jc w:val="center"/>
              <w:textAlignment w:val="center"/>
              <w:rPr>
                <w:color w:val="000000"/>
                <w:sz w:val="20"/>
                <w:szCs w:val="20"/>
              </w:rPr>
            </w:pPr>
            <w:r>
              <w:rPr>
                <w:color w:val="000000"/>
                <w:kern w:val="0"/>
                <w:sz w:val="20"/>
                <w:szCs w:val="20"/>
              </w:rPr>
              <w:t>项目主管部门</w:t>
            </w:r>
          </w:p>
        </w:tc>
        <w:tc>
          <w:tcPr>
            <w:tcW w:w="1536" w:type="pct"/>
            <w:gridSpan w:val="2"/>
            <w:vAlign w:val="center"/>
          </w:tcPr>
          <w:p>
            <w:pPr>
              <w:widowControl/>
              <w:spacing w:line="200" w:lineRule="exact"/>
              <w:jc w:val="center"/>
              <w:rPr>
                <w:color w:val="000000"/>
                <w:sz w:val="20"/>
                <w:szCs w:val="20"/>
              </w:rPr>
            </w:pPr>
            <w:r>
              <w:rPr>
                <w:color w:val="000000"/>
                <w:sz w:val="20"/>
                <w:szCs w:val="20"/>
              </w:rPr>
              <w:t>林业局</w:t>
            </w:r>
          </w:p>
        </w:tc>
        <w:tc>
          <w:tcPr>
            <w:tcW w:w="580" w:type="pct"/>
            <w:vAlign w:val="center"/>
          </w:tcPr>
          <w:p>
            <w:pPr>
              <w:widowControl/>
              <w:spacing w:line="200" w:lineRule="exact"/>
              <w:jc w:val="center"/>
              <w:textAlignment w:val="center"/>
              <w:rPr>
                <w:color w:val="000000"/>
                <w:kern w:val="0"/>
                <w:sz w:val="20"/>
                <w:szCs w:val="20"/>
              </w:rPr>
            </w:pPr>
            <w:r>
              <w:rPr>
                <w:color w:val="000000"/>
                <w:kern w:val="0"/>
                <w:sz w:val="20"/>
                <w:szCs w:val="20"/>
              </w:rPr>
              <w:t>资金使用单位</w:t>
            </w:r>
          </w:p>
        </w:tc>
        <w:tc>
          <w:tcPr>
            <w:tcW w:w="1560" w:type="pct"/>
            <w:gridSpan w:val="2"/>
            <w:vAlign w:val="center"/>
          </w:tcPr>
          <w:p>
            <w:pPr>
              <w:widowControl/>
              <w:spacing w:line="200" w:lineRule="exact"/>
              <w:jc w:val="center"/>
              <w:rPr>
                <w:color w:val="000000"/>
                <w:sz w:val="20"/>
                <w:szCs w:val="20"/>
              </w:rPr>
            </w:pPr>
            <w:r>
              <w:rPr>
                <w:color w:val="000000"/>
                <w:sz w:val="20"/>
                <w:szCs w:val="20"/>
              </w:rPr>
              <w:t>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项目资金</w:t>
            </w:r>
          </w:p>
          <w:p>
            <w:pPr>
              <w:widowControl/>
              <w:spacing w:line="200" w:lineRule="exact"/>
              <w:jc w:val="center"/>
              <w:textAlignment w:val="center"/>
              <w:rPr>
                <w:color w:val="000000"/>
                <w:sz w:val="20"/>
                <w:szCs w:val="20"/>
              </w:rPr>
            </w:pPr>
            <w:r>
              <w:rPr>
                <w:color w:val="000000"/>
                <w:kern w:val="0"/>
                <w:sz w:val="20"/>
                <w:szCs w:val="20"/>
              </w:rPr>
              <w:t>（万元）</w:t>
            </w:r>
          </w:p>
        </w:tc>
        <w:tc>
          <w:tcPr>
            <w:tcW w:w="871" w:type="pct"/>
            <w:vAlign w:val="center"/>
          </w:tcPr>
          <w:p>
            <w:pPr>
              <w:widowControl/>
              <w:spacing w:line="200" w:lineRule="exact"/>
              <w:jc w:val="center"/>
              <w:rPr>
                <w:color w:val="000000"/>
                <w:sz w:val="20"/>
                <w:szCs w:val="20"/>
              </w:rPr>
            </w:pPr>
          </w:p>
        </w:tc>
        <w:tc>
          <w:tcPr>
            <w:tcW w:w="664" w:type="pct"/>
            <w:vAlign w:val="center"/>
          </w:tcPr>
          <w:p>
            <w:pPr>
              <w:widowControl/>
              <w:spacing w:line="200" w:lineRule="exact"/>
              <w:jc w:val="center"/>
              <w:textAlignment w:val="center"/>
              <w:rPr>
                <w:color w:val="000000"/>
                <w:sz w:val="20"/>
                <w:szCs w:val="20"/>
              </w:rPr>
            </w:pPr>
            <w:r>
              <w:rPr>
                <w:color w:val="000000"/>
                <w:kern w:val="0"/>
                <w:sz w:val="20"/>
                <w:szCs w:val="20"/>
              </w:rPr>
              <w:t>全年预算数</w:t>
            </w:r>
          </w:p>
        </w:tc>
        <w:tc>
          <w:tcPr>
            <w:tcW w:w="1188" w:type="pct"/>
            <w:gridSpan w:val="2"/>
            <w:vAlign w:val="center"/>
          </w:tcPr>
          <w:p>
            <w:pPr>
              <w:widowControl/>
              <w:spacing w:line="200" w:lineRule="exact"/>
              <w:jc w:val="center"/>
              <w:textAlignment w:val="center"/>
              <w:rPr>
                <w:color w:val="000000"/>
                <w:sz w:val="20"/>
                <w:szCs w:val="20"/>
              </w:rPr>
            </w:pPr>
            <w:r>
              <w:rPr>
                <w:color w:val="000000"/>
                <w:kern w:val="0"/>
                <w:sz w:val="20"/>
                <w:szCs w:val="20"/>
              </w:rPr>
              <w:t>全年执行数</w:t>
            </w:r>
          </w:p>
        </w:tc>
        <w:tc>
          <w:tcPr>
            <w:tcW w:w="952" w:type="pct"/>
            <w:vAlign w:val="center"/>
          </w:tcPr>
          <w:p>
            <w:pPr>
              <w:widowControl/>
              <w:spacing w:line="200" w:lineRule="exact"/>
              <w:jc w:val="center"/>
              <w:textAlignment w:val="center"/>
              <w:rPr>
                <w:color w:val="000000"/>
                <w:sz w:val="20"/>
                <w:szCs w:val="20"/>
              </w:rPr>
            </w:pPr>
            <w:r>
              <w:rPr>
                <w:color w:val="000000"/>
                <w:kern w:val="0"/>
                <w:sz w:val="20"/>
                <w:szCs w:val="20"/>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continue"/>
            <w:vAlign w:val="center"/>
          </w:tcPr>
          <w:p>
            <w:pPr>
              <w:widowControl/>
              <w:spacing w:line="200" w:lineRule="exact"/>
              <w:jc w:val="center"/>
              <w:rPr>
                <w:color w:val="000000"/>
                <w:sz w:val="20"/>
                <w:szCs w:val="20"/>
              </w:rPr>
            </w:pPr>
          </w:p>
        </w:tc>
        <w:tc>
          <w:tcPr>
            <w:tcW w:w="871" w:type="pct"/>
            <w:vAlign w:val="center"/>
          </w:tcPr>
          <w:p>
            <w:pPr>
              <w:widowControl/>
              <w:spacing w:line="200" w:lineRule="exact"/>
              <w:jc w:val="center"/>
              <w:textAlignment w:val="center"/>
              <w:rPr>
                <w:color w:val="000000"/>
                <w:sz w:val="20"/>
                <w:szCs w:val="20"/>
              </w:rPr>
            </w:pPr>
            <w:r>
              <w:rPr>
                <w:color w:val="000000"/>
                <w:kern w:val="0"/>
                <w:sz w:val="20"/>
                <w:szCs w:val="20"/>
              </w:rPr>
              <w:t>年度资金总额：</w:t>
            </w:r>
          </w:p>
        </w:tc>
        <w:tc>
          <w:tcPr>
            <w:tcW w:w="664" w:type="pct"/>
            <w:vAlign w:val="center"/>
          </w:tcPr>
          <w:p>
            <w:pPr>
              <w:widowControl/>
              <w:spacing w:line="200" w:lineRule="exact"/>
              <w:jc w:val="center"/>
              <w:rPr>
                <w:color w:val="000000"/>
                <w:sz w:val="20"/>
                <w:szCs w:val="20"/>
              </w:rPr>
            </w:pPr>
            <w:r>
              <w:rPr>
                <w:color w:val="000000"/>
                <w:sz w:val="20"/>
                <w:szCs w:val="20"/>
              </w:rPr>
              <w:t>20</w:t>
            </w:r>
          </w:p>
        </w:tc>
        <w:tc>
          <w:tcPr>
            <w:tcW w:w="1188" w:type="pct"/>
            <w:gridSpan w:val="2"/>
            <w:vAlign w:val="center"/>
          </w:tcPr>
          <w:p>
            <w:pPr>
              <w:widowControl/>
              <w:spacing w:line="200" w:lineRule="exact"/>
              <w:jc w:val="center"/>
              <w:rPr>
                <w:color w:val="000000"/>
                <w:sz w:val="20"/>
                <w:szCs w:val="20"/>
              </w:rPr>
            </w:pPr>
            <w:r>
              <w:rPr>
                <w:color w:val="000000"/>
                <w:sz w:val="20"/>
                <w:szCs w:val="20"/>
              </w:rPr>
              <w:t>20</w:t>
            </w:r>
          </w:p>
        </w:tc>
        <w:tc>
          <w:tcPr>
            <w:tcW w:w="952" w:type="pct"/>
            <w:vAlign w:val="center"/>
          </w:tcPr>
          <w:p>
            <w:pPr>
              <w:widowControl/>
              <w:spacing w:line="200" w:lineRule="exact"/>
              <w:jc w:val="center"/>
              <w:rPr>
                <w:color w:val="000000"/>
                <w:sz w:val="20"/>
                <w:szCs w:val="20"/>
              </w:rPr>
            </w:pPr>
            <w:r>
              <w:rPr>
                <w:color w:val="000000"/>
                <w:sz w:val="20"/>
                <w:szCs w:val="20"/>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continue"/>
            <w:vAlign w:val="center"/>
          </w:tcPr>
          <w:p>
            <w:pPr>
              <w:widowControl/>
              <w:spacing w:line="200" w:lineRule="exact"/>
              <w:jc w:val="center"/>
              <w:rPr>
                <w:color w:val="000000"/>
                <w:sz w:val="20"/>
                <w:szCs w:val="20"/>
              </w:rPr>
            </w:pPr>
          </w:p>
        </w:tc>
        <w:tc>
          <w:tcPr>
            <w:tcW w:w="871" w:type="pct"/>
            <w:vAlign w:val="center"/>
          </w:tcPr>
          <w:p>
            <w:pPr>
              <w:widowControl/>
              <w:spacing w:line="200" w:lineRule="exact"/>
              <w:jc w:val="center"/>
              <w:textAlignment w:val="center"/>
              <w:rPr>
                <w:color w:val="000000"/>
                <w:sz w:val="20"/>
                <w:szCs w:val="20"/>
              </w:rPr>
            </w:pPr>
            <w:r>
              <w:rPr>
                <w:rStyle w:val="17"/>
                <w:rFonts w:hint="default" w:ascii="Times New Roman" w:hAnsi="Times New Roman" w:eastAsia="仿宋_GB2312" w:cs="Times New Roman"/>
                <w:sz w:val="20"/>
                <w:szCs w:val="20"/>
              </w:rPr>
              <w:t>其中：中央、省补助</w:t>
            </w:r>
          </w:p>
        </w:tc>
        <w:tc>
          <w:tcPr>
            <w:tcW w:w="664" w:type="pct"/>
            <w:vAlign w:val="center"/>
          </w:tcPr>
          <w:p>
            <w:pPr>
              <w:widowControl/>
              <w:spacing w:line="200" w:lineRule="exact"/>
              <w:jc w:val="center"/>
              <w:rPr>
                <w:color w:val="000000"/>
                <w:sz w:val="20"/>
                <w:szCs w:val="20"/>
              </w:rPr>
            </w:pPr>
          </w:p>
        </w:tc>
        <w:tc>
          <w:tcPr>
            <w:tcW w:w="1188" w:type="pct"/>
            <w:gridSpan w:val="2"/>
            <w:vAlign w:val="center"/>
          </w:tcPr>
          <w:p>
            <w:pPr>
              <w:widowControl/>
              <w:spacing w:line="200" w:lineRule="exact"/>
              <w:jc w:val="center"/>
              <w:rPr>
                <w:color w:val="000000"/>
                <w:sz w:val="20"/>
                <w:szCs w:val="20"/>
              </w:rPr>
            </w:pP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continue"/>
            <w:vAlign w:val="center"/>
          </w:tcPr>
          <w:p>
            <w:pPr>
              <w:widowControl/>
              <w:spacing w:line="200" w:lineRule="exact"/>
              <w:jc w:val="center"/>
              <w:rPr>
                <w:color w:val="000000"/>
                <w:sz w:val="20"/>
                <w:szCs w:val="20"/>
              </w:rPr>
            </w:pPr>
          </w:p>
        </w:tc>
        <w:tc>
          <w:tcPr>
            <w:tcW w:w="871" w:type="pct"/>
            <w:vAlign w:val="center"/>
          </w:tcPr>
          <w:p>
            <w:pPr>
              <w:widowControl/>
              <w:spacing w:line="200" w:lineRule="exact"/>
              <w:jc w:val="center"/>
              <w:textAlignment w:val="center"/>
              <w:rPr>
                <w:color w:val="000000"/>
                <w:sz w:val="20"/>
                <w:szCs w:val="20"/>
              </w:rPr>
            </w:pPr>
            <w:r>
              <w:rPr>
                <w:rStyle w:val="17"/>
                <w:rFonts w:hint="default" w:ascii="Times New Roman" w:hAnsi="Times New Roman" w:eastAsia="仿宋_GB2312" w:cs="Times New Roman"/>
                <w:sz w:val="20"/>
                <w:szCs w:val="20"/>
              </w:rPr>
              <w:t>市级财政资</w:t>
            </w:r>
          </w:p>
        </w:tc>
        <w:tc>
          <w:tcPr>
            <w:tcW w:w="664" w:type="pct"/>
            <w:vAlign w:val="center"/>
          </w:tcPr>
          <w:p>
            <w:pPr>
              <w:widowControl/>
              <w:spacing w:line="200" w:lineRule="exact"/>
              <w:jc w:val="center"/>
              <w:rPr>
                <w:color w:val="000000"/>
                <w:sz w:val="20"/>
                <w:szCs w:val="20"/>
              </w:rPr>
            </w:pPr>
          </w:p>
        </w:tc>
        <w:tc>
          <w:tcPr>
            <w:tcW w:w="1188" w:type="pct"/>
            <w:gridSpan w:val="2"/>
            <w:vAlign w:val="center"/>
          </w:tcPr>
          <w:p>
            <w:pPr>
              <w:widowControl/>
              <w:spacing w:line="200" w:lineRule="exact"/>
              <w:jc w:val="center"/>
              <w:rPr>
                <w:color w:val="000000"/>
                <w:sz w:val="20"/>
                <w:szCs w:val="20"/>
              </w:rPr>
            </w:pP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continue"/>
            <w:vAlign w:val="center"/>
          </w:tcPr>
          <w:p>
            <w:pPr>
              <w:widowControl/>
              <w:spacing w:line="200" w:lineRule="exact"/>
              <w:jc w:val="center"/>
              <w:rPr>
                <w:color w:val="000000"/>
                <w:sz w:val="20"/>
                <w:szCs w:val="20"/>
              </w:rPr>
            </w:pPr>
          </w:p>
        </w:tc>
        <w:tc>
          <w:tcPr>
            <w:tcW w:w="871" w:type="pct"/>
            <w:vAlign w:val="center"/>
          </w:tcPr>
          <w:p>
            <w:pPr>
              <w:widowControl/>
              <w:spacing w:line="200" w:lineRule="exact"/>
              <w:jc w:val="center"/>
              <w:textAlignment w:val="center"/>
              <w:rPr>
                <w:color w:val="000000"/>
                <w:sz w:val="20"/>
                <w:szCs w:val="20"/>
              </w:rPr>
            </w:pPr>
            <w:r>
              <w:rPr>
                <w:color w:val="000000"/>
                <w:kern w:val="0"/>
                <w:sz w:val="20"/>
                <w:szCs w:val="20"/>
              </w:rPr>
              <w:t>县级财政资</w:t>
            </w:r>
          </w:p>
        </w:tc>
        <w:tc>
          <w:tcPr>
            <w:tcW w:w="664" w:type="pct"/>
            <w:vAlign w:val="center"/>
          </w:tcPr>
          <w:p>
            <w:pPr>
              <w:widowControl/>
              <w:spacing w:line="200" w:lineRule="exact"/>
              <w:jc w:val="center"/>
              <w:rPr>
                <w:color w:val="000000"/>
                <w:sz w:val="20"/>
                <w:szCs w:val="20"/>
              </w:rPr>
            </w:pPr>
            <w:r>
              <w:rPr>
                <w:color w:val="000000"/>
                <w:sz w:val="20"/>
                <w:szCs w:val="20"/>
              </w:rPr>
              <w:t>20</w:t>
            </w:r>
          </w:p>
        </w:tc>
        <w:tc>
          <w:tcPr>
            <w:tcW w:w="1188" w:type="pct"/>
            <w:gridSpan w:val="2"/>
            <w:vAlign w:val="center"/>
          </w:tcPr>
          <w:p>
            <w:pPr>
              <w:widowControl/>
              <w:spacing w:line="200" w:lineRule="exact"/>
              <w:jc w:val="center"/>
              <w:rPr>
                <w:color w:val="000000"/>
                <w:sz w:val="20"/>
                <w:szCs w:val="20"/>
              </w:rPr>
            </w:pPr>
            <w:r>
              <w:rPr>
                <w:color w:val="000000"/>
                <w:sz w:val="20"/>
                <w:szCs w:val="20"/>
              </w:rPr>
              <w:t>20</w:t>
            </w:r>
          </w:p>
        </w:tc>
        <w:tc>
          <w:tcPr>
            <w:tcW w:w="952" w:type="pct"/>
            <w:vAlign w:val="center"/>
          </w:tcPr>
          <w:p>
            <w:pPr>
              <w:widowControl/>
              <w:spacing w:line="200" w:lineRule="exact"/>
              <w:jc w:val="center"/>
              <w:rPr>
                <w:color w:val="000000"/>
                <w:sz w:val="20"/>
                <w:szCs w:val="20"/>
              </w:rPr>
            </w:pPr>
            <w:r>
              <w:rPr>
                <w:color w:val="000000"/>
                <w:sz w:val="20"/>
                <w:szCs w:val="20"/>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continue"/>
            <w:vAlign w:val="center"/>
          </w:tcPr>
          <w:p>
            <w:pPr>
              <w:widowControl/>
              <w:spacing w:line="200" w:lineRule="exact"/>
              <w:jc w:val="center"/>
              <w:rPr>
                <w:color w:val="000000"/>
                <w:sz w:val="20"/>
                <w:szCs w:val="20"/>
              </w:rPr>
            </w:pPr>
          </w:p>
        </w:tc>
        <w:tc>
          <w:tcPr>
            <w:tcW w:w="871" w:type="pct"/>
            <w:vAlign w:val="center"/>
          </w:tcPr>
          <w:p>
            <w:pPr>
              <w:widowControl/>
              <w:spacing w:line="200" w:lineRule="exact"/>
              <w:jc w:val="center"/>
              <w:textAlignment w:val="center"/>
              <w:rPr>
                <w:color w:val="000000"/>
                <w:sz w:val="20"/>
                <w:szCs w:val="20"/>
              </w:rPr>
            </w:pPr>
            <w:r>
              <w:rPr>
                <w:rStyle w:val="17"/>
                <w:rFonts w:hint="default" w:ascii="Times New Roman" w:hAnsi="Times New Roman" w:eastAsia="仿宋_GB2312" w:cs="Times New Roman"/>
                <w:sz w:val="20"/>
                <w:szCs w:val="20"/>
              </w:rPr>
              <w:t>其他资金</w:t>
            </w:r>
          </w:p>
        </w:tc>
        <w:tc>
          <w:tcPr>
            <w:tcW w:w="664" w:type="pct"/>
            <w:vAlign w:val="center"/>
          </w:tcPr>
          <w:p>
            <w:pPr>
              <w:widowControl/>
              <w:spacing w:line="200" w:lineRule="exact"/>
              <w:jc w:val="center"/>
              <w:rPr>
                <w:color w:val="000000"/>
                <w:sz w:val="20"/>
                <w:szCs w:val="20"/>
              </w:rPr>
            </w:pPr>
          </w:p>
        </w:tc>
        <w:tc>
          <w:tcPr>
            <w:tcW w:w="1188" w:type="pct"/>
            <w:gridSpan w:val="2"/>
            <w:vAlign w:val="center"/>
          </w:tcPr>
          <w:p>
            <w:pPr>
              <w:widowControl/>
              <w:spacing w:line="200" w:lineRule="exact"/>
              <w:jc w:val="center"/>
              <w:rPr>
                <w:color w:val="000000"/>
                <w:sz w:val="20"/>
                <w:szCs w:val="20"/>
              </w:rPr>
            </w:pP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restart"/>
            <w:vAlign w:val="center"/>
          </w:tcPr>
          <w:p>
            <w:pPr>
              <w:widowControl/>
              <w:spacing w:line="180" w:lineRule="exact"/>
              <w:jc w:val="center"/>
              <w:textAlignment w:val="center"/>
              <w:rPr>
                <w:color w:val="000000"/>
                <w:sz w:val="20"/>
                <w:szCs w:val="20"/>
              </w:rPr>
            </w:pPr>
            <w:r>
              <w:rPr>
                <w:color w:val="000000"/>
                <w:kern w:val="0"/>
                <w:sz w:val="20"/>
                <w:szCs w:val="20"/>
              </w:rPr>
              <w:t>总体目标完成情况</w:t>
            </w:r>
          </w:p>
        </w:tc>
        <w:tc>
          <w:tcPr>
            <w:tcW w:w="2430" w:type="pct"/>
            <w:gridSpan w:val="4"/>
            <w:vAlign w:val="center"/>
          </w:tcPr>
          <w:p>
            <w:pPr>
              <w:widowControl/>
              <w:spacing w:line="200" w:lineRule="exact"/>
              <w:jc w:val="center"/>
              <w:textAlignment w:val="center"/>
              <w:rPr>
                <w:color w:val="000000"/>
                <w:sz w:val="20"/>
                <w:szCs w:val="20"/>
              </w:rPr>
            </w:pPr>
            <w:r>
              <w:rPr>
                <w:color w:val="000000"/>
                <w:kern w:val="0"/>
                <w:sz w:val="20"/>
                <w:szCs w:val="20"/>
              </w:rPr>
              <w:t>总体目标</w:t>
            </w:r>
          </w:p>
        </w:tc>
        <w:tc>
          <w:tcPr>
            <w:tcW w:w="2140" w:type="pct"/>
            <w:gridSpan w:val="3"/>
            <w:vAlign w:val="center"/>
          </w:tcPr>
          <w:p>
            <w:pPr>
              <w:widowControl/>
              <w:spacing w:line="200" w:lineRule="exact"/>
              <w:jc w:val="center"/>
              <w:textAlignment w:val="center"/>
              <w:rPr>
                <w:color w:val="000000"/>
                <w:sz w:val="20"/>
                <w:szCs w:val="20"/>
              </w:rPr>
            </w:pPr>
            <w:r>
              <w:rPr>
                <w:color w:val="000000"/>
                <w:kern w:val="0"/>
                <w:sz w:val="20"/>
                <w:szCs w:val="20"/>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vAlign w:val="center"/>
          </w:tcPr>
          <w:p>
            <w:pPr>
              <w:widowControl/>
              <w:spacing w:line="200" w:lineRule="exact"/>
              <w:jc w:val="center"/>
              <w:rPr>
                <w:color w:val="000000"/>
                <w:sz w:val="20"/>
                <w:szCs w:val="20"/>
              </w:rPr>
            </w:pPr>
          </w:p>
        </w:tc>
        <w:tc>
          <w:tcPr>
            <w:tcW w:w="2430" w:type="pct"/>
            <w:gridSpan w:val="4"/>
            <w:vAlign w:val="center"/>
          </w:tcPr>
          <w:p>
            <w:pPr>
              <w:widowControl/>
              <w:spacing w:line="200" w:lineRule="exact"/>
              <w:rPr>
                <w:color w:val="000000"/>
                <w:sz w:val="20"/>
                <w:szCs w:val="20"/>
              </w:rPr>
            </w:pPr>
            <w:r>
              <w:rPr>
                <w:color w:val="000000"/>
                <w:sz w:val="20"/>
                <w:szCs w:val="20"/>
              </w:rPr>
              <w:t>长效治理野生动物危害家禽、农作物情况损失，切实保护受灾群众合法权益，化解社会矛盾，提高补偿效益。</w:t>
            </w:r>
          </w:p>
        </w:tc>
        <w:tc>
          <w:tcPr>
            <w:tcW w:w="2140" w:type="pct"/>
            <w:gridSpan w:val="3"/>
            <w:vAlign w:val="center"/>
          </w:tcPr>
          <w:p>
            <w:pPr>
              <w:widowControl/>
              <w:spacing w:line="200" w:lineRule="exact"/>
              <w:rPr>
                <w:color w:val="000000"/>
                <w:sz w:val="20"/>
                <w:szCs w:val="20"/>
              </w:rPr>
            </w:pPr>
            <w:r>
              <w:rPr>
                <w:color w:val="000000"/>
                <w:sz w:val="20"/>
                <w:szCs w:val="20"/>
              </w:rPr>
              <w:t>通过招投标确定由中国人民财产保险股份有限公司乐山市分公司承保，对因野生动物损害农作物、家禽等损失进行理赔，保护了受灾群众的合法权益。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restart"/>
            <w:textDirection w:val="tbRlV"/>
            <w:vAlign w:val="center"/>
          </w:tcPr>
          <w:p>
            <w:pPr>
              <w:widowControl/>
              <w:spacing w:line="200" w:lineRule="exact"/>
              <w:jc w:val="center"/>
              <w:textAlignment w:val="center"/>
              <w:rPr>
                <w:color w:val="000000"/>
                <w:sz w:val="20"/>
                <w:szCs w:val="20"/>
              </w:rPr>
            </w:pPr>
            <w:r>
              <w:rPr>
                <w:color w:val="000000"/>
                <w:kern w:val="0"/>
                <w:sz w:val="20"/>
                <w:szCs w:val="20"/>
              </w:rPr>
              <w:t>绩效指标</w:t>
            </w:r>
          </w:p>
        </w:tc>
        <w:tc>
          <w:tcPr>
            <w:tcW w:w="291" w:type="pct"/>
            <w:vAlign w:val="center"/>
          </w:tcPr>
          <w:p>
            <w:pPr>
              <w:widowControl/>
              <w:spacing w:line="180" w:lineRule="exact"/>
              <w:jc w:val="center"/>
              <w:textAlignment w:val="center"/>
              <w:rPr>
                <w:color w:val="000000"/>
                <w:kern w:val="0"/>
                <w:sz w:val="20"/>
                <w:szCs w:val="20"/>
              </w:rPr>
            </w:pPr>
            <w:r>
              <w:rPr>
                <w:color w:val="000000"/>
                <w:kern w:val="0"/>
                <w:sz w:val="20"/>
                <w:szCs w:val="20"/>
              </w:rPr>
              <w:t>一级</w:t>
            </w:r>
          </w:p>
          <w:p>
            <w:pPr>
              <w:widowControl/>
              <w:spacing w:line="180" w:lineRule="exact"/>
              <w:jc w:val="center"/>
              <w:textAlignment w:val="center"/>
              <w:rPr>
                <w:color w:val="000000"/>
                <w:sz w:val="20"/>
                <w:szCs w:val="20"/>
              </w:rPr>
            </w:pPr>
            <w:r>
              <w:rPr>
                <w:color w:val="000000"/>
                <w:kern w:val="0"/>
                <w:sz w:val="20"/>
                <w:szCs w:val="20"/>
              </w:rPr>
              <w:t>指标</w:t>
            </w:r>
          </w:p>
        </w:tc>
        <w:tc>
          <w:tcPr>
            <w:tcW w:w="603" w:type="pct"/>
            <w:vAlign w:val="center"/>
          </w:tcPr>
          <w:p>
            <w:pPr>
              <w:widowControl/>
              <w:spacing w:line="200" w:lineRule="exact"/>
              <w:jc w:val="center"/>
              <w:textAlignment w:val="center"/>
              <w:rPr>
                <w:color w:val="000000"/>
                <w:sz w:val="20"/>
                <w:szCs w:val="20"/>
              </w:rPr>
            </w:pPr>
            <w:r>
              <w:rPr>
                <w:color w:val="000000"/>
                <w:kern w:val="0"/>
                <w:sz w:val="20"/>
                <w:szCs w:val="20"/>
              </w:rPr>
              <w:t>二级指标</w:t>
            </w:r>
          </w:p>
        </w:tc>
        <w:tc>
          <w:tcPr>
            <w:tcW w:w="1536" w:type="pct"/>
            <w:gridSpan w:val="2"/>
            <w:vAlign w:val="center"/>
          </w:tcPr>
          <w:p>
            <w:pPr>
              <w:widowControl/>
              <w:spacing w:line="200" w:lineRule="exact"/>
              <w:jc w:val="center"/>
              <w:textAlignment w:val="center"/>
              <w:rPr>
                <w:color w:val="000000"/>
                <w:sz w:val="20"/>
                <w:szCs w:val="20"/>
              </w:rPr>
            </w:pPr>
            <w:r>
              <w:rPr>
                <w:color w:val="000000"/>
                <w:kern w:val="0"/>
                <w:sz w:val="20"/>
                <w:szCs w:val="20"/>
              </w:rPr>
              <w:t>三级指标</w:t>
            </w:r>
          </w:p>
        </w:tc>
        <w:tc>
          <w:tcPr>
            <w:tcW w:w="580" w:type="pct"/>
            <w:vAlign w:val="center"/>
          </w:tcPr>
          <w:p>
            <w:pPr>
              <w:widowControl/>
              <w:spacing w:line="200" w:lineRule="exact"/>
              <w:jc w:val="center"/>
              <w:textAlignment w:val="center"/>
              <w:rPr>
                <w:color w:val="000000"/>
                <w:sz w:val="20"/>
                <w:szCs w:val="20"/>
              </w:rPr>
            </w:pPr>
            <w:r>
              <w:rPr>
                <w:color w:val="000000"/>
                <w:kern w:val="0"/>
                <w:sz w:val="20"/>
                <w:szCs w:val="20"/>
              </w:rPr>
              <w:t>指标值</w:t>
            </w:r>
          </w:p>
        </w:tc>
        <w:tc>
          <w:tcPr>
            <w:tcW w:w="607" w:type="pct"/>
            <w:vAlign w:val="center"/>
          </w:tcPr>
          <w:p>
            <w:pPr>
              <w:widowControl/>
              <w:spacing w:line="200" w:lineRule="exact"/>
              <w:jc w:val="center"/>
              <w:textAlignment w:val="center"/>
              <w:rPr>
                <w:color w:val="000000"/>
                <w:sz w:val="20"/>
                <w:szCs w:val="20"/>
              </w:rPr>
            </w:pPr>
            <w:r>
              <w:rPr>
                <w:color w:val="000000"/>
                <w:kern w:val="0"/>
                <w:sz w:val="20"/>
                <w:szCs w:val="20"/>
              </w:rPr>
              <w:t>全年实际完成值</w:t>
            </w:r>
          </w:p>
        </w:tc>
        <w:tc>
          <w:tcPr>
            <w:tcW w:w="952" w:type="pct"/>
            <w:vAlign w:val="center"/>
          </w:tcPr>
          <w:p>
            <w:pPr>
              <w:widowControl/>
              <w:spacing w:line="200" w:lineRule="exact"/>
              <w:jc w:val="center"/>
              <w:textAlignment w:val="center"/>
              <w:rPr>
                <w:color w:val="000000"/>
                <w:sz w:val="20"/>
                <w:szCs w:val="20"/>
              </w:rPr>
            </w:pPr>
            <w:r>
              <w:rPr>
                <w:color w:val="000000"/>
                <w:kern w:val="0"/>
                <w:sz w:val="20"/>
                <w:szCs w:val="20"/>
              </w:rPr>
              <w:t>未完成原因和改进措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产</w:t>
            </w:r>
          </w:p>
          <w:p>
            <w:pPr>
              <w:widowControl/>
              <w:spacing w:line="200" w:lineRule="exact"/>
              <w:jc w:val="center"/>
              <w:textAlignment w:val="center"/>
              <w:rPr>
                <w:color w:val="000000"/>
                <w:kern w:val="0"/>
                <w:sz w:val="20"/>
                <w:szCs w:val="20"/>
              </w:rPr>
            </w:pPr>
            <w:r>
              <w:rPr>
                <w:color w:val="000000"/>
                <w:kern w:val="0"/>
                <w:sz w:val="20"/>
                <w:szCs w:val="20"/>
              </w:rPr>
              <w:t>出</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03" w:type="pct"/>
            <w:vAlign w:val="center"/>
          </w:tcPr>
          <w:p>
            <w:pPr>
              <w:widowControl/>
              <w:spacing w:line="200" w:lineRule="exact"/>
              <w:jc w:val="center"/>
              <w:textAlignment w:val="center"/>
              <w:rPr>
                <w:color w:val="000000"/>
                <w:sz w:val="20"/>
                <w:szCs w:val="20"/>
              </w:rPr>
            </w:pPr>
            <w:r>
              <w:rPr>
                <w:color w:val="000000"/>
                <w:kern w:val="0"/>
                <w:sz w:val="20"/>
                <w:szCs w:val="20"/>
              </w:rPr>
              <w:t>数量指标</w:t>
            </w:r>
          </w:p>
        </w:tc>
        <w:tc>
          <w:tcPr>
            <w:tcW w:w="1536" w:type="pct"/>
            <w:gridSpan w:val="2"/>
            <w:vAlign w:val="center"/>
          </w:tcPr>
          <w:p>
            <w:pPr>
              <w:widowControl/>
              <w:spacing w:line="200" w:lineRule="exact"/>
              <w:jc w:val="center"/>
              <w:rPr>
                <w:color w:val="000000"/>
                <w:sz w:val="20"/>
                <w:szCs w:val="20"/>
              </w:rPr>
            </w:pPr>
            <w:r>
              <w:rPr>
                <w:color w:val="000000"/>
                <w:sz w:val="20"/>
                <w:szCs w:val="20"/>
              </w:rPr>
              <w:t>野生动物致害保险承保公司</w:t>
            </w:r>
          </w:p>
        </w:tc>
        <w:tc>
          <w:tcPr>
            <w:tcW w:w="580" w:type="pct"/>
            <w:vAlign w:val="center"/>
          </w:tcPr>
          <w:p>
            <w:pPr>
              <w:widowControl/>
              <w:spacing w:line="200" w:lineRule="exact"/>
              <w:jc w:val="center"/>
              <w:rPr>
                <w:color w:val="000000"/>
                <w:sz w:val="20"/>
                <w:szCs w:val="20"/>
              </w:rPr>
            </w:pPr>
            <w:r>
              <w:rPr>
                <w:color w:val="000000"/>
                <w:sz w:val="20"/>
                <w:szCs w:val="20"/>
              </w:rPr>
              <w:t>=1家</w:t>
            </w:r>
          </w:p>
        </w:tc>
        <w:tc>
          <w:tcPr>
            <w:tcW w:w="607" w:type="pct"/>
            <w:vAlign w:val="center"/>
          </w:tcPr>
          <w:p>
            <w:pPr>
              <w:widowControl/>
              <w:spacing w:line="200" w:lineRule="exact"/>
              <w:jc w:val="center"/>
              <w:rPr>
                <w:color w:val="000000"/>
                <w:sz w:val="20"/>
                <w:szCs w:val="20"/>
              </w:rPr>
            </w:pPr>
            <w:r>
              <w:rPr>
                <w:color w:val="000000"/>
                <w:sz w:val="20"/>
                <w:szCs w:val="20"/>
              </w:rPr>
              <w:t>1家</w:t>
            </w: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03" w:type="pct"/>
            <w:vAlign w:val="center"/>
          </w:tcPr>
          <w:p>
            <w:pPr>
              <w:widowControl/>
              <w:spacing w:line="200" w:lineRule="exact"/>
              <w:jc w:val="center"/>
              <w:textAlignment w:val="center"/>
              <w:rPr>
                <w:color w:val="000000"/>
                <w:sz w:val="20"/>
                <w:szCs w:val="20"/>
              </w:rPr>
            </w:pPr>
            <w:r>
              <w:rPr>
                <w:color w:val="000000"/>
                <w:kern w:val="0"/>
                <w:sz w:val="20"/>
                <w:szCs w:val="20"/>
              </w:rPr>
              <w:t>质量指标</w:t>
            </w:r>
          </w:p>
        </w:tc>
        <w:tc>
          <w:tcPr>
            <w:tcW w:w="1536" w:type="pct"/>
            <w:gridSpan w:val="2"/>
            <w:vAlign w:val="center"/>
          </w:tcPr>
          <w:p>
            <w:pPr>
              <w:widowControl/>
              <w:spacing w:line="200" w:lineRule="exact"/>
              <w:jc w:val="center"/>
              <w:rPr>
                <w:color w:val="000000"/>
                <w:sz w:val="20"/>
                <w:szCs w:val="20"/>
              </w:rPr>
            </w:pPr>
            <w:r>
              <w:rPr>
                <w:color w:val="000000"/>
                <w:sz w:val="20"/>
                <w:szCs w:val="20"/>
              </w:rPr>
              <w:t>损失补偿覆盖率</w:t>
            </w:r>
          </w:p>
        </w:tc>
        <w:tc>
          <w:tcPr>
            <w:tcW w:w="580" w:type="pct"/>
            <w:vAlign w:val="center"/>
          </w:tcPr>
          <w:p>
            <w:pPr>
              <w:widowControl/>
              <w:spacing w:line="200" w:lineRule="exact"/>
              <w:jc w:val="center"/>
              <w:rPr>
                <w:color w:val="000000"/>
                <w:sz w:val="20"/>
                <w:szCs w:val="20"/>
              </w:rPr>
            </w:pPr>
            <w:r>
              <w:rPr>
                <w:color w:val="000000"/>
                <w:sz w:val="20"/>
                <w:szCs w:val="20"/>
              </w:rPr>
              <w:t>＝100%</w:t>
            </w:r>
          </w:p>
        </w:tc>
        <w:tc>
          <w:tcPr>
            <w:tcW w:w="607" w:type="pct"/>
            <w:vAlign w:val="center"/>
          </w:tcPr>
          <w:p>
            <w:pPr>
              <w:widowControl/>
              <w:spacing w:line="200" w:lineRule="exact"/>
              <w:jc w:val="center"/>
              <w:rPr>
                <w:color w:val="000000"/>
                <w:sz w:val="20"/>
                <w:szCs w:val="20"/>
              </w:rPr>
            </w:pPr>
            <w:r>
              <w:rPr>
                <w:color w:val="000000"/>
                <w:sz w:val="20"/>
                <w:szCs w:val="20"/>
              </w:rPr>
              <w:t>＝100%</w:t>
            </w: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03" w:type="pct"/>
            <w:vAlign w:val="center"/>
          </w:tcPr>
          <w:p>
            <w:pPr>
              <w:widowControl/>
              <w:spacing w:line="200" w:lineRule="exact"/>
              <w:jc w:val="center"/>
              <w:textAlignment w:val="center"/>
              <w:rPr>
                <w:color w:val="000000"/>
                <w:sz w:val="20"/>
                <w:szCs w:val="20"/>
              </w:rPr>
            </w:pPr>
            <w:r>
              <w:rPr>
                <w:color w:val="000000"/>
                <w:kern w:val="0"/>
                <w:sz w:val="20"/>
                <w:szCs w:val="20"/>
              </w:rPr>
              <w:t>时效指标</w:t>
            </w:r>
          </w:p>
        </w:tc>
        <w:tc>
          <w:tcPr>
            <w:tcW w:w="1536" w:type="pct"/>
            <w:gridSpan w:val="2"/>
            <w:vAlign w:val="center"/>
          </w:tcPr>
          <w:p>
            <w:pPr>
              <w:widowControl/>
              <w:spacing w:line="200" w:lineRule="exact"/>
              <w:jc w:val="center"/>
              <w:rPr>
                <w:color w:val="000000"/>
                <w:sz w:val="20"/>
                <w:szCs w:val="20"/>
              </w:rPr>
            </w:pPr>
            <w:r>
              <w:rPr>
                <w:color w:val="000000"/>
                <w:sz w:val="20"/>
                <w:szCs w:val="20"/>
              </w:rPr>
              <w:t>理赔时间</w:t>
            </w:r>
          </w:p>
        </w:tc>
        <w:tc>
          <w:tcPr>
            <w:tcW w:w="580" w:type="pct"/>
            <w:vAlign w:val="center"/>
          </w:tcPr>
          <w:p>
            <w:pPr>
              <w:widowControl/>
              <w:spacing w:line="200" w:lineRule="exact"/>
              <w:jc w:val="center"/>
              <w:rPr>
                <w:color w:val="000000"/>
                <w:sz w:val="20"/>
                <w:szCs w:val="20"/>
              </w:rPr>
            </w:pPr>
            <w:r>
              <w:rPr>
                <w:color w:val="000000"/>
                <w:sz w:val="20"/>
                <w:szCs w:val="20"/>
              </w:rPr>
              <w:t>≤30天</w:t>
            </w:r>
          </w:p>
        </w:tc>
        <w:tc>
          <w:tcPr>
            <w:tcW w:w="607" w:type="pct"/>
            <w:vAlign w:val="center"/>
          </w:tcPr>
          <w:p>
            <w:pPr>
              <w:widowControl/>
              <w:spacing w:line="200" w:lineRule="exact"/>
              <w:jc w:val="center"/>
              <w:rPr>
                <w:color w:val="000000"/>
                <w:sz w:val="20"/>
                <w:szCs w:val="20"/>
              </w:rPr>
            </w:pPr>
            <w:r>
              <w:rPr>
                <w:color w:val="000000"/>
                <w:sz w:val="20"/>
                <w:szCs w:val="20"/>
              </w:rPr>
              <w:t>≤30天</w:t>
            </w: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03" w:type="pct"/>
            <w:vAlign w:val="center"/>
          </w:tcPr>
          <w:p>
            <w:pPr>
              <w:widowControl/>
              <w:spacing w:line="200" w:lineRule="exact"/>
              <w:jc w:val="center"/>
              <w:textAlignment w:val="center"/>
              <w:rPr>
                <w:color w:val="000000"/>
                <w:sz w:val="20"/>
                <w:szCs w:val="20"/>
              </w:rPr>
            </w:pPr>
            <w:r>
              <w:rPr>
                <w:color w:val="000000"/>
                <w:kern w:val="0"/>
                <w:sz w:val="20"/>
                <w:szCs w:val="20"/>
              </w:rPr>
              <w:t>成本指标</w:t>
            </w:r>
          </w:p>
        </w:tc>
        <w:tc>
          <w:tcPr>
            <w:tcW w:w="1536" w:type="pct"/>
            <w:gridSpan w:val="2"/>
            <w:vAlign w:val="center"/>
          </w:tcPr>
          <w:p>
            <w:pPr>
              <w:widowControl/>
              <w:spacing w:line="200" w:lineRule="exact"/>
              <w:jc w:val="center"/>
              <w:rPr>
                <w:color w:val="000000"/>
                <w:sz w:val="20"/>
                <w:szCs w:val="20"/>
              </w:rPr>
            </w:pPr>
            <w:r>
              <w:rPr>
                <w:color w:val="000000"/>
                <w:sz w:val="20"/>
                <w:szCs w:val="20"/>
              </w:rPr>
              <w:t>保险保费</w:t>
            </w:r>
          </w:p>
        </w:tc>
        <w:tc>
          <w:tcPr>
            <w:tcW w:w="580" w:type="pct"/>
            <w:vAlign w:val="center"/>
          </w:tcPr>
          <w:p>
            <w:pPr>
              <w:widowControl/>
              <w:spacing w:line="200" w:lineRule="exact"/>
              <w:jc w:val="center"/>
              <w:rPr>
                <w:color w:val="000000"/>
                <w:sz w:val="20"/>
                <w:szCs w:val="20"/>
              </w:rPr>
            </w:pPr>
            <w:r>
              <w:rPr>
                <w:color w:val="000000"/>
                <w:sz w:val="20"/>
                <w:szCs w:val="20"/>
              </w:rPr>
              <w:t>=20万元</w:t>
            </w:r>
          </w:p>
        </w:tc>
        <w:tc>
          <w:tcPr>
            <w:tcW w:w="607" w:type="pct"/>
            <w:vAlign w:val="center"/>
          </w:tcPr>
          <w:p>
            <w:pPr>
              <w:widowControl/>
              <w:spacing w:line="200" w:lineRule="exact"/>
              <w:jc w:val="center"/>
              <w:rPr>
                <w:color w:val="000000"/>
                <w:sz w:val="20"/>
                <w:szCs w:val="20"/>
              </w:rPr>
            </w:pPr>
            <w:r>
              <w:rPr>
                <w:color w:val="000000"/>
                <w:sz w:val="20"/>
                <w:szCs w:val="20"/>
              </w:rPr>
              <w:t>=20万元</w:t>
            </w: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429"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效</w:t>
            </w:r>
          </w:p>
          <w:p>
            <w:pPr>
              <w:widowControl/>
              <w:spacing w:line="200" w:lineRule="exact"/>
              <w:jc w:val="center"/>
              <w:textAlignment w:val="center"/>
              <w:rPr>
                <w:color w:val="000000"/>
                <w:kern w:val="0"/>
                <w:sz w:val="20"/>
                <w:szCs w:val="20"/>
              </w:rPr>
            </w:pPr>
            <w:r>
              <w:rPr>
                <w:color w:val="000000"/>
                <w:kern w:val="0"/>
                <w:sz w:val="20"/>
                <w:szCs w:val="20"/>
              </w:rPr>
              <w:t>益</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03" w:type="pct"/>
            <w:vAlign w:val="center"/>
          </w:tcPr>
          <w:p>
            <w:pPr>
              <w:widowControl/>
              <w:spacing w:line="200" w:lineRule="exact"/>
              <w:jc w:val="center"/>
              <w:textAlignment w:val="center"/>
              <w:rPr>
                <w:color w:val="000000"/>
                <w:kern w:val="0"/>
                <w:sz w:val="20"/>
                <w:szCs w:val="20"/>
              </w:rPr>
            </w:pPr>
            <w:r>
              <w:rPr>
                <w:color w:val="000000"/>
                <w:kern w:val="0"/>
                <w:sz w:val="20"/>
                <w:szCs w:val="20"/>
              </w:rPr>
              <w:t>经济效益</w:t>
            </w:r>
          </w:p>
          <w:p>
            <w:pPr>
              <w:widowControl/>
              <w:spacing w:line="200" w:lineRule="exact"/>
              <w:jc w:val="center"/>
              <w:textAlignment w:val="center"/>
              <w:rPr>
                <w:color w:val="000000"/>
                <w:sz w:val="20"/>
                <w:szCs w:val="20"/>
              </w:rPr>
            </w:pPr>
            <w:r>
              <w:rPr>
                <w:color w:val="000000"/>
                <w:kern w:val="0"/>
                <w:sz w:val="20"/>
                <w:szCs w:val="20"/>
              </w:rPr>
              <w:t>指标</w:t>
            </w:r>
          </w:p>
        </w:tc>
        <w:tc>
          <w:tcPr>
            <w:tcW w:w="1536" w:type="pct"/>
            <w:gridSpan w:val="2"/>
            <w:vAlign w:val="center"/>
          </w:tcPr>
          <w:p>
            <w:pPr>
              <w:widowControl/>
              <w:spacing w:line="200" w:lineRule="exact"/>
              <w:rPr>
                <w:color w:val="000000"/>
                <w:sz w:val="20"/>
                <w:szCs w:val="20"/>
              </w:rPr>
            </w:pPr>
            <w:r>
              <w:rPr>
                <w:color w:val="000000"/>
                <w:sz w:val="20"/>
                <w:szCs w:val="20"/>
              </w:rPr>
              <w:t>保障家禽、农作物的正常生长</w:t>
            </w:r>
          </w:p>
        </w:tc>
        <w:tc>
          <w:tcPr>
            <w:tcW w:w="580" w:type="pct"/>
            <w:vAlign w:val="center"/>
          </w:tcPr>
          <w:p>
            <w:pPr>
              <w:widowControl/>
              <w:spacing w:line="200" w:lineRule="exact"/>
              <w:jc w:val="center"/>
              <w:rPr>
                <w:color w:val="000000"/>
                <w:sz w:val="20"/>
                <w:szCs w:val="20"/>
              </w:rPr>
            </w:pPr>
            <w:r>
              <w:rPr>
                <w:color w:val="000000"/>
                <w:sz w:val="20"/>
                <w:szCs w:val="20"/>
              </w:rPr>
              <w:t>优</w:t>
            </w:r>
          </w:p>
        </w:tc>
        <w:tc>
          <w:tcPr>
            <w:tcW w:w="607" w:type="pct"/>
            <w:vAlign w:val="center"/>
          </w:tcPr>
          <w:p>
            <w:pPr>
              <w:widowControl/>
              <w:spacing w:line="200" w:lineRule="exact"/>
              <w:jc w:val="center"/>
              <w:rPr>
                <w:color w:val="000000"/>
                <w:sz w:val="20"/>
                <w:szCs w:val="20"/>
              </w:rPr>
            </w:pPr>
            <w:r>
              <w:rPr>
                <w:color w:val="000000"/>
                <w:sz w:val="20"/>
                <w:szCs w:val="20"/>
              </w:rPr>
              <w:t>优</w:t>
            </w: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03" w:type="pct"/>
            <w:vAlign w:val="center"/>
          </w:tcPr>
          <w:p>
            <w:pPr>
              <w:widowControl/>
              <w:spacing w:line="200" w:lineRule="exact"/>
              <w:jc w:val="center"/>
              <w:textAlignment w:val="center"/>
              <w:rPr>
                <w:color w:val="000000"/>
                <w:kern w:val="0"/>
                <w:sz w:val="20"/>
                <w:szCs w:val="20"/>
              </w:rPr>
            </w:pPr>
            <w:r>
              <w:rPr>
                <w:color w:val="000000"/>
                <w:kern w:val="0"/>
                <w:sz w:val="20"/>
                <w:szCs w:val="20"/>
              </w:rPr>
              <w:t>社会效益</w:t>
            </w:r>
          </w:p>
          <w:p>
            <w:pPr>
              <w:widowControl/>
              <w:spacing w:line="200" w:lineRule="exact"/>
              <w:jc w:val="center"/>
              <w:textAlignment w:val="center"/>
              <w:rPr>
                <w:color w:val="000000"/>
                <w:sz w:val="20"/>
                <w:szCs w:val="20"/>
              </w:rPr>
            </w:pPr>
            <w:r>
              <w:rPr>
                <w:color w:val="000000"/>
                <w:kern w:val="0"/>
                <w:sz w:val="20"/>
                <w:szCs w:val="20"/>
              </w:rPr>
              <w:t>指标</w:t>
            </w:r>
          </w:p>
        </w:tc>
        <w:tc>
          <w:tcPr>
            <w:tcW w:w="1536" w:type="pct"/>
            <w:gridSpan w:val="2"/>
            <w:vAlign w:val="center"/>
          </w:tcPr>
          <w:p>
            <w:pPr>
              <w:widowControl/>
              <w:spacing w:line="200" w:lineRule="exact"/>
              <w:jc w:val="center"/>
              <w:rPr>
                <w:color w:val="000000"/>
                <w:sz w:val="20"/>
                <w:szCs w:val="20"/>
              </w:rPr>
            </w:pPr>
            <w:r>
              <w:rPr>
                <w:color w:val="000000"/>
                <w:sz w:val="20"/>
                <w:szCs w:val="20"/>
              </w:rPr>
              <w:t>保障群众人身、财产安全</w:t>
            </w:r>
          </w:p>
        </w:tc>
        <w:tc>
          <w:tcPr>
            <w:tcW w:w="580" w:type="pct"/>
            <w:vAlign w:val="center"/>
          </w:tcPr>
          <w:p>
            <w:pPr>
              <w:widowControl/>
              <w:spacing w:line="200" w:lineRule="exact"/>
              <w:jc w:val="center"/>
              <w:rPr>
                <w:color w:val="000000"/>
                <w:sz w:val="20"/>
                <w:szCs w:val="20"/>
              </w:rPr>
            </w:pPr>
            <w:r>
              <w:rPr>
                <w:color w:val="000000"/>
                <w:sz w:val="20"/>
                <w:szCs w:val="20"/>
              </w:rPr>
              <w:t>优</w:t>
            </w:r>
          </w:p>
        </w:tc>
        <w:tc>
          <w:tcPr>
            <w:tcW w:w="607" w:type="pct"/>
            <w:vAlign w:val="center"/>
          </w:tcPr>
          <w:p>
            <w:pPr>
              <w:widowControl/>
              <w:spacing w:line="200" w:lineRule="exact"/>
              <w:jc w:val="center"/>
              <w:rPr>
                <w:color w:val="000000"/>
                <w:sz w:val="20"/>
                <w:szCs w:val="20"/>
              </w:rPr>
            </w:pPr>
            <w:r>
              <w:rPr>
                <w:color w:val="000000"/>
                <w:sz w:val="20"/>
                <w:szCs w:val="20"/>
              </w:rPr>
              <w:t>优</w:t>
            </w: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color w:val="000000"/>
                <w:sz w:val="20"/>
                <w:szCs w:val="20"/>
              </w:rPr>
            </w:pPr>
          </w:p>
        </w:tc>
        <w:tc>
          <w:tcPr>
            <w:tcW w:w="291" w:type="pct"/>
            <w:vAlign w:val="center"/>
          </w:tcPr>
          <w:p>
            <w:pPr>
              <w:widowControl/>
              <w:spacing w:line="180" w:lineRule="exact"/>
              <w:jc w:val="center"/>
              <w:textAlignment w:val="center"/>
              <w:rPr>
                <w:color w:val="000000"/>
                <w:sz w:val="20"/>
                <w:szCs w:val="20"/>
              </w:rPr>
            </w:pPr>
            <w:r>
              <w:rPr>
                <w:color w:val="000000"/>
                <w:kern w:val="0"/>
                <w:sz w:val="20"/>
                <w:szCs w:val="20"/>
              </w:rPr>
              <w:t>满意度指标</w:t>
            </w:r>
          </w:p>
        </w:tc>
        <w:tc>
          <w:tcPr>
            <w:tcW w:w="603" w:type="pct"/>
            <w:vAlign w:val="center"/>
          </w:tcPr>
          <w:p>
            <w:pPr>
              <w:widowControl/>
              <w:spacing w:line="200" w:lineRule="exact"/>
              <w:jc w:val="center"/>
              <w:textAlignment w:val="center"/>
              <w:rPr>
                <w:color w:val="000000"/>
                <w:kern w:val="0"/>
                <w:sz w:val="20"/>
                <w:szCs w:val="20"/>
              </w:rPr>
            </w:pPr>
            <w:r>
              <w:rPr>
                <w:color w:val="000000"/>
                <w:kern w:val="0"/>
                <w:sz w:val="20"/>
                <w:szCs w:val="20"/>
              </w:rPr>
              <w:t>服务对象</w:t>
            </w:r>
          </w:p>
          <w:p>
            <w:pPr>
              <w:widowControl/>
              <w:spacing w:line="200" w:lineRule="exact"/>
              <w:jc w:val="center"/>
              <w:textAlignment w:val="center"/>
              <w:rPr>
                <w:color w:val="000000"/>
                <w:sz w:val="20"/>
                <w:szCs w:val="20"/>
              </w:rPr>
            </w:pPr>
            <w:r>
              <w:rPr>
                <w:color w:val="000000"/>
                <w:kern w:val="0"/>
                <w:sz w:val="20"/>
                <w:szCs w:val="20"/>
              </w:rPr>
              <w:t>满意度指标</w:t>
            </w:r>
          </w:p>
        </w:tc>
        <w:tc>
          <w:tcPr>
            <w:tcW w:w="1536" w:type="pct"/>
            <w:gridSpan w:val="2"/>
            <w:vAlign w:val="center"/>
          </w:tcPr>
          <w:p>
            <w:pPr>
              <w:widowControl/>
              <w:spacing w:line="200" w:lineRule="exact"/>
              <w:jc w:val="center"/>
              <w:rPr>
                <w:color w:val="000000"/>
                <w:sz w:val="20"/>
                <w:szCs w:val="20"/>
              </w:rPr>
            </w:pPr>
            <w:r>
              <w:rPr>
                <w:color w:val="000000"/>
                <w:sz w:val="20"/>
                <w:szCs w:val="20"/>
              </w:rPr>
              <w:t>林农满意度</w:t>
            </w:r>
          </w:p>
        </w:tc>
        <w:tc>
          <w:tcPr>
            <w:tcW w:w="580" w:type="pct"/>
            <w:vAlign w:val="center"/>
          </w:tcPr>
          <w:p>
            <w:pPr>
              <w:widowControl/>
              <w:spacing w:line="200" w:lineRule="exact"/>
              <w:jc w:val="center"/>
              <w:rPr>
                <w:color w:val="000000"/>
                <w:sz w:val="20"/>
                <w:szCs w:val="20"/>
              </w:rPr>
            </w:pPr>
            <w:r>
              <w:rPr>
                <w:color w:val="000000"/>
                <w:sz w:val="20"/>
                <w:szCs w:val="20"/>
              </w:rPr>
              <w:t>≥95%</w:t>
            </w:r>
          </w:p>
        </w:tc>
        <w:tc>
          <w:tcPr>
            <w:tcW w:w="607" w:type="pct"/>
            <w:vAlign w:val="center"/>
          </w:tcPr>
          <w:p>
            <w:pPr>
              <w:widowControl/>
              <w:spacing w:line="200" w:lineRule="exact"/>
              <w:jc w:val="center"/>
              <w:rPr>
                <w:color w:val="000000"/>
                <w:sz w:val="20"/>
                <w:szCs w:val="20"/>
              </w:rPr>
            </w:pPr>
            <w:r>
              <w:rPr>
                <w:color w:val="000000"/>
                <w:sz w:val="20"/>
                <w:szCs w:val="20"/>
              </w:rPr>
              <w:t>＝96%</w:t>
            </w: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Align w:val="center"/>
          </w:tcPr>
          <w:p>
            <w:pPr>
              <w:widowControl/>
              <w:spacing w:line="200" w:lineRule="exact"/>
              <w:jc w:val="center"/>
              <w:textAlignment w:val="center"/>
              <w:rPr>
                <w:color w:val="000000"/>
                <w:sz w:val="20"/>
                <w:szCs w:val="20"/>
              </w:rPr>
            </w:pPr>
            <w:r>
              <w:rPr>
                <w:color w:val="000000"/>
                <w:kern w:val="0"/>
                <w:sz w:val="20"/>
                <w:szCs w:val="20"/>
              </w:rPr>
              <w:t>说明</w:t>
            </w:r>
          </w:p>
        </w:tc>
        <w:tc>
          <w:tcPr>
            <w:tcW w:w="4570" w:type="pct"/>
            <w:gridSpan w:val="7"/>
            <w:vAlign w:val="center"/>
          </w:tcPr>
          <w:p>
            <w:pPr>
              <w:widowControl/>
              <w:spacing w:line="200" w:lineRule="exact"/>
              <w:jc w:val="center"/>
              <w:textAlignment w:val="center"/>
              <w:rPr>
                <w:color w:val="000000"/>
                <w:sz w:val="20"/>
                <w:szCs w:val="20"/>
              </w:rPr>
            </w:pPr>
            <w:r>
              <w:rPr>
                <w:color w:val="000000"/>
                <w:kern w:val="0"/>
                <w:sz w:val="20"/>
                <w:szCs w:val="20"/>
              </w:rPr>
              <w:t>请在此处简要说明各级巡视（巡察）、各级审计和财政监督中发现的问题及其所涉及的金额，如没有请填无。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注：1.其他资金包括与中央、省级财政补助资金、市（县）级财政资金共同投入到同一项目的自有资金、社会资金，以及以前年度的结转结余资金等。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2.定量指标，主管部门对资金使用单位填写的实际完成值汇总时，绝对值直接累加计算，相对值按照资金额度加权平均计算。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3.定性指标。资金使用单位分别按照100%-80%（含）、80%-60%（含）、60-0%合理填写实际完成值，在汇总时，按照资金额度加权平均计算。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4.全年执行数是指按照国库集中支付制度要求，支付到商品和劳务供应者或者用款单位形成的实际支出。</w:t>
            </w:r>
          </w:p>
        </w:tc>
      </w:tr>
    </w:tbl>
    <w:p>
      <w:pPr>
        <w:widowControl/>
        <w:jc w:val="left"/>
        <w:rPr>
          <w:sz w:val="21"/>
          <w:szCs w:val="21"/>
        </w:rPr>
      </w:pPr>
      <w:r>
        <w:rPr>
          <w:sz w:val="21"/>
          <w:szCs w:val="21"/>
        </w:rPr>
        <w:br w:type="page"/>
      </w:r>
    </w:p>
    <w:p>
      <w:pPr>
        <w:sectPr>
          <w:footerReference r:id="rId3" w:type="default"/>
          <w:pgSz w:w="11906" w:h="16838"/>
          <w:pgMar w:top="1440" w:right="1800" w:bottom="1440" w:left="1800" w:header="851" w:footer="992" w:gutter="0"/>
          <w:pgNumType w:fmt="numberInDash"/>
          <w:cols w:space="425" w:num="1"/>
          <w:docGrid w:type="lines" w:linePitch="312" w:charSpace="0"/>
        </w:sectPr>
      </w:pPr>
    </w:p>
    <w:p>
      <w:pPr>
        <w:pStyle w:val="3"/>
        <w:spacing w:before="0" w:after="0" w:line="360" w:lineRule="auto"/>
        <w:rPr>
          <w:rFonts w:eastAsia="黑体"/>
          <w:sz w:val="32"/>
        </w:rPr>
      </w:pPr>
      <w:r>
        <w:rPr>
          <w:rFonts w:eastAsia="黑体"/>
          <w:sz w:val="32"/>
        </w:rPr>
        <w:t>附件2</w:t>
      </w:r>
    </w:p>
    <w:p>
      <w:pPr>
        <w:jc w:val="center"/>
        <w:rPr>
          <w:rFonts w:eastAsia="方正公文楷体"/>
          <w:color w:val="000000"/>
          <w:kern w:val="0"/>
          <w:sz w:val="24"/>
          <w:szCs w:val="24"/>
        </w:rPr>
      </w:pPr>
      <w:r>
        <w:rPr>
          <w:rFonts w:eastAsia="方正公文楷体"/>
          <w:color w:val="000000"/>
          <w:kern w:val="0"/>
          <w:sz w:val="24"/>
          <w:szCs w:val="24"/>
        </w:rPr>
        <w:t>2022年度野生动物致害政府救助责任保险经费项目支出绩效评价</w:t>
      </w:r>
      <w:r>
        <w:rPr>
          <w:rFonts w:hint="eastAsia" w:eastAsia="方正公文楷体"/>
          <w:color w:val="000000"/>
          <w:kern w:val="0"/>
          <w:sz w:val="24"/>
          <w:szCs w:val="24"/>
        </w:rPr>
        <w:t>自评得分表</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4"/>
        <w:gridCol w:w="397"/>
        <w:gridCol w:w="1109"/>
        <w:gridCol w:w="1112"/>
        <w:gridCol w:w="1209"/>
        <w:gridCol w:w="1277"/>
        <w:gridCol w:w="1130"/>
        <w:gridCol w:w="1184"/>
        <w:gridCol w:w="190"/>
        <w:gridCol w:w="206"/>
        <w:gridCol w:w="437"/>
        <w:gridCol w:w="490"/>
        <w:gridCol w:w="303"/>
        <w:gridCol w:w="187"/>
        <w:gridCol w:w="1234"/>
        <w:gridCol w:w="4069"/>
        <w:gridCol w:w="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分值权重</w:t>
            </w:r>
          </w:p>
        </w:tc>
        <w:tc>
          <w:tcPr>
            <w:tcW w:w="1225" w:type="pct"/>
            <w:gridSpan w:val="4"/>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分层分类指标</w:t>
            </w:r>
          </w:p>
        </w:tc>
        <w:tc>
          <w:tcPr>
            <w:tcW w:w="409"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指标解释</w:t>
            </w:r>
          </w:p>
        </w:tc>
        <w:tc>
          <w:tcPr>
            <w:tcW w:w="1715" w:type="pct"/>
            <w:gridSpan w:val="9"/>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评分方法</w:t>
            </w:r>
          </w:p>
        </w:tc>
        <w:tc>
          <w:tcPr>
            <w:tcW w:w="1303"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评价要点及说明</w:t>
            </w:r>
          </w:p>
        </w:tc>
        <w:tc>
          <w:tcPr>
            <w:tcW w:w="177"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continue"/>
            <w:vAlign w:val="center"/>
          </w:tcPr>
          <w:p>
            <w:pPr>
              <w:spacing w:line="400" w:lineRule="exact"/>
              <w:jc w:val="center"/>
              <w:rPr>
                <w:rFonts w:ascii="仿宋_GB2312" w:hAnsi="Arial Unicode MS" w:cs="Arial Unicode MS"/>
                <w:b/>
                <w:bCs/>
                <w:kern w:val="0"/>
                <w:sz w:val="18"/>
                <w:szCs w:val="18"/>
              </w:rPr>
            </w:pPr>
          </w:p>
        </w:tc>
        <w:tc>
          <w:tcPr>
            <w:tcW w:w="127" w:type="pct"/>
            <w:vMerge w:val="restart"/>
            <w:vAlign w:val="center"/>
          </w:tcPr>
          <w:p>
            <w:pPr>
              <w:spacing w:line="28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分层指标</w:t>
            </w:r>
          </w:p>
        </w:tc>
        <w:tc>
          <w:tcPr>
            <w:tcW w:w="355"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适用范围</w:t>
            </w:r>
          </w:p>
        </w:tc>
        <w:tc>
          <w:tcPr>
            <w:tcW w:w="356"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一级指标</w:t>
            </w:r>
          </w:p>
        </w:tc>
        <w:tc>
          <w:tcPr>
            <w:tcW w:w="387"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二级指标</w:t>
            </w:r>
          </w:p>
        </w:tc>
        <w:tc>
          <w:tcPr>
            <w:tcW w:w="409" w:type="pct"/>
            <w:vMerge w:val="continue"/>
            <w:vAlign w:val="center"/>
          </w:tcPr>
          <w:p>
            <w:pPr>
              <w:spacing w:line="400" w:lineRule="exact"/>
              <w:jc w:val="center"/>
              <w:rPr>
                <w:rFonts w:ascii="仿宋_GB2312" w:hAnsi="Arial Unicode MS" w:cs="Arial Unicode MS"/>
                <w:b/>
                <w:bCs/>
                <w:kern w:val="0"/>
                <w:sz w:val="18"/>
                <w:szCs w:val="18"/>
              </w:rPr>
            </w:pPr>
          </w:p>
        </w:tc>
        <w:tc>
          <w:tcPr>
            <w:tcW w:w="362"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方法归类</w:t>
            </w:r>
          </w:p>
        </w:tc>
        <w:tc>
          <w:tcPr>
            <w:tcW w:w="1354" w:type="pct"/>
            <w:gridSpan w:val="8"/>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计算公式</w:t>
            </w:r>
          </w:p>
        </w:tc>
        <w:tc>
          <w:tcPr>
            <w:tcW w:w="1303" w:type="pct"/>
            <w:vMerge w:val="continue"/>
            <w:vAlign w:val="center"/>
          </w:tcPr>
          <w:p>
            <w:pPr>
              <w:spacing w:line="400" w:lineRule="exact"/>
              <w:rPr>
                <w:rFonts w:ascii="仿宋_GB2312" w:hAnsi="Arial Unicode MS" w:cs="Arial Unicode MS"/>
                <w:b/>
                <w:bCs/>
                <w:kern w:val="0"/>
                <w:sz w:val="18"/>
                <w:szCs w:val="18"/>
              </w:rPr>
            </w:pPr>
          </w:p>
        </w:tc>
        <w:tc>
          <w:tcPr>
            <w:tcW w:w="177" w:type="pct"/>
            <w:vMerge w:val="continue"/>
            <w:vAlign w:val="center"/>
          </w:tcPr>
          <w:p>
            <w:pPr>
              <w:spacing w:line="400" w:lineRule="exact"/>
              <w:jc w:val="center"/>
              <w:rPr>
                <w:rFonts w:ascii="仿宋_GB2312" w:hAnsi="Arial Unicode MS" w:cs="Arial Unicode MS"/>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continue"/>
            <w:vAlign w:val="center"/>
          </w:tcPr>
          <w:p>
            <w:pPr>
              <w:spacing w:line="400" w:lineRule="exact"/>
              <w:jc w:val="center"/>
              <w:rPr>
                <w:rFonts w:ascii="仿宋_GB2312" w:hAnsi="Arial Unicode MS" w:cs="Arial Unicode MS"/>
                <w:kern w:val="0"/>
                <w:sz w:val="18"/>
                <w:szCs w:val="18"/>
              </w:rPr>
            </w:pPr>
          </w:p>
        </w:tc>
        <w:tc>
          <w:tcPr>
            <w:tcW w:w="127" w:type="pct"/>
            <w:vMerge w:val="continue"/>
            <w:vAlign w:val="center"/>
          </w:tcPr>
          <w:p>
            <w:pPr>
              <w:spacing w:line="400" w:lineRule="exact"/>
              <w:jc w:val="center"/>
              <w:rPr>
                <w:rFonts w:ascii="仿宋_GB2312" w:hAnsi="Arial Unicode MS" w:cs="Arial Unicode MS"/>
                <w:kern w:val="0"/>
                <w:sz w:val="18"/>
                <w:szCs w:val="18"/>
              </w:rPr>
            </w:pPr>
          </w:p>
        </w:tc>
        <w:tc>
          <w:tcPr>
            <w:tcW w:w="355" w:type="pct"/>
            <w:vMerge w:val="continue"/>
            <w:vAlign w:val="center"/>
          </w:tcPr>
          <w:p>
            <w:pPr>
              <w:spacing w:line="400" w:lineRule="exact"/>
              <w:jc w:val="center"/>
              <w:rPr>
                <w:rFonts w:ascii="仿宋_GB2312" w:hAnsi="Arial Unicode MS" w:cs="Arial Unicode MS"/>
                <w:kern w:val="0"/>
                <w:sz w:val="18"/>
                <w:szCs w:val="18"/>
              </w:rPr>
            </w:pPr>
          </w:p>
        </w:tc>
        <w:tc>
          <w:tcPr>
            <w:tcW w:w="356" w:type="pct"/>
            <w:vMerge w:val="continue"/>
            <w:vAlign w:val="center"/>
          </w:tcPr>
          <w:p>
            <w:pPr>
              <w:spacing w:line="400" w:lineRule="exact"/>
              <w:jc w:val="center"/>
              <w:rPr>
                <w:rFonts w:ascii="仿宋_GB2312" w:hAnsi="Arial Unicode MS" w:cs="Arial Unicode MS"/>
                <w:kern w:val="0"/>
                <w:sz w:val="18"/>
                <w:szCs w:val="18"/>
              </w:rPr>
            </w:pPr>
          </w:p>
        </w:tc>
        <w:tc>
          <w:tcPr>
            <w:tcW w:w="387" w:type="pct"/>
            <w:vMerge w:val="continue"/>
            <w:vAlign w:val="center"/>
          </w:tcPr>
          <w:p>
            <w:pPr>
              <w:spacing w:line="400" w:lineRule="exact"/>
              <w:jc w:val="center"/>
              <w:rPr>
                <w:rFonts w:ascii="仿宋_GB2312" w:hAnsi="Arial Unicode MS" w:cs="Arial Unicode MS"/>
                <w:kern w:val="0"/>
                <w:sz w:val="18"/>
                <w:szCs w:val="18"/>
              </w:rPr>
            </w:pPr>
          </w:p>
        </w:tc>
        <w:tc>
          <w:tcPr>
            <w:tcW w:w="409" w:type="pct"/>
            <w:vMerge w:val="continue"/>
            <w:vAlign w:val="center"/>
          </w:tcPr>
          <w:p>
            <w:pPr>
              <w:spacing w:line="400" w:lineRule="exact"/>
              <w:jc w:val="center"/>
              <w:rPr>
                <w:rFonts w:ascii="仿宋_GB2312" w:hAnsi="Arial Unicode MS" w:cs="Arial Unicode MS"/>
                <w:kern w:val="0"/>
                <w:sz w:val="18"/>
                <w:szCs w:val="18"/>
              </w:rPr>
            </w:pPr>
          </w:p>
        </w:tc>
        <w:tc>
          <w:tcPr>
            <w:tcW w:w="362" w:type="pct"/>
            <w:vMerge w:val="continue"/>
            <w:vAlign w:val="center"/>
          </w:tcPr>
          <w:p>
            <w:pPr>
              <w:spacing w:line="400" w:lineRule="exact"/>
              <w:jc w:val="center"/>
              <w:rPr>
                <w:rFonts w:ascii="仿宋_GB2312" w:hAnsi="Arial Unicode MS" w:cs="Arial Unicode MS"/>
                <w:kern w:val="0"/>
                <w:sz w:val="18"/>
                <w:szCs w:val="18"/>
              </w:rPr>
            </w:pPr>
          </w:p>
        </w:tc>
        <w:tc>
          <w:tcPr>
            <w:tcW w:w="379"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w:t>
            </w:r>
          </w:p>
        </w:tc>
        <w:tc>
          <w:tcPr>
            <w:tcW w:w="267" w:type="pct"/>
            <w:gridSpan w:val="3"/>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0.3</w:t>
            </w:r>
          </w:p>
        </w:tc>
        <w:tc>
          <w:tcPr>
            <w:tcW w:w="15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0.6</w:t>
            </w:r>
          </w:p>
        </w:tc>
        <w:tc>
          <w:tcPr>
            <w:tcW w:w="157" w:type="pct"/>
            <w:gridSpan w:val="2"/>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0.8</w:t>
            </w:r>
          </w:p>
        </w:tc>
        <w:tc>
          <w:tcPr>
            <w:tcW w:w="395"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1</w:t>
            </w:r>
          </w:p>
        </w:tc>
        <w:tc>
          <w:tcPr>
            <w:tcW w:w="1303" w:type="pct"/>
            <w:vMerge w:val="continue"/>
            <w:vAlign w:val="center"/>
          </w:tcPr>
          <w:p>
            <w:pPr>
              <w:spacing w:line="400" w:lineRule="exact"/>
              <w:rPr>
                <w:rFonts w:ascii="仿宋_GB2312" w:hAnsi="Arial Unicode MS" w:cs="Arial Unicode MS"/>
                <w:kern w:val="0"/>
                <w:sz w:val="18"/>
                <w:szCs w:val="18"/>
              </w:rPr>
            </w:pPr>
          </w:p>
        </w:tc>
        <w:tc>
          <w:tcPr>
            <w:tcW w:w="177" w:type="pct"/>
            <w:vMerge w:val="continue"/>
            <w:vAlign w:val="center"/>
          </w:tcPr>
          <w:p>
            <w:pPr>
              <w:spacing w:line="400" w:lineRule="exact"/>
              <w:jc w:val="center"/>
              <w:rPr>
                <w:rFonts w:ascii="仿宋_GB2312" w:hAnsi="Arial Unicode MS" w:cs="Arial Unicode M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通用指标</w:t>
            </w:r>
          </w:p>
        </w:tc>
        <w:tc>
          <w:tcPr>
            <w:tcW w:w="35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所有项目</w:t>
            </w:r>
          </w:p>
        </w:tc>
        <w:tc>
          <w:tcPr>
            <w:tcW w:w="356"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项目决策</w:t>
            </w:r>
          </w:p>
        </w:tc>
        <w:tc>
          <w:tcPr>
            <w:tcW w:w="3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程序严密</w:t>
            </w:r>
          </w:p>
        </w:tc>
        <w:tc>
          <w:tcPr>
            <w:tcW w:w="40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项目设立是否经过严格评估论证，管理制度是否健全完善</w:t>
            </w:r>
          </w:p>
        </w:tc>
        <w:tc>
          <w:tcPr>
            <w:tcW w:w="3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不完善</w:t>
            </w:r>
          </w:p>
        </w:tc>
        <w:tc>
          <w:tcPr>
            <w:tcW w:w="267" w:type="pct"/>
            <w:gridSpan w:val="3"/>
            <w:vAlign w:val="center"/>
          </w:tcPr>
          <w:p>
            <w:pPr>
              <w:spacing w:line="300" w:lineRule="exact"/>
              <w:jc w:val="center"/>
              <w:rPr>
                <w:rFonts w:ascii="仿宋_GB2312" w:hAnsi="Arial Unicode MS" w:cs="Arial Unicode MS"/>
                <w:kern w:val="0"/>
                <w:sz w:val="18"/>
                <w:szCs w:val="18"/>
              </w:rPr>
            </w:pPr>
          </w:p>
        </w:tc>
        <w:tc>
          <w:tcPr>
            <w:tcW w:w="15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较完善</w:t>
            </w:r>
          </w:p>
        </w:tc>
        <w:tc>
          <w:tcPr>
            <w:tcW w:w="157" w:type="pct"/>
            <w:gridSpan w:val="2"/>
            <w:vAlign w:val="center"/>
          </w:tcPr>
          <w:p>
            <w:pPr>
              <w:spacing w:line="300" w:lineRule="exact"/>
              <w:jc w:val="center"/>
              <w:rPr>
                <w:rFonts w:ascii="仿宋_GB2312" w:hAnsi="Arial Unicode MS" w:cs="Arial Unicode MS"/>
                <w:kern w:val="0"/>
                <w:sz w:val="18"/>
                <w:szCs w:val="18"/>
              </w:rPr>
            </w:pPr>
          </w:p>
        </w:tc>
        <w:tc>
          <w:tcPr>
            <w:tcW w:w="39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完善</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主要查看新增项目是否经过事前评估或可行性论证，延续性项目资金管理办法是否健全完善</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5"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规划合理</w:t>
            </w:r>
          </w:p>
        </w:tc>
        <w:tc>
          <w:tcPr>
            <w:tcW w:w="40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项目规划是否符合县委、县政府重大决策部署，是否与项目年度目标一致</w:t>
            </w:r>
          </w:p>
        </w:tc>
        <w:tc>
          <w:tcPr>
            <w:tcW w:w="3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不合理</w:t>
            </w:r>
          </w:p>
        </w:tc>
        <w:tc>
          <w:tcPr>
            <w:tcW w:w="267" w:type="pct"/>
            <w:gridSpan w:val="3"/>
            <w:vAlign w:val="center"/>
          </w:tcPr>
          <w:p>
            <w:pPr>
              <w:spacing w:line="300" w:lineRule="exact"/>
              <w:jc w:val="center"/>
              <w:rPr>
                <w:rFonts w:ascii="仿宋_GB2312" w:hAnsi="Arial Unicode MS" w:cs="Arial Unicode MS"/>
                <w:kern w:val="0"/>
                <w:sz w:val="18"/>
                <w:szCs w:val="18"/>
              </w:rPr>
            </w:pPr>
          </w:p>
        </w:tc>
        <w:tc>
          <w:tcPr>
            <w:tcW w:w="15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较合理</w:t>
            </w:r>
          </w:p>
        </w:tc>
        <w:tc>
          <w:tcPr>
            <w:tcW w:w="157" w:type="pct"/>
            <w:gridSpan w:val="2"/>
            <w:vAlign w:val="center"/>
          </w:tcPr>
          <w:p>
            <w:pPr>
              <w:spacing w:line="300" w:lineRule="exact"/>
              <w:jc w:val="center"/>
              <w:rPr>
                <w:rFonts w:ascii="仿宋_GB2312" w:hAnsi="Arial Unicode MS" w:cs="Arial Unicode MS"/>
                <w:kern w:val="0"/>
                <w:sz w:val="18"/>
                <w:szCs w:val="18"/>
              </w:rPr>
            </w:pPr>
          </w:p>
        </w:tc>
        <w:tc>
          <w:tcPr>
            <w:tcW w:w="39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合理</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设立依据是否充分，符合县委、县政府重大决策部署和宏观政策规划，项目年度绩效目标与中长期规划是否一致。样本评价中，规划是否与现实需求匹配，是否存在因规划不够合理导致项目效益欠佳的情况</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5"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w:t>
            </w:r>
          </w:p>
        </w:tc>
        <w:tc>
          <w:tcPr>
            <w:tcW w:w="3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分配合理</w:t>
            </w:r>
          </w:p>
        </w:tc>
        <w:tc>
          <w:tcPr>
            <w:tcW w:w="40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项目资金分配结果是否与规划计划一致；是否按规定及时分配专项预算资金</w:t>
            </w:r>
          </w:p>
        </w:tc>
        <w:tc>
          <w:tcPr>
            <w:tcW w:w="3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是否评分法</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否</w:t>
            </w:r>
          </w:p>
        </w:tc>
        <w:tc>
          <w:tcPr>
            <w:tcW w:w="267" w:type="pct"/>
            <w:gridSpan w:val="3"/>
            <w:vAlign w:val="center"/>
          </w:tcPr>
          <w:p>
            <w:pPr>
              <w:spacing w:line="300" w:lineRule="exact"/>
              <w:jc w:val="center"/>
              <w:rPr>
                <w:rFonts w:ascii="仿宋_GB2312" w:hAnsi="Arial Unicode MS" w:cs="Arial Unicode MS"/>
                <w:kern w:val="0"/>
                <w:sz w:val="18"/>
                <w:szCs w:val="18"/>
              </w:rPr>
            </w:pPr>
          </w:p>
        </w:tc>
        <w:tc>
          <w:tcPr>
            <w:tcW w:w="157" w:type="pct"/>
            <w:vAlign w:val="center"/>
          </w:tcPr>
          <w:p>
            <w:pPr>
              <w:spacing w:line="300" w:lineRule="exact"/>
              <w:jc w:val="center"/>
              <w:rPr>
                <w:rFonts w:ascii="仿宋_GB2312" w:hAnsi="Arial Unicode MS" w:cs="Arial Unicode MS"/>
                <w:kern w:val="0"/>
                <w:sz w:val="18"/>
                <w:szCs w:val="18"/>
              </w:rPr>
            </w:pPr>
          </w:p>
        </w:tc>
        <w:tc>
          <w:tcPr>
            <w:tcW w:w="157" w:type="pct"/>
            <w:gridSpan w:val="2"/>
            <w:vAlign w:val="center"/>
          </w:tcPr>
          <w:p>
            <w:pPr>
              <w:spacing w:line="300" w:lineRule="exact"/>
              <w:jc w:val="center"/>
              <w:rPr>
                <w:rFonts w:ascii="仿宋_GB2312" w:hAnsi="Arial Unicode MS" w:cs="Arial Unicode MS"/>
                <w:kern w:val="0"/>
                <w:sz w:val="18"/>
                <w:szCs w:val="18"/>
              </w:rPr>
            </w:pPr>
          </w:p>
        </w:tc>
        <w:tc>
          <w:tcPr>
            <w:tcW w:w="39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项目法分配的项目，以所有项目点实施完成情况与规划计划情况进行对比。按因素法分配的项目和据实据效分配的项目，将资金分配方向与规划计划支持方向进行对比；分配依据充分的得分，明显不充分扣分。两种情况分值权重各占一半</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5"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使用合规</w:t>
            </w:r>
          </w:p>
        </w:tc>
        <w:tc>
          <w:tcPr>
            <w:tcW w:w="40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项目资金使用是否符合相关的财务管理制度规定</w:t>
            </w:r>
          </w:p>
        </w:tc>
        <w:tc>
          <w:tcPr>
            <w:tcW w:w="3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1354"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5"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执行有效</w:t>
            </w:r>
          </w:p>
        </w:tc>
        <w:tc>
          <w:tcPr>
            <w:tcW w:w="40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项目实施是否符合相关管理制度规定</w:t>
            </w:r>
          </w:p>
        </w:tc>
        <w:tc>
          <w:tcPr>
            <w:tcW w:w="3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1354"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项目实施是否遵守相关法律法规；项目调整手续是否完备；项目合同、验收报告、技术鉴定等资料是否齐全并及时归档；项目实施的人员条件、场地设备、信息支撑等是否落实到位</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5"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完成结果</w:t>
            </w:r>
          </w:p>
        </w:tc>
        <w:tc>
          <w:tcPr>
            <w:tcW w:w="3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预算完成</w:t>
            </w:r>
          </w:p>
        </w:tc>
        <w:tc>
          <w:tcPr>
            <w:tcW w:w="40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项目资金拨付到具体支持对象企业、项目（人）的情况</w:t>
            </w:r>
          </w:p>
        </w:tc>
        <w:tc>
          <w:tcPr>
            <w:tcW w:w="3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54"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指标得分=项目资金到人到户额度/项目资金额度×100%*指标分值</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主要查看项目资金拨付到人到户、到项目、到企业与资金总量的对比</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5"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目标完成</w:t>
            </w:r>
          </w:p>
        </w:tc>
        <w:tc>
          <w:tcPr>
            <w:tcW w:w="40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项目实施后是否完成预期目标</w:t>
            </w:r>
          </w:p>
        </w:tc>
        <w:tc>
          <w:tcPr>
            <w:tcW w:w="3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54"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指标得分=实际完成任务量/绩效目标设定任务量×100%*指标分值</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主要查看项目实施后产出数量指标完成情况</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5"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违规记录</w:t>
            </w:r>
          </w:p>
        </w:tc>
        <w:tc>
          <w:tcPr>
            <w:tcW w:w="40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项目管理是否合规</w:t>
            </w:r>
          </w:p>
        </w:tc>
        <w:tc>
          <w:tcPr>
            <w:tcW w:w="3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不合规</w:t>
            </w:r>
          </w:p>
        </w:tc>
        <w:tc>
          <w:tcPr>
            <w:tcW w:w="267" w:type="pct"/>
            <w:gridSpan w:val="3"/>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3处及以上不合规</w:t>
            </w:r>
          </w:p>
        </w:tc>
        <w:tc>
          <w:tcPr>
            <w:tcW w:w="157"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2处不合规</w:t>
            </w:r>
          </w:p>
        </w:tc>
        <w:tc>
          <w:tcPr>
            <w:tcW w:w="157" w:type="pct"/>
            <w:gridSpan w:val="2"/>
            <w:vAlign w:val="center"/>
          </w:tcPr>
          <w:p>
            <w:pPr>
              <w:spacing w:line="220" w:lineRule="exact"/>
              <w:jc w:val="center"/>
              <w:rPr>
                <w:rFonts w:ascii="仿宋_GB2312" w:hAnsi="Arial Unicode MS" w:cs="Arial Unicode MS"/>
                <w:kern w:val="0"/>
                <w:sz w:val="18"/>
                <w:szCs w:val="18"/>
              </w:rPr>
            </w:pPr>
            <w:r>
              <w:rPr>
                <w:rFonts w:ascii="仿宋_GB2312" w:hAnsi="Arial Unicode MS" w:cs="Arial Unicode MS"/>
                <w:kern w:val="0"/>
                <w:sz w:val="18"/>
                <w:szCs w:val="18"/>
              </w:rPr>
              <w:t>1处不合规</w:t>
            </w:r>
          </w:p>
        </w:tc>
        <w:tc>
          <w:tcPr>
            <w:tcW w:w="39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合规</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根据巡视巡察、审计监督、财政检查结果反映专项管理是否合规</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c>
          <w:tcPr>
            <w:tcW w:w="127"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共性指标</w:t>
            </w:r>
          </w:p>
        </w:tc>
        <w:tc>
          <w:tcPr>
            <w:tcW w:w="35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民生保障项目</w:t>
            </w:r>
          </w:p>
        </w:tc>
        <w:tc>
          <w:tcPr>
            <w:tcW w:w="356"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项目效果</w:t>
            </w:r>
          </w:p>
        </w:tc>
        <w:tc>
          <w:tcPr>
            <w:tcW w:w="3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区域均衡性</w:t>
            </w:r>
          </w:p>
        </w:tc>
        <w:tc>
          <w:tcPr>
            <w:tcW w:w="40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项目资金分配体现的均衡公平情况</w:t>
            </w:r>
          </w:p>
        </w:tc>
        <w:tc>
          <w:tcPr>
            <w:tcW w:w="3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不均衡</w:t>
            </w:r>
          </w:p>
        </w:tc>
        <w:tc>
          <w:tcPr>
            <w:tcW w:w="423" w:type="pct"/>
            <w:gridSpan w:val="4"/>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较均衡</w:t>
            </w:r>
          </w:p>
        </w:tc>
        <w:tc>
          <w:tcPr>
            <w:tcW w:w="551" w:type="pct"/>
            <w:gridSpan w:val="3"/>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均衡</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按实际分配结果选择客观因素测算验证资金分配方法制定、分配要素设定、基础数据应用、测算依据选取等是否科学合理。</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5"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对象公平性</w:t>
            </w:r>
          </w:p>
        </w:tc>
        <w:tc>
          <w:tcPr>
            <w:tcW w:w="40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项目资金分配结果是否公平合理，是否充分考虑地域条件、经济条件等</w:t>
            </w:r>
          </w:p>
        </w:tc>
        <w:tc>
          <w:tcPr>
            <w:tcW w:w="3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不公平</w:t>
            </w:r>
          </w:p>
        </w:tc>
        <w:tc>
          <w:tcPr>
            <w:tcW w:w="127"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较差</w:t>
            </w:r>
          </w:p>
        </w:tc>
        <w:tc>
          <w:tcPr>
            <w:tcW w:w="296"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一般</w:t>
            </w:r>
          </w:p>
        </w:tc>
        <w:tc>
          <w:tcPr>
            <w:tcW w:w="157"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较好</w:t>
            </w:r>
          </w:p>
        </w:tc>
        <w:tc>
          <w:tcPr>
            <w:tcW w:w="39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公平</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主要查看项目资金分配和实施结果是否体现公平公正性，是否存在明显的排他性和歧视性规定，是否做到大多数和少数的协调统一，统筹兼顾</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5"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社会满意度</w:t>
            </w:r>
          </w:p>
        </w:tc>
        <w:tc>
          <w:tcPr>
            <w:tcW w:w="40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相关群体满意度调查情况</w:t>
            </w:r>
          </w:p>
        </w:tc>
        <w:tc>
          <w:tcPr>
            <w:tcW w:w="3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54"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按根据实际满意度与满意度标准值的比率计算指标得分</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主要调研政策和项目相关方在政策实施过程中的满意值，通过不满意情况汇总分析政策在顶层设计、制度构建、管理实施及成效各环节的情况</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50%</w:t>
            </w:r>
          </w:p>
        </w:tc>
        <w:tc>
          <w:tcPr>
            <w:tcW w:w="127"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特性指标</w:t>
            </w:r>
          </w:p>
        </w:tc>
        <w:tc>
          <w:tcPr>
            <w:tcW w:w="35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社会保障与就业</w:t>
            </w:r>
          </w:p>
        </w:tc>
        <w:tc>
          <w:tcPr>
            <w:tcW w:w="356"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基础管理</w:t>
            </w:r>
          </w:p>
        </w:tc>
        <w:tc>
          <w:tcPr>
            <w:tcW w:w="3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审核把关</w:t>
            </w:r>
          </w:p>
        </w:tc>
        <w:tc>
          <w:tcPr>
            <w:tcW w:w="40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项目申报是否真实准确</w:t>
            </w:r>
          </w:p>
        </w:tc>
        <w:tc>
          <w:tcPr>
            <w:tcW w:w="3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54"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指标得分=基础数据真实客观的人数/项目受益总人数×100%*指标分值，基础数据真实客观的人数/项目受益总人数小于70%不得分</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主要查看项目受益人群的精准性和客观性，是否存在因制度机制缺陷或管理疏漏导致审核把关不严的情况</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5"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87" w:type="pct"/>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对象覆盖全面</w:t>
            </w:r>
          </w:p>
        </w:tc>
        <w:tc>
          <w:tcPr>
            <w:tcW w:w="409" w:type="pct"/>
            <w:vAlign w:val="center"/>
          </w:tcPr>
          <w:p>
            <w:pPr>
              <w:spacing w:line="276" w:lineRule="auto"/>
              <w:rPr>
                <w:rFonts w:ascii="仿宋_GB2312" w:hAnsi="Arial Unicode MS" w:cs="Arial Unicode MS"/>
                <w:sz w:val="15"/>
                <w:szCs w:val="15"/>
              </w:rPr>
            </w:pPr>
            <w:r>
              <w:rPr>
                <w:rFonts w:ascii="仿宋_GB2312" w:hAnsi="Arial Unicode MS" w:cs="Arial Unicode MS"/>
                <w:sz w:val="15"/>
                <w:szCs w:val="15"/>
              </w:rPr>
              <w:t>项目区域范围内实施对象覆盖情况</w:t>
            </w:r>
          </w:p>
        </w:tc>
        <w:tc>
          <w:tcPr>
            <w:tcW w:w="362" w:type="pct"/>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分级评分法</w:t>
            </w:r>
          </w:p>
        </w:tc>
        <w:tc>
          <w:tcPr>
            <w:tcW w:w="440" w:type="pct"/>
            <w:gridSpan w:val="2"/>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明显疏漏</w:t>
            </w:r>
          </w:p>
        </w:tc>
        <w:tc>
          <w:tcPr>
            <w:tcW w:w="460" w:type="pct"/>
            <w:gridSpan w:val="4"/>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基本覆盖</w:t>
            </w:r>
          </w:p>
        </w:tc>
        <w:tc>
          <w:tcPr>
            <w:tcW w:w="453" w:type="pct"/>
            <w:gridSpan w:val="2"/>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全覆盖</w:t>
            </w:r>
          </w:p>
        </w:tc>
        <w:tc>
          <w:tcPr>
            <w:tcW w:w="1303" w:type="pct"/>
            <w:vAlign w:val="center"/>
          </w:tcPr>
          <w:p>
            <w:pPr>
              <w:spacing w:line="276" w:lineRule="auto"/>
              <w:rPr>
                <w:rFonts w:ascii="仿宋_GB2312" w:hAnsi="Arial Unicode MS" w:cs="Arial Unicode MS"/>
                <w:sz w:val="15"/>
                <w:szCs w:val="15"/>
              </w:rPr>
            </w:pPr>
            <w:r>
              <w:rPr>
                <w:rFonts w:ascii="仿宋_GB2312" w:hAnsi="Arial Unicode MS" w:cs="Arial Unicode MS"/>
                <w:sz w:val="15"/>
                <w:szCs w:val="15"/>
              </w:rPr>
              <w:t>主要查看项目实施对相关群体覆盖的情况，是否充分考虑到主要群体和特殊个体的统一，做到全面覆盖。</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5"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社会效益</w:t>
            </w:r>
          </w:p>
        </w:tc>
        <w:tc>
          <w:tcPr>
            <w:tcW w:w="3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资金使用率</w:t>
            </w:r>
          </w:p>
        </w:tc>
        <w:tc>
          <w:tcPr>
            <w:tcW w:w="40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项目资金支付使用情况</w:t>
            </w:r>
          </w:p>
        </w:tc>
        <w:tc>
          <w:tcPr>
            <w:tcW w:w="3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54"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指标得分=资金实际使用金额/资金实际拨付金额×100%*指标分值</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主要查看财政资金实际支付使用，是否存在因制度机制、操作流程、管理疏漏、数据缺失等导致的资金结余，闲置浪费的情况</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5"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rPr>
                <w:rFonts w:ascii="仿宋_GB2312" w:hAnsi="Arial Unicode MS" w:cs="Arial Unicode MS"/>
                <w:kern w:val="0"/>
                <w:sz w:val="18"/>
                <w:szCs w:val="18"/>
              </w:rPr>
            </w:pPr>
          </w:p>
        </w:tc>
        <w:tc>
          <w:tcPr>
            <w:tcW w:w="3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保险受益度</w:t>
            </w:r>
          </w:p>
        </w:tc>
        <w:tc>
          <w:tcPr>
            <w:tcW w:w="409" w:type="pct"/>
            <w:vAlign w:val="center"/>
          </w:tcPr>
          <w:p>
            <w:pPr>
              <w:spacing w:line="276" w:lineRule="auto"/>
              <w:rPr>
                <w:rFonts w:ascii="仿宋_GB2312" w:hAnsi="Arial Unicode MS" w:cs="Arial Unicode MS"/>
                <w:kern w:val="0"/>
                <w:sz w:val="18"/>
                <w:szCs w:val="18"/>
              </w:rPr>
            </w:pPr>
            <w:r>
              <w:rPr>
                <w:rFonts w:ascii="仿宋_GB2312" w:hAnsi="Arial Unicode MS" w:cs="Arial Unicode MS"/>
                <w:sz w:val="15"/>
                <w:szCs w:val="15"/>
              </w:rPr>
              <w:t>反映受益群体对保险受益的程度</w:t>
            </w:r>
          </w:p>
        </w:tc>
        <w:tc>
          <w:tcPr>
            <w:tcW w:w="362" w:type="pct"/>
            <w:vAlign w:val="center"/>
          </w:tcPr>
          <w:p>
            <w:pPr>
              <w:spacing w:line="276" w:lineRule="auto"/>
              <w:jc w:val="center"/>
              <w:rPr>
                <w:rFonts w:ascii="仿宋_GB2312" w:hAnsi="Arial Unicode MS" w:cs="Arial Unicode MS"/>
                <w:kern w:val="0"/>
                <w:sz w:val="18"/>
                <w:szCs w:val="18"/>
              </w:rPr>
            </w:pPr>
            <w:r>
              <w:rPr>
                <w:rFonts w:ascii="仿宋_GB2312" w:hAnsi="Arial Unicode MS" w:cs="Arial Unicode MS"/>
                <w:sz w:val="15"/>
                <w:szCs w:val="15"/>
              </w:rPr>
              <w:t>比率分值法</w:t>
            </w:r>
          </w:p>
        </w:tc>
        <w:tc>
          <w:tcPr>
            <w:tcW w:w="1354" w:type="pct"/>
            <w:gridSpan w:val="8"/>
            <w:vAlign w:val="center"/>
          </w:tcPr>
          <w:p>
            <w:pPr>
              <w:spacing w:line="276" w:lineRule="auto"/>
              <w:jc w:val="center"/>
              <w:rPr>
                <w:rFonts w:ascii="仿宋_GB2312" w:hAnsi="Arial Unicode MS" w:cs="Arial Unicode MS"/>
                <w:kern w:val="0"/>
                <w:sz w:val="18"/>
                <w:szCs w:val="18"/>
              </w:rPr>
            </w:pPr>
            <w:r>
              <w:rPr>
                <w:rFonts w:ascii="仿宋_GB2312" w:hAnsi="Arial Unicode MS" w:cs="Arial Unicode MS"/>
                <w:sz w:val="15"/>
                <w:szCs w:val="15"/>
              </w:rPr>
              <w:t>已获得实际理赔总额/已获得理赔人员的保费总额</w:t>
            </w:r>
          </w:p>
        </w:tc>
        <w:tc>
          <w:tcPr>
            <w:tcW w:w="1303" w:type="pct"/>
            <w:vAlign w:val="center"/>
          </w:tcPr>
          <w:p>
            <w:pPr>
              <w:spacing w:line="276" w:lineRule="auto"/>
              <w:rPr>
                <w:rFonts w:ascii="仿宋_GB2312" w:hAnsi="Arial Unicode MS" w:cs="Arial Unicode MS"/>
                <w:kern w:val="0"/>
                <w:sz w:val="18"/>
                <w:szCs w:val="18"/>
              </w:rPr>
            </w:pPr>
            <w:r>
              <w:rPr>
                <w:rFonts w:ascii="仿宋_GB2312" w:hAnsi="Arial Unicode MS" w:cs="Arial Unicode MS"/>
                <w:sz w:val="15"/>
                <w:szCs w:val="15"/>
              </w:rPr>
              <w:t>考察本项目实施对相关群体的受益情况。已获得实际理赔总额/已获得理赔人员的保费总额&gt;1时按1计算。</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5" w:type="pct"/>
            <w:vMerge w:val="continue"/>
            <w:vAlign w:val="center"/>
          </w:tcPr>
          <w:p>
            <w:pPr>
              <w:spacing w:line="300" w:lineRule="exact"/>
              <w:jc w:val="center"/>
              <w:rPr>
                <w:rFonts w:ascii="仿宋_GB2312" w:hAnsi="Arial Unicode MS" w:cs="Arial Unicode MS"/>
                <w:kern w:val="0"/>
                <w:sz w:val="18"/>
                <w:szCs w:val="18"/>
              </w:rPr>
            </w:pPr>
          </w:p>
        </w:tc>
        <w:tc>
          <w:tcPr>
            <w:tcW w:w="35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完成质量</w:t>
            </w:r>
          </w:p>
        </w:tc>
        <w:tc>
          <w:tcPr>
            <w:tcW w:w="3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理赔速度</w:t>
            </w:r>
          </w:p>
        </w:tc>
        <w:tc>
          <w:tcPr>
            <w:tcW w:w="409" w:type="pct"/>
            <w:vAlign w:val="center"/>
          </w:tcPr>
          <w:p>
            <w:pPr>
              <w:spacing w:line="276" w:lineRule="auto"/>
              <w:rPr>
                <w:rFonts w:ascii="仿宋_GB2312" w:hAnsi="Arial Unicode MS" w:cs="Arial Unicode MS"/>
                <w:sz w:val="15"/>
                <w:szCs w:val="15"/>
              </w:rPr>
            </w:pPr>
            <w:r>
              <w:rPr>
                <w:rFonts w:ascii="仿宋_GB2312" w:hAnsi="Arial Unicode MS" w:cs="Arial Unicode MS"/>
                <w:sz w:val="15"/>
                <w:szCs w:val="15"/>
              </w:rPr>
              <w:t>考核承保公司理赔速度、质量等</w:t>
            </w:r>
          </w:p>
        </w:tc>
        <w:tc>
          <w:tcPr>
            <w:tcW w:w="362" w:type="pct"/>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缺（错）项扣分法</w:t>
            </w:r>
          </w:p>
        </w:tc>
        <w:tc>
          <w:tcPr>
            <w:tcW w:w="1354" w:type="pct"/>
            <w:gridSpan w:val="8"/>
            <w:vAlign w:val="center"/>
          </w:tcPr>
          <w:p>
            <w:pPr>
              <w:spacing w:line="276" w:lineRule="auto"/>
              <w:jc w:val="center"/>
              <w:rPr>
                <w:rFonts w:ascii="仿宋_GB2312" w:hAnsi="Arial Unicode MS" w:cs="Arial Unicode MS"/>
                <w:sz w:val="15"/>
                <w:szCs w:val="15"/>
              </w:rPr>
            </w:pPr>
            <w:r>
              <w:rPr>
                <w:rFonts w:ascii="仿宋_GB2312" w:hAnsi="Arial Unicode MS" w:cs="Arial Unicode MS"/>
                <w:kern w:val="0"/>
                <w:sz w:val="18"/>
                <w:szCs w:val="18"/>
              </w:rPr>
              <w:t>发现一处扣0.5分，直至扣完</w:t>
            </w:r>
          </w:p>
        </w:tc>
        <w:tc>
          <w:tcPr>
            <w:tcW w:w="1303" w:type="pct"/>
            <w:vAlign w:val="center"/>
          </w:tcPr>
          <w:p>
            <w:pPr>
              <w:spacing w:line="276" w:lineRule="auto"/>
              <w:rPr>
                <w:rFonts w:ascii="仿宋_GB2312" w:hAnsi="Arial Unicode MS" w:cs="Arial Unicode MS"/>
                <w:sz w:val="15"/>
                <w:szCs w:val="15"/>
              </w:rPr>
            </w:pPr>
            <w:r>
              <w:rPr>
                <w:rFonts w:ascii="仿宋_GB2312" w:hAnsi="Arial Unicode MS" w:cs="Arial Unicode MS"/>
                <w:sz w:val="15"/>
                <w:szCs w:val="15"/>
              </w:rPr>
              <w:t>发现承保公司理赔速度不及时或理赔事实不符合等情况，发现一处扣0.5分。</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823" w:type="pct"/>
            <w:gridSpan w:val="16"/>
            <w:vAlign w:val="center"/>
          </w:tcPr>
          <w:p>
            <w:pPr>
              <w:spacing w:line="276" w:lineRule="auto"/>
              <w:jc w:val="center"/>
              <w:rPr>
                <w:rFonts w:ascii="仿宋_GB2312" w:hAnsi="Arial Unicode MS" w:cs="Arial Unicode MS"/>
                <w:sz w:val="15"/>
                <w:szCs w:val="15"/>
              </w:rPr>
            </w:pPr>
            <w:r>
              <w:rPr>
                <w:rFonts w:hint="eastAsia" w:ascii="仿宋_GB2312" w:hAnsi="Arial Unicode MS" w:cs="Arial Unicode MS"/>
                <w:sz w:val="15"/>
                <w:szCs w:val="15"/>
              </w:rPr>
              <w:t>合计</w:t>
            </w:r>
          </w:p>
        </w:tc>
        <w:tc>
          <w:tcPr>
            <w:tcW w:w="177"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w:t>
            </w:r>
            <w:r>
              <w:rPr>
                <w:rFonts w:ascii="仿宋_GB2312" w:hAnsi="Arial Unicode MS" w:cs="Arial Unicode MS"/>
                <w:kern w:val="0"/>
                <w:sz w:val="18"/>
                <w:szCs w:val="18"/>
              </w:rPr>
              <w:t>9</w:t>
            </w:r>
          </w:p>
        </w:tc>
      </w:tr>
    </w:tbl>
    <w:p>
      <w:pPr>
        <w:rPr>
          <w:b/>
          <w:bCs/>
          <w:sz w:val="24"/>
          <w:szCs w:val="24"/>
        </w:rPr>
      </w:pPr>
      <w:r>
        <w:rPr>
          <w:rFonts w:eastAsia="楷体_GB2312"/>
          <w:b/>
          <w:bCs/>
          <w:sz w:val="24"/>
          <w:szCs w:val="24"/>
        </w:rPr>
        <w:t>相关说明：</w:t>
      </w:r>
    </w:p>
    <w:p>
      <w:pPr>
        <w:rPr>
          <w:b/>
          <w:bCs/>
          <w:sz w:val="24"/>
          <w:szCs w:val="24"/>
        </w:rPr>
      </w:pPr>
      <w:r>
        <w:rPr>
          <w:rFonts w:eastAsia="楷体_GB2312"/>
          <w:b/>
          <w:bCs/>
          <w:sz w:val="24"/>
          <w:szCs w:val="24"/>
        </w:rPr>
        <w:t>1.评分方法归为六类：</w:t>
      </w:r>
    </w:p>
    <w:p>
      <w:pPr>
        <w:rPr>
          <w:sz w:val="24"/>
          <w:szCs w:val="24"/>
        </w:rPr>
      </w:pPr>
      <w:r>
        <w:rPr>
          <w:rFonts w:eastAsia="楷体_GB2312"/>
          <w:b/>
          <w:bCs/>
          <w:sz w:val="24"/>
          <w:szCs w:val="24"/>
        </w:rPr>
        <w:t>（1）是否评分法：</w:t>
      </w:r>
      <w:r>
        <w:rPr>
          <w:sz w:val="24"/>
          <w:szCs w:val="24"/>
        </w:rPr>
        <w:t>适用于合规性等正反判断指标，正向满分，反向0分。</w:t>
      </w:r>
    </w:p>
    <w:p>
      <w:pPr>
        <w:rPr>
          <w:sz w:val="24"/>
          <w:szCs w:val="24"/>
        </w:rPr>
      </w:pPr>
      <w:r>
        <w:rPr>
          <w:rFonts w:eastAsia="楷体_GB2312"/>
          <w:b/>
          <w:bCs/>
          <w:sz w:val="24"/>
          <w:szCs w:val="24"/>
        </w:rPr>
        <w:t>（2）分级评分法：</w:t>
      </w:r>
      <w:r>
        <w:rPr>
          <w:sz w:val="24"/>
          <w:szCs w:val="24"/>
        </w:rPr>
        <w:t>指标评分设置n级权重，指标得分按指标值所处区间的权重计算。</w:t>
      </w:r>
    </w:p>
    <w:p>
      <w:pPr>
        <w:rPr>
          <w:sz w:val="24"/>
          <w:szCs w:val="24"/>
        </w:rPr>
      </w:pPr>
      <w:r>
        <w:rPr>
          <w:rFonts w:eastAsia="楷体_GB2312"/>
          <w:b/>
          <w:bCs/>
          <w:sz w:val="24"/>
          <w:szCs w:val="24"/>
        </w:rPr>
        <w:t>（3）比率分值法：</w:t>
      </w:r>
      <w:r>
        <w:rPr>
          <w:sz w:val="24"/>
          <w:szCs w:val="24"/>
        </w:rPr>
        <w:t>对存在连续性比率的指标，按比率乘以指标分值计算得分。</w:t>
      </w:r>
    </w:p>
    <w:p>
      <w:pPr>
        <w:rPr>
          <w:sz w:val="24"/>
          <w:szCs w:val="24"/>
        </w:rPr>
      </w:pPr>
      <w:r>
        <w:rPr>
          <w:rFonts w:eastAsia="楷体_GB2312"/>
          <w:b/>
          <w:bCs/>
          <w:sz w:val="24"/>
          <w:szCs w:val="24"/>
        </w:rPr>
        <w:t>（4）缺（错）项扣分法：</w:t>
      </w:r>
      <w:r>
        <w:rPr>
          <w:sz w:val="24"/>
          <w:szCs w:val="24"/>
        </w:rPr>
        <w:t>按照要求所具备的事项计算，全部具备得满分，缺少一项扣X分。</w:t>
      </w:r>
    </w:p>
    <w:p>
      <w:pPr>
        <w:rPr>
          <w:sz w:val="24"/>
          <w:szCs w:val="24"/>
        </w:rPr>
      </w:pPr>
      <w:r>
        <w:rPr>
          <w:rFonts w:eastAsia="楷体_GB2312"/>
          <w:b/>
          <w:bCs/>
          <w:sz w:val="24"/>
          <w:szCs w:val="24"/>
        </w:rPr>
        <w:t>（5）满意值赋分法：</w:t>
      </w:r>
      <w:r>
        <w:rPr>
          <w:sz w:val="24"/>
          <w:szCs w:val="24"/>
        </w:rPr>
        <w:t>设置一个满意值，指标值达到满意值得满分，未达到不得分或扣分。</w:t>
      </w:r>
    </w:p>
    <w:p>
      <w:pPr>
        <w:rPr>
          <w:sz w:val="24"/>
          <w:szCs w:val="24"/>
        </w:rPr>
      </w:pPr>
      <w:r>
        <w:rPr>
          <w:rFonts w:eastAsia="楷体_GB2312"/>
          <w:b/>
          <w:bCs/>
          <w:sz w:val="24"/>
          <w:szCs w:val="24"/>
        </w:rPr>
        <w:t>（6）按数累加法：</w:t>
      </w:r>
      <w:r>
        <w:rPr>
          <w:sz w:val="24"/>
          <w:szCs w:val="24"/>
        </w:rPr>
        <w:t>若有必要用于加分项指标。</w:t>
      </w:r>
    </w:p>
    <w:p>
      <w:pPr>
        <w:pStyle w:val="10"/>
        <w:rPr>
          <w:rFonts w:ascii="Times New Roman" w:hAnsi="Times New Roman" w:cs="Times New Roman"/>
        </w:rPr>
      </w:pPr>
      <w:r>
        <w:rPr>
          <w:rFonts w:ascii="Times New Roman" w:hAnsi="Times New Roman" w:eastAsia="楷体_GB2312" w:cs="Times New Roman"/>
          <w:b/>
          <w:bCs/>
        </w:rPr>
        <w:t>2.特性指标二三级指标权重可自行分配。</w:t>
      </w:r>
    </w:p>
    <w:sectPr>
      <w:pgSz w:w="16838" w:h="11906" w:orient="landscape"/>
      <w:pgMar w:top="720" w:right="720" w:bottom="720" w:left="720" w:header="454" w:footer="454"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Arial Unicode MS">
    <w:altName w:val="宋体"/>
    <w:panose1 w:val="020B0604020202020204"/>
    <w:charset w:val="86"/>
    <w:family w:val="swiss"/>
    <w:pitch w:val="default"/>
    <w:sig w:usb0="00000000" w:usb1="00000000" w:usb2="0000003F" w:usb3="00000000" w:csb0="003F01FF" w:csb1="00000000"/>
  </w:font>
  <w:font w:name="方正小标宋简体">
    <w:panose1 w:val="03000509000000000000"/>
    <w:charset w:val="86"/>
    <w:family w:val="auto"/>
    <w:pitch w:val="default"/>
    <w:sig w:usb0="00000001" w:usb1="080E0000" w:usb2="00000000" w:usb3="00000000" w:csb0="00040000" w:csb1="00000000"/>
  </w:font>
  <w:font w:name="方正公文小标宋">
    <w:altName w:val="宋体"/>
    <w:panose1 w:val="00000000000000000000"/>
    <w:charset w:val="86"/>
    <w:family w:val="auto"/>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公文楷体">
    <w:altName w:val="楷体_GB2312"/>
    <w:panose1 w:val="000000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path/>
          <v:fill on="f" focussize="0,0"/>
          <v:stroke on="f" weight="0.5pt" joinstyle="miter"/>
          <v:imagedata o:title=""/>
          <o:lock v:ext="edit"/>
          <v:textbox inset="0mm,0mm,0mm,0mm" style="mso-fit-shape-to-text:t;">
            <w:txbxContent>
              <w:p>
                <w:pPr>
                  <w:pStyle w:val="8"/>
                </w:pPr>
                <w:r>
                  <w:fldChar w:fldCharType="begin"/>
                </w:r>
                <w:r>
                  <w:instrText xml:space="preserve"> PAGE  \* MERGEFORMAT </w:instrText>
                </w:r>
                <w:r>
                  <w:fldChar w:fldCharType="separate"/>
                </w:r>
                <w:r>
                  <w:t>- 5 -</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538FFCCB-260C-499F-B0E4-B65923593CE2}" w:val="KUr9E1jDwoctlTxO78vqBJIM23/+6g0CQSWey4p=PHafNzhkLRYZiAVun5bsmFdXG"/>
    <w:docVar w:name="commondata" w:val="eyJoZGlkIjoiZTgxNTJkNDk3ZTBmZDg5MTJhMDY2NzllNjYwMWY1MWMifQ=="/>
    <w:docVar w:name="DocumentID" w:val="{B29683A8-35F4-4AB8-AD6E-E58D541243E6}"/>
  </w:docVars>
  <w:rsids>
    <w:rsidRoot w:val="0B0634F0"/>
    <w:rsid w:val="00020B84"/>
    <w:rsid w:val="00024ADE"/>
    <w:rsid w:val="00113EF9"/>
    <w:rsid w:val="0013009D"/>
    <w:rsid w:val="0020388C"/>
    <w:rsid w:val="002C3435"/>
    <w:rsid w:val="004A2E79"/>
    <w:rsid w:val="004D2611"/>
    <w:rsid w:val="0060534E"/>
    <w:rsid w:val="00683FC7"/>
    <w:rsid w:val="006A5223"/>
    <w:rsid w:val="007066F5"/>
    <w:rsid w:val="00942183"/>
    <w:rsid w:val="0098584D"/>
    <w:rsid w:val="00A57BCD"/>
    <w:rsid w:val="00B22A0A"/>
    <w:rsid w:val="00B372E0"/>
    <w:rsid w:val="00F52417"/>
    <w:rsid w:val="0B0634F0"/>
    <w:rsid w:val="2101264B"/>
    <w:rsid w:val="2ED91046"/>
    <w:rsid w:val="381C52AC"/>
    <w:rsid w:val="3A176A57"/>
    <w:rsid w:val="442C276F"/>
    <w:rsid w:val="58102D59"/>
    <w:rsid w:val="6D524E4E"/>
    <w:rsid w:val="6DED6A5F"/>
    <w:rsid w:val="6E881A5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8"/>
    <w:qFormat/>
    <w:uiPriority w:val="0"/>
    <w:pPr>
      <w:keepNext/>
      <w:keepLines/>
      <w:spacing w:before="340" w:after="330" w:line="576" w:lineRule="auto"/>
      <w:outlineLvl w:val="0"/>
    </w:pPr>
    <w:rPr>
      <w:b/>
      <w:kern w:val="44"/>
      <w:sz w:val="44"/>
    </w:rPr>
  </w:style>
  <w:style w:type="paragraph" w:styleId="4">
    <w:name w:val="heading 2"/>
    <w:basedOn w:val="1"/>
    <w:next w:val="1"/>
    <w:link w:val="19"/>
    <w:unhideWhenUsed/>
    <w:qFormat/>
    <w:uiPriority w:val="0"/>
    <w:pPr>
      <w:keepNext/>
      <w:keepLines/>
      <w:spacing w:before="260" w:after="260" w:line="413" w:lineRule="auto"/>
      <w:outlineLvl w:val="1"/>
    </w:pPr>
    <w:rPr>
      <w:rFonts w:ascii="Arial" w:hAnsi="Arial" w:eastAsia="黑体"/>
      <w:b/>
    </w:rPr>
  </w:style>
  <w:style w:type="paragraph" w:styleId="5">
    <w:name w:val="heading 3"/>
    <w:basedOn w:val="1"/>
    <w:next w:val="1"/>
    <w:unhideWhenUsed/>
    <w:qFormat/>
    <w:uiPriority w:val="0"/>
    <w:pPr>
      <w:keepNext/>
      <w:keepLines/>
      <w:spacing w:before="260" w:after="260" w:line="413" w:lineRule="auto"/>
      <w:outlineLvl w:val="2"/>
    </w:pPr>
    <w:rPr>
      <w:b/>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99"/>
    <w:pPr>
      <w:ind w:firstLine="680"/>
    </w:pPr>
  </w:style>
  <w:style w:type="paragraph" w:styleId="6">
    <w:name w:val="index 5"/>
    <w:basedOn w:val="1"/>
    <w:next w:val="1"/>
    <w:qFormat/>
    <w:uiPriority w:val="0"/>
    <w:pPr>
      <w:ind w:left="1680"/>
    </w:pPr>
  </w:style>
  <w:style w:type="paragraph" w:styleId="7">
    <w:name w:val="Body Text Indent"/>
    <w:basedOn w:val="1"/>
    <w:next w:val="8"/>
    <w:semiHidden/>
    <w:unhideWhenUsed/>
    <w:qFormat/>
    <w:uiPriority w:val="99"/>
    <w:pPr>
      <w:spacing w:after="120"/>
      <w:ind w:left="420" w:leftChars="200"/>
    </w:p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 w:val="24"/>
      <w:szCs w:val="24"/>
    </w:rPr>
  </w:style>
  <w:style w:type="paragraph" w:styleId="11">
    <w:name w:val="Normal (Web)"/>
    <w:basedOn w:val="1"/>
    <w:qFormat/>
    <w:uiPriority w:val="0"/>
    <w:pPr>
      <w:spacing w:beforeAutospacing="1" w:afterAutospacing="1"/>
      <w:jc w:val="left"/>
    </w:pPr>
    <w:rPr>
      <w:kern w:val="0"/>
      <w:sz w:val="24"/>
    </w:rPr>
  </w:style>
  <w:style w:type="paragraph" w:styleId="12">
    <w:name w:val="Body Text First Indent 2"/>
    <w:basedOn w:val="7"/>
    <w:next w:val="6"/>
    <w:qFormat/>
    <w:uiPriority w:val="0"/>
    <w:pPr>
      <w:spacing w:after="0" w:line="440" w:lineRule="exact"/>
      <w:ind w:left="0" w:leftChars="0" w:firstLine="420" w:firstLineChars="200"/>
    </w:pPr>
    <w:rPr>
      <w:rFonts w:ascii="仿宋_GB2312"/>
    </w:rPr>
  </w:style>
  <w:style w:type="table" w:styleId="14">
    <w:name w:val="Table Grid"/>
    <w:basedOn w:val="13"/>
    <w:qFormat/>
    <w:uiPriority w:val="39"/>
    <w:rPr>
      <w:rFonts w:ascii="仿宋_GB2312" w:hAnsi="Arial Unicode MS" w:eastAsia="仿宋_GB2312" w:cs="Arial Unicode MS"/>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page number"/>
    <w:basedOn w:val="15"/>
    <w:qFormat/>
    <w:uiPriority w:val="0"/>
  </w:style>
  <w:style w:type="character" w:customStyle="1" w:styleId="17">
    <w:name w:val="font01"/>
    <w:basedOn w:val="15"/>
    <w:qFormat/>
    <w:uiPriority w:val="0"/>
    <w:rPr>
      <w:rFonts w:hint="eastAsia" w:ascii="宋体" w:hAnsi="宋体" w:eastAsia="宋体" w:cs="宋体"/>
      <w:color w:val="000000"/>
      <w:sz w:val="16"/>
      <w:szCs w:val="16"/>
      <w:u w:val="none"/>
    </w:rPr>
  </w:style>
  <w:style w:type="character" w:customStyle="1" w:styleId="18">
    <w:name w:val="标题 1 Char"/>
    <w:link w:val="3"/>
    <w:qFormat/>
    <w:uiPriority w:val="0"/>
    <w:rPr>
      <w:b/>
      <w:kern w:val="44"/>
      <w:sz w:val="44"/>
    </w:rPr>
  </w:style>
  <w:style w:type="character" w:customStyle="1" w:styleId="19">
    <w:name w:val="标题 2 Char"/>
    <w:link w:val="4"/>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4050</Words>
  <Characters>4241</Characters>
  <Lines>5</Lines>
  <Paragraphs>9</Paragraphs>
  <TotalTime>6</TotalTime>
  <ScaleCrop>false</ScaleCrop>
  <LinksUpToDate>false</LinksUpToDate>
  <CharactersWithSpaces>4253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2023-07-11T01:34:00Z</dcterms:created>
  <dc:creator>徐泉</dc:creator>
  <cp:lastModifiedBy>沐川县林业局</cp:lastModifiedBy>
  <dcterms:modified xsi:type="dcterms:W3CDTF">2023-10-17T02:21:37Z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23365E4A76BC40789C715C73995BE054_11</vt:lpwstr>
  </property>
</Properties>
</file>