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sz w:val="72"/>
          <w:szCs w:val="72"/>
        </w:rPr>
      </w:pPr>
      <w:bookmarkStart w:id="0" w:name="_Toc15377193"/>
      <w:bookmarkStart w:id="1" w:name="_Toc15378441"/>
      <w:bookmarkStart w:id="2" w:name="_Toc15396597"/>
      <w:bookmarkStart w:id="3" w:name="_Toc15396475"/>
      <w:bookmarkStart w:id="4" w:name="_Toc15377425"/>
      <w:bookmarkStart w:id="5" w:name="_Toc15306267"/>
    </w:p>
    <w:p>
      <w:pPr>
        <w:spacing w:line="600" w:lineRule="exact"/>
        <w:outlineLvl w:val="0"/>
        <w:rPr>
          <w:rFonts w:ascii="方正小标宋简体" w:hAnsi="宋体" w:eastAsia="方正小标宋简体"/>
          <w:sz w:val="72"/>
          <w:szCs w:val="72"/>
        </w:rPr>
      </w:pPr>
    </w:p>
    <w:p>
      <w:pPr>
        <w:adjustRightInd w:val="0"/>
        <w:snapToGrid w:val="0"/>
        <w:spacing w:line="360" w:lineRule="auto"/>
        <w:outlineLvl w:val="0"/>
        <w:rPr>
          <w:rFonts w:ascii="方正小标宋简体" w:hAnsi="方正小标宋简体" w:eastAsia="方正小标宋简体" w:cs="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6" w:name="_Toc15377194"/>
      <w:bookmarkStart w:id="7" w:name="_Toc15396598"/>
      <w:bookmarkStart w:id="8" w:name="_Toc15377426"/>
      <w:bookmarkStart w:id="9" w:name="_Toc15378442"/>
      <w:bookmarkStart w:id="10" w:name="_Toc15396476"/>
      <w:bookmarkStart w:id="11" w:name="_Toc15306268"/>
      <w:r>
        <w:rPr>
          <w:rFonts w:hint="eastAsia" w:ascii="方正小标宋简体" w:hAnsi="方正小标宋简体" w:eastAsia="方正小标宋简体" w:cs="方正小标宋简体"/>
          <w:sz w:val="72"/>
          <w:szCs w:val="72"/>
        </w:rPr>
        <w:t>沐川县人大办部门决算</w:t>
      </w:r>
      <w:bookmarkEnd w:id="6"/>
      <w:bookmarkEnd w:id="7"/>
      <w:bookmarkEnd w:id="8"/>
      <w:bookmarkEnd w:id="9"/>
      <w:bookmarkEnd w:id="10"/>
      <w:bookmarkEnd w:id="11"/>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公开时间：2023年10月17日</w:t>
      </w:r>
    </w:p>
    <w:p>
      <w:pPr>
        <w:jc w:val="center"/>
        <w:rPr>
          <w:sz w:val="24"/>
          <w:szCs w:val="32"/>
          <w:highlight w:val="lightGray"/>
        </w:rPr>
      </w:pPr>
    </w:p>
    <w:p>
      <w:pPr>
        <w:pStyle w:val="12"/>
        <w:adjustRightInd w:val="0"/>
        <w:snapToGrid w:val="0"/>
        <w:spacing w:before="0" w:line="440" w:lineRule="exact"/>
        <w:jc w:val="left"/>
        <w:rPr>
          <w:rFonts w:cstheme="minorBidi"/>
          <w:sz w:val="24"/>
          <w:szCs w:val="24"/>
        </w:rPr>
      </w:pPr>
      <w:r>
        <w:rPr>
          <w:rFonts w:hint="eastAsia"/>
          <w:sz w:val="24"/>
        </w:rPr>
        <w:t>第一部分部门概况                                                   4</w:t>
      </w:r>
      <w:r>
        <w:rPr>
          <w:rFonts w:cstheme="minorBidi"/>
          <w:sz w:val="24"/>
          <w:szCs w:val="24"/>
        </w:rPr>
        <w:t xml:space="preserve"> </w:t>
      </w:r>
    </w:p>
    <w:p>
      <w:pPr>
        <w:pStyle w:val="13"/>
        <w:adjustRightInd w:val="0"/>
        <w:snapToGrid w:val="0"/>
        <w:spacing w:line="440" w:lineRule="exact"/>
        <w:jc w:val="left"/>
        <w:rPr>
          <w:rFonts w:ascii="仿宋" w:hAnsi="仿宋" w:eastAsia="仿宋"/>
          <w:sz w:val="24"/>
        </w:rPr>
      </w:pPr>
      <w:r>
        <w:rPr>
          <w:rFonts w:hint="eastAsia"/>
          <w:sz w:val="24"/>
        </w:rPr>
        <w:t>一、部门职责                                                    4</w:t>
      </w:r>
    </w:p>
    <w:p>
      <w:pPr>
        <w:pStyle w:val="13"/>
        <w:adjustRightInd w:val="0"/>
        <w:snapToGrid w:val="0"/>
        <w:spacing w:line="440" w:lineRule="exact"/>
        <w:jc w:val="left"/>
        <w:rPr>
          <w:rFonts w:ascii="仿宋" w:hAnsi="仿宋" w:eastAsia="仿宋" w:cstheme="minorBidi"/>
          <w:sz w:val="24"/>
        </w:rPr>
      </w:pPr>
      <w:r>
        <w:rPr>
          <w:rFonts w:hint="eastAsia"/>
          <w:sz w:val="24"/>
        </w:rPr>
        <w:t>二、机构设置                                                    4</w:t>
      </w:r>
    </w:p>
    <w:p>
      <w:pPr>
        <w:pStyle w:val="12"/>
        <w:adjustRightInd w:val="0"/>
        <w:snapToGrid w:val="0"/>
        <w:spacing w:before="0" w:line="440" w:lineRule="exact"/>
        <w:jc w:val="left"/>
        <w:rPr>
          <w:sz w:val="24"/>
          <w:szCs w:val="24"/>
        </w:rPr>
      </w:pPr>
      <w:r>
        <w:rPr>
          <w:rFonts w:hint="eastAsia"/>
          <w:sz w:val="24"/>
        </w:rPr>
        <w:t>第二部分 2022年度部门决算情况说明                                  5</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                                    5</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                                            5</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                                            6</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                            7</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                        7</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                    10</w:t>
      </w:r>
    </w:p>
    <w:p>
      <w:pPr>
        <w:pStyle w:val="13"/>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                        10</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                              12</w:t>
      </w:r>
    </w:p>
    <w:p>
      <w:pPr>
        <w:pStyle w:val="13"/>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                            12</w:t>
      </w:r>
    </w:p>
    <w:p>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9"/>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                                      12</w:t>
      </w:r>
    </w:p>
    <w:p>
      <w:pPr>
        <w:pStyle w:val="12"/>
        <w:adjustRightInd w:val="0"/>
        <w:snapToGrid w:val="0"/>
        <w:spacing w:before="0" w:line="440" w:lineRule="exact"/>
        <w:jc w:val="left"/>
        <w:rPr>
          <w:rFonts w:cstheme="minorBidi"/>
          <w:sz w:val="24"/>
          <w:szCs w:val="24"/>
        </w:rPr>
      </w:pPr>
      <w:r>
        <w:rPr>
          <w:rFonts w:hint="eastAsia"/>
          <w:sz w:val="24"/>
        </w:rPr>
        <w:t>第三部分名词解释                                                   14</w:t>
      </w:r>
    </w:p>
    <w:p>
      <w:pPr>
        <w:pStyle w:val="12"/>
        <w:adjustRightInd w:val="0"/>
        <w:snapToGrid w:val="0"/>
        <w:spacing w:before="0" w:line="440" w:lineRule="exact"/>
        <w:jc w:val="left"/>
        <w:rPr>
          <w:rFonts w:cstheme="minorBidi"/>
          <w:sz w:val="24"/>
          <w:szCs w:val="24"/>
        </w:rPr>
      </w:pPr>
      <w:r>
        <w:rPr>
          <w:rFonts w:hint="eastAsia"/>
          <w:sz w:val="24"/>
        </w:rPr>
        <w:t>第四部分附件                                                       16</w:t>
      </w:r>
    </w:p>
    <w:p>
      <w:pPr>
        <w:pStyle w:val="12"/>
        <w:adjustRightInd w:val="0"/>
        <w:snapToGrid w:val="0"/>
        <w:spacing w:before="0" w:line="440" w:lineRule="exact"/>
        <w:jc w:val="left"/>
        <w:rPr>
          <w:rFonts w:cstheme="minorBidi"/>
          <w:sz w:val="24"/>
          <w:szCs w:val="24"/>
        </w:rPr>
      </w:pPr>
      <w:r>
        <w:rPr>
          <w:rFonts w:hint="eastAsia"/>
          <w:sz w:val="24"/>
        </w:rPr>
        <w:t>第五部分附表                                                       23</w:t>
      </w:r>
    </w:p>
    <w:p>
      <w:pPr>
        <w:pStyle w:val="13"/>
        <w:adjustRightInd w:val="0"/>
        <w:snapToGrid w:val="0"/>
        <w:spacing w:line="440" w:lineRule="exact"/>
        <w:jc w:val="left"/>
        <w:rPr>
          <w:sz w:val="24"/>
        </w:rPr>
      </w:pPr>
      <w:r>
        <w:rPr>
          <w:rFonts w:hint="eastAsia"/>
          <w:sz w:val="24"/>
        </w:rPr>
        <w:t>一、收入支出决算总表                                            23</w:t>
      </w:r>
    </w:p>
    <w:p>
      <w:pPr>
        <w:pStyle w:val="13"/>
        <w:adjustRightInd w:val="0"/>
        <w:snapToGrid w:val="0"/>
        <w:spacing w:line="440" w:lineRule="exact"/>
        <w:jc w:val="left"/>
        <w:rPr>
          <w:sz w:val="24"/>
        </w:rPr>
      </w:pPr>
      <w:r>
        <w:rPr>
          <w:rFonts w:hint="eastAsia"/>
          <w:sz w:val="24"/>
        </w:rPr>
        <w:t>二、收入决算表                                                  23</w:t>
      </w:r>
    </w:p>
    <w:p>
      <w:pPr>
        <w:pStyle w:val="13"/>
        <w:adjustRightInd w:val="0"/>
        <w:snapToGrid w:val="0"/>
        <w:spacing w:line="440" w:lineRule="exact"/>
        <w:jc w:val="left"/>
        <w:rPr>
          <w:sz w:val="24"/>
        </w:rPr>
      </w:pPr>
      <w:r>
        <w:rPr>
          <w:rFonts w:hint="eastAsia"/>
          <w:sz w:val="24"/>
        </w:rPr>
        <w:t>三、支出决算表                                                  23</w:t>
      </w:r>
    </w:p>
    <w:p>
      <w:pPr>
        <w:pStyle w:val="13"/>
        <w:adjustRightInd w:val="0"/>
        <w:snapToGrid w:val="0"/>
        <w:spacing w:line="440" w:lineRule="exact"/>
        <w:jc w:val="left"/>
        <w:rPr>
          <w:sz w:val="24"/>
        </w:rPr>
      </w:pPr>
      <w:r>
        <w:rPr>
          <w:rFonts w:hint="eastAsia"/>
          <w:sz w:val="24"/>
        </w:rPr>
        <w:t>四、财政拨款收入支出决算总表                                    23</w:t>
      </w:r>
    </w:p>
    <w:p>
      <w:pPr>
        <w:pStyle w:val="13"/>
        <w:adjustRightInd w:val="0"/>
        <w:snapToGrid w:val="0"/>
        <w:spacing w:line="440" w:lineRule="exact"/>
        <w:jc w:val="left"/>
        <w:rPr>
          <w:sz w:val="24"/>
        </w:rPr>
      </w:pPr>
      <w:r>
        <w:rPr>
          <w:rFonts w:hint="eastAsia"/>
          <w:sz w:val="24"/>
        </w:rPr>
        <w:t>五、财政拨款支出决算明细表                                      23</w:t>
      </w:r>
    </w:p>
    <w:p>
      <w:pPr>
        <w:pStyle w:val="13"/>
        <w:adjustRightInd w:val="0"/>
        <w:snapToGrid w:val="0"/>
        <w:spacing w:line="440" w:lineRule="exact"/>
        <w:jc w:val="left"/>
        <w:rPr>
          <w:sz w:val="24"/>
        </w:rPr>
      </w:pPr>
      <w:r>
        <w:rPr>
          <w:rFonts w:hint="eastAsia"/>
          <w:sz w:val="24"/>
        </w:rPr>
        <w:t>六、一般公共预算财政拨款支出决算表                              23</w:t>
      </w:r>
    </w:p>
    <w:p>
      <w:pPr>
        <w:pStyle w:val="13"/>
        <w:adjustRightInd w:val="0"/>
        <w:snapToGrid w:val="0"/>
        <w:spacing w:line="440" w:lineRule="exact"/>
        <w:jc w:val="left"/>
        <w:rPr>
          <w:sz w:val="24"/>
        </w:rPr>
      </w:pPr>
      <w:r>
        <w:rPr>
          <w:rFonts w:hint="eastAsia"/>
          <w:sz w:val="24"/>
        </w:rPr>
        <w:t>七、一般公共预算财政拨款支出决算明细表                          23</w:t>
      </w:r>
    </w:p>
    <w:p>
      <w:pPr>
        <w:pStyle w:val="13"/>
        <w:adjustRightInd w:val="0"/>
        <w:snapToGrid w:val="0"/>
        <w:spacing w:line="440" w:lineRule="exact"/>
        <w:jc w:val="left"/>
        <w:rPr>
          <w:sz w:val="24"/>
        </w:rPr>
      </w:pPr>
      <w:r>
        <w:rPr>
          <w:rFonts w:hint="eastAsia"/>
          <w:sz w:val="24"/>
        </w:rPr>
        <w:t>八、一般公共预算财政拨款基本支出决算明细表                      23</w:t>
      </w:r>
    </w:p>
    <w:p>
      <w:pPr>
        <w:pStyle w:val="13"/>
        <w:adjustRightInd w:val="0"/>
        <w:snapToGrid w:val="0"/>
        <w:spacing w:line="440" w:lineRule="exact"/>
        <w:jc w:val="left"/>
        <w:rPr>
          <w:sz w:val="24"/>
        </w:rPr>
      </w:pPr>
      <w:r>
        <w:rPr>
          <w:rFonts w:hint="eastAsia"/>
          <w:sz w:val="24"/>
        </w:rPr>
        <w:t>九、一般公共预算财政拨款项目支出决算表                          23</w:t>
      </w:r>
    </w:p>
    <w:p>
      <w:pPr>
        <w:pStyle w:val="13"/>
        <w:adjustRightInd w:val="0"/>
        <w:snapToGrid w:val="0"/>
        <w:spacing w:line="440" w:lineRule="exact"/>
        <w:jc w:val="left"/>
        <w:rPr>
          <w:sz w:val="24"/>
        </w:rPr>
      </w:pPr>
      <w:r>
        <w:rPr>
          <w:rFonts w:hint="eastAsia"/>
          <w:sz w:val="24"/>
        </w:rPr>
        <w:t>十、政府性基金预算财政拨款收入支出决算表                        23</w:t>
      </w:r>
    </w:p>
    <w:p>
      <w:pPr>
        <w:pStyle w:val="13"/>
        <w:adjustRightInd w:val="0"/>
        <w:snapToGrid w:val="0"/>
        <w:spacing w:line="440" w:lineRule="exact"/>
        <w:jc w:val="left"/>
        <w:rPr>
          <w:sz w:val="24"/>
        </w:rPr>
      </w:pPr>
      <w:r>
        <w:rPr>
          <w:rFonts w:hint="eastAsia"/>
          <w:sz w:val="24"/>
        </w:rPr>
        <w:t>十一、国有资本经营预算财政拨款收入支出决算表                    23</w:t>
      </w:r>
    </w:p>
    <w:p>
      <w:pPr>
        <w:pStyle w:val="13"/>
        <w:adjustRightInd w:val="0"/>
        <w:snapToGrid w:val="0"/>
        <w:spacing w:line="440" w:lineRule="exact"/>
        <w:jc w:val="left"/>
        <w:rPr>
          <w:sz w:val="24"/>
        </w:rPr>
      </w:pPr>
      <w:r>
        <w:rPr>
          <w:rFonts w:hint="eastAsia"/>
          <w:sz w:val="24"/>
        </w:rPr>
        <w:t>十二、国有资本经营预算财政拨款支出决算表                        23</w:t>
      </w:r>
    </w:p>
    <w:p>
      <w:pPr>
        <w:pStyle w:val="13"/>
        <w:adjustRightInd w:val="0"/>
        <w:snapToGrid w:val="0"/>
        <w:spacing w:line="440" w:lineRule="exact"/>
        <w:jc w:val="left"/>
        <w:rPr>
          <w:rFonts w:hint="eastAsia"/>
          <w:sz w:val="24"/>
        </w:rPr>
      </w:pPr>
      <w:r>
        <w:rPr>
          <w:rFonts w:hint="eastAsia"/>
          <w:sz w:val="24"/>
        </w:rPr>
        <w:t>十三、财政拨款“三公”经费支出决算表                            23</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widowControl/>
        <w:spacing w:line="440" w:lineRule="exact"/>
        <w:jc w:val="left"/>
        <w:rPr>
          <w:rFonts w:ascii="仿宋" w:hAnsi="仿宋" w:eastAsia="仿宋"/>
          <w:bCs/>
          <w:kern w:val="44"/>
          <w:sz w:val="24"/>
        </w:rPr>
      </w:pPr>
      <w:bookmarkStart w:id="12" w:name="_Toc15396599"/>
      <w:bookmarkStart w:id="13" w:name="_Toc15377196"/>
      <w:r>
        <w:rPr>
          <w:rFonts w:hint="eastAsia" w:ascii="仿宋" w:hAnsi="仿宋" w:eastAsia="仿宋"/>
          <w:sz w:val="24"/>
        </w:rPr>
        <w:t xml:space="preserve">                       </w:t>
      </w:r>
      <w:r>
        <w:rPr>
          <w:rFonts w:ascii="仿宋" w:hAnsi="仿宋" w:eastAsia="仿宋"/>
          <w:b/>
          <w:sz w:val="24"/>
        </w:rPr>
        <w:br w:type="page"/>
      </w:r>
    </w:p>
    <w:p>
      <w:pPr>
        <w:pStyle w:val="2"/>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3"/>
        <w:numPr>
          <w:ilvl w:val="0"/>
          <w:numId w:val="1"/>
        </w:numPr>
      </w:pPr>
      <w:r>
        <w:rPr>
          <w:rFonts w:hint="eastAsia" w:ascii="黑体" w:hAnsi="黑体" w:eastAsia="黑体"/>
          <w:b w:val="0"/>
        </w:rPr>
        <w:t>部门职责</w:t>
      </w:r>
    </w:p>
    <w:p>
      <w:pPr>
        <w:pStyle w:val="6"/>
        <w:adjustRightInd w:val="0"/>
        <w:snapToGrid w:val="0"/>
        <w:spacing w:before="93" w:line="600" w:lineRule="exact"/>
        <w:ind w:firstLine="320" w:firstLineChars="100"/>
        <w:outlineLvl w:val="2"/>
        <w:rPr>
          <w:rFonts w:hAnsi="仿宋"/>
          <w:color w:val="000000"/>
          <w:kern w:val="2"/>
          <w:sz w:val="32"/>
          <w:szCs w:val="32"/>
        </w:rPr>
      </w:pPr>
      <w:bookmarkStart w:id="14" w:name="_Toc15378445"/>
      <w:bookmarkStart w:id="15" w:name="_Toc15377198"/>
      <w:bookmarkStart w:id="16" w:name="_Toc15377200"/>
      <w:bookmarkStart w:id="17" w:name="_Toc15396601"/>
      <w:r>
        <w:rPr>
          <w:rFonts w:hint="eastAsia" w:ascii="仿宋" w:hAnsi="仿宋" w:eastAsia="仿宋"/>
          <w:bCs/>
          <w:sz w:val="32"/>
          <w:szCs w:val="32"/>
        </w:rPr>
        <w:t>（一）主要职能。</w:t>
      </w:r>
      <w:bookmarkEnd w:id="14"/>
      <w:bookmarkEnd w:id="15"/>
      <w:bookmarkStart w:id="18" w:name="_Toc15377199"/>
      <w:bookmarkStart w:id="19" w:name="_Toc15378446"/>
      <w:r>
        <w:rPr>
          <w:rFonts w:hint="eastAsia" w:hAnsi="仿宋"/>
          <w:color w:val="000000"/>
          <w:kern w:val="2"/>
          <w:sz w:val="32"/>
          <w:szCs w:val="32"/>
        </w:rPr>
        <w:t>负责人代会、常委会、主任会等有关会议的会务工作；负责机关学习、目标考核、考勤、文书档案、保密、人事、财务、工会、宣传、保卫、收发、老干部等机关管理和后勤接待等日常事务工作；开展执法检查和各类调研，为人大常委会服好务；组织市县人大代表开展视察活动，督捉人大代表提出的建议意见办理和县人大常委会提出的审议意见的落实；受理并协调处理群众来信来访；完成上级人大和县人大常委会领导交办的其他工作。</w:t>
      </w:r>
    </w:p>
    <w:p>
      <w:pPr>
        <w:pStyle w:val="6"/>
        <w:adjustRightInd w:val="0"/>
        <w:snapToGrid w:val="0"/>
        <w:spacing w:before="93" w:line="600" w:lineRule="exact"/>
        <w:ind w:firstLine="320" w:firstLineChars="100"/>
        <w:rPr>
          <w:rFonts w:hAnsi="仿宋"/>
          <w:color w:val="000000"/>
          <w:kern w:val="2"/>
          <w:sz w:val="32"/>
          <w:szCs w:val="32"/>
        </w:rPr>
      </w:pPr>
      <w:r>
        <w:rPr>
          <w:rFonts w:hint="eastAsia" w:ascii="仿宋" w:hAnsi="仿宋" w:eastAsia="仿宋"/>
          <w:bCs/>
          <w:sz w:val="32"/>
          <w:szCs w:val="32"/>
        </w:rPr>
        <w:t>（二）</w:t>
      </w:r>
      <w:r>
        <w:rPr>
          <w:rFonts w:ascii="仿宋" w:hAnsi="仿宋" w:eastAsia="仿宋"/>
          <w:bCs/>
          <w:sz w:val="32"/>
          <w:szCs w:val="32"/>
        </w:rPr>
        <w:t>20</w:t>
      </w:r>
      <w:r>
        <w:rPr>
          <w:rFonts w:hint="eastAsia" w:ascii="仿宋" w:hAnsi="仿宋" w:eastAsia="仿宋"/>
          <w:bCs/>
          <w:sz w:val="32"/>
          <w:szCs w:val="32"/>
        </w:rPr>
        <w:t>22重点工作完成情况。</w:t>
      </w:r>
      <w:bookmarkEnd w:id="18"/>
      <w:bookmarkEnd w:id="19"/>
      <w:r>
        <w:rPr>
          <w:rFonts w:hint="eastAsia" w:hAnsi="仿宋"/>
          <w:color w:val="000000"/>
          <w:kern w:val="2"/>
          <w:sz w:val="32"/>
          <w:szCs w:val="32"/>
        </w:rPr>
        <w:t>人大常委会按照年初制定的计划完成了各项执法检查及调研工作，组织完成市县代表的调研并督促办理人大代表提出的建议意见和县人大常委会提出的审议意见的落实。</w:t>
      </w:r>
    </w:p>
    <w:p>
      <w:pPr>
        <w:pStyle w:val="3"/>
        <w:rPr>
          <w:rStyle w:val="30"/>
          <w:b w:val="0"/>
          <w:bCs w:val="0"/>
        </w:rPr>
      </w:pPr>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16"/>
      <w:bookmarkEnd w:id="17"/>
    </w:p>
    <w:p>
      <w:pPr>
        <w:ind w:firstLine="800" w:firstLineChars="250"/>
        <w:rPr>
          <w:rFonts w:ascii="仿宋" w:hAnsi="仿宋" w:eastAsia="仿宋"/>
          <w:sz w:val="32"/>
          <w:szCs w:val="32"/>
        </w:rPr>
      </w:pPr>
      <w:r>
        <w:rPr>
          <w:rFonts w:hint="eastAsia" w:hAnsi="仿宋"/>
          <w:color w:val="000000"/>
          <w:sz w:val="32"/>
          <w:szCs w:val="32"/>
        </w:rPr>
        <w:t>沐川县人大常委会办公室无下属二级单位</w:t>
      </w:r>
      <w:r>
        <w:rPr>
          <w:rFonts w:hint="eastAsia" w:ascii="仿宋" w:hAnsi="仿宋" w:eastAsia="仿宋"/>
          <w:sz w:val="32"/>
          <w:szCs w:val="32"/>
        </w:rPr>
        <w:t>。</w:t>
      </w: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pStyle w:val="6"/>
        <w:adjustRightInd w:val="0"/>
        <w:snapToGrid w:val="0"/>
        <w:spacing w:before="93" w:line="600" w:lineRule="exact"/>
        <w:ind w:firstLine="1120" w:firstLineChars="35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br w:type="page"/>
      </w:r>
    </w:p>
    <w:p>
      <w:pPr>
        <w:pStyle w:val="2"/>
        <w:ind w:right="440"/>
        <w:jc w:val="center"/>
        <w:rPr>
          <w:rStyle w:val="29"/>
          <w:rFonts w:ascii="黑体" w:hAnsi="黑体" w:eastAsia="黑体"/>
          <w:b w:val="0"/>
          <w:bCs/>
        </w:rPr>
      </w:pPr>
      <w:bookmarkStart w:id="20" w:name="_Toc15377204"/>
      <w:bookmarkStart w:id="21" w:name="_Toc15396602"/>
      <w:r>
        <w:rPr>
          <w:rFonts w:hint="eastAsia" w:ascii="黑体" w:hAnsi="黑体" w:eastAsia="黑体"/>
          <w:b w:val="0"/>
        </w:rPr>
        <w:t>第二部分 2022年度</w:t>
      </w:r>
      <w:r>
        <w:rPr>
          <w:rStyle w:val="29"/>
          <w:rFonts w:hint="eastAsia" w:ascii="黑体" w:hAnsi="黑体" w:eastAsia="黑体"/>
          <w:b w:val="0"/>
          <w:bCs/>
        </w:rPr>
        <w:t>部门决算情况说明</w:t>
      </w:r>
      <w:bookmarkEnd w:id="20"/>
      <w:bookmarkEnd w:id="21"/>
    </w:p>
    <w:p/>
    <w:p>
      <w:pPr>
        <w:pStyle w:val="28"/>
        <w:numPr>
          <w:ilvl w:val="0"/>
          <w:numId w:val="2"/>
        </w:numPr>
        <w:spacing w:line="600" w:lineRule="exact"/>
        <w:ind w:firstLineChars="0"/>
        <w:outlineLvl w:val="1"/>
        <w:rPr>
          <w:rStyle w:val="30"/>
          <w:rFonts w:ascii="黑体" w:hAnsi="黑体" w:eastAsia="黑体"/>
          <w:b w:val="0"/>
        </w:rPr>
      </w:pPr>
      <w:bookmarkStart w:id="22" w:name="_Toc15396603"/>
      <w:bookmarkStart w:id="23"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22"/>
      <w:bookmarkEnd w:id="23"/>
    </w:p>
    <w:p>
      <w:pPr>
        <w:ind w:firstLine="960" w:firstLineChars="300"/>
        <w:jc w:val="left"/>
        <w:rPr>
          <w:rFonts w:hint="eastAsia" w:ascii="仿宋" w:hAnsi="仿宋" w:eastAsia="仿宋"/>
          <w:sz w:val="32"/>
          <w:szCs w:val="32"/>
        </w:rPr>
      </w:pPr>
      <w:r>
        <w:rPr>
          <w:rFonts w:hint="eastAsia" w:ascii="仿宋" w:hAnsi="仿宋" w:eastAsia="仿宋"/>
          <w:sz w:val="32"/>
          <w:szCs w:val="32"/>
        </w:rPr>
        <w:t>2022年度收、支总计923.87万元。与2021年相比，收、支总计各减少88.53万元，下降8.74</w:t>
      </w:r>
      <w:r>
        <w:rPr>
          <w:rFonts w:ascii="仿宋" w:hAnsi="仿宋" w:eastAsia="仿宋"/>
          <w:sz w:val="32"/>
          <w:szCs w:val="32"/>
        </w:rPr>
        <w:t>%</w:t>
      </w:r>
      <w:r>
        <w:rPr>
          <w:rFonts w:hint="eastAsia" w:ascii="仿宋" w:hAnsi="仿宋" w:eastAsia="仿宋"/>
          <w:sz w:val="32"/>
          <w:szCs w:val="32"/>
        </w:rPr>
        <w:t>。主要变动原因是人员减少，经费相应减少。</w:t>
      </w:r>
    </w:p>
    <w:p>
      <w:pPr>
        <w:ind w:firstLine="960" w:firstLineChars="300"/>
        <w:jc w:val="left"/>
        <w:rPr>
          <w:rFonts w:ascii="仿宋" w:hAnsi="仿宋" w:eastAsia="仿宋"/>
          <w:sz w:val="32"/>
          <w:szCs w:val="32"/>
        </w:rPr>
      </w:pPr>
      <w:r>
        <w:rPr>
          <w:rFonts w:ascii="仿宋" w:hAnsi="仿宋" w:eastAsia="仿宋"/>
          <w:sz w:val="32"/>
          <w:szCs w:val="32"/>
        </w:rPr>
        <w:drawing>
          <wp:inline distT="0" distB="0" distL="0" distR="0">
            <wp:extent cx="4572000" cy="274320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 w:hAnsi="仿宋" w:eastAsia="仿宋"/>
          <w:sz w:val="32"/>
          <w:szCs w:val="32"/>
          <w:highlight w:val="lightGray"/>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8"/>
        <w:numPr>
          <w:ilvl w:val="0"/>
          <w:numId w:val="2"/>
        </w:numPr>
        <w:spacing w:line="600" w:lineRule="exact"/>
        <w:ind w:firstLineChars="0"/>
        <w:outlineLvl w:val="1"/>
        <w:rPr>
          <w:rStyle w:val="30"/>
          <w:rFonts w:ascii="黑体" w:hAnsi="黑体" w:eastAsia="黑体"/>
          <w:b w:val="0"/>
        </w:rPr>
      </w:pPr>
      <w:bookmarkStart w:id="24" w:name="_Toc15377206"/>
      <w:bookmarkStart w:id="25" w:name="_Toc15396604"/>
      <w:r>
        <w:rPr>
          <w:rFonts w:hint="eastAsia" w:ascii="黑体" w:hAnsi="黑体" w:eastAsia="黑体"/>
          <w:sz w:val="32"/>
          <w:szCs w:val="32"/>
        </w:rPr>
        <w:t>收</w:t>
      </w:r>
      <w:r>
        <w:rPr>
          <w:rStyle w:val="30"/>
          <w:rFonts w:hint="eastAsia" w:ascii="黑体" w:hAnsi="黑体" w:eastAsia="黑体"/>
          <w:b w:val="0"/>
        </w:rPr>
        <w:t>入决算情况说明</w:t>
      </w:r>
      <w:bookmarkEnd w:id="24"/>
      <w:bookmarkEnd w:id="25"/>
    </w:p>
    <w:p>
      <w:pPr>
        <w:spacing w:line="600" w:lineRule="exact"/>
        <w:ind w:firstLine="640" w:firstLineChars="200"/>
        <w:outlineLvl w:val="1"/>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22年本年收入合计923.87万元，其中：一般公共预算财政拨款收入923.87万元，占100</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；其他收入0万元，占0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420" w:firstLineChars="200"/>
        <w:outlineLvl w:val="1"/>
        <w:rPr>
          <w:rFonts w:hint="eastAsia" w:ascii="仿宋" w:hAnsi="仿宋" w:eastAsia="仿宋"/>
          <w:sz w:val="32"/>
          <w:szCs w:val="32"/>
        </w:rPr>
      </w:pPr>
      <w:r>
        <w:drawing>
          <wp:anchor distT="0" distB="0" distL="114300" distR="114300" simplePos="0" relativeHeight="25166950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pStyle w:val="28"/>
        <w:numPr>
          <w:ilvl w:val="0"/>
          <w:numId w:val="2"/>
        </w:numPr>
        <w:spacing w:line="600" w:lineRule="exact"/>
        <w:ind w:firstLineChars="0"/>
        <w:outlineLvl w:val="1"/>
        <w:rPr>
          <w:rStyle w:val="30"/>
          <w:rFonts w:ascii="黑体" w:hAnsi="黑体" w:eastAsia="黑体"/>
          <w:b w:val="0"/>
        </w:rPr>
      </w:pPr>
      <w:bookmarkStart w:id="26" w:name="_Toc15396605"/>
      <w:bookmarkStart w:id="27" w:name="_Toc15377207"/>
      <w:r>
        <w:rPr>
          <w:rFonts w:hint="eastAsia" w:ascii="黑体" w:hAnsi="黑体" w:eastAsia="黑体"/>
          <w:sz w:val="32"/>
          <w:szCs w:val="32"/>
        </w:rPr>
        <w:t>支</w:t>
      </w:r>
      <w:r>
        <w:rPr>
          <w:rStyle w:val="30"/>
          <w:rFonts w:hint="eastAsia" w:ascii="黑体" w:hAnsi="黑体" w:eastAsia="黑体"/>
          <w:b w:val="0"/>
        </w:rPr>
        <w:t>出决算情况说明</w:t>
      </w:r>
      <w:bookmarkEnd w:id="26"/>
      <w:bookmarkEnd w:id="27"/>
    </w:p>
    <w:p>
      <w:pPr>
        <w:spacing w:line="600" w:lineRule="exact"/>
        <w:ind w:firstLine="640" w:firstLineChars="200"/>
        <w:outlineLvl w:val="1"/>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22年本年支出合计923.87万元，其中：基本支出843.39万元，占91.29</w:t>
      </w:r>
      <w:r>
        <w:rPr>
          <w:rFonts w:ascii="仿宋" w:hAnsi="仿宋" w:eastAsia="仿宋"/>
          <w:sz w:val="32"/>
          <w:szCs w:val="32"/>
        </w:rPr>
        <w:t>%</w:t>
      </w:r>
      <w:r>
        <w:rPr>
          <w:rFonts w:hint="eastAsia" w:ascii="仿宋" w:hAnsi="仿宋" w:eastAsia="仿宋"/>
          <w:sz w:val="32"/>
          <w:szCs w:val="32"/>
        </w:rPr>
        <w:t>；项目支出80.48万元，占8.71</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hint="eastAsia" w:ascii="仿宋" w:hAnsi="仿宋" w:eastAsia="仿宋"/>
          <w:sz w:val="32"/>
          <w:szCs w:val="32"/>
        </w:rPr>
      </w:pPr>
    </w:p>
    <w:p>
      <w:pPr>
        <w:spacing w:line="600" w:lineRule="exact"/>
        <w:ind w:firstLine="640" w:firstLineChars="200"/>
        <w:outlineLvl w:val="1"/>
        <w:rPr>
          <w:rFonts w:ascii="仿宋" w:hAnsi="仿宋" w:eastAsia="仿宋"/>
          <w:sz w:val="32"/>
          <w:szCs w:val="32"/>
        </w:rPr>
      </w:pPr>
      <w:r>
        <w:rPr>
          <w:rFonts w:ascii="仿宋" w:hAnsi="仿宋" w:eastAsia="仿宋"/>
          <w:sz w:val="32"/>
          <w:szCs w:val="32"/>
        </w:rPr>
        <w:drawing>
          <wp:anchor distT="0" distB="0" distL="0" distR="0" simplePos="0" relativeHeight="251659264" behindDoc="0" locked="0" layoutInCell="1" allowOverlap="1">
            <wp:simplePos x="0" y="0"/>
            <wp:positionH relativeFrom="column">
              <wp:posOffset>425450</wp:posOffset>
            </wp:positionH>
            <wp:positionV relativeFrom="paragraph">
              <wp:posOffset>-2438400</wp:posOffset>
            </wp:positionV>
            <wp:extent cx="4572000" cy="2743200"/>
            <wp:effectExtent l="19050" t="0" r="19050" b="0"/>
            <wp:wrapNone/>
            <wp:docPr id="1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outlineLvl w:val="1"/>
        <w:rPr>
          <w:rStyle w:val="30"/>
          <w:rFonts w:ascii="黑体" w:hAnsi="黑体" w:eastAsia="黑体"/>
          <w:b w:val="0"/>
        </w:rPr>
      </w:pPr>
      <w:bookmarkStart w:id="28" w:name="_Toc15396606"/>
      <w:bookmarkStart w:id="29" w:name="_Toc15377208"/>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28"/>
      <w:bookmarkEnd w:id="29"/>
    </w:p>
    <w:p>
      <w:pPr>
        <w:ind w:firstLine="960" w:firstLineChars="300"/>
        <w:jc w:val="lef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22年财政拨款收、支总计923.87万元。与</w:t>
      </w:r>
      <w:r>
        <w:rPr>
          <w:rFonts w:ascii="仿宋" w:hAnsi="仿宋" w:eastAsia="仿宋"/>
          <w:sz w:val="32"/>
          <w:szCs w:val="32"/>
        </w:rPr>
        <w:t>20</w:t>
      </w:r>
      <w:r>
        <w:rPr>
          <w:rFonts w:hint="eastAsia" w:ascii="仿宋" w:hAnsi="仿宋" w:eastAsia="仿宋"/>
          <w:sz w:val="32"/>
          <w:szCs w:val="32"/>
        </w:rPr>
        <w:t>21年相比，财政拨款收、支总计各减少88.53万元，下降8.74</w:t>
      </w:r>
      <w:r>
        <w:rPr>
          <w:rFonts w:ascii="仿宋" w:hAnsi="仿宋" w:eastAsia="仿宋"/>
          <w:sz w:val="32"/>
          <w:szCs w:val="32"/>
        </w:rPr>
        <w:t>%</w:t>
      </w:r>
      <w:r>
        <w:rPr>
          <w:rFonts w:hint="eastAsia" w:ascii="仿宋" w:hAnsi="仿宋" w:eastAsia="仿宋"/>
          <w:sz w:val="32"/>
          <w:szCs w:val="32"/>
        </w:rPr>
        <w:t>。主要变动原因是人员减少，经费相应减少。</w:t>
      </w: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ascii="仿宋" w:hAnsi="仿宋" w:eastAsia="仿宋"/>
          <w:sz w:val="32"/>
          <w:szCs w:val="32"/>
        </w:rPr>
      </w:pPr>
      <w:r>
        <w:rPr>
          <w:rFonts w:ascii="仿宋" w:hAnsi="仿宋" w:eastAsia="仿宋"/>
          <w:sz w:val="32"/>
          <w:szCs w:val="32"/>
        </w:rPr>
        <w:drawing>
          <wp:anchor distT="0" distB="0" distL="0" distR="0" simplePos="0" relativeHeight="251660288" behindDoc="0" locked="0" layoutInCell="1" allowOverlap="1">
            <wp:simplePos x="0" y="0"/>
            <wp:positionH relativeFrom="column">
              <wp:posOffset>19050</wp:posOffset>
            </wp:positionH>
            <wp:positionV relativeFrom="paragraph">
              <wp:posOffset>-2438400</wp:posOffset>
            </wp:positionV>
            <wp:extent cx="4572000" cy="2743200"/>
            <wp:effectExtent l="19050" t="0" r="19050" b="0"/>
            <wp:wrapNone/>
            <wp:docPr id="27"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pPr>
        <w:spacing w:line="600" w:lineRule="exact"/>
        <w:ind w:firstLine="640" w:firstLineChars="200"/>
        <w:outlineLvl w:val="1"/>
        <w:rPr>
          <w:rStyle w:val="30"/>
          <w:rFonts w:ascii="黑体" w:hAnsi="黑体" w:eastAsia="黑体"/>
          <w:b w:val="0"/>
        </w:rPr>
      </w:pPr>
      <w:bookmarkStart w:id="30" w:name="_Toc15396607"/>
      <w:bookmarkStart w:id="31" w:name="_Toc15377209"/>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0"/>
      <w:bookmarkEnd w:id="31"/>
    </w:p>
    <w:p>
      <w:pPr>
        <w:spacing w:line="600" w:lineRule="exact"/>
        <w:ind w:firstLine="640" w:firstLineChars="200"/>
        <w:outlineLvl w:val="2"/>
        <w:rPr>
          <w:rFonts w:ascii="仿宋" w:hAnsi="仿宋" w:eastAsia="仿宋"/>
          <w:b/>
          <w:sz w:val="32"/>
          <w:szCs w:val="32"/>
        </w:rPr>
      </w:pPr>
      <w:bookmarkStart w:id="32" w:name="_Toc15377210"/>
      <w:r>
        <w:rPr>
          <w:rFonts w:hint="eastAsia" w:ascii="仿宋" w:hAnsi="仿宋" w:eastAsia="仿宋"/>
          <w:b/>
          <w:sz w:val="32"/>
          <w:szCs w:val="32"/>
        </w:rPr>
        <w:t>（一）一般公共预算财政拨款支出决算总体情况</w:t>
      </w:r>
      <w:bookmarkEnd w:id="32"/>
    </w:p>
    <w:p>
      <w:pPr>
        <w:spacing w:line="600" w:lineRule="exact"/>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22年一般公共预算财政拨款支出923.87万元，占本年支出合计的100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21年相比，一般公共预算财政拨款支出增加减少88.53万元，下降8.74</w:t>
      </w:r>
      <w:r>
        <w:rPr>
          <w:rFonts w:ascii="仿宋" w:hAnsi="仿宋" w:eastAsia="仿宋"/>
          <w:sz w:val="32"/>
          <w:szCs w:val="32"/>
        </w:rPr>
        <w:t>%</w:t>
      </w:r>
      <w:r>
        <w:rPr>
          <w:rFonts w:hint="eastAsia" w:ascii="仿宋" w:hAnsi="仿宋" w:eastAsia="仿宋"/>
          <w:sz w:val="32"/>
          <w:szCs w:val="32"/>
        </w:rPr>
        <w:t>。主要变动原因是人员减少，经费相应减少。</w: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 w:hAnsi="仿宋" w:eastAsia="仿宋"/>
          <w:sz w:val="32"/>
          <w:szCs w:val="32"/>
        </w:rPr>
      </w:pPr>
      <w:r>
        <w:rPr>
          <w:rFonts w:ascii="仿宋" w:hAnsi="仿宋" w:eastAsia="仿宋"/>
          <w:sz w:val="32"/>
          <w:szCs w:val="32"/>
        </w:rPr>
        <w:drawing>
          <wp:anchor distT="0" distB="0" distL="0" distR="0" simplePos="0" relativeHeight="251661312" behindDoc="0" locked="0" layoutInCell="1" allowOverlap="1">
            <wp:simplePos x="0" y="0"/>
            <wp:positionH relativeFrom="column">
              <wp:posOffset>425450</wp:posOffset>
            </wp:positionH>
            <wp:positionV relativeFrom="paragraph">
              <wp:posOffset>-2438400</wp:posOffset>
            </wp:positionV>
            <wp:extent cx="4572000" cy="2743200"/>
            <wp:effectExtent l="19050" t="0" r="19050" b="0"/>
            <wp:wrapNone/>
            <wp:docPr id="2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spacing w:line="600" w:lineRule="exact"/>
        <w:ind w:firstLine="640" w:firstLineChars="200"/>
        <w:outlineLvl w:val="2"/>
        <w:rPr>
          <w:rFonts w:ascii="仿宋" w:hAnsi="仿宋" w:eastAsia="仿宋"/>
          <w:b/>
          <w:sz w:val="32"/>
          <w:szCs w:val="32"/>
        </w:rPr>
      </w:pPr>
      <w:bookmarkStart w:id="33" w:name="_Toc15377211"/>
      <w:r>
        <w:rPr>
          <w:rFonts w:hint="eastAsia" w:ascii="仿宋" w:hAnsi="仿宋" w:eastAsia="仿宋"/>
          <w:b/>
          <w:sz w:val="32"/>
          <w:szCs w:val="32"/>
        </w:rPr>
        <w:t>（二）一般公共预算财政拨款支出决算结构情况</w:t>
      </w:r>
      <w:bookmarkEnd w:id="33"/>
    </w:p>
    <w:p>
      <w:pPr>
        <w:spacing w:line="600" w:lineRule="exact"/>
        <w:ind w:firstLine="64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22年一般公共预算财政拨款支出923.87万元，主要用于以下方面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772.26万元，占83.59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61.64万元，占6.67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22.58万元，占2.44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67.39万元，占7.3</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ascii="仿宋" w:hAnsi="仿宋" w:eastAsia="仿宋"/>
          <w:sz w:val="32"/>
          <w:szCs w:val="32"/>
        </w:rPr>
      </w:pPr>
      <w:r>
        <w:drawing>
          <wp:anchor distT="0" distB="0" distL="114300" distR="114300" simplePos="0" relativeHeight="251667456"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0" w:firstLineChars="200"/>
        <w:outlineLvl w:val="2"/>
        <w:rPr>
          <w:rFonts w:ascii="仿宋" w:hAnsi="仿宋" w:eastAsia="仿宋"/>
          <w:b/>
          <w:sz w:val="32"/>
          <w:szCs w:val="32"/>
        </w:rPr>
      </w:pPr>
      <w:bookmarkStart w:id="34" w:name="_Toc15377212"/>
      <w:r>
        <w:rPr>
          <w:rFonts w:hint="eastAsia" w:ascii="仿宋" w:hAnsi="仿宋" w:eastAsia="仿宋"/>
          <w:b/>
          <w:sz w:val="32"/>
          <w:szCs w:val="32"/>
        </w:rPr>
        <w:t>（三）一般公共预算财政拨款支出决算具体情况</w:t>
      </w:r>
      <w:bookmarkEnd w:id="34"/>
    </w:p>
    <w:p>
      <w:pPr>
        <w:spacing w:line="600" w:lineRule="exact"/>
        <w:ind w:firstLine="640" w:firstLineChars="200"/>
        <w:outlineLvl w:val="2"/>
        <w:rPr>
          <w:rFonts w:ascii="仿宋" w:hAnsi="仿宋" w:eastAsia="仿宋"/>
          <w:sz w:val="32"/>
          <w:szCs w:val="32"/>
        </w:rPr>
      </w:pPr>
      <w:bookmarkStart w:id="35" w:name="_Toc15377213"/>
      <w:bookmarkStart w:id="36" w:name="_Toc15378460"/>
      <w:bookmarkStart w:id="37" w:name="_Toc15377444"/>
      <w:r>
        <w:rPr>
          <w:rFonts w:hint="eastAsia" w:ascii="仿宋" w:hAnsi="仿宋" w:eastAsia="仿宋"/>
          <w:b/>
          <w:sz w:val="32"/>
          <w:szCs w:val="32"/>
        </w:rPr>
        <w:t>2022年一般公共预算支出决算数为923.87</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35"/>
      <w:bookmarkEnd w:id="36"/>
      <w:bookmarkEnd w:id="37"/>
    </w:p>
    <w:p>
      <w:pPr>
        <w:spacing w:line="600" w:lineRule="exact"/>
        <w:ind w:firstLine="640" w:firstLineChars="200"/>
        <w:rPr>
          <w:rStyle w:val="18"/>
          <w:rFonts w:ascii="仿宋_GB2312" w:hAnsi="仿宋" w:eastAsia="仿宋_GB2312"/>
          <w:b w:val="0"/>
          <w:bCs/>
          <w:color w:val="000000"/>
          <w:sz w:val="32"/>
          <w:szCs w:val="32"/>
        </w:rPr>
      </w:pPr>
      <w:r>
        <w:rPr>
          <w:rStyle w:val="18"/>
          <w:rFonts w:ascii="仿宋" w:hAnsi="仿宋" w:eastAsia="仿宋"/>
          <w:bCs/>
          <w:sz w:val="32"/>
          <w:szCs w:val="32"/>
        </w:rPr>
        <w:t>1.</w:t>
      </w:r>
      <w:r>
        <w:rPr>
          <w:rStyle w:val="18"/>
          <w:rFonts w:hint="eastAsia" w:ascii="仿宋" w:hAnsi="仿宋" w:eastAsia="仿宋"/>
          <w:bCs/>
          <w:sz w:val="32"/>
          <w:szCs w:val="32"/>
        </w:rPr>
        <w:t>一般公共服务（类）</w:t>
      </w:r>
      <w:r>
        <w:rPr>
          <w:rStyle w:val="18"/>
          <w:rFonts w:hint="eastAsia" w:ascii="仿宋" w:hAnsi="仿宋" w:eastAsia="仿宋" w:cstheme="minorBidi"/>
          <w:bCs/>
          <w:sz w:val="32"/>
          <w:szCs w:val="32"/>
        </w:rPr>
        <w:t>人大事务（款）行政运行（项）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支出决算为691.78万元，完成预算100%</w:t>
      </w:r>
    </w:p>
    <w:p>
      <w:pPr>
        <w:spacing w:line="600" w:lineRule="exact"/>
        <w:ind w:firstLine="643" w:firstLineChars="200"/>
        <w:rPr>
          <w:rStyle w:val="18"/>
          <w:rFonts w:ascii="仿宋_GB2312" w:hAnsi="仿宋" w:eastAsia="仿宋_GB2312"/>
          <w:b w:val="0"/>
          <w:bCs/>
          <w:color w:val="000000"/>
          <w:sz w:val="32"/>
          <w:szCs w:val="32"/>
        </w:rPr>
      </w:pPr>
      <w:r>
        <w:rPr>
          <w:rStyle w:val="18"/>
          <w:rFonts w:hint="eastAsia" w:ascii="仿宋_GB2312" w:hAnsi="仿宋" w:eastAsia="仿宋_GB2312"/>
          <w:bCs/>
          <w:color w:val="000000"/>
          <w:sz w:val="32"/>
          <w:szCs w:val="32"/>
        </w:rPr>
        <w:t>2.</w:t>
      </w:r>
      <w:r>
        <w:rPr>
          <w:rStyle w:val="18"/>
          <w:rFonts w:hint="eastAsia" w:ascii="仿宋" w:hAnsi="仿宋" w:eastAsia="仿宋" w:cstheme="minorBidi"/>
          <w:bCs/>
          <w:sz w:val="32"/>
          <w:szCs w:val="32"/>
        </w:rPr>
        <w:t>一般公共服务（类）人大事务（款）一般行政管理事务（项）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支出决算为57.55万元，完成预算100%。</w:t>
      </w:r>
    </w:p>
    <w:p>
      <w:pPr>
        <w:spacing w:line="600" w:lineRule="exact"/>
        <w:ind w:firstLine="66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3.一般公共服务（类）人大事务（款）人大会议（项）</w:t>
      </w:r>
      <w:r>
        <w:rPr>
          <w:rStyle w:val="18"/>
          <w:rFonts w:hint="eastAsia" w:ascii="仿宋_GB2312" w:hAnsi="仿宋" w:eastAsia="仿宋_GB2312"/>
          <w:bCs/>
          <w:color w:val="000000"/>
          <w:sz w:val="32"/>
          <w:szCs w:val="32"/>
        </w:rPr>
        <w:t>:</w:t>
      </w:r>
    </w:p>
    <w:p>
      <w:pPr>
        <w:spacing w:line="600" w:lineRule="exact"/>
        <w:rPr>
          <w:rStyle w:val="18"/>
          <w:rFonts w:ascii="仿宋_GB2312" w:hAnsi="仿宋" w:eastAsia="仿宋_GB2312"/>
          <w:b w:val="0"/>
          <w:bCs/>
          <w:color w:val="000000"/>
          <w:sz w:val="32"/>
          <w:szCs w:val="32"/>
        </w:rPr>
      </w:pPr>
      <w:r>
        <w:rPr>
          <w:rStyle w:val="18"/>
          <w:rFonts w:hint="eastAsia" w:ascii="仿宋_GB2312" w:hAnsi="仿宋" w:eastAsia="仿宋_GB2312"/>
          <w:b w:val="0"/>
          <w:bCs/>
          <w:color w:val="000000"/>
          <w:sz w:val="32"/>
          <w:szCs w:val="32"/>
        </w:rPr>
        <w:t>支出决算为18.73万元，完成预算100%。</w:t>
      </w:r>
    </w:p>
    <w:p>
      <w:pPr>
        <w:spacing w:line="600" w:lineRule="exact"/>
        <w:ind w:firstLine="645"/>
        <w:rPr>
          <w:rStyle w:val="18"/>
          <w:rFonts w:ascii="仿宋_GB2312" w:hAnsi="仿宋" w:eastAsia="仿宋_GB2312"/>
          <w:b w:val="0"/>
          <w:bCs/>
          <w:color w:val="000000"/>
          <w:sz w:val="32"/>
          <w:szCs w:val="32"/>
        </w:rPr>
      </w:pPr>
      <w:r>
        <w:rPr>
          <w:rStyle w:val="18"/>
          <w:rFonts w:hint="eastAsia" w:ascii="仿宋_GB2312" w:hAnsi="仿宋" w:eastAsia="仿宋_GB2312"/>
          <w:bCs/>
          <w:color w:val="000000"/>
          <w:sz w:val="32"/>
          <w:szCs w:val="32"/>
        </w:rPr>
        <w:t>4.</w:t>
      </w:r>
      <w:r>
        <w:rPr>
          <w:rStyle w:val="18"/>
          <w:rFonts w:hint="eastAsia" w:ascii="仿宋" w:hAnsi="仿宋" w:eastAsia="仿宋" w:cstheme="minorBidi"/>
          <w:bCs/>
          <w:sz w:val="32"/>
          <w:szCs w:val="32"/>
        </w:rPr>
        <w:t>一般公共服务（类）人大事务（款）代表工作（项）</w:t>
      </w:r>
      <w:r>
        <w:rPr>
          <w:rStyle w:val="18"/>
          <w:rFonts w:hint="eastAsia" w:ascii="仿宋_GB2312" w:hAnsi="仿宋" w:eastAsia="仿宋_GB2312"/>
          <w:bCs/>
          <w:color w:val="000000"/>
          <w:sz w:val="32"/>
          <w:szCs w:val="32"/>
        </w:rPr>
        <w:t>:</w:t>
      </w:r>
    </w:p>
    <w:p>
      <w:pPr>
        <w:spacing w:line="600" w:lineRule="exact"/>
        <w:rPr>
          <w:rStyle w:val="18"/>
          <w:rFonts w:ascii="仿宋_GB2312" w:hAnsi="仿宋" w:eastAsia="仿宋_GB2312"/>
          <w:bCs/>
          <w:color w:val="000000"/>
          <w:sz w:val="32"/>
          <w:szCs w:val="32"/>
        </w:rPr>
      </w:pPr>
      <w:r>
        <w:rPr>
          <w:rStyle w:val="18"/>
          <w:rFonts w:hint="eastAsia" w:ascii="仿宋_GB2312" w:hAnsi="仿宋" w:eastAsia="仿宋_GB2312"/>
          <w:bCs/>
          <w:color w:val="000000"/>
          <w:sz w:val="32"/>
          <w:szCs w:val="32"/>
        </w:rPr>
        <w:t>支出决算为4.2万元，完成预算100%。</w:t>
      </w:r>
    </w:p>
    <w:p>
      <w:pPr>
        <w:pStyle w:val="28"/>
        <w:numPr>
          <w:ilvl w:val="0"/>
          <w:numId w:val="3"/>
        </w:numPr>
        <w:spacing w:line="600" w:lineRule="exact"/>
        <w:ind w:firstLineChars="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社会保障和就业（类）行政事业单位养老支出（款）机关事业单位基本养老保险缴费支出（项）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支出决算为45.89万元，完成预算100%。</w:t>
      </w:r>
    </w:p>
    <w:p>
      <w:pPr>
        <w:pStyle w:val="28"/>
        <w:numPr>
          <w:ilvl w:val="0"/>
          <w:numId w:val="3"/>
        </w:numPr>
        <w:spacing w:line="600" w:lineRule="exact"/>
        <w:ind w:firstLineChars="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社会保障和就业（类）行政事业单位养老支出（款） 机关事业单位职业年金缴费支出（项）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支出决算为11.79万元，完成预算100%。</w:t>
      </w:r>
    </w:p>
    <w:p>
      <w:pPr>
        <w:pStyle w:val="28"/>
        <w:numPr>
          <w:ilvl w:val="0"/>
          <w:numId w:val="3"/>
        </w:numPr>
        <w:spacing w:line="600" w:lineRule="exact"/>
        <w:ind w:firstLineChars="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社会保障和就业（类）行政事业单位养老支出（款）其他行政事业单位养老支出（项）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支出决算为3.96万元，完成预算100%。</w:t>
      </w:r>
    </w:p>
    <w:p>
      <w:pPr>
        <w:pStyle w:val="28"/>
        <w:numPr>
          <w:ilvl w:val="0"/>
          <w:numId w:val="3"/>
        </w:numPr>
        <w:spacing w:line="600" w:lineRule="exact"/>
        <w:ind w:firstLineChars="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卫生健康（类）行政事业单位医疗（款）行政单位医疗（项）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支出决算为17.63万元，完成预算100%。</w:t>
      </w:r>
    </w:p>
    <w:p>
      <w:pPr>
        <w:pStyle w:val="28"/>
        <w:numPr>
          <w:ilvl w:val="0"/>
          <w:numId w:val="3"/>
        </w:numPr>
        <w:spacing w:line="600" w:lineRule="exact"/>
        <w:ind w:firstLineChars="0"/>
        <w:rPr>
          <w:rStyle w:val="18"/>
          <w:rFonts w:ascii="仿宋_GB2312" w:hAnsi="仿宋" w:eastAsia="仿宋_GB2312"/>
          <w:b w:val="0"/>
          <w:bCs/>
          <w:color w:val="000000"/>
          <w:sz w:val="32"/>
          <w:szCs w:val="32"/>
        </w:rPr>
      </w:pPr>
      <w:r>
        <w:rPr>
          <w:rStyle w:val="18"/>
          <w:rFonts w:hint="eastAsia" w:ascii="仿宋" w:hAnsi="仿宋" w:eastAsia="仿宋" w:cstheme="minorBidi"/>
          <w:bCs/>
          <w:sz w:val="32"/>
          <w:szCs w:val="32"/>
        </w:rPr>
        <w:t>卫生健康（类）行政事业单位医疗（款）公务员医疗补助（项）</w:t>
      </w:r>
      <w:r>
        <w:rPr>
          <w:rStyle w:val="18"/>
          <w:rFonts w:hint="eastAsia" w:ascii="仿宋_GB2312" w:hAnsi="仿宋" w:eastAsia="仿宋_GB2312"/>
          <w:bCs/>
          <w:color w:val="000000"/>
          <w:sz w:val="32"/>
          <w:szCs w:val="32"/>
        </w:rPr>
        <w:t>:</w:t>
      </w:r>
      <w:r>
        <w:rPr>
          <w:rStyle w:val="18"/>
          <w:rFonts w:hint="eastAsia" w:ascii="仿宋_GB2312" w:hAnsi="仿宋" w:eastAsia="仿宋_GB2312"/>
          <w:b w:val="0"/>
          <w:bCs/>
          <w:color w:val="000000"/>
          <w:sz w:val="32"/>
          <w:szCs w:val="32"/>
        </w:rPr>
        <w:t>支出决算为4.95元，完成预算100%。</w:t>
      </w:r>
    </w:p>
    <w:p>
      <w:pPr>
        <w:pStyle w:val="28"/>
        <w:numPr>
          <w:ilvl w:val="0"/>
          <w:numId w:val="3"/>
        </w:numPr>
        <w:spacing w:line="600" w:lineRule="exact"/>
        <w:ind w:firstLineChars="0"/>
        <w:rPr>
          <w:rFonts w:ascii="仿宋_GB2312" w:hAnsi="仿宋" w:eastAsia="仿宋_GB2312"/>
          <w:bCs/>
          <w:color w:val="000000"/>
          <w:sz w:val="32"/>
          <w:szCs w:val="32"/>
        </w:rPr>
      </w:pPr>
      <w:r>
        <w:rPr>
          <w:rStyle w:val="18"/>
          <w:rFonts w:hint="eastAsia" w:ascii="仿宋" w:hAnsi="仿宋" w:eastAsia="仿宋" w:cstheme="minorBidi"/>
          <w:bCs/>
          <w:sz w:val="32"/>
          <w:szCs w:val="32"/>
        </w:rPr>
        <w:t>住房保障支出（类）住房改革支出（款）住房公积金（项）</w:t>
      </w:r>
      <w:r>
        <w:rPr>
          <w:rStyle w:val="18"/>
          <w:rFonts w:hint="eastAsia" w:hAnsi="仿宋"/>
          <w:bCs/>
          <w:color w:val="000000"/>
          <w:sz w:val="32"/>
          <w:szCs w:val="32"/>
        </w:rPr>
        <w:t xml:space="preserve">: </w:t>
      </w:r>
      <w:r>
        <w:rPr>
          <w:rStyle w:val="18"/>
          <w:rFonts w:hint="eastAsia" w:ascii="仿宋_GB2312" w:hAnsi="仿宋" w:eastAsia="仿宋_GB2312"/>
          <w:b w:val="0"/>
          <w:bCs/>
          <w:color w:val="000000"/>
          <w:sz w:val="32"/>
          <w:szCs w:val="32"/>
        </w:rPr>
        <w:t>支出决算为67.39万元，完成预算100%。</w:t>
      </w:r>
    </w:p>
    <w:p>
      <w:pPr>
        <w:tabs>
          <w:tab w:val="right" w:pos="8306"/>
        </w:tabs>
        <w:spacing w:line="600" w:lineRule="exact"/>
        <w:ind w:firstLine="640"/>
        <w:outlineLvl w:val="1"/>
        <w:rPr>
          <w:rStyle w:val="30"/>
        </w:rPr>
      </w:pPr>
      <w:bookmarkStart w:id="38" w:name="_Toc15396608"/>
      <w:bookmarkStart w:id="39"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38"/>
      <w:bookmarkEnd w:id="39"/>
      <w:r>
        <w:rPr>
          <w:rStyle w:val="30"/>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22年一般公共预算财政拨款基本支出843.39万元，其中：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749.32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xml:space="preserve">    公用经费94.07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0"/>
          <w:rFonts w:ascii="黑体" w:hAnsi="黑体" w:eastAsia="黑体"/>
          <w:b w:val="0"/>
        </w:rPr>
      </w:pPr>
      <w:bookmarkStart w:id="40" w:name="_Toc15396609"/>
      <w:bookmarkStart w:id="41" w:name="_Toc15377215"/>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40"/>
      <w:bookmarkEnd w:id="41"/>
    </w:p>
    <w:p>
      <w:pPr>
        <w:spacing w:line="600" w:lineRule="exact"/>
        <w:ind w:firstLine="640"/>
        <w:outlineLvl w:val="2"/>
        <w:rPr>
          <w:rFonts w:ascii="仿宋" w:hAnsi="仿宋" w:eastAsia="仿宋"/>
          <w:b/>
          <w:sz w:val="32"/>
          <w:szCs w:val="32"/>
        </w:rPr>
      </w:pPr>
      <w:bookmarkStart w:id="42" w:name="_Toc15377216"/>
      <w:r>
        <w:rPr>
          <w:rFonts w:hint="eastAsia" w:ascii="仿宋" w:hAnsi="仿宋" w:eastAsia="仿宋"/>
          <w:b/>
          <w:sz w:val="32"/>
          <w:szCs w:val="32"/>
        </w:rPr>
        <w:t>（一）“三公”经费财政拨款支出决算总体情况说明</w:t>
      </w:r>
      <w:bookmarkEnd w:id="42"/>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22年“三公”经费财政拨款支出决算为6.48万元，完成预算100</w:t>
      </w:r>
      <w:r>
        <w:rPr>
          <w:rFonts w:ascii="仿宋" w:hAnsi="仿宋" w:eastAsia="仿宋"/>
          <w:sz w:val="32"/>
          <w:szCs w:val="32"/>
        </w:rPr>
        <w:t>%</w:t>
      </w:r>
      <w:r>
        <w:rPr>
          <w:rFonts w:hint="eastAsia" w:ascii="仿宋" w:hAnsi="仿宋" w:eastAsia="仿宋"/>
          <w:sz w:val="32"/>
          <w:szCs w:val="32"/>
        </w:rPr>
        <w:t>，较上年增加4.1万元，增长172.26%。</w:t>
      </w:r>
    </w:p>
    <w:p>
      <w:pPr>
        <w:spacing w:line="600" w:lineRule="exact"/>
        <w:ind w:firstLine="640"/>
        <w:outlineLvl w:val="2"/>
        <w:rPr>
          <w:rFonts w:ascii="仿宋" w:hAnsi="仿宋" w:eastAsia="仿宋"/>
          <w:b/>
          <w:sz w:val="32"/>
          <w:szCs w:val="32"/>
        </w:rPr>
      </w:pPr>
      <w:bookmarkStart w:id="43" w:name="_Toc15377217"/>
      <w:r>
        <w:rPr>
          <w:rFonts w:hint="eastAsia" w:ascii="仿宋" w:hAnsi="仿宋" w:eastAsia="仿宋"/>
          <w:b/>
          <w:sz w:val="32"/>
          <w:szCs w:val="32"/>
        </w:rPr>
        <w:t>（二）“三公”经费财政拨款支出决算具体情况说明</w:t>
      </w:r>
      <w:bookmarkEnd w:id="43"/>
    </w:p>
    <w:p>
      <w:pPr>
        <w:spacing w:line="600" w:lineRule="exact"/>
        <w:ind w:firstLine="64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；公务用车购置及运行维护费支出决算0万元，占0</w:t>
      </w:r>
      <w:r>
        <w:rPr>
          <w:rFonts w:ascii="仿宋" w:hAnsi="仿宋" w:eastAsia="仿宋"/>
          <w:sz w:val="32"/>
          <w:szCs w:val="32"/>
        </w:rPr>
        <w:t>%</w:t>
      </w:r>
      <w:r>
        <w:rPr>
          <w:rFonts w:hint="eastAsia" w:ascii="仿宋" w:hAnsi="仿宋" w:eastAsia="仿宋"/>
          <w:sz w:val="32"/>
          <w:szCs w:val="32"/>
        </w:rPr>
        <w:t>；公务接待费支出决算6.48万元，占100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drawing>
          <wp:anchor distT="0" distB="0" distL="114300" distR="114300" simplePos="0" relativeHeight="251668480" behindDoc="0" locked="0" layoutInCell="1" allowOverlap="1">
            <wp:simplePos x="0" y="0"/>
            <wp:positionH relativeFrom="column">
              <wp:posOffset>448945</wp:posOffset>
            </wp:positionH>
            <wp:positionV relativeFrom="paragraph">
              <wp:posOffset>175895</wp:posOffset>
            </wp:positionV>
            <wp:extent cx="4572000" cy="2743200"/>
            <wp:effectExtent l="4445" t="4445" r="14605" b="14605"/>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hint="eastAsia" w:ascii="仿宋" w:hAnsi="仿宋" w:eastAsia="仿宋"/>
          <w:sz w:val="32"/>
          <w:szCs w:val="32"/>
        </w:rPr>
      </w:pPr>
    </w:p>
    <w:p>
      <w:pPr>
        <w:spacing w:line="600" w:lineRule="exact"/>
        <w:ind w:firstLine="640"/>
        <w:rPr>
          <w:rFonts w:ascii="仿宋" w:hAnsi="仿宋" w:eastAsia="仿宋"/>
          <w:sz w:val="32"/>
          <w:szCs w:val="32"/>
        </w:rPr>
      </w:pP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w:t>
      </w:r>
      <w:r>
        <w:rPr>
          <w:rFonts w:hint="eastAsia" w:ascii="仿宋_GB2312" w:eastAsia="仿宋_GB2312"/>
          <w:sz w:val="32"/>
          <w:szCs w:val="32"/>
        </w:rPr>
        <w:t>21年增加4.1元，增长172.26</w:t>
      </w:r>
      <w:r>
        <w:rPr>
          <w:rFonts w:ascii="仿宋_GB2312" w:eastAsia="仿宋_GB2312"/>
          <w:sz w:val="32"/>
          <w:szCs w:val="32"/>
        </w:rPr>
        <w:t>%</w:t>
      </w:r>
      <w:r>
        <w:rPr>
          <w:rFonts w:hint="eastAsia" w:ascii="仿宋_GB2312" w:eastAsia="仿宋_GB2312"/>
          <w:sz w:val="32"/>
          <w:szCs w:val="32"/>
        </w:rPr>
        <w:t>。主要原因是省人大联系沐川，上级来沐和其他地区人大来沐调研增多。</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0万元,</w:t>
      </w:r>
      <w:r>
        <w:rPr>
          <w:rStyle w:val="18"/>
          <w:rFonts w:hint="eastAsia" w:ascii="仿宋" w:hAnsi="仿宋" w:eastAsia="仿宋"/>
          <w:b w:val="0"/>
          <w:bCs/>
          <w:sz w:val="32"/>
          <w:szCs w:val="32"/>
        </w:rPr>
        <w:t>完成预算0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21年减少0.03万元，下降100</w:t>
      </w:r>
      <w:r>
        <w:rPr>
          <w:rFonts w:ascii="仿宋_GB2312" w:eastAsia="仿宋_GB2312"/>
          <w:sz w:val="32"/>
          <w:szCs w:val="32"/>
        </w:rPr>
        <w:t>%</w:t>
      </w:r>
      <w:r>
        <w:rPr>
          <w:rFonts w:hint="eastAsia" w:ascii="仿宋_GB2312" w:eastAsia="仿宋_GB2312"/>
          <w:sz w:val="32"/>
          <w:szCs w:val="32"/>
        </w:rPr>
        <w:t>。主要原因是机关事务服务中心统一管理汽车支出。</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月底，单位共有公务用车0辆，其中：轿车0辆、越野车0辆、载客汽车0辆。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0万元。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6.48万元，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21年增加4.1万元，增长172.26</w:t>
      </w:r>
      <w:r>
        <w:rPr>
          <w:rFonts w:ascii="仿宋_GB2312" w:eastAsia="仿宋_GB2312"/>
          <w:sz w:val="32"/>
          <w:szCs w:val="32"/>
        </w:rPr>
        <w:t>%</w:t>
      </w:r>
      <w:r>
        <w:rPr>
          <w:rFonts w:hint="eastAsia" w:ascii="仿宋_GB2312" w:eastAsia="仿宋_GB2312"/>
          <w:sz w:val="32"/>
          <w:szCs w:val="32"/>
        </w:rPr>
        <w:t>。主要原因是省人大联系沐川，上级来沐和其他地区人大来沐调研增多。</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6.48</w:t>
      </w:r>
      <w:r>
        <w:rPr>
          <w:rFonts w:hint="eastAsia" w:ascii="仿宋_GB2312" w:eastAsia="仿宋_GB2312"/>
          <w:sz w:val="32"/>
          <w:szCs w:val="32"/>
        </w:rPr>
        <w:t>万元，主要用于执行公务、开展业务活动开支住宿费、用餐费等。国内公务接待30批次，590人次，共计支出6.48万元，具体内容包括：主要是上级及相关区县调研学习产生的用费餐、住宿费用。</w:t>
      </w:r>
    </w:p>
    <w:p>
      <w:pPr>
        <w:spacing w:line="600" w:lineRule="exact"/>
        <w:ind w:firstLine="64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万元。外事接待0批次，0人次（不包括陪同人员），共计支出0万元。</w:t>
      </w:r>
      <w:bookmarkStart w:id="44" w:name="_Toc15396610"/>
      <w:bookmarkStart w:id="45" w:name="_Toc15377218"/>
    </w:p>
    <w:p>
      <w:pPr>
        <w:spacing w:line="600" w:lineRule="exact"/>
        <w:ind w:firstLine="640"/>
        <w:outlineLvl w:val="1"/>
        <w:rPr>
          <w:rStyle w:val="30"/>
          <w:rFonts w:ascii="黑体" w:hAnsi="黑体" w:eastAsia="黑体"/>
        </w:rPr>
      </w:pPr>
      <w:r>
        <w:rPr>
          <w:rFonts w:hint="eastAsia" w:ascii="黑体" w:eastAsia="黑体"/>
          <w:sz w:val="32"/>
          <w:szCs w:val="32"/>
        </w:rPr>
        <w:t>八、</w:t>
      </w:r>
      <w:r>
        <w:rPr>
          <w:rStyle w:val="30"/>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pPr>
        <w:numPr>
          <w:ilvl w:val="0"/>
          <w:numId w:val="4"/>
        </w:numPr>
        <w:spacing w:line="600" w:lineRule="exact"/>
        <w:ind w:firstLine="640"/>
        <w:outlineLvl w:val="1"/>
        <w:rPr>
          <w:rStyle w:val="30"/>
          <w:rFonts w:ascii="黑体" w:hAnsi="黑体" w:eastAsia="黑体"/>
          <w:b w:val="0"/>
        </w:rPr>
      </w:pPr>
      <w:bookmarkStart w:id="46" w:name="_Toc15396611"/>
      <w:bookmarkStart w:id="47" w:name="_Toc15377219"/>
      <w:r>
        <w:rPr>
          <w:rStyle w:val="30"/>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numPr>
          <w:ilvl w:val="0"/>
          <w:numId w:val="4"/>
        </w:numPr>
        <w:spacing w:line="600" w:lineRule="exact"/>
        <w:ind w:firstLine="640"/>
        <w:outlineLvl w:val="1"/>
        <w:rPr>
          <w:rStyle w:val="30"/>
          <w:rFonts w:ascii="黑体" w:hAnsi="黑体" w:eastAsia="黑体"/>
          <w:b w:val="0"/>
        </w:rPr>
      </w:pPr>
      <w:bookmarkStart w:id="48" w:name="_Toc15377221"/>
      <w:bookmarkStart w:id="49" w:name="_Toc15396612"/>
      <w:r>
        <w:rPr>
          <w:rStyle w:val="30"/>
          <w:rFonts w:hint="eastAsia" w:ascii="黑体" w:hAnsi="黑体" w:eastAsia="黑体"/>
          <w:b w:val="0"/>
        </w:rPr>
        <w:t>其他重要事项的情况说明</w:t>
      </w:r>
      <w:bookmarkEnd w:id="48"/>
      <w:bookmarkEnd w:id="49"/>
    </w:p>
    <w:p>
      <w:pPr>
        <w:spacing w:line="600" w:lineRule="exact"/>
        <w:ind w:firstLine="640" w:firstLineChars="200"/>
        <w:outlineLvl w:val="2"/>
        <w:rPr>
          <w:rFonts w:ascii="仿宋" w:hAnsi="仿宋" w:eastAsia="仿宋"/>
          <w:sz w:val="32"/>
          <w:szCs w:val="32"/>
        </w:rPr>
      </w:pPr>
      <w:bookmarkStart w:id="50" w:name="_Toc15377222"/>
      <w:r>
        <w:rPr>
          <w:rFonts w:hint="eastAsia" w:ascii="仿宋" w:hAnsi="仿宋" w:eastAsia="仿宋"/>
          <w:b/>
          <w:sz w:val="32"/>
          <w:szCs w:val="32"/>
        </w:rPr>
        <w:t>（一）机关运行经费支出情况</w:t>
      </w:r>
      <w:bookmarkEnd w:id="5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22年，沐川县人大办机关运行经费支出94.07万元，比</w:t>
      </w:r>
      <w:r>
        <w:rPr>
          <w:rFonts w:ascii="仿宋_GB2312" w:eastAsia="仿宋_GB2312"/>
          <w:sz w:val="32"/>
          <w:szCs w:val="32"/>
        </w:rPr>
        <w:t>20</w:t>
      </w:r>
      <w:r>
        <w:rPr>
          <w:rFonts w:hint="eastAsia" w:ascii="仿宋_GB2312" w:eastAsia="仿宋_GB2312"/>
          <w:sz w:val="32"/>
          <w:szCs w:val="32"/>
        </w:rPr>
        <w:t>21年增加11.18万元，增长13.48</w:t>
      </w:r>
      <w:r>
        <w:rPr>
          <w:rFonts w:ascii="仿宋_GB2312" w:eastAsia="仿宋_GB2312"/>
          <w:sz w:val="32"/>
          <w:szCs w:val="32"/>
        </w:rPr>
        <w:t>%</w:t>
      </w:r>
      <w:r>
        <w:rPr>
          <w:rFonts w:hint="eastAsia" w:ascii="仿宋_GB2312" w:eastAsia="仿宋_GB2312"/>
          <w:sz w:val="32"/>
          <w:szCs w:val="32"/>
        </w:rPr>
        <w:t>，主要原因是为此了会议室等。</w:t>
      </w:r>
    </w:p>
    <w:p>
      <w:pPr>
        <w:autoSpaceDE w:val="0"/>
        <w:autoSpaceDN w:val="0"/>
        <w:adjustRightInd w:val="0"/>
        <w:spacing w:line="600" w:lineRule="exact"/>
        <w:ind w:firstLine="640" w:firstLineChars="200"/>
        <w:jc w:val="left"/>
        <w:outlineLvl w:val="2"/>
        <w:rPr>
          <w:rFonts w:ascii="仿宋" w:hAnsi="仿宋" w:eastAsia="仿宋"/>
          <w:b/>
          <w:sz w:val="32"/>
          <w:szCs w:val="32"/>
        </w:rPr>
      </w:pPr>
      <w:bookmarkStart w:id="51" w:name="_Toc15377223"/>
      <w:r>
        <w:rPr>
          <w:rFonts w:hint="eastAsia" w:ascii="仿宋" w:hAnsi="仿宋" w:eastAsia="仿宋"/>
          <w:b/>
          <w:sz w:val="32"/>
          <w:szCs w:val="32"/>
        </w:rPr>
        <w:t>（二）政府采购支出情况</w:t>
      </w:r>
      <w:bookmarkEnd w:id="5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22年，沐川县人大办政府采购支出总额9.31万元，其中：政府采购货物支出9.31万元、政府采购工程支出0万元、政府采购服务支出0万元。主要用于办公。授予中小企业合同金额0万元，占政府采购支出总额的0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0" w:firstLineChars="200"/>
        <w:jc w:val="left"/>
        <w:outlineLvl w:val="2"/>
        <w:rPr>
          <w:rFonts w:ascii="仿宋" w:hAnsi="仿宋" w:eastAsia="仿宋"/>
          <w:b/>
          <w:sz w:val="32"/>
          <w:szCs w:val="32"/>
        </w:rPr>
      </w:pPr>
      <w:bookmarkStart w:id="52" w:name="_Toc15377224"/>
      <w:r>
        <w:rPr>
          <w:rFonts w:hint="eastAsia" w:ascii="仿宋" w:hAnsi="仿宋" w:eastAsia="仿宋"/>
          <w:b/>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日，沐川县人大办共有车辆0辆，其中：主要领导干部用车0辆、机要通信用车0辆、应急保障用车0辆、其他用车0辆。单价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0"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组织对人代会会议费项目等3个项目开展了预算事前绩效评估，对3个项目编制了绩效目标，预算执行过程中，选取1个项目开展绩效监控，同时，本部门对2021年部门整体开展绩效自评，《2021年沐川县人大办部门整体绩效评价报告》见附件。</w:t>
      </w: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ind w:firstLine="640" w:firstLineChars="200"/>
        <w:jc w:val="left"/>
        <w:rPr>
          <w:rFonts w:ascii="仿宋_GB2312" w:eastAsia="仿宋_GB2312"/>
          <w:b/>
          <w:sz w:val="32"/>
          <w:szCs w:val="32"/>
        </w:rPr>
      </w:pPr>
      <w:r>
        <w:rPr>
          <w:rFonts w:hint="eastAsia" w:ascii="仿宋_GB2312" w:hAnsi="仿宋_GB2312" w:eastAsia="仿宋_GB2312" w:cs="仿宋_GB2312"/>
          <w:sz w:val="32"/>
          <w:szCs w:val="32"/>
        </w:rPr>
        <w:t xml:space="preserve">           </w:t>
      </w: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29"/>
          <w:rFonts w:ascii="黑体" w:hAnsi="黑体" w:eastAsia="黑体"/>
          <w:b w:val="0"/>
        </w:rPr>
      </w:pPr>
      <w:bookmarkStart w:id="53" w:name="_Toc15377225"/>
      <w:bookmarkStart w:id="54" w:name="_Toc15396613"/>
      <w:r>
        <w:rPr>
          <w:rFonts w:hint="eastAsia" w:ascii="黑体" w:hAnsi="黑体" w:eastAsia="黑体"/>
          <w:sz w:val="44"/>
          <w:szCs w:val="44"/>
        </w:rPr>
        <w:t>名</w:t>
      </w:r>
      <w:r>
        <w:rPr>
          <w:rStyle w:val="29"/>
          <w:rFonts w:hint="eastAsia" w:ascii="黑体" w:hAnsi="黑体" w:eastAsia="黑体"/>
          <w:b w:val="0"/>
        </w:rPr>
        <w:t>词解释</w:t>
      </w:r>
      <w:bookmarkEnd w:id="53"/>
      <w:bookmarkEnd w:id="54"/>
    </w:p>
    <w:p>
      <w:pPr>
        <w:spacing w:line="600" w:lineRule="exact"/>
        <w:jc w:val="left"/>
        <w:rPr>
          <w:rFonts w:ascii="宋体"/>
          <w:b/>
          <w:sz w:val="44"/>
          <w:szCs w:val="44"/>
        </w:rPr>
      </w:pP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ascii="仿宋_GB2312" w:eastAsia="仿宋_GB2312"/>
          <w:color w:val="auto"/>
          <w:sz w:val="32"/>
          <w:szCs w:val="32"/>
        </w:rPr>
        <w:t>.</w:t>
      </w:r>
      <w:r>
        <w:rPr>
          <w:rFonts w:hint="eastAsia" w:ascii="仿宋_GB2312" w:eastAsia="仿宋_GB2312"/>
          <w:color w:val="auto"/>
          <w:sz w:val="32"/>
          <w:szCs w:val="32"/>
        </w:rPr>
        <w:t>其他收入：指单位取得的除上述收入以外的各项收入。主要是利息收入等。</w:t>
      </w:r>
    </w:p>
    <w:p>
      <w:pPr>
        <w:ind w:firstLine="640" w:firstLineChars="200"/>
        <w:rPr>
          <w:rFonts w:ascii="仿宋_GB2312" w:eastAsia="仿宋_GB2312"/>
          <w:color w:val="000000"/>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color w:val="000000"/>
          <w:sz w:val="32"/>
          <w:szCs w:val="32"/>
        </w:rPr>
        <w:t xml:space="preserve"> 一般公共服务（类）</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（1）人大事务（款）行政运行（项）：指人大机关基本支出。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（2）人大事务（款）一般行政管理事务（项）：指人大机关开展专项检查、执法调研等支出的调研考察费，人大常委会、</w:t>
      </w:r>
      <w:r>
        <w:rPr>
          <w:rFonts w:hint="eastAsia" w:ascii="仿宋_GB2312" w:eastAsia="仿宋_GB2312"/>
          <w:color w:val="000000"/>
          <w:sz w:val="32"/>
          <w:szCs w:val="32"/>
          <w:lang w:eastAsia="zh-CN"/>
        </w:rPr>
        <w:t>人大常委会主任</w:t>
      </w:r>
      <w:r>
        <w:rPr>
          <w:rFonts w:hint="eastAsia" w:ascii="仿宋_GB2312" w:eastAsia="仿宋_GB2312"/>
          <w:color w:val="000000"/>
          <w:sz w:val="32"/>
          <w:szCs w:val="32"/>
        </w:rPr>
        <w:t>会支出的会议费等。</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（3）人大事务（款）代表工作（项）：代表更好的履职所开展调研等经费支出。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4.社会保障和就业（类）</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（1）行政事业单位离退休费（款）机关事业单位基本养老保险缴费支出（项）：指机关职工养老保险。</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（2）行政事业单位离退休费（款）机关事业单位职业年金缴费支出（项）：指机关当年退休职工职业年金单位部分。</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（3）行政事业单位离退休费（款）  其他行政事业单位养老支出（项）：指养老保险重算退休职工的独生子女费。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5．医疗卫生与计划生育支出（类）</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（1）医疗保障（款）行政单位医疗（项）：指机关职工基本医疗保险。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（2）医疗保障（款）公务员医疗补助（项）：指机关职工公务员医疗补助。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6．住房保障支出（类）住房改革支出（款）住房公积金（项）：指职工住房公积金。</w:t>
      </w:r>
    </w:p>
    <w:p>
      <w:pPr>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9</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10</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9"/>
          <w:rFonts w:ascii="黑体" w:hAnsi="黑体" w:eastAsia="黑体"/>
          <w:b w:val="0"/>
        </w:rPr>
      </w:pPr>
      <w:bookmarkStart w:id="55" w:name="_Toc15377226"/>
      <w:r>
        <w:rPr>
          <w:rFonts w:ascii="宋体"/>
          <w:b/>
          <w:sz w:val="44"/>
          <w:szCs w:val="44"/>
        </w:rPr>
        <w:br w:type="page"/>
      </w:r>
      <w:bookmarkStart w:id="56" w:name="_Toc15396614"/>
      <w:r>
        <w:rPr>
          <w:rFonts w:hint="eastAsia" w:ascii="黑体" w:hAnsi="黑体" w:eastAsia="黑体"/>
          <w:sz w:val="44"/>
          <w:szCs w:val="44"/>
        </w:rPr>
        <w:t>第</w:t>
      </w:r>
      <w:r>
        <w:rPr>
          <w:rStyle w:val="29"/>
          <w:rFonts w:hint="eastAsia" w:ascii="黑体" w:hAnsi="黑体" w:eastAsia="黑体"/>
          <w:b w:val="0"/>
        </w:rPr>
        <w:t>四部分 附件</w:t>
      </w:r>
      <w:bookmarkEnd w:id="56"/>
    </w:p>
    <w:p>
      <w:pPr>
        <w:spacing w:line="572" w:lineRule="exact"/>
        <w:jc w:val="left"/>
        <w:outlineLvl w:val="0"/>
        <w:rPr>
          <w:rFonts w:ascii="方正小标宋简体" w:hAnsi="方正小标宋简体" w:eastAsia="黑体" w:cs="方正小标宋简体"/>
          <w:sz w:val="44"/>
          <w:szCs w:val="44"/>
        </w:rPr>
      </w:pPr>
      <w:r>
        <w:rPr>
          <w:rFonts w:hint="eastAsia" w:ascii="黑体" w:hAnsi="黑体" w:eastAsia="黑体" w:cs="黑体"/>
          <w:sz w:val="32"/>
          <w:szCs w:val="32"/>
        </w:rPr>
        <w:t>附件1</w:t>
      </w:r>
    </w:p>
    <w:p>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2022年沐川县人大办部门整体绩效评价报告</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pPr>
        <w:widowControl/>
        <w:numPr>
          <w:ilvl w:val="0"/>
          <w:numId w:val="6"/>
        </w:numPr>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lang w:val="zh-CN"/>
        </w:rPr>
        <w:t>部门（单位）基本情况</w:t>
      </w:r>
    </w:p>
    <w:p>
      <w:pPr>
        <w:pStyle w:val="28"/>
        <w:widowControl/>
        <w:numPr>
          <w:ilvl w:val="0"/>
          <w:numId w:val="7"/>
        </w:numPr>
        <w:adjustRightInd w:val="0"/>
        <w:snapToGrid w:val="0"/>
        <w:spacing w:line="580" w:lineRule="exact"/>
        <w:ind w:firstLineChars="0"/>
        <w:jc w:val="left"/>
        <w:rPr>
          <w:rFonts w:ascii="仿宋_GB2312" w:hAnsi="仿宋" w:eastAsia="仿宋_GB2312" w:cs="仿宋_GB2312"/>
          <w:sz w:val="32"/>
          <w:szCs w:val="32"/>
        </w:rPr>
      </w:pPr>
      <w:r>
        <w:rPr>
          <w:rFonts w:hint="eastAsia" w:ascii="仿宋_GB2312" w:hAnsi="仿宋" w:eastAsia="仿宋_GB2312" w:cs="仿宋_GB2312"/>
          <w:sz w:val="32"/>
          <w:szCs w:val="32"/>
        </w:rPr>
        <w:t>机构组成：</w:t>
      </w:r>
    </w:p>
    <w:p>
      <w:pPr>
        <w:widowControl/>
        <w:adjustRightInd w:val="0"/>
        <w:snapToGrid w:val="0"/>
        <w:spacing w:line="580" w:lineRule="exact"/>
        <w:ind w:firstLine="480" w:firstLineChars="150"/>
        <w:jc w:val="left"/>
        <w:rPr>
          <w:rFonts w:ascii="仿宋_GB2312" w:hAnsi="仿宋" w:eastAsia="仿宋_GB2312" w:cs="仿宋_GB2312"/>
          <w:sz w:val="32"/>
          <w:szCs w:val="32"/>
        </w:rPr>
      </w:pPr>
      <w:r>
        <w:rPr>
          <w:rFonts w:hint="eastAsia" w:ascii="仿宋_GB2312" w:hAnsi="仿宋" w:eastAsia="仿宋_GB2312" w:cs="仿宋_GB2312"/>
          <w:sz w:val="32"/>
          <w:szCs w:val="32"/>
        </w:rPr>
        <w:t>沐川</w:t>
      </w:r>
      <w:r>
        <w:rPr>
          <w:rFonts w:hint="eastAsia" w:ascii="仿宋_GB2312" w:hAnsi="仿宋" w:eastAsia="仿宋_GB2312" w:cs="仿宋_GB2312"/>
          <w:sz w:val="32"/>
          <w:szCs w:val="32"/>
          <w:lang w:eastAsia="zh-CN"/>
        </w:rPr>
        <w:t>县人大常委会办公室</w:t>
      </w:r>
      <w:r>
        <w:rPr>
          <w:rFonts w:hint="eastAsia" w:ascii="仿宋_GB2312" w:hAnsi="仿宋" w:eastAsia="仿宋_GB2312" w:cs="仿宋_GB2312"/>
          <w:sz w:val="32"/>
          <w:szCs w:val="32"/>
        </w:rPr>
        <w:t>是属一级预算行政单位。单位执行行政事业会计独立核算机构。编制数9人，其中：行政8人，机关工勤1人。</w:t>
      </w:r>
    </w:p>
    <w:p>
      <w:pPr>
        <w:pStyle w:val="28"/>
        <w:widowControl/>
        <w:numPr>
          <w:ilvl w:val="0"/>
          <w:numId w:val="7"/>
        </w:numPr>
        <w:adjustRightInd w:val="0"/>
        <w:snapToGrid w:val="0"/>
        <w:spacing w:line="580" w:lineRule="exact"/>
        <w:ind w:firstLineChars="0"/>
        <w:jc w:val="left"/>
        <w:rPr>
          <w:rFonts w:ascii="仿宋_GB2312" w:hAnsi="仿宋" w:eastAsia="仿宋_GB2312" w:cs="仿宋_GB2312"/>
          <w:sz w:val="32"/>
          <w:szCs w:val="32"/>
        </w:rPr>
      </w:pPr>
      <w:r>
        <w:rPr>
          <w:rFonts w:hint="eastAsia" w:ascii="仿宋_GB2312" w:hAnsi="仿宋" w:eastAsia="仿宋_GB2312" w:cs="仿宋_GB2312"/>
          <w:sz w:val="32"/>
          <w:szCs w:val="32"/>
        </w:rPr>
        <w:t>机构职能：</w:t>
      </w:r>
    </w:p>
    <w:p>
      <w:pPr>
        <w:spacing w:line="540" w:lineRule="exact"/>
        <w:ind w:firstLine="480" w:firstLineChars="150"/>
        <w:jc w:val="left"/>
        <w:rPr>
          <w:rFonts w:ascii="仿宋_GB2312" w:hAnsi="仿宋" w:eastAsia="仿宋_GB2312" w:cs="仿宋_GB2312"/>
          <w:sz w:val="32"/>
          <w:szCs w:val="32"/>
        </w:rPr>
      </w:pPr>
      <w:r>
        <w:rPr>
          <w:rFonts w:hint="eastAsia" w:ascii="仿宋_GB2312" w:hAnsi="仿宋" w:eastAsia="仿宋_GB2312" w:cs="仿宋_GB2312"/>
          <w:sz w:val="32"/>
          <w:szCs w:val="32"/>
        </w:rPr>
        <w:t>人大办公室主要工作职能：负责人代会、常委会、主任会等有关会议的会务工作；机关学习、目标考核、考勤、文书档案、保密</w:t>
      </w:r>
      <w:bookmarkStart w:id="71" w:name="_GoBack"/>
      <w:bookmarkEnd w:id="71"/>
      <w:r>
        <w:rPr>
          <w:rFonts w:hint="eastAsia" w:ascii="仿宋_GB2312" w:hAnsi="仿宋" w:eastAsia="仿宋_GB2312" w:cs="仿宋_GB2312"/>
          <w:sz w:val="32"/>
          <w:szCs w:val="32"/>
        </w:rPr>
        <w:t>、人事、财务、工会、宣传、保卫、收发、老干部等机关管理和后勤接待等日常事务工作；开展执法检查和各类调研，为人大常委会服好务；组织市县人大代表开展视察活动，督促人大代表提出的建议意见办理和县人大常委会提出的审议意见的落实；受理并协调处理群众来信来访；完成上级人大和县人大常委会领导交办的其他工作。</w:t>
      </w:r>
    </w:p>
    <w:p>
      <w:pPr>
        <w:pStyle w:val="28"/>
        <w:numPr>
          <w:ilvl w:val="0"/>
          <w:numId w:val="7"/>
        </w:numPr>
        <w:spacing w:line="540" w:lineRule="exact"/>
        <w:ind w:firstLineChars="0"/>
        <w:jc w:val="left"/>
        <w:rPr>
          <w:rFonts w:ascii="仿宋_GB2312" w:hAnsi="仿宋" w:eastAsia="仿宋_GB2312" w:cs="仿宋_GB2312"/>
          <w:sz w:val="32"/>
          <w:szCs w:val="32"/>
        </w:rPr>
      </w:pPr>
      <w:r>
        <w:rPr>
          <w:rFonts w:hint="eastAsia" w:ascii="仿宋_GB2312" w:hAnsi="仿宋" w:eastAsia="仿宋_GB2312" w:cs="仿宋_GB2312"/>
          <w:sz w:val="32"/>
          <w:szCs w:val="32"/>
        </w:rPr>
        <w:t>人员概况：</w:t>
      </w:r>
    </w:p>
    <w:p>
      <w:pPr>
        <w:pStyle w:val="28"/>
        <w:widowControl/>
        <w:adjustRightInd w:val="0"/>
        <w:snapToGrid w:val="0"/>
        <w:spacing w:line="580" w:lineRule="exact"/>
        <w:ind w:left="160" w:leftChars="76" w:firstLine="480" w:firstLineChars="150"/>
        <w:jc w:val="left"/>
        <w:rPr>
          <w:rFonts w:ascii="仿宋_GB2312" w:hAnsi="仿宋" w:eastAsia="仿宋_GB2312" w:cs="仿宋_GB2312"/>
          <w:sz w:val="32"/>
          <w:szCs w:val="32"/>
        </w:rPr>
      </w:pPr>
      <w:r>
        <w:rPr>
          <w:rFonts w:hint="eastAsia" w:ascii="仿宋_GB2312" w:hAnsi="仿宋" w:eastAsia="仿宋_GB2312" w:cs="仿宋_GB2312"/>
          <w:sz w:val="32"/>
          <w:szCs w:val="32"/>
        </w:rPr>
        <w:t>机关现有在职人员47名，其中：行政41人，机关工勤1人，借调的机关工勤2名，长聘人员2人。</w:t>
      </w:r>
    </w:p>
    <w:p>
      <w:pPr>
        <w:pStyle w:val="28"/>
        <w:widowControl/>
        <w:numPr>
          <w:ilvl w:val="0"/>
          <w:numId w:val="7"/>
        </w:numPr>
        <w:adjustRightInd w:val="0"/>
        <w:snapToGrid w:val="0"/>
        <w:spacing w:line="560" w:lineRule="exact"/>
        <w:ind w:firstLineChars="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部门整体支出绩效目标。</w:t>
      </w:r>
    </w:p>
    <w:p>
      <w:pPr>
        <w:widowControl/>
        <w:adjustRightInd w:val="0"/>
        <w:snapToGrid w:val="0"/>
        <w:spacing w:line="560" w:lineRule="exact"/>
        <w:ind w:firstLine="660"/>
        <w:contextualSpacing/>
        <w:jc w:val="left"/>
        <w:rPr>
          <w:rFonts w:ascii="仿宋_GB2312" w:hAnsi="楷体_GB2312" w:eastAsia="仿宋_GB2312" w:cs="楷体_GB2312"/>
          <w:bCs/>
          <w:kern w:val="0"/>
          <w:sz w:val="32"/>
          <w:szCs w:val="32"/>
          <w:shd w:val="clear" w:color="auto" w:fill="FFFFFF"/>
          <w:lang w:val="zh-CN"/>
        </w:rPr>
      </w:pPr>
      <w:r>
        <w:rPr>
          <w:rFonts w:hint="eastAsia" w:ascii="仿宋_GB2312" w:hAnsi="楷体_GB2312" w:eastAsia="仿宋_GB2312" w:cs="楷体_GB2312"/>
          <w:bCs/>
          <w:kern w:val="0"/>
          <w:sz w:val="32"/>
          <w:szCs w:val="32"/>
          <w:shd w:val="clear" w:color="auto" w:fill="FFFFFF"/>
          <w:lang w:val="zh-CN"/>
        </w:rPr>
        <w:t>保障人代会、常委会、主任会等有关会议等会务工作的正常开展；负责机关学习、目标考核、考勤、文书档案、保密、人事、财务、工会、宣传、保卫、收发、老干部等机关管理和后勤接待等日常事务工作；开展执法检查和各类调研，为人大常委会服好务；组织市县人大代表开展视察活动，督促人大代表提出的建议意见办理和县人大常委会提出的审议意见的落实；受理并协调处理群众来信来访；完成上级人大和县人大常委会领导交办的其他工作</w:t>
      </w:r>
    </w:p>
    <w:p>
      <w:pPr>
        <w:widowControl/>
        <w:adjustRightInd w:val="0"/>
        <w:snapToGrid w:val="0"/>
        <w:spacing w:line="560" w:lineRule="exact"/>
        <w:ind w:firstLine="66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二、部门资金收支情况</w:t>
      </w:r>
    </w:p>
    <w:p>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（一）部门总体收支情况。</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1.部门总体收入情况</w:t>
      </w:r>
    </w:p>
    <w:p>
      <w:pPr>
        <w:widowControl/>
        <w:adjustRightInd w:val="0"/>
        <w:snapToGrid w:val="0"/>
        <w:spacing w:line="58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2022年县人大办收入923.87万元。其中基本支出收入843.39万元，项目支出收入80.48万元。</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2.部门总体支出情况</w:t>
      </w:r>
    </w:p>
    <w:p>
      <w:pPr>
        <w:widowControl/>
        <w:adjustRightInd w:val="0"/>
        <w:snapToGrid w:val="0"/>
        <w:spacing w:line="58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2022年县人大办支出923.87万元。其中基本支出843.39万元，项目支出80.48万元。</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3.部门总体结转结余情况</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2022年度县人大办无结转结余资金。</w:t>
      </w:r>
    </w:p>
    <w:p>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（二）部门财政拨款收支情况。</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1.部门财政拨款收入情况</w:t>
      </w:r>
    </w:p>
    <w:p>
      <w:pPr>
        <w:widowControl/>
        <w:adjustRightInd w:val="0"/>
        <w:snapToGrid w:val="0"/>
        <w:spacing w:line="58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2022年县人大办财政拨款收入923.87万元。其中基本支出财政拨款收入843.39万元，项目支出财政拨款收入80.48万元。</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2.部门财政拨款支出情况</w:t>
      </w:r>
    </w:p>
    <w:p>
      <w:pPr>
        <w:widowControl/>
        <w:adjustRightInd w:val="0"/>
        <w:snapToGrid w:val="0"/>
        <w:spacing w:line="58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2022年县人大办财政拨款支出923.87万元。其中财政拨款基本支出843.39万元，财政拨款项目支出80.48万元。</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3.部门财政拨款结转结余情况</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2022年度县人大办财政拨款无结转结余资金。</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三、部门整体绩效分析</w:t>
      </w:r>
    </w:p>
    <w:p>
      <w:pPr>
        <w:widowControl/>
        <w:adjustRightInd w:val="0"/>
        <w:snapToGrid w:val="0"/>
        <w:spacing w:line="540" w:lineRule="exact"/>
        <w:ind w:firstLine="720"/>
        <w:jc w:val="left"/>
        <w:rPr>
          <w:rFonts w:hint="eastAsia"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（一）部门预算项目绩效分析。</w:t>
      </w:r>
    </w:p>
    <w:p>
      <w:pPr>
        <w:widowControl/>
        <w:adjustRightInd w:val="0"/>
        <w:snapToGrid w:val="0"/>
        <w:spacing w:line="540" w:lineRule="exact"/>
        <w:ind w:firstLine="720"/>
        <w:jc w:val="left"/>
        <w:rPr>
          <w:rFonts w:ascii="仿宋_GB2312" w:hAnsi="仿宋" w:eastAsia="仿宋_GB2312" w:cs="仿宋_GB2312"/>
          <w:sz w:val="32"/>
          <w:szCs w:val="32"/>
        </w:rPr>
      </w:pPr>
      <w:r>
        <w:rPr>
          <w:rFonts w:hint="eastAsia" w:ascii="仿宋_GB2312" w:hAnsi="仿宋" w:eastAsia="仿宋_GB2312" w:cs="仿宋_GB2312"/>
          <w:sz w:val="32"/>
          <w:szCs w:val="32"/>
        </w:rPr>
        <w:t>1、预算编制。按照县财政局2022年部门预算编制通知要求，按时完成部门年初预算编制工作。在编制过程中，认真核实单位实际财政供养人数和单位实有编制情况，正确编制人员经费和公用经费等，做到尽量细化项目资金支出预算范围和科目，及时上报相关股室进行审核，对所编制的预算予以调整通过。</w:t>
      </w:r>
    </w:p>
    <w:p>
      <w:pPr>
        <w:widowControl/>
        <w:adjustRightInd w:val="0"/>
        <w:snapToGrid w:val="0"/>
        <w:spacing w:line="540" w:lineRule="exact"/>
        <w:ind w:firstLine="720"/>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2、认真编制部门年度决算报表。为真实、准确反应单位年度财务收、支情况，根据县财政的要求，认真开展部门年度决算报表编制工作。按照政府收支分类科目和财务报表支出情况编制部门决算，决算收入、支出口径与财政局国库股、预算股和行政政法股以及财政大平台核对无误，报表编制无差错。</w:t>
      </w:r>
    </w:p>
    <w:p>
      <w:pPr>
        <w:widowControl/>
        <w:adjustRightInd w:val="0"/>
        <w:snapToGrid w:val="0"/>
        <w:spacing w:line="540" w:lineRule="exact"/>
        <w:ind w:firstLine="720"/>
        <w:jc w:val="left"/>
        <w:rPr>
          <w:rFonts w:ascii="仿宋_GB2312" w:hAnsi="仿宋" w:eastAsia="仿宋_GB2312" w:cs="仿宋_GB2312"/>
          <w:sz w:val="32"/>
          <w:szCs w:val="32"/>
        </w:rPr>
      </w:pPr>
      <w:r>
        <w:rPr>
          <w:rFonts w:hint="eastAsia" w:ascii="仿宋_GB2312" w:hAnsi="仿宋" w:eastAsia="仿宋_GB2312" w:cs="仿宋_GB2312"/>
          <w:sz w:val="32"/>
          <w:szCs w:val="32"/>
        </w:rPr>
        <w:t>3、项目预算管理。按照年初预算项目，严格按照用款计划，分月或一次性申报，按照项目资金管理办法实行专款专用。在保障了机关正常运转的同时，认真履行好部门职能职责。</w:t>
      </w:r>
    </w:p>
    <w:p>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（二）部门整体履职绩效分析。</w:t>
      </w:r>
    </w:p>
    <w:p>
      <w:pPr>
        <w:widowControl/>
        <w:adjustRightInd w:val="0"/>
        <w:snapToGrid w:val="0"/>
        <w:spacing w:line="560" w:lineRule="exact"/>
        <w:ind w:firstLine="660"/>
        <w:contextualSpacing/>
        <w:jc w:val="left"/>
        <w:rPr>
          <w:rFonts w:ascii="仿宋_GB2312" w:hAnsi="楷体_GB2312" w:eastAsia="仿宋_GB2312" w:cs="楷体_GB2312"/>
          <w:bCs/>
          <w:kern w:val="0"/>
          <w:sz w:val="32"/>
          <w:szCs w:val="32"/>
          <w:shd w:val="clear" w:color="auto" w:fill="FFFFFF"/>
          <w:lang w:val="zh-CN"/>
        </w:rPr>
      </w:pPr>
      <w:r>
        <w:rPr>
          <w:rFonts w:hint="eastAsia" w:ascii="仿宋_GB2312" w:hAnsi="楷体_GB2312" w:eastAsia="仿宋_GB2312" w:cs="楷体_GB2312"/>
          <w:bCs/>
          <w:kern w:val="0"/>
          <w:sz w:val="32"/>
          <w:szCs w:val="32"/>
          <w:shd w:val="clear" w:color="auto" w:fill="FFFFFF"/>
          <w:lang w:val="zh-CN"/>
        </w:rPr>
        <w:t>保障了人代会、常委会、主任会等有关会议等会务工作的正常开展；机关学习、目标考核、考勤、文书档案、保密、人事、财务、工会、宣传、保卫、收发、老干部等机关管理和后勤接待等日常事务工作正常运转；保障了执法检查和各类调研正常开展；组织市县人大代表开展视察活动，督促人大代表提出的建议意见办理和县人大常委会提出的审议意见的落实；受理并协调处理群众来信来访；并认真完成了上级人大和县人大常委会领导交办的其他工作。</w:t>
      </w:r>
    </w:p>
    <w:p>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（三）结果应用情况。</w:t>
      </w:r>
    </w:p>
    <w:p>
      <w:pPr>
        <w:widowControl/>
        <w:adjustRightInd w:val="0"/>
        <w:snapToGrid w:val="0"/>
        <w:spacing w:line="560" w:lineRule="exact"/>
        <w:ind w:firstLine="640" w:firstLineChars="200"/>
        <w:contextualSpacing/>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人大办部门财政预算支出，保障了机关日常正常运转，认真履行好部门职能职责，圆满完成了县委、县政府下达的各项业务目标任务。</w:t>
      </w:r>
    </w:p>
    <w:p>
      <w:pPr>
        <w:widowControl/>
        <w:adjustRightInd w:val="0"/>
        <w:snapToGrid w:val="0"/>
        <w:spacing w:line="560" w:lineRule="exact"/>
        <w:ind w:left="64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自评质量。</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人大办在部门整体自评真实准确、自评质量好。</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widowControl/>
        <w:shd w:val="clear" w:color="auto" w:fill="FFFFFF"/>
        <w:spacing w:line="540" w:lineRule="atLeast"/>
        <w:ind w:firstLine="64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（一）评价结论。</w:t>
      </w:r>
    </w:p>
    <w:p>
      <w:pPr>
        <w:widowControl/>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人大办部门预算执行情况良好，无不良记录及违规违纪行为，按照预算法按时完成预决算编制。在执行过程中有计划进行资金申报使用，完善资金管理及内部控制制度，确保资金安全，做到账款、账账、账实相符。</w:t>
      </w:r>
    </w:p>
    <w:p>
      <w:pPr>
        <w:widowControl/>
        <w:shd w:val="clear" w:color="auto" w:fill="FFFFFF"/>
        <w:spacing w:line="540" w:lineRule="atLeast"/>
        <w:ind w:firstLine="64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（二）存在问题。</w:t>
      </w:r>
    </w:p>
    <w:p>
      <w:pPr>
        <w:widowControl/>
        <w:shd w:val="clear" w:color="auto" w:fill="FFFFFF"/>
        <w:spacing w:line="540" w:lineRule="atLeast"/>
        <w:ind w:firstLine="64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预算经费支出明细科目与收入明细科目存在差异。</w:t>
      </w:r>
    </w:p>
    <w:p>
      <w:pPr>
        <w:widowControl/>
        <w:shd w:val="clear" w:color="auto" w:fill="FFFFFF"/>
        <w:spacing w:line="540" w:lineRule="atLeast"/>
        <w:ind w:firstLine="64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（三）改进建议</w:t>
      </w:r>
    </w:p>
    <w:p>
      <w:pPr>
        <w:widowControl/>
        <w:shd w:val="clear" w:color="auto" w:fill="FFFFFF"/>
        <w:spacing w:line="540" w:lineRule="atLeast"/>
        <w:ind w:firstLine="64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部门加强监督力度，业务人员加强理论提升和操作能力提高，加快完善相应制度建设和账务处理。</w:t>
      </w:r>
    </w:p>
    <w:p>
      <w:pPr>
        <w:pStyle w:val="15"/>
        <w:spacing w:line="560" w:lineRule="exact"/>
        <w:ind w:left="0" w:leftChars="0" w:firstLine="640"/>
        <w:rPr>
          <w:rFonts w:hint="eastAsia" w:hAnsi="仿宋_GB2312" w:eastAsia="仿宋_GB2312" w:cs="仿宋_GB2312"/>
          <w:sz w:val="32"/>
        </w:rPr>
      </w:pPr>
      <w:r>
        <w:rPr>
          <w:rFonts w:hint="eastAsia" w:hAnsi="仿宋_GB2312" w:eastAsia="仿宋_GB2312" w:cs="仿宋_GB2312"/>
          <w:sz w:val="32"/>
          <w:lang w:val="zh-CN"/>
        </w:rPr>
        <w:t>附表：</w:t>
      </w:r>
      <w:r>
        <w:rPr>
          <w:rFonts w:hint="eastAsia" w:hAnsi="仿宋_GB2312" w:eastAsia="仿宋_GB2312" w:cs="仿宋_GB2312"/>
          <w:sz w:val="32"/>
        </w:rPr>
        <w:t>部门预算项目支出绩效自评表（2022年度）</w:t>
      </w:r>
    </w:p>
    <w:p>
      <w:pPr>
        <w:pStyle w:val="15"/>
        <w:spacing w:line="560" w:lineRule="exact"/>
        <w:ind w:left="0" w:leftChars="0" w:firstLine="640"/>
        <w:rPr>
          <w:rFonts w:hAnsi="仿宋_GB2312" w:eastAsia="仿宋_GB2312" w:cs="仿宋_GB2312"/>
          <w:sz w:val="32"/>
          <w:lang w:val="zh-CN"/>
        </w:rPr>
      </w:pPr>
    </w:p>
    <w:tbl>
      <w:tblPr>
        <w:tblStyle w:val="1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975"/>
        <w:gridCol w:w="796"/>
        <w:gridCol w:w="776"/>
        <w:gridCol w:w="776"/>
        <w:gridCol w:w="953"/>
        <w:gridCol w:w="777"/>
        <w:gridCol w:w="905"/>
        <w:gridCol w:w="1093"/>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22" w:type="dxa"/>
            <w:gridSpan w:val="10"/>
            <w:tcBorders>
              <w:top w:val="nil"/>
              <w:left w:val="nil"/>
              <w:bottom w:val="nil"/>
              <w:right w:val="nil"/>
            </w:tcBorders>
            <w:vAlign w:val="center"/>
          </w:tcPr>
          <w:p>
            <w:pPr>
              <w:widowControl/>
              <w:spacing w:line="400" w:lineRule="exact"/>
              <w:jc w:val="center"/>
              <w:textAlignment w:val="center"/>
              <w:rPr>
                <w:b/>
                <w:bCs/>
                <w:kern w:val="0"/>
                <w:sz w:val="16"/>
                <w:szCs w:val="16"/>
              </w:rPr>
            </w:pPr>
            <w:r>
              <w:rPr>
                <w:rFonts w:eastAsia="方正小标宋简体"/>
                <w:color w:val="000000"/>
                <w:kern w:val="0"/>
              </w:rPr>
              <w:t>沐川县</w:t>
            </w:r>
            <w:r>
              <w:rPr>
                <w:rFonts w:hint="eastAsia" w:eastAsia="方正小标宋简体"/>
                <w:color w:val="000000"/>
                <w:kern w:val="0"/>
              </w:rPr>
              <w:t>人大常委会办公室</w:t>
            </w:r>
            <w:r>
              <w:rPr>
                <w:rFonts w:eastAsia="方正小标宋简体"/>
                <w:color w:val="000000"/>
                <w:kern w:val="0"/>
              </w:rPr>
              <w:t>整体支出绩效目标自评表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22" w:type="dxa"/>
            <w:gridSpan w:val="10"/>
            <w:tcBorders>
              <w:top w:val="nil"/>
              <w:left w:val="nil"/>
              <w:bottom w:val="single" w:color="auto" w:sz="4" w:space="0"/>
              <w:right w:val="nil"/>
            </w:tcBorders>
            <w:vAlign w:val="center"/>
          </w:tcPr>
          <w:p>
            <w:pPr>
              <w:widowControl/>
              <w:spacing w:line="260" w:lineRule="exact"/>
              <w:jc w:val="center"/>
              <w:rPr>
                <w:kern w:val="0"/>
                <w:sz w:val="16"/>
                <w:szCs w:val="16"/>
              </w:rPr>
            </w:pPr>
            <w:r>
              <w:rPr>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2465" w:type="dxa"/>
            <w:gridSpan w:val="3"/>
            <w:tcBorders>
              <w:top w:val="single" w:color="auto" w:sz="4" w:space="0"/>
            </w:tcBorders>
            <w:vAlign w:val="center"/>
          </w:tcPr>
          <w:p>
            <w:pPr>
              <w:widowControl/>
              <w:spacing w:line="260" w:lineRule="exact"/>
              <w:rPr>
                <w:kern w:val="0"/>
                <w:sz w:val="16"/>
                <w:szCs w:val="16"/>
              </w:rPr>
            </w:pPr>
            <w:r>
              <w:rPr>
                <w:kern w:val="0"/>
                <w:sz w:val="16"/>
                <w:szCs w:val="16"/>
              </w:rPr>
              <w:t>部门名称</w:t>
            </w:r>
          </w:p>
        </w:tc>
        <w:tc>
          <w:tcPr>
            <w:tcW w:w="6057" w:type="dxa"/>
            <w:gridSpan w:val="7"/>
            <w:tcBorders>
              <w:top w:val="single" w:color="auto" w:sz="4" w:space="0"/>
            </w:tcBorders>
            <w:vAlign w:val="center"/>
          </w:tcPr>
          <w:p>
            <w:pPr>
              <w:widowControl/>
              <w:spacing w:line="260" w:lineRule="exact"/>
              <w:rPr>
                <w:kern w:val="0"/>
                <w:sz w:val="16"/>
                <w:szCs w:val="16"/>
              </w:rPr>
            </w:pPr>
            <w:r>
              <w:rPr>
                <w:rFonts w:hint="eastAsia"/>
                <w:kern w:val="0"/>
                <w:sz w:val="16"/>
                <w:szCs w:val="16"/>
              </w:rPr>
              <w:t>沐川县人民代表大会常务委员会办公室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restart"/>
            <w:vAlign w:val="center"/>
          </w:tcPr>
          <w:p>
            <w:pPr>
              <w:widowControl/>
              <w:spacing w:line="260" w:lineRule="exact"/>
              <w:rPr>
                <w:kern w:val="0"/>
                <w:sz w:val="16"/>
                <w:szCs w:val="16"/>
              </w:rPr>
            </w:pPr>
            <w:r>
              <w:rPr>
                <w:kern w:val="0"/>
                <w:sz w:val="16"/>
                <w:szCs w:val="16"/>
              </w:rPr>
              <w:t>年度主要任务</w:t>
            </w:r>
          </w:p>
        </w:tc>
        <w:tc>
          <w:tcPr>
            <w:tcW w:w="1771" w:type="dxa"/>
            <w:gridSpan w:val="2"/>
            <w:vMerge w:val="restart"/>
            <w:vAlign w:val="center"/>
          </w:tcPr>
          <w:p>
            <w:pPr>
              <w:widowControl/>
              <w:spacing w:line="260" w:lineRule="exact"/>
              <w:rPr>
                <w:kern w:val="0"/>
                <w:sz w:val="16"/>
                <w:szCs w:val="16"/>
              </w:rPr>
            </w:pPr>
            <w:r>
              <w:rPr>
                <w:kern w:val="0"/>
                <w:sz w:val="16"/>
                <w:szCs w:val="16"/>
              </w:rPr>
              <w:t>任务名称</w:t>
            </w:r>
          </w:p>
        </w:tc>
        <w:tc>
          <w:tcPr>
            <w:tcW w:w="776" w:type="dxa"/>
            <w:vMerge w:val="restart"/>
            <w:vAlign w:val="center"/>
          </w:tcPr>
          <w:p>
            <w:pPr>
              <w:widowControl/>
              <w:spacing w:line="260" w:lineRule="exact"/>
              <w:rPr>
                <w:kern w:val="0"/>
                <w:sz w:val="16"/>
                <w:szCs w:val="16"/>
              </w:rPr>
            </w:pPr>
            <w:r>
              <w:rPr>
                <w:kern w:val="0"/>
                <w:sz w:val="16"/>
                <w:szCs w:val="16"/>
              </w:rPr>
              <w:t>主要内容</w:t>
            </w:r>
          </w:p>
        </w:tc>
        <w:tc>
          <w:tcPr>
            <w:tcW w:w="2506" w:type="dxa"/>
            <w:gridSpan w:val="3"/>
            <w:vAlign w:val="center"/>
          </w:tcPr>
          <w:p>
            <w:pPr>
              <w:widowControl/>
              <w:spacing w:line="260" w:lineRule="exact"/>
              <w:rPr>
                <w:kern w:val="0"/>
                <w:sz w:val="16"/>
                <w:szCs w:val="16"/>
              </w:rPr>
            </w:pPr>
            <w:r>
              <w:rPr>
                <w:kern w:val="0"/>
                <w:sz w:val="16"/>
                <w:szCs w:val="16"/>
              </w:rPr>
              <w:t>预算金额（万元）</w:t>
            </w:r>
          </w:p>
        </w:tc>
        <w:tc>
          <w:tcPr>
            <w:tcW w:w="2775" w:type="dxa"/>
            <w:gridSpan w:val="3"/>
            <w:noWrap/>
            <w:vAlign w:val="center"/>
          </w:tcPr>
          <w:p>
            <w:pPr>
              <w:widowControl/>
              <w:spacing w:line="260" w:lineRule="exact"/>
              <w:rPr>
                <w:color w:val="000000"/>
                <w:kern w:val="0"/>
                <w:sz w:val="16"/>
                <w:szCs w:val="16"/>
              </w:rPr>
            </w:pPr>
            <w:r>
              <w:rPr>
                <w:color w:val="000000"/>
                <w:kern w:val="0"/>
                <w:sz w:val="16"/>
                <w:szCs w:val="16"/>
              </w:rPr>
              <w:t>实际执行（万元）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1771" w:type="dxa"/>
            <w:gridSpan w:val="2"/>
            <w:vMerge w:val="continue"/>
            <w:vAlign w:val="center"/>
          </w:tcPr>
          <w:p>
            <w:pPr>
              <w:widowControl/>
              <w:spacing w:line="260" w:lineRule="exact"/>
              <w:rPr>
                <w:kern w:val="0"/>
                <w:sz w:val="16"/>
                <w:szCs w:val="16"/>
              </w:rPr>
            </w:pPr>
          </w:p>
        </w:tc>
        <w:tc>
          <w:tcPr>
            <w:tcW w:w="776" w:type="dxa"/>
            <w:vMerge w:val="continue"/>
            <w:vAlign w:val="center"/>
          </w:tcPr>
          <w:p>
            <w:pPr>
              <w:widowControl/>
              <w:spacing w:line="260" w:lineRule="exact"/>
              <w:rPr>
                <w:kern w:val="0"/>
                <w:sz w:val="16"/>
                <w:szCs w:val="16"/>
              </w:rPr>
            </w:pPr>
          </w:p>
        </w:tc>
        <w:tc>
          <w:tcPr>
            <w:tcW w:w="776" w:type="dxa"/>
            <w:vAlign w:val="center"/>
          </w:tcPr>
          <w:p>
            <w:pPr>
              <w:widowControl/>
              <w:spacing w:line="260" w:lineRule="exact"/>
              <w:rPr>
                <w:kern w:val="0"/>
                <w:sz w:val="16"/>
                <w:szCs w:val="16"/>
              </w:rPr>
            </w:pPr>
            <w:r>
              <w:rPr>
                <w:kern w:val="0"/>
                <w:sz w:val="16"/>
                <w:szCs w:val="16"/>
              </w:rPr>
              <w:t>总额</w:t>
            </w:r>
          </w:p>
        </w:tc>
        <w:tc>
          <w:tcPr>
            <w:tcW w:w="953" w:type="dxa"/>
            <w:vAlign w:val="center"/>
          </w:tcPr>
          <w:p>
            <w:pPr>
              <w:widowControl/>
              <w:spacing w:line="260" w:lineRule="exact"/>
              <w:rPr>
                <w:kern w:val="0"/>
                <w:sz w:val="16"/>
                <w:szCs w:val="16"/>
              </w:rPr>
            </w:pPr>
            <w:r>
              <w:rPr>
                <w:kern w:val="0"/>
                <w:sz w:val="16"/>
                <w:szCs w:val="16"/>
              </w:rPr>
              <w:t>财政拨款</w:t>
            </w:r>
          </w:p>
        </w:tc>
        <w:tc>
          <w:tcPr>
            <w:tcW w:w="777" w:type="dxa"/>
            <w:vAlign w:val="center"/>
          </w:tcPr>
          <w:p>
            <w:pPr>
              <w:widowControl/>
              <w:spacing w:line="260" w:lineRule="exact"/>
              <w:rPr>
                <w:kern w:val="0"/>
                <w:sz w:val="16"/>
                <w:szCs w:val="16"/>
              </w:rPr>
            </w:pPr>
            <w:r>
              <w:rPr>
                <w:kern w:val="0"/>
                <w:sz w:val="16"/>
                <w:szCs w:val="16"/>
              </w:rPr>
              <w:t>其他资金</w:t>
            </w:r>
          </w:p>
        </w:tc>
        <w:tc>
          <w:tcPr>
            <w:tcW w:w="905" w:type="dxa"/>
            <w:vAlign w:val="center"/>
          </w:tcPr>
          <w:p>
            <w:pPr>
              <w:widowControl/>
              <w:spacing w:line="260" w:lineRule="exact"/>
              <w:rPr>
                <w:kern w:val="0"/>
                <w:sz w:val="16"/>
                <w:szCs w:val="16"/>
              </w:rPr>
            </w:pPr>
            <w:r>
              <w:rPr>
                <w:kern w:val="0"/>
                <w:sz w:val="16"/>
                <w:szCs w:val="16"/>
              </w:rPr>
              <w:t>总额</w:t>
            </w:r>
          </w:p>
        </w:tc>
        <w:tc>
          <w:tcPr>
            <w:tcW w:w="1093" w:type="dxa"/>
            <w:vAlign w:val="center"/>
          </w:tcPr>
          <w:p>
            <w:pPr>
              <w:widowControl/>
              <w:spacing w:line="260" w:lineRule="exact"/>
              <w:rPr>
                <w:kern w:val="0"/>
                <w:sz w:val="16"/>
                <w:szCs w:val="16"/>
              </w:rPr>
            </w:pPr>
            <w:r>
              <w:rPr>
                <w:kern w:val="0"/>
                <w:sz w:val="16"/>
                <w:szCs w:val="16"/>
              </w:rPr>
              <w:t>财政拨款</w:t>
            </w:r>
          </w:p>
        </w:tc>
        <w:tc>
          <w:tcPr>
            <w:tcW w:w="777" w:type="dxa"/>
            <w:vAlign w:val="center"/>
          </w:tcPr>
          <w:p>
            <w:pPr>
              <w:widowControl/>
              <w:spacing w:line="260" w:lineRule="exact"/>
              <w:rPr>
                <w:kern w:val="0"/>
                <w:sz w:val="16"/>
                <w:szCs w:val="16"/>
              </w:rPr>
            </w:pPr>
            <w:r>
              <w:rPr>
                <w:kern w:val="0"/>
                <w:sz w:val="16"/>
                <w:szCs w:val="16"/>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1771" w:type="dxa"/>
            <w:gridSpan w:val="2"/>
            <w:vAlign w:val="center"/>
          </w:tcPr>
          <w:p>
            <w:pPr>
              <w:widowControl/>
              <w:spacing w:line="260" w:lineRule="exact"/>
              <w:rPr>
                <w:kern w:val="0"/>
                <w:sz w:val="16"/>
                <w:szCs w:val="16"/>
              </w:rPr>
            </w:pPr>
            <w:r>
              <w:rPr>
                <w:kern w:val="0"/>
                <w:sz w:val="16"/>
                <w:szCs w:val="16"/>
              </w:rPr>
              <w:t>任务1</w:t>
            </w:r>
          </w:p>
        </w:tc>
        <w:tc>
          <w:tcPr>
            <w:tcW w:w="776" w:type="dxa"/>
            <w:vAlign w:val="center"/>
          </w:tcPr>
          <w:p>
            <w:pPr>
              <w:widowControl/>
              <w:spacing w:line="260" w:lineRule="exact"/>
              <w:rPr>
                <w:kern w:val="0"/>
                <w:sz w:val="16"/>
                <w:szCs w:val="16"/>
              </w:rPr>
            </w:pPr>
            <w:r>
              <w:rPr>
                <w:kern w:val="0"/>
                <w:sz w:val="16"/>
                <w:szCs w:val="16"/>
              </w:rPr>
              <w:t>一般公共预算财政拨款收入</w:t>
            </w:r>
          </w:p>
        </w:tc>
        <w:tc>
          <w:tcPr>
            <w:tcW w:w="776" w:type="dxa"/>
            <w:vAlign w:val="center"/>
          </w:tcPr>
          <w:p>
            <w:pPr>
              <w:widowControl/>
              <w:spacing w:line="260" w:lineRule="exact"/>
              <w:rPr>
                <w:kern w:val="0"/>
                <w:sz w:val="16"/>
                <w:szCs w:val="16"/>
              </w:rPr>
            </w:pPr>
            <w:r>
              <w:rPr>
                <w:rFonts w:hint="eastAsia"/>
                <w:kern w:val="0"/>
                <w:sz w:val="16"/>
                <w:szCs w:val="16"/>
              </w:rPr>
              <w:t>923.87</w:t>
            </w:r>
          </w:p>
        </w:tc>
        <w:tc>
          <w:tcPr>
            <w:tcW w:w="953" w:type="dxa"/>
            <w:vAlign w:val="center"/>
          </w:tcPr>
          <w:p>
            <w:pPr>
              <w:widowControl/>
              <w:spacing w:line="260" w:lineRule="exact"/>
              <w:rPr>
                <w:kern w:val="0"/>
                <w:sz w:val="16"/>
                <w:szCs w:val="16"/>
              </w:rPr>
            </w:pPr>
            <w:r>
              <w:rPr>
                <w:rFonts w:hint="eastAsia"/>
                <w:kern w:val="0"/>
                <w:sz w:val="16"/>
                <w:szCs w:val="16"/>
              </w:rPr>
              <w:t>923.87</w:t>
            </w:r>
          </w:p>
        </w:tc>
        <w:tc>
          <w:tcPr>
            <w:tcW w:w="777" w:type="dxa"/>
            <w:vAlign w:val="center"/>
          </w:tcPr>
          <w:p>
            <w:pPr>
              <w:widowControl/>
              <w:spacing w:line="260" w:lineRule="exact"/>
              <w:rPr>
                <w:kern w:val="0"/>
                <w:sz w:val="16"/>
                <w:szCs w:val="16"/>
              </w:rPr>
            </w:pPr>
            <w:r>
              <w:rPr>
                <w:kern w:val="0"/>
                <w:sz w:val="16"/>
                <w:szCs w:val="16"/>
              </w:rPr>
              <w:t>0</w:t>
            </w:r>
          </w:p>
        </w:tc>
        <w:tc>
          <w:tcPr>
            <w:tcW w:w="905" w:type="dxa"/>
            <w:vAlign w:val="center"/>
          </w:tcPr>
          <w:p>
            <w:pPr>
              <w:widowControl/>
              <w:spacing w:line="260" w:lineRule="exact"/>
              <w:rPr>
                <w:kern w:val="0"/>
                <w:sz w:val="16"/>
                <w:szCs w:val="16"/>
              </w:rPr>
            </w:pPr>
            <w:r>
              <w:rPr>
                <w:rFonts w:hint="eastAsia"/>
                <w:kern w:val="0"/>
                <w:sz w:val="16"/>
                <w:szCs w:val="16"/>
              </w:rPr>
              <w:t>923.87</w:t>
            </w:r>
          </w:p>
        </w:tc>
        <w:tc>
          <w:tcPr>
            <w:tcW w:w="1093" w:type="dxa"/>
            <w:vAlign w:val="center"/>
          </w:tcPr>
          <w:p>
            <w:pPr>
              <w:widowControl/>
              <w:spacing w:line="260" w:lineRule="exact"/>
              <w:rPr>
                <w:kern w:val="0"/>
                <w:sz w:val="16"/>
                <w:szCs w:val="16"/>
              </w:rPr>
            </w:pPr>
            <w:r>
              <w:rPr>
                <w:rFonts w:hint="eastAsia"/>
                <w:kern w:val="0"/>
                <w:sz w:val="16"/>
                <w:szCs w:val="16"/>
              </w:rPr>
              <w:t>923.87</w:t>
            </w:r>
          </w:p>
        </w:tc>
        <w:tc>
          <w:tcPr>
            <w:tcW w:w="777" w:type="dxa"/>
            <w:vAlign w:val="center"/>
          </w:tcPr>
          <w:p>
            <w:pPr>
              <w:widowControl/>
              <w:spacing w:line="260" w:lineRule="exact"/>
              <w:rPr>
                <w:kern w:val="0"/>
                <w:sz w:val="16"/>
                <w:szCs w:val="16"/>
              </w:rPr>
            </w:pPr>
            <w:r>
              <w:rPr>
                <w:kern w:val="0"/>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1771" w:type="dxa"/>
            <w:gridSpan w:val="2"/>
            <w:vAlign w:val="center"/>
          </w:tcPr>
          <w:p>
            <w:pPr>
              <w:widowControl/>
              <w:spacing w:line="260" w:lineRule="exact"/>
              <w:rPr>
                <w:kern w:val="0"/>
                <w:sz w:val="16"/>
                <w:szCs w:val="16"/>
              </w:rPr>
            </w:pPr>
          </w:p>
        </w:tc>
        <w:tc>
          <w:tcPr>
            <w:tcW w:w="776" w:type="dxa"/>
            <w:vAlign w:val="center"/>
          </w:tcPr>
          <w:p>
            <w:pPr>
              <w:widowControl/>
              <w:spacing w:line="260" w:lineRule="exact"/>
              <w:rPr>
                <w:kern w:val="0"/>
                <w:sz w:val="16"/>
                <w:szCs w:val="16"/>
              </w:rPr>
            </w:pPr>
          </w:p>
        </w:tc>
        <w:tc>
          <w:tcPr>
            <w:tcW w:w="776" w:type="dxa"/>
            <w:vAlign w:val="center"/>
          </w:tcPr>
          <w:p>
            <w:pPr>
              <w:widowControl/>
              <w:spacing w:line="260" w:lineRule="exact"/>
              <w:rPr>
                <w:kern w:val="0"/>
                <w:sz w:val="16"/>
                <w:szCs w:val="16"/>
              </w:rPr>
            </w:pPr>
          </w:p>
        </w:tc>
        <w:tc>
          <w:tcPr>
            <w:tcW w:w="953" w:type="dxa"/>
            <w:vAlign w:val="center"/>
          </w:tcPr>
          <w:p>
            <w:pPr>
              <w:widowControl/>
              <w:spacing w:line="260" w:lineRule="exact"/>
              <w:rPr>
                <w:kern w:val="0"/>
                <w:sz w:val="16"/>
                <w:szCs w:val="16"/>
              </w:rPr>
            </w:pPr>
          </w:p>
        </w:tc>
        <w:tc>
          <w:tcPr>
            <w:tcW w:w="777" w:type="dxa"/>
            <w:vAlign w:val="center"/>
          </w:tcPr>
          <w:p>
            <w:pPr>
              <w:widowControl/>
              <w:spacing w:line="260" w:lineRule="exact"/>
              <w:rPr>
                <w:kern w:val="0"/>
                <w:sz w:val="16"/>
                <w:szCs w:val="16"/>
              </w:rPr>
            </w:pPr>
          </w:p>
        </w:tc>
        <w:tc>
          <w:tcPr>
            <w:tcW w:w="905" w:type="dxa"/>
            <w:vAlign w:val="center"/>
          </w:tcPr>
          <w:p>
            <w:pPr>
              <w:widowControl/>
              <w:spacing w:line="260" w:lineRule="exact"/>
              <w:rPr>
                <w:kern w:val="0"/>
                <w:sz w:val="16"/>
                <w:szCs w:val="16"/>
              </w:rPr>
            </w:pPr>
          </w:p>
        </w:tc>
        <w:tc>
          <w:tcPr>
            <w:tcW w:w="1093" w:type="dxa"/>
            <w:vAlign w:val="center"/>
          </w:tcPr>
          <w:p>
            <w:pPr>
              <w:widowControl/>
              <w:spacing w:line="260" w:lineRule="exact"/>
              <w:rPr>
                <w:kern w:val="0"/>
                <w:sz w:val="16"/>
                <w:szCs w:val="16"/>
              </w:rPr>
            </w:pPr>
          </w:p>
        </w:tc>
        <w:tc>
          <w:tcPr>
            <w:tcW w:w="777" w:type="dxa"/>
            <w:vAlign w:val="center"/>
          </w:tcPr>
          <w:p>
            <w:pPr>
              <w:widowControl/>
              <w:spacing w:line="260" w:lineRule="exact"/>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1771" w:type="dxa"/>
            <w:gridSpan w:val="2"/>
            <w:vAlign w:val="center"/>
          </w:tcPr>
          <w:p>
            <w:pPr>
              <w:widowControl/>
              <w:spacing w:line="260" w:lineRule="exact"/>
              <w:rPr>
                <w:kern w:val="0"/>
                <w:sz w:val="16"/>
                <w:szCs w:val="16"/>
              </w:rPr>
            </w:pPr>
          </w:p>
        </w:tc>
        <w:tc>
          <w:tcPr>
            <w:tcW w:w="776" w:type="dxa"/>
            <w:vAlign w:val="center"/>
          </w:tcPr>
          <w:p>
            <w:pPr>
              <w:widowControl/>
              <w:spacing w:line="260" w:lineRule="exact"/>
              <w:rPr>
                <w:kern w:val="0"/>
                <w:sz w:val="16"/>
                <w:szCs w:val="16"/>
              </w:rPr>
            </w:pPr>
          </w:p>
        </w:tc>
        <w:tc>
          <w:tcPr>
            <w:tcW w:w="776" w:type="dxa"/>
            <w:vAlign w:val="center"/>
          </w:tcPr>
          <w:p>
            <w:pPr>
              <w:widowControl/>
              <w:spacing w:line="260" w:lineRule="exact"/>
              <w:rPr>
                <w:kern w:val="0"/>
                <w:sz w:val="16"/>
                <w:szCs w:val="16"/>
              </w:rPr>
            </w:pPr>
          </w:p>
        </w:tc>
        <w:tc>
          <w:tcPr>
            <w:tcW w:w="953" w:type="dxa"/>
            <w:vAlign w:val="center"/>
          </w:tcPr>
          <w:p>
            <w:pPr>
              <w:widowControl/>
              <w:spacing w:line="260" w:lineRule="exact"/>
              <w:rPr>
                <w:kern w:val="0"/>
                <w:sz w:val="16"/>
                <w:szCs w:val="16"/>
              </w:rPr>
            </w:pPr>
          </w:p>
        </w:tc>
        <w:tc>
          <w:tcPr>
            <w:tcW w:w="777" w:type="dxa"/>
            <w:vAlign w:val="center"/>
          </w:tcPr>
          <w:p>
            <w:pPr>
              <w:widowControl/>
              <w:spacing w:line="260" w:lineRule="exact"/>
              <w:rPr>
                <w:kern w:val="0"/>
                <w:sz w:val="16"/>
                <w:szCs w:val="16"/>
              </w:rPr>
            </w:pPr>
          </w:p>
        </w:tc>
        <w:tc>
          <w:tcPr>
            <w:tcW w:w="905" w:type="dxa"/>
            <w:vAlign w:val="center"/>
          </w:tcPr>
          <w:p>
            <w:pPr>
              <w:widowControl/>
              <w:spacing w:line="260" w:lineRule="exact"/>
              <w:rPr>
                <w:kern w:val="0"/>
                <w:sz w:val="16"/>
                <w:szCs w:val="16"/>
              </w:rPr>
            </w:pPr>
          </w:p>
        </w:tc>
        <w:tc>
          <w:tcPr>
            <w:tcW w:w="1093" w:type="dxa"/>
            <w:vAlign w:val="center"/>
          </w:tcPr>
          <w:p>
            <w:pPr>
              <w:widowControl/>
              <w:spacing w:line="260" w:lineRule="exact"/>
              <w:rPr>
                <w:kern w:val="0"/>
                <w:sz w:val="16"/>
                <w:szCs w:val="16"/>
              </w:rPr>
            </w:pPr>
          </w:p>
        </w:tc>
        <w:tc>
          <w:tcPr>
            <w:tcW w:w="777" w:type="dxa"/>
            <w:vAlign w:val="center"/>
          </w:tcPr>
          <w:p>
            <w:pPr>
              <w:widowControl/>
              <w:spacing w:line="260" w:lineRule="exact"/>
              <w:rPr>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2547" w:type="dxa"/>
            <w:gridSpan w:val="3"/>
            <w:vAlign w:val="center"/>
          </w:tcPr>
          <w:p>
            <w:pPr>
              <w:widowControl/>
              <w:spacing w:line="260" w:lineRule="exact"/>
              <w:rPr>
                <w:kern w:val="0"/>
                <w:sz w:val="16"/>
                <w:szCs w:val="16"/>
              </w:rPr>
            </w:pPr>
            <w:r>
              <w:rPr>
                <w:kern w:val="0"/>
                <w:sz w:val="16"/>
                <w:szCs w:val="16"/>
              </w:rPr>
              <w:t>金额合计</w:t>
            </w:r>
          </w:p>
        </w:tc>
        <w:tc>
          <w:tcPr>
            <w:tcW w:w="776" w:type="dxa"/>
            <w:vAlign w:val="center"/>
          </w:tcPr>
          <w:p>
            <w:pPr>
              <w:widowControl/>
              <w:spacing w:line="260" w:lineRule="exact"/>
              <w:rPr>
                <w:kern w:val="0"/>
                <w:sz w:val="16"/>
                <w:szCs w:val="16"/>
              </w:rPr>
            </w:pPr>
            <w:r>
              <w:rPr>
                <w:rFonts w:hint="eastAsia"/>
                <w:kern w:val="0"/>
                <w:sz w:val="16"/>
                <w:szCs w:val="16"/>
              </w:rPr>
              <w:t>923.87</w:t>
            </w:r>
          </w:p>
        </w:tc>
        <w:tc>
          <w:tcPr>
            <w:tcW w:w="953" w:type="dxa"/>
            <w:vAlign w:val="center"/>
          </w:tcPr>
          <w:p>
            <w:pPr>
              <w:widowControl/>
              <w:spacing w:line="260" w:lineRule="exact"/>
              <w:rPr>
                <w:kern w:val="0"/>
                <w:sz w:val="16"/>
                <w:szCs w:val="16"/>
              </w:rPr>
            </w:pPr>
            <w:r>
              <w:rPr>
                <w:rFonts w:hint="eastAsia"/>
                <w:kern w:val="0"/>
                <w:sz w:val="16"/>
                <w:szCs w:val="16"/>
              </w:rPr>
              <w:t>923.87</w:t>
            </w:r>
          </w:p>
        </w:tc>
        <w:tc>
          <w:tcPr>
            <w:tcW w:w="777" w:type="dxa"/>
            <w:vAlign w:val="center"/>
          </w:tcPr>
          <w:p>
            <w:pPr>
              <w:widowControl/>
              <w:spacing w:line="260" w:lineRule="exact"/>
              <w:rPr>
                <w:kern w:val="0"/>
                <w:sz w:val="16"/>
                <w:szCs w:val="16"/>
              </w:rPr>
            </w:pPr>
            <w:r>
              <w:rPr>
                <w:kern w:val="0"/>
                <w:sz w:val="16"/>
                <w:szCs w:val="16"/>
              </w:rPr>
              <w:t>0</w:t>
            </w:r>
          </w:p>
        </w:tc>
        <w:tc>
          <w:tcPr>
            <w:tcW w:w="905" w:type="dxa"/>
            <w:vAlign w:val="center"/>
          </w:tcPr>
          <w:p>
            <w:pPr>
              <w:widowControl/>
              <w:spacing w:line="260" w:lineRule="exact"/>
              <w:rPr>
                <w:kern w:val="0"/>
                <w:sz w:val="16"/>
                <w:szCs w:val="16"/>
              </w:rPr>
            </w:pPr>
            <w:r>
              <w:rPr>
                <w:rFonts w:hint="eastAsia"/>
                <w:kern w:val="0"/>
                <w:sz w:val="16"/>
                <w:szCs w:val="16"/>
              </w:rPr>
              <w:t>923.87</w:t>
            </w:r>
          </w:p>
        </w:tc>
        <w:tc>
          <w:tcPr>
            <w:tcW w:w="1093" w:type="dxa"/>
            <w:noWrap/>
            <w:vAlign w:val="center"/>
          </w:tcPr>
          <w:p>
            <w:pPr>
              <w:widowControl/>
              <w:spacing w:line="260" w:lineRule="exact"/>
              <w:rPr>
                <w:color w:val="000000"/>
                <w:kern w:val="0"/>
                <w:sz w:val="16"/>
                <w:szCs w:val="16"/>
              </w:rPr>
            </w:pPr>
            <w:r>
              <w:rPr>
                <w:rFonts w:hint="eastAsia"/>
                <w:kern w:val="0"/>
                <w:sz w:val="16"/>
                <w:szCs w:val="16"/>
              </w:rPr>
              <w:t>923.87</w:t>
            </w:r>
          </w:p>
        </w:tc>
        <w:tc>
          <w:tcPr>
            <w:tcW w:w="777" w:type="dxa"/>
            <w:noWrap/>
            <w:vAlign w:val="center"/>
          </w:tcPr>
          <w:p>
            <w:pPr>
              <w:widowControl/>
              <w:spacing w:line="260" w:lineRule="exact"/>
              <w:rPr>
                <w:color w:val="000000"/>
                <w:kern w:val="0"/>
                <w:sz w:val="16"/>
                <w:szCs w:val="16"/>
              </w:rPr>
            </w:pPr>
            <w:r>
              <w:rPr>
                <w:color w:val="000000"/>
                <w:kern w:val="0"/>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restart"/>
            <w:vAlign w:val="center"/>
          </w:tcPr>
          <w:p>
            <w:pPr>
              <w:spacing w:line="260" w:lineRule="exact"/>
              <w:rPr>
                <w:kern w:val="0"/>
                <w:sz w:val="16"/>
                <w:szCs w:val="16"/>
              </w:rPr>
            </w:pPr>
            <w:r>
              <w:rPr>
                <w:kern w:val="0"/>
                <w:sz w:val="16"/>
                <w:szCs w:val="16"/>
              </w:rPr>
              <w:t>年度总体目标</w:t>
            </w:r>
          </w:p>
        </w:tc>
        <w:tc>
          <w:tcPr>
            <w:tcW w:w="3323" w:type="dxa"/>
            <w:gridSpan w:val="4"/>
            <w:vAlign w:val="center"/>
          </w:tcPr>
          <w:p>
            <w:pPr>
              <w:widowControl/>
              <w:spacing w:line="260" w:lineRule="exact"/>
              <w:rPr>
                <w:kern w:val="0"/>
                <w:sz w:val="16"/>
                <w:szCs w:val="16"/>
              </w:rPr>
            </w:pPr>
            <w:r>
              <w:rPr>
                <w:kern w:val="0"/>
                <w:sz w:val="16"/>
                <w:szCs w:val="16"/>
              </w:rPr>
              <w:t>预期目标</w:t>
            </w:r>
          </w:p>
        </w:tc>
        <w:tc>
          <w:tcPr>
            <w:tcW w:w="4505" w:type="dxa"/>
            <w:gridSpan w:val="5"/>
            <w:vAlign w:val="center"/>
          </w:tcPr>
          <w:p>
            <w:pPr>
              <w:widowControl/>
              <w:spacing w:line="260" w:lineRule="exact"/>
              <w:rPr>
                <w:kern w:val="0"/>
                <w:sz w:val="16"/>
                <w:szCs w:val="16"/>
              </w:rPr>
            </w:pPr>
            <w:r>
              <w:rPr>
                <w:kern w:val="0"/>
                <w:sz w:val="16"/>
                <w:szCs w:val="16"/>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3323" w:type="dxa"/>
            <w:gridSpan w:val="4"/>
            <w:vAlign w:val="center"/>
          </w:tcPr>
          <w:p>
            <w:pPr>
              <w:widowControl/>
              <w:spacing w:line="260" w:lineRule="exact"/>
              <w:rPr>
                <w:kern w:val="0"/>
                <w:sz w:val="16"/>
                <w:szCs w:val="16"/>
              </w:rPr>
            </w:pPr>
            <w:r>
              <w:rPr>
                <w:rFonts w:hint="eastAsia"/>
                <w:kern w:val="0"/>
                <w:sz w:val="16"/>
                <w:szCs w:val="16"/>
              </w:rPr>
              <w:t>923.87</w:t>
            </w:r>
            <w:r>
              <w:rPr>
                <w:kern w:val="0"/>
                <w:sz w:val="16"/>
                <w:szCs w:val="16"/>
              </w:rPr>
              <w:t>万元</w:t>
            </w:r>
          </w:p>
        </w:tc>
        <w:tc>
          <w:tcPr>
            <w:tcW w:w="4505" w:type="dxa"/>
            <w:gridSpan w:val="5"/>
            <w:vAlign w:val="center"/>
          </w:tcPr>
          <w:p>
            <w:pPr>
              <w:widowControl/>
              <w:spacing w:line="260" w:lineRule="exact"/>
              <w:rPr>
                <w:kern w:val="0"/>
                <w:sz w:val="16"/>
                <w:szCs w:val="16"/>
              </w:rPr>
            </w:pPr>
            <w:r>
              <w:rPr>
                <w:rFonts w:hint="eastAsia"/>
                <w:kern w:val="0"/>
                <w:sz w:val="16"/>
                <w:szCs w:val="16"/>
              </w:rPr>
              <w:t>923.87</w:t>
            </w:r>
            <w:r>
              <w:rPr>
                <w:kern w:val="0"/>
                <w:sz w:val="16"/>
                <w:szCs w:val="1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restart"/>
            <w:vAlign w:val="center"/>
          </w:tcPr>
          <w:p>
            <w:pPr>
              <w:widowControl/>
              <w:spacing w:line="260" w:lineRule="exact"/>
              <w:rPr>
                <w:kern w:val="0"/>
                <w:sz w:val="16"/>
                <w:szCs w:val="16"/>
              </w:rPr>
            </w:pPr>
            <w:r>
              <w:rPr>
                <w:kern w:val="0"/>
                <w:sz w:val="16"/>
                <w:szCs w:val="16"/>
              </w:rPr>
              <w:t>年度绩效指标</w:t>
            </w:r>
          </w:p>
        </w:tc>
        <w:tc>
          <w:tcPr>
            <w:tcW w:w="975" w:type="dxa"/>
            <w:vAlign w:val="center"/>
          </w:tcPr>
          <w:p>
            <w:pPr>
              <w:widowControl/>
              <w:spacing w:line="260" w:lineRule="exact"/>
              <w:rPr>
                <w:kern w:val="0"/>
                <w:sz w:val="16"/>
                <w:szCs w:val="16"/>
              </w:rPr>
            </w:pPr>
            <w:r>
              <w:rPr>
                <w:kern w:val="0"/>
                <w:sz w:val="16"/>
                <w:szCs w:val="16"/>
              </w:rPr>
              <w:t>一级指标</w:t>
            </w:r>
          </w:p>
        </w:tc>
        <w:tc>
          <w:tcPr>
            <w:tcW w:w="1572" w:type="dxa"/>
            <w:gridSpan w:val="2"/>
            <w:vAlign w:val="center"/>
          </w:tcPr>
          <w:p>
            <w:pPr>
              <w:widowControl/>
              <w:spacing w:line="260" w:lineRule="exact"/>
              <w:rPr>
                <w:kern w:val="0"/>
                <w:sz w:val="16"/>
                <w:szCs w:val="16"/>
              </w:rPr>
            </w:pPr>
            <w:r>
              <w:rPr>
                <w:kern w:val="0"/>
                <w:sz w:val="16"/>
                <w:szCs w:val="16"/>
              </w:rPr>
              <w:t>二级指标</w:t>
            </w:r>
          </w:p>
        </w:tc>
        <w:tc>
          <w:tcPr>
            <w:tcW w:w="1729" w:type="dxa"/>
            <w:gridSpan w:val="2"/>
            <w:vAlign w:val="center"/>
          </w:tcPr>
          <w:p>
            <w:pPr>
              <w:widowControl/>
              <w:spacing w:line="260" w:lineRule="exact"/>
              <w:rPr>
                <w:kern w:val="0"/>
                <w:sz w:val="16"/>
                <w:szCs w:val="16"/>
              </w:rPr>
            </w:pPr>
            <w:r>
              <w:rPr>
                <w:kern w:val="0"/>
                <w:sz w:val="16"/>
                <w:szCs w:val="16"/>
              </w:rPr>
              <w:t>三级指标</w:t>
            </w:r>
          </w:p>
        </w:tc>
        <w:tc>
          <w:tcPr>
            <w:tcW w:w="1682" w:type="dxa"/>
            <w:gridSpan w:val="2"/>
            <w:vAlign w:val="center"/>
          </w:tcPr>
          <w:p>
            <w:pPr>
              <w:widowControl/>
              <w:spacing w:line="260" w:lineRule="exact"/>
              <w:rPr>
                <w:color w:val="000000"/>
                <w:kern w:val="0"/>
                <w:sz w:val="16"/>
                <w:szCs w:val="16"/>
              </w:rPr>
            </w:pPr>
            <w:r>
              <w:rPr>
                <w:color w:val="000000"/>
                <w:kern w:val="0"/>
                <w:sz w:val="16"/>
                <w:szCs w:val="16"/>
              </w:rPr>
              <w:t>预期指标值</w:t>
            </w:r>
          </w:p>
        </w:tc>
        <w:tc>
          <w:tcPr>
            <w:tcW w:w="1870" w:type="dxa"/>
            <w:gridSpan w:val="2"/>
            <w:vAlign w:val="center"/>
          </w:tcPr>
          <w:p>
            <w:pPr>
              <w:widowControl/>
              <w:spacing w:line="260" w:lineRule="exact"/>
              <w:rPr>
                <w:color w:val="000000"/>
                <w:kern w:val="0"/>
                <w:sz w:val="16"/>
                <w:szCs w:val="16"/>
              </w:rPr>
            </w:pPr>
            <w:r>
              <w:rPr>
                <w:color w:val="000000"/>
                <w:kern w:val="0"/>
                <w:sz w:val="16"/>
                <w:szCs w:val="16"/>
              </w:rP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 w:hRule="atLeast"/>
          <w:jc w:val="center"/>
        </w:trPr>
        <w:tc>
          <w:tcPr>
            <w:tcW w:w="694" w:type="dxa"/>
            <w:vMerge w:val="continue"/>
            <w:vAlign w:val="center"/>
          </w:tcPr>
          <w:p>
            <w:pPr>
              <w:widowControl/>
              <w:spacing w:line="260" w:lineRule="exact"/>
              <w:rPr>
                <w:kern w:val="0"/>
                <w:sz w:val="16"/>
                <w:szCs w:val="16"/>
              </w:rPr>
            </w:pPr>
          </w:p>
        </w:tc>
        <w:tc>
          <w:tcPr>
            <w:tcW w:w="975" w:type="dxa"/>
            <w:vMerge w:val="restart"/>
            <w:vAlign w:val="center"/>
          </w:tcPr>
          <w:p>
            <w:pPr>
              <w:widowControl/>
              <w:spacing w:line="260" w:lineRule="exact"/>
              <w:rPr>
                <w:kern w:val="0"/>
                <w:sz w:val="16"/>
                <w:szCs w:val="16"/>
              </w:rPr>
            </w:pPr>
            <w:r>
              <w:rPr>
                <w:kern w:val="0"/>
                <w:sz w:val="16"/>
                <w:szCs w:val="16"/>
              </w:rPr>
              <w:t>完成指标</w:t>
            </w:r>
          </w:p>
        </w:tc>
        <w:tc>
          <w:tcPr>
            <w:tcW w:w="1572" w:type="dxa"/>
            <w:gridSpan w:val="2"/>
            <w:vMerge w:val="restart"/>
            <w:vAlign w:val="center"/>
          </w:tcPr>
          <w:p>
            <w:pPr>
              <w:widowControl/>
              <w:spacing w:line="260" w:lineRule="exact"/>
              <w:rPr>
                <w:kern w:val="0"/>
                <w:sz w:val="16"/>
                <w:szCs w:val="16"/>
              </w:rPr>
            </w:pPr>
            <w:r>
              <w:rPr>
                <w:kern w:val="0"/>
                <w:sz w:val="16"/>
                <w:szCs w:val="16"/>
              </w:rPr>
              <w:t>数量指标</w:t>
            </w:r>
          </w:p>
        </w:tc>
        <w:tc>
          <w:tcPr>
            <w:tcW w:w="1729" w:type="dxa"/>
            <w:gridSpan w:val="2"/>
            <w:vAlign w:val="center"/>
          </w:tcPr>
          <w:p>
            <w:pPr>
              <w:widowControl/>
              <w:spacing w:line="260" w:lineRule="exact"/>
              <w:rPr>
                <w:rFonts w:hint="eastAsia"/>
                <w:kern w:val="0"/>
                <w:sz w:val="16"/>
                <w:szCs w:val="16"/>
              </w:rPr>
            </w:pPr>
            <w:r>
              <w:rPr>
                <w:kern w:val="0"/>
                <w:sz w:val="16"/>
                <w:szCs w:val="16"/>
              </w:rPr>
              <w:t>指标1：</w:t>
            </w:r>
            <w:r>
              <w:rPr>
                <w:rFonts w:hint="eastAsia"/>
                <w:kern w:val="0"/>
                <w:sz w:val="16"/>
                <w:szCs w:val="16"/>
              </w:rPr>
              <w:t>召开人代会</w:t>
            </w:r>
          </w:p>
          <w:p>
            <w:pPr>
              <w:pStyle w:val="14"/>
              <w:spacing w:before="72"/>
            </w:pPr>
          </w:p>
        </w:tc>
        <w:tc>
          <w:tcPr>
            <w:tcW w:w="1682" w:type="dxa"/>
            <w:gridSpan w:val="2"/>
            <w:vAlign w:val="center"/>
          </w:tcPr>
          <w:p>
            <w:pPr>
              <w:widowControl/>
              <w:spacing w:line="260" w:lineRule="exact"/>
              <w:rPr>
                <w:kern w:val="0"/>
                <w:sz w:val="16"/>
                <w:szCs w:val="16"/>
              </w:rPr>
            </w:pPr>
            <w:r>
              <w:rPr>
                <w:rFonts w:hint="eastAsia"/>
                <w:kern w:val="0"/>
                <w:sz w:val="16"/>
                <w:szCs w:val="16"/>
              </w:rPr>
              <w:t>1次</w:t>
            </w:r>
          </w:p>
        </w:tc>
        <w:tc>
          <w:tcPr>
            <w:tcW w:w="1870" w:type="dxa"/>
            <w:gridSpan w:val="2"/>
            <w:noWrap/>
            <w:vAlign w:val="center"/>
          </w:tcPr>
          <w:p>
            <w:pPr>
              <w:widowControl/>
              <w:spacing w:line="260" w:lineRule="exact"/>
              <w:rPr>
                <w:color w:val="000000"/>
                <w:kern w:val="0"/>
                <w:sz w:val="16"/>
                <w:szCs w:val="16"/>
              </w:rPr>
            </w:pPr>
            <w:r>
              <w:rPr>
                <w:rFonts w:hint="eastAsia"/>
                <w:color w:val="000000"/>
                <w:kern w:val="0"/>
                <w:sz w:val="16"/>
                <w:szCs w:val="16"/>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tabs>
                <w:tab w:val="center" w:pos="823"/>
              </w:tabs>
              <w:spacing w:line="260" w:lineRule="exact"/>
              <w:rPr>
                <w:kern w:val="0"/>
                <w:sz w:val="16"/>
                <w:szCs w:val="16"/>
              </w:rPr>
            </w:pPr>
            <w:r>
              <w:rPr>
                <w:kern w:val="0"/>
                <w:sz w:val="16"/>
                <w:szCs w:val="16"/>
              </w:rPr>
              <w:t>指标2：</w:t>
            </w:r>
            <w:r>
              <w:rPr>
                <w:kern w:val="0"/>
                <w:sz w:val="16"/>
                <w:szCs w:val="16"/>
              </w:rPr>
              <w:tab/>
            </w:r>
            <w:r>
              <w:rPr>
                <w:rFonts w:hint="eastAsia"/>
                <w:sz w:val="16"/>
                <w:szCs w:val="16"/>
              </w:rPr>
              <w:t>履职市人大代表人数</w:t>
            </w:r>
          </w:p>
        </w:tc>
        <w:tc>
          <w:tcPr>
            <w:tcW w:w="1682" w:type="dxa"/>
            <w:gridSpan w:val="2"/>
            <w:vAlign w:val="center"/>
          </w:tcPr>
          <w:p>
            <w:pPr>
              <w:widowControl/>
              <w:spacing w:line="260" w:lineRule="exact"/>
              <w:rPr>
                <w:kern w:val="0"/>
                <w:sz w:val="16"/>
                <w:szCs w:val="16"/>
              </w:rPr>
            </w:pPr>
            <w:r>
              <w:rPr>
                <w:rFonts w:hint="eastAsia"/>
                <w:kern w:val="0"/>
                <w:sz w:val="16"/>
                <w:szCs w:val="16"/>
              </w:rPr>
              <w:t>25人</w:t>
            </w:r>
          </w:p>
        </w:tc>
        <w:tc>
          <w:tcPr>
            <w:tcW w:w="1870" w:type="dxa"/>
            <w:gridSpan w:val="2"/>
            <w:noWrap/>
            <w:vAlign w:val="center"/>
          </w:tcPr>
          <w:p>
            <w:pPr>
              <w:widowControl/>
              <w:spacing w:line="260" w:lineRule="exact"/>
            </w:pPr>
            <w:r>
              <w:rPr>
                <w:rFonts w:hint="eastAsia"/>
                <w:sz w:val="16"/>
                <w:szCs w:val="16"/>
              </w:rPr>
              <w:t>25人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tabs>
                <w:tab w:val="center" w:pos="823"/>
              </w:tabs>
              <w:spacing w:line="260" w:lineRule="exact"/>
              <w:rPr>
                <w:rFonts w:hint="eastAsia"/>
                <w:kern w:val="0"/>
                <w:sz w:val="16"/>
                <w:szCs w:val="16"/>
              </w:rPr>
            </w:pPr>
            <w:r>
              <w:rPr>
                <w:kern w:val="0"/>
                <w:sz w:val="16"/>
                <w:szCs w:val="16"/>
              </w:rPr>
              <w:t>指标3：</w:t>
            </w:r>
            <w:r>
              <w:rPr>
                <w:rFonts w:hint="eastAsia"/>
                <w:kern w:val="0"/>
                <w:sz w:val="16"/>
                <w:szCs w:val="16"/>
              </w:rPr>
              <w:t>组织市代表视察</w:t>
            </w:r>
          </w:p>
          <w:p>
            <w:pPr>
              <w:pStyle w:val="14"/>
              <w:spacing w:before="72"/>
            </w:pPr>
          </w:p>
        </w:tc>
        <w:tc>
          <w:tcPr>
            <w:tcW w:w="1682" w:type="dxa"/>
            <w:gridSpan w:val="2"/>
            <w:vAlign w:val="center"/>
          </w:tcPr>
          <w:p>
            <w:pPr>
              <w:widowControl/>
              <w:spacing w:line="260" w:lineRule="exact"/>
              <w:rPr>
                <w:kern w:val="0"/>
                <w:sz w:val="16"/>
                <w:szCs w:val="16"/>
              </w:rPr>
            </w:pPr>
            <w:r>
              <w:rPr>
                <w:rFonts w:hint="eastAsia"/>
                <w:kern w:val="0"/>
                <w:sz w:val="16"/>
                <w:szCs w:val="16"/>
              </w:rPr>
              <w:t>≥2</w:t>
            </w:r>
            <w:r>
              <w:rPr>
                <w:kern w:val="0"/>
                <w:sz w:val="16"/>
                <w:szCs w:val="16"/>
              </w:rPr>
              <w:t>次</w:t>
            </w:r>
          </w:p>
        </w:tc>
        <w:tc>
          <w:tcPr>
            <w:tcW w:w="1870" w:type="dxa"/>
            <w:gridSpan w:val="2"/>
            <w:noWrap/>
            <w:vAlign w:val="center"/>
          </w:tcPr>
          <w:p>
            <w:pPr>
              <w:widowControl/>
              <w:spacing w:line="260" w:lineRule="exact"/>
              <w:rPr>
                <w:sz w:val="16"/>
                <w:szCs w:val="16"/>
              </w:rPr>
            </w:pPr>
            <w:r>
              <w:rPr>
                <w:rFonts w:hint="eastAsia"/>
                <w:kern w:val="0"/>
                <w:sz w:val="16"/>
                <w:szCs w:val="16"/>
              </w:rPr>
              <w:t>≥2</w:t>
            </w:r>
            <w:r>
              <w:rPr>
                <w:kern w:val="0"/>
                <w:sz w:val="16"/>
                <w:szCs w:val="16"/>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tabs>
                <w:tab w:val="center" w:pos="823"/>
              </w:tabs>
              <w:spacing w:line="260" w:lineRule="exact"/>
              <w:rPr>
                <w:kern w:val="0"/>
                <w:sz w:val="16"/>
                <w:szCs w:val="16"/>
              </w:rPr>
            </w:pPr>
            <w:r>
              <w:rPr>
                <w:kern w:val="0"/>
                <w:sz w:val="16"/>
                <w:szCs w:val="16"/>
              </w:rPr>
              <w:t>指标4：</w:t>
            </w:r>
            <w:r>
              <w:rPr>
                <w:rFonts w:hint="eastAsia"/>
                <w:kern w:val="0"/>
                <w:sz w:val="16"/>
                <w:szCs w:val="16"/>
              </w:rPr>
              <w:t>组织召开人大常委会</w:t>
            </w:r>
          </w:p>
        </w:tc>
        <w:tc>
          <w:tcPr>
            <w:tcW w:w="1682" w:type="dxa"/>
            <w:gridSpan w:val="2"/>
            <w:vAlign w:val="center"/>
          </w:tcPr>
          <w:p>
            <w:pPr>
              <w:widowControl/>
              <w:spacing w:line="260" w:lineRule="exact"/>
              <w:rPr>
                <w:kern w:val="0"/>
                <w:sz w:val="16"/>
                <w:szCs w:val="16"/>
              </w:rPr>
            </w:pPr>
            <w:r>
              <w:rPr>
                <w:rFonts w:hint="eastAsia"/>
                <w:kern w:val="0"/>
                <w:sz w:val="16"/>
                <w:szCs w:val="16"/>
              </w:rPr>
              <w:t>≥6</w:t>
            </w:r>
            <w:r>
              <w:rPr>
                <w:kern w:val="0"/>
                <w:sz w:val="16"/>
                <w:szCs w:val="16"/>
              </w:rPr>
              <w:t>次</w:t>
            </w:r>
          </w:p>
        </w:tc>
        <w:tc>
          <w:tcPr>
            <w:tcW w:w="1870" w:type="dxa"/>
            <w:gridSpan w:val="2"/>
            <w:noWrap/>
            <w:vAlign w:val="center"/>
          </w:tcPr>
          <w:p>
            <w:pPr>
              <w:widowControl/>
              <w:spacing w:line="260" w:lineRule="exact"/>
              <w:rPr>
                <w:sz w:val="16"/>
                <w:szCs w:val="16"/>
              </w:rPr>
            </w:pPr>
            <w:r>
              <w:rPr>
                <w:rFonts w:hint="eastAsia"/>
                <w:kern w:val="0"/>
                <w:sz w:val="16"/>
                <w:szCs w:val="16"/>
              </w:rPr>
              <w:t>≥6</w:t>
            </w:r>
            <w:r>
              <w:rPr>
                <w:kern w:val="0"/>
                <w:sz w:val="16"/>
                <w:szCs w:val="16"/>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restart"/>
            <w:vAlign w:val="center"/>
          </w:tcPr>
          <w:p>
            <w:pPr>
              <w:widowControl/>
              <w:spacing w:line="260" w:lineRule="exact"/>
              <w:rPr>
                <w:kern w:val="0"/>
                <w:sz w:val="16"/>
                <w:szCs w:val="16"/>
              </w:rPr>
            </w:pPr>
            <w:r>
              <w:rPr>
                <w:kern w:val="0"/>
                <w:sz w:val="16"/>
                <w:szCs w:val="16"/>
              </w:rPr>
              <w:t>质量指标</w:t>
            </w:r>
          </w:p>
        </w:tc>
        <w:tc>
          <w:tcPr>
            <w:tcW w:w="1729" w:type="dxa"/>
            <w:gridSpan w:val="2"/>
            <w:vAlign w:val="center"/>
          </w:tcPr>
          <w:p>
            <w:pPr>
              <w:widowControl/>
              <w:spacing w:line="260" w:lineRule="exact"/>
              <w:rPr>
                <w:kern w:val="0"/>
                <w:sz w:val="16"/>
                <w:szCs w:val="16"/>
              </w:rPr>
            </w:pPr>
            <w:r>
              <w:rPr>
                <w:kern w:val="0"/>
                <w:sz w:val="16"/>
                <w:szCs w:val="16"/>
              </w:rPr>
              <w:t>指标1：</w:t>
            </w:r>
            <w:r>
              <w:rPr>
                <w:rFonts w:hint="eastAsia"/>
                <w:kern w:val="0"/>
                <w:sz w:val="16"/>
                <w:szCs w:val="16"/>
              </w:rPr>
              <w:t>保障机关正常运转</w:t>
            </w:r>
          </w:p>
        </w:tc>
        <w:tc>
          <w:tcPr>
            <w:tcW w:w="1682" w:type="dxa"/>
            <w:gridSpan w:val="2"/>
            <w:vAlign w:val="center"/>
          </w:tcPr>
          <w:p>
            <w:pPr>
              <w:widowControl/>
              <w:spacing w:line="260" w:lineRule="exact"/>
              <w:rPr>
                <w:kern w:val="0"/>
                <w:sz w:val="16"/>
                <w:szCs w:val="16"/>
              </w:rPr>
            </w:pPr>
            <w:r>
              <w:rPr>
                <w:rFonts w:hint="eastAsia"/>
                <w:kern w:val="0"/>
                <w:sz w:val="16"/>
                <w:szCs w:val="16"/>
              </w:rPr>
              <w:t>100</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color w:val="000000"/>
                <w:kern w:val="0"/>
                <w:sz w:val="16"/>
                <w:szCs w:val="16"/>
              </w:rPr>
              <w:t>100</w:t>
            </w:r>
            <w:r>
              <w:rPr>
                <w:color w:val="000000"/>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spacing w:line="260" w:lineRule="exact"/>
              <w:rPr>
                <w:kern w:val="0"/>
                <w:sz w:val="16"/>
                <w:szCs w:val="16"/>
              </w:rPr>
            </w:pPr>
            <w:r>
              <w:rPr>
                <w:kern w:val="0"/>
                <w:sz w:val="16"/>
                <w:szCs w:val="16"/>
              </w:rPr>
              <w:t>指标2：</w:t>
            </w:r>
            <w:r>
              <w:rPr>
                <w:rFonts w:hint="eastAsia"/>
                <w:kern w:val="0"/>
                <w:sz w:val="16"/>
                <w:szCs w:val="16"/>
              </w:rPr>
              <w:t>保障人民当家作主</w:t>
            </w:r>
          </w:p>
        </w:tc>
        <w:tc>
          <w:tcPr>
            <w:tcW w:w="1682" w:type="dxa"/>
            <w:gridSpan w:val="2"/>
            <w:vAlign w:val="center"/>
          </w:tcPr>
          <w:p>
            <w:pPr>
              <w:widowControl/>
              <w:spacing w:line="260" w:lineRule="exact"/>
              <w:rPr>
                <w:kern w:val="0"/>
                <w:sz w:val="16"/>
                <w:szCs w:val="16"/>
              </w:rPr>
            </w:pPr>
            <w:r>
              <w:rPr>
                <w:kern w:val="0"/>
                <w:sz w:val="16"/>
                <w:szCs w:val="16"/>
              </w:rPr>
              <w:t>100%</w:t>
            </w:r>
          </w:p>
        </w:tc>
        <w:tc>
          <w:tcPr>
            <w:tcW w:w="1870" w:type="dxa"/>
            <w:gridSpan w:val="2"/>
            <w:noWrap/>
            <w:vAlign w:val="center"/>
          </w:tcPr>
          <w:p>
            <w:pPr>
              <w:widowControl/>
              <w:spacing w:line="260" w:lineRule="exact"/>
              <w:rPr>
                <w:color w:val="000000"/>
                <w:kern w:val="0"/>
                <w:sz w:val="16"/>
                <w:szCs w:val="16"/>
              </w:rPr>
            </w:pPr>
            <w:r>
              <w:rPr>
                <w:color w:val="000000"/>
                <w:kern w:val="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spacing w:line="260" w:lineRule="exact"/>
              <w:rPr>
                <w:kern w:val="0"/>
                <w:sz w:val="16"/>
                <w:szCs w:val="16"/>
              </w:rPr>
            </w:pPr>
            <w:r>
              <w:rPr>
                <w:kern w:val="0"/>
                <w:sz w:val="16"/>
                <w:szCs w:val="16"/>
              </w:rPr>
              <w:t>指标3：</w:t>
            </w:r>
            <w:r>
              <w:rPr>
                <w:rFonts w:hint="eastAsia"/>
                <w:kern w:val="0"/>
                <w:sz w:val="16"/>
                <w:szCs w:val="16"/>
              </w:rPr>
              <w:t>保质保量完成当年任务</w:t>
            </w:r>
          </w:p>
        </w:tc>
        <w:tc>
          <w:tcPr>
            <w:tcW w:w="1682" w:type="dxa"/>
            <w:gridSpan w:val="2"/>
            <w:vAlign w:val="center"/>
          </w:tcPr>
          <w:p>
            <w:pPr>
              <w:widowControl/>
              <w:spacing w:line="260" w:lineRule="exact"/>
              <w:rPr>
                <w:kern w:val="0"/>
                <w:sz w:val="16"/>
                <w:szCs w:val="16"/>
              </w:rPr>
            </w:pPr>
            <w:r>
              <w:rPr>
                <w:rFonts w:hint="eastAsia"/>
                <w:kern w:val="0"/>
                <w:sz w:val="16"/>
                <w:szCs w:val="16"/>
              </w:rPr>
              <w:t>100</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color w:val="000000"/>
                <w:kern w:val="0"/>
                <w:sz w:val="16"/>
                <w:szCs w:val="16"/>
              </w:rPr>
              <w:t>100</w:t>
            </w:r>
            <w:r>
              <w:rPr>
                <w:color w:val="000000"/>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Align w:val="center"/>
          </w:tcPr>
          <w:p>
            <w:pPr>
              <w:widowControl/>
              <w:spacing w:line="260" w:lineRule="exact"/>
              <w:rPr>
                <w:kern w:val="0"/>
                <w:sz w:val="16"/>
                <w:szCs w:val="16"/>
              </w:rPr>
            </w:pPr>
            <w:r>
              <w:rPr>
                <w:kern w:val="0"/>
                <w:sz w:val="16"/>
                <w:szCs w:val="16"/>
              </w:rPr>
              <w:t>时效指标</w:t>
            </w:r>
          </w:p>
        </w:tc>
        <w:tc>
          <w:tcPr>
            <w:tcW w:w="1729" w:type="dxa"/>
            <w:gridSpan w:val="2"/>
            <w:vAlign w:val="center"/>
          </w:tcPr>
          <w:p>
            <w:pPr>
              <w:widowControl/>
              <w:spacing w:line="260" w:lineRule="exact"/>
              <w:rPr>
                <w:kern w:val="0"/>
                <w:sz w:val="16"/>
                <w:szCs w:val="16"/>
              </w:rPr>
            </w:pPr>
            <w:r>
              <w:rPr>
                <w:kern w:val="0"/>
                <w:sz w:val="16"/>
                <w:szCs w:val="16"/>
              </w:rPr>
              <w:t>指标1：</w:t>
            </w:r>
            <w:r>
              <w:rPr>
                <w:rFonts w:hint="eastAsia"/>
                <w:kern w:val="0"/>
                <w:sz w:val="16"/>
                <w:szCs w:val="16"/>
              </w:rPr>
              <w:t>年初持续到年末</w:t>
            </w:r>
          </w:p>
        </w:tc>
        <w:tc>
          <w:tcPr>
            <w:tcW w:w="1682" w:type="dxa"/>
            <w:gridSpan w:val="2"/>
            <w:vAlign w:val="center"/>
          </w:tcPr>
          <w:p>
            <w:pPr>
              <w:widowControl/>
              <w:spacing w:line="260" w:lineRule="exact"/>
              <w:rPr>
                <w:kern w:val="0"/>
                <w:sz w:val="16"/>
                <w:szCs w:val="16"/>
              </w:rPr>
            </w:pPr>
            <w:r>
              <w:rPr>
                <w:rFonts w:hint="eastAsia"/>
                <w:kern w:val="0"/>
                <w:sz w:val="16"/>
                <w:szCs w:val="16"/>
              </w:rPr>
              <w:t>≤1年</w:t>
            </w:r>
          </w:p>
        </w:tc>
        <w:tc>
          <w:tcPr>
            <w:tcW w:w="1870" w:type="dxa"/>
            <w:gridSpan w:val="2"/>
            <w:noWrap/>
            <w:vAlign w:val="center"/>
          </w:tcPr>
          <w:p>
            <w:pPr>
              <w:widowControl/>
              <w:spacing w:line="260" w:lineRule="exact"/>
              <w:rPr>
                <w:color w:val="000000"/>
                <w:kern w:val="0"/>
                <w:sz w:val="16"/>
                <w:szCs w:val="16"/>
              </w:rPr>
            </w:pPr>
            <w:r>
              <w:rPr>
                <w:rFonts w:hint="eastAsia"/>
                <w:kern w:val="0"/>
                <w:sz w:val="16"/>
                <w:szCs w:val="16"/>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restart"/>
            <w:vAlign w:val="center"/>
          </w:tcPr>
          <w:p>
            <w:pPr>
              <w:widowControl/>
              <w:spacing w:line="260" w:lineRule="exact"/>
              <w:rPr>
                <w:kern w:val="0"/>
                <w:sz w:val="16"/>
                <w:szCs w:val="16"/>
              </w:rPr>
            </w:pPr>
            <w:r>
              <w:rPr>
                <w:kern w:val="0"/>
                <w:sz w:val="16"/>
                <w:szCs w:val="16"/>
              </w:rPr>
              <w:t>效益指标</w:t>
            </w:r>
          </w:p>
        </w:tc>
        <w:tc>
          <w:tcPr>
            <w:tcW w:w="1572" w:type="dxa"/>
            <w:gridSpan w:val="2"/>
            <w:vAlign w:val="center"/>
          </w:tcPr>
          <w:p>
            <w:pPr>
              <w:widowControl/>
              <w:spacing w:line="260" w:lineRule="exact"/>
              <w:rPr>
                <w:kern w:val="0"/>
                <w:sz w:val="16"/>
                <w:szCs w:val="16"/>
              </w:rPr>
            </w:pPr>
            <w:r>
              <w:rPr>
                <w:kern w:val="0"/>
                <w:sz w:val="16"/>
                <w:szCs w:val="16"/>
              </w:rPr>
              <w:t>经济效益</w:t>
            </w:r>
            <w:r>
              <w:rPr>
                <w:kern w:val="0"/>
                <w:sz w:val="16"/>
                <w:szCs w:val="16"/>
              </w:rPr>
              <w:br w:type="textWrapping"/>
            </w:r>
            <w:r>
              <w:rPr>
                <w:kern w:val="0"/>
                <w:sz w:val="16"/>
                <w:szCs w:val="16"/>
              </w:rPr>
              <w:t>指标</w:t>
            </w:r>
          </w:p>
        </w:tc>
        <w:tc>
          <w:tcPr>
            <w:tcW w:w="1729" w:type="dxa"/>
            <w:gridSpan w:val="2"/>
            <w:vAlign w:val="center"/>
          </w:tcPr>
          <w:p>
            <w:pPr>
              <w:widowControl/>
              <w:spacing w:line="260" w:lineRule="exact"/>
              <w:rPr>
                <w:kern w:val="0"/>
                <w:sz w:val="16"/>
                <w:szCs w:val="16"/>
              </w:rPr>
            </w:pPr>
            <w:r>
              <w:rPr>
                <w:kern w:val="0"/>
                <w:sz w:val="16"/>
                <w:szCs w:val="16"/>
              </w:rPr>
              <w:t>指标1：</w:t>
            </w:r>
            <w:r>
              <w:rPr>
                <w:rFonts w:hint="eastAsia"/>
                <w:kern w:val="0"/>
                <w:sz w:val="16"/>
                <w:szCs w:val="16"/>
              </w:rPr>
              <w:t>厉行节约</w:t>
            </w:r>
          </w:p>
        </w:tc>
        <w:tc>
          <w:tcPr>
            <w:tcW w:w="1682" w:type="dxa"/>
            <w:gridSpan w:val="2"/>
            <w:vAlign w:val="center"/>
          </w:tcPr>
          <w:p>
            <w:pPr>
              <w:widowControl/>
              <w:spacing w:line="260" w:lineRule="exact"/>
              <w:rPr>
                <w:kern w:val="0"/>
                <w:sz w:val="16"/>
                <w:szCs w:val="16"/>
              </w:rPr>
            </w:pPr>
            <w:r>
              <w:rPr>
                <w:rFonts w:hint="eastAsia"/>
                <w:kern w:val="0"/>
                <w:sz w:val="16"/>
                <w:szCs w:val="16"/>
              </w:rPr>
              <w:t>98</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color w:val="000000"/>
                <w:kern w:val="0"/>
                <w:sz w:val="16"/>
                <w:szCs w:val="16"/>
              </w:rPr>
              <w:t>98</w:t>
            </w:r>
            <w:r>
              <w:rPr>
                <w:color w:val="000000"/>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restart"/>
            <w:vAlign w:val="center"/>
          </w:tcPr>
          <w:p>
            <w:pPr>
              <w:widowControl/>
              <w:spacing w:line="260" w:lineRule="exact"/>
              <w:rPr>
                <w:kern w:val="0"/>
                <w:sz w:val="16"/>
                <w:szCs w:val="16"/>
              </w:rPr>
            </w:pPr>
            <w:r>
              <w:rPr>
                <w:kern w:val="0"/>
                <w:sz w:val="16"/>
                <w:szCs w:val="16"/>
              </w:rPr>
              <w:t>社会效益</w:t>
            </w:r>
            <w:r>
              <w:rPr>
                <w:kern w:val="0"/>
                <w:sz w:val="16"/>
                <w:szCs w:val="16"/>
              </w:rPr>
              <w:br w:type="textWrapping"/>
            </w:r>
            <w:r>
              <w:rPr>
                <w:kern w:val="0"/>
                <w:sz w:val="16"/>
                <w:szCs w:val="16"/>
              </w:rPr>
              <w:t>指标</w:t>
            </w:r>
          </w:p>
        </w:tc>
        <w:tc>
          <w:tcPr>
            <w:tcW w:w="1729" w:type="dxa"/>
            <w:gridSpan w:val="2"/>
            <w:vAlign w:val="center"/>
          </w:tcPr>
          <w:p>
            <w:pPr>
              <w:widowControl/>
              <w:spacing w:line="260" w:lineRule="exact"/>
              <w:rPr>
                <w:kern w:val="0"/>
                <w:sz w:val="16"/>
                <w:szCs w:val="16"/>
              </w:rPr>
            </w:pPr>
            <w:r>
              <w:rPr>
                <w:kern w:val="0"/>
                <w:sz w:val="16"/>
                <w:szCs w:val="16"/>
              </w:rPr>
              <w:t>指标1：</w:t>
            </w:r>
            <w:r>
              <w:rPr>
                <w:rFonts w:hint="eastAsia"/>
                <w:kern w:val="0"/>
                <w:sz w:val="16"/>
                <w:szCs w:val="16"/>
              </w:rPr>
              <w:t>提现人民当家作主的权利</w:t>
            </w:r>
          </w:p>
        </w:tc>
        <w:tc>
          <w:tcPr>
            <w:tcW w:w="1682" w:type="dxa"/>
            <w:gridSpan w:val="2"/>
            <w:vAlign w:val="center"/>
          </w:tcPr>
          <w:p>
            <w:pPr>
              <w:widowControl/>
              <w:spacing w:line="260" w:lineRule="exact"/>
              <w:rPr>
                <w:kern w:val="0"/>
                <w:sz w:val="16"/>
                <w:szCs w:val="16"/>
              </w:rPr>
            </w:pPr>
            <w:r>
              <w:rPr>
                <w:rFonts w:hint="eastAsia"/>
                <w:kern w:val="0"/>
                <w:sz w:val="16"/>
                <w:szCs w:val="16"/>
              </w:rPr>
              <w:t>100</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kern w:val="0"/>
                <w:sz w:val="16"/>
                <w:szCs w:val="16"/>
              </w:rPr>
              <w:t>100</w:t>
            </w:r>
            <w:r>
              <w:rPr>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spacing w:line="260" w:lineRule="exact"/>
              <w:rPr>
                <w:kern w:val="0"/>
                <w:sz w:val="16"/>
                <w:szCs w:val="16"/>
              </w:rPr>
            </w:pPr>
            <w:r>
              <w:rPr>
                <w:kern w:val="0"/>
                <w:sz w:val="16"/>
                <w:szCs w:val="16"/>
              </w:rPr>
              <w:t>指标2：</w:t>
            </w:r>
            <w:r>
              <w:rPr>
                <w:rFonts w:hint="eastAsia"/>
                <w:kern w:val="0"/>
                <w:sz w:val="16"/>
                <w:szCs w:val="16"/>
              </w:rPr>
              <w:t>围绕中央精神落实各项工作</w:t>
            </w:r>
          </w:p>
        </w:tc>
        <w:tc>
          <w:tcPr>
            <w:tcW w:w="1682" w:type="dxa"/>
            <w:gridSpan w:val="2"/>
            <w:vAlign w:val="center"/>
          </w:tcPr>
          <w:p>
            <w:pPr>
              <w:widowControl/>
              <w:spacing w:line="260" w:lineRule="exact"/>
              <w:rPr>
                <w:kern w:val="0"/>
                <w:sz w:val="16"/>
                <w:szCs w:val="16"/>
              </w:rPr>
            </w:pPr>
            <w:r>
              <w:rPr>
                <w:rFonts w:hint="eastAsia"/>
                <w:kern w:val="0"/>
                <w:sz w:val="16"/>
                <w:szCs w:val="16"/>
              </w:rPr>
              <w:t>100</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kern w:val="0"/>
                <w:sz w:val="16"/>
                <w:szCs w:val="16"/>
              </w:rPr>
              <w:t>100</w:t>
            </w:r>
            <w:r>
              <w:rPr>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Align w:val="center"/>
          </w:tcPr>
          <w:p>
            <w:pPr>
              <w:widowControl/>
              <w:spacing w:line="260" w:lineRule="exact"/>
              <w:rPr>
                <w:kern w:val="0"/>
                <w:sz w:val="16"/>
                <w:szCs w:val="16"/>
              </w:rPr>
            </w:pPr>
            <w:r>
              <w:rPr>
                <w:kern w:val="0"/>
                <w:sz w:val="16"/>
                <w:szCs w:val="16"/>
              </w:rPr>
              <w:t>可持续影响</w:t>
            </w:r>
            <w:r>
              <w:rPr>
                <w:kern w:val="0"/>
                <w:sz w:val="16"/>
                <w:szCs w:val="16"/>
              </w:rPr>
              <w:br w:type="textWrapping"/>
            </w:r>
            <w:r>
              <w:rPr>
                <w:kern w:val="0"/>
                <w:sz w:val="16"/>
                <w:szCs w:val="16"/>
              </w:rPr>
              <w:t>指标</w:t>
            </w:r>
          </w:p>
        </w:tc>
        <w:tc>
          <w:tcPr>
            <w:tcW w:w="1729" w:type="dxa"/>
            <w:gridSpan w:val="2"/>
            <w:vAlign w:val="center"/>
          </w:tcPr>
          <w:p>
            <w:pPr>
              <w:widowControl/>
              <w:spacing w:line="260" w:lineRule="exact"/>
              <w:rPr>
                <w:kern w:val="0"/>
                <w:sz w:val="16"/>
                <w:szCs w:val="16"/>
              </w:rPr>
            </w:pPr>
            <w:r>
              <w:rPr>
                <w:kern w:val="0"/>
                <w:sz w:val="16"/>
                <w:szCs w:val="16"/>
              </w:rPr>
              <w:t>指标1：</w:t>
            </w:r>
            <w:r>
              <w:rPr>
                <w:rFonts w:hint="eastAsia"/>
                <w:kern w:val="0"/>
                <w:sz w:val="16"/>
                <w:szCs w:val="16"/>
              </w:rPr>
              <w:t>障工作的正常推进</w:t>
            </w:r>
          </w:p>
        </w:tc>
        <w:tc>
          <w:tcPr>
            <w:tcW w:w="1682" w:type="dxa"/>
            <w:gridSpan w:val="2"/>
            <w:vAlign w:val="center"/>
          </w:tcPr>
          <w:p>
            <w:pPr>
              <w:widowControl/>
              <w:spacing w:line="260" w:lineRule="exact"/>
              <w:rPr>
                <w:kern w:val="0"/>
                <w:sz w:val="16"/>
                <w:szCs w:val="16"/>
              </w:rPr>
            </w:pPr>
            <w:r>
              <w:rPr>
                <w:rFonts w:hint="eastAsia"/>
                <w:kern w:val="0"/>
                <w:sz w:val="16"/>
                <w:szCs w:val="16"/>
              </w:rPr>
              <w:t>98</w:t>
            </w:r>
            <w:r>
              <w:rPr>
                <w:kern w:val="0"/>
                <w:sz w:val="16"/>
                <w:szCs w:val="16"/>
              </w:rPr>
              <w:t>%</w:t>
            </w:r>
          </w:p>
        </w:tc>
        <w:tc>
          <w:tcPr>
            <w:tcW w:w="1870" w:type="dxa"/>
            <w:gridSpan w:val="2"/>
            <w:noWrap/>
            <w:vAlign w:val="center"/>
          </w:tcPr>
          <w:p>
            <w:pPr>
              <w:widowControl/>
              <w:spacing w:line="260" w:lineRule="exact"/>
              <w:rPr>
                <w:color w:val="000000"/>
                <w:kern w:val="0"/>
                <w:sz w:val="16"/>
                <w:szCs w:val="16"/>
              </w:rPr>
            </w:pPr>
            <w:r>
              <w:rPr>
                <w:rFonts w:hint="eastAsia"/>
                <w:color w:val="000000"/>
                <w:kern w:val="0"/>
                <w:sz w:val="16"/>
                <w:szCs w:val="16"/>
              </w:rPr>
              <w:t>98</w:t>
            </w:r>
            <w:r>
              <w:rPr>
                <w:color w:val="000000"/>
                <w:kern w:val="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4" w:type="dxa"/>
            <w:vMerge w:val="continue"/>
            <w:vAlign w:val="center"/>
          </w:tcPr>
          <w:p>
            <w:pPr>
              <w:widowControl/>
              <w:spacing w:line="260" w:lineRule="exact"/>
              <w:rPr>
                <w:kern w:val="0"/>
                <w:sz w:val="16"/>
                <w:szCs w:val="16"/>
              </w:rPr>
            </w:pPr>
          </w:p>
        </w:tc>
        <w:tc>
          <w:tcPr>
            <w:tcW w:w="975" w:type="dxa"/>
            <w:vMerge w:val="restart"/>
            <w:vAlign w:val="center"/>
          </w:tcPr>
          <w:p>
            <w:pPr>
              <w:widowControl/>
              <w:spacing w:line="260" w:lineRule="exact"/>
              <w:rPr>
                <w:kern w:val="0"/>
                <w:sz w:val="16"/>
                <w:szCs w:val="16"/>
              </w:rPr>
            </w:pPr>
            <w:r>
              <w:rPr>
                <w:kern w:val="0"/>
                <w:sz w:val="16"/>
                <w:szCs w:val="16"/>
              </w:rPr>
              <w:t>满意度</w:t>
            </w:r>
            <w:r>
              <w:rPr>
                <w:kern w:val="0"/>
                <w:sz w:val="16"/>
                <w:szCs w:val="16"/>
              </w:rPr>
              <w:br w:type="textWrapping"/>
            </w:r>
            <w:r>
              <w:rPr>
                <w:kern w:val="0"/>
                <w:sz w:val="16"/>
                <w:szCs w:val="16"/>
              </w:rPr>
              <w:t>指标</w:t>
            </w:r>
          </w:p>
        </w:tc>
        <w:tc>
          <w:tcPr>
            <w:tcW w:w="1572" w:type="dxa"/>
            <w:gridSpan w:val="2"/>
            <w:vMerge w:val="restart"/>
            <w:vAlign w:val="center"/>
          </w:tcPr>
          <w:p>
            <w:pPr>
              <w:widowControl/>
              <w:spacing w:line="260" w:lineRule="exact"/>
              <w:rPr>
                <w:kern w:val="0"/>
                <w:sz w:val="16"/>
                <w:szCs w:val="16"/>
              </w:rPr>
            </w:pPr>
            <w:r>
              <w:rPr>
                <w:kern w:val="0"/>
                <w:sz w:val="16"/>
                <w:szCs w:val="16"/>
              </w:rPr>
              <w:t>满意度指标</w:t>
            </w:r>
          </w:p>
        </w:tc>
        <w:tc>
          <w:tcPr>
            <w:tcW w:w="1729" w:type="dxa"/>
            <w:gridSpan w:val="2"/>
            <w:vAlign w:val="center"/>
          </w:tcPr>
          <w:p>
            <w:pPr>
              <w:widowControl/>
              <w:spacing w:line="260" w:lineRule="exact"/>
              <w:jc w:val="center"/>
              <w:rPr>
                <w:rFonts w:hint="eastAsia"/>
                <w:kern w:val="0"/>
                <w:sz w:val="16"/>
                <w:szCs w:val="16"/>
              </w:rPr>
            </w:pPr>
            <w:r>
              <w:rPr>
                <w:kern w:val="0"/>
                <w:sz w:val="16"/>
                <w:szCs w:val="16"/>
              </w:rPr>
              <w:t>指标1：</w:t>
            </w:r>
            <w:r>
              <w:rPr>
                <w:rFonts w:hint="eastAsia"/>
                <w:kern w:val="0"/>
                <w:sz w:val="16"/>
                <w:szCs w:val="16"/>
              </w:rPr>
              <w:t>人民群众</w:t>
            </w:r>
            <w:r>
              <w:rPr>
                <w:kern w:val="0"/>
                <w:sz w:val="16"/>
                <w:szCs w:val="16"/>
              </w:rPr>
              <w:t>满意度</w:t>
            </w:r>
          </w:p>
          <w:p>
            <w:pPr>
              <w:pStyle w:val="14"/>
              <w:spacing w:before="72"/>
              <w:jc w:val="center"/>
            </w:pPr>
          </w:p>
        </w:tc>
        <w:tc>
          <w:tcPr>
            <w:tcW w:w="1682" w:type="dxa"/>
            <w:gridSpan w:val="2"/>
            <w:vAlign w:val="center"/>
          </w:tcPr>
          <w:p>
            <w:pPr>
              <w:widowControl/>
              <w:spacing w:line="260" w:lineRule="exact"/>
              <w:rPr>
                <w:kern w:val="0"/>
                <w:sz w:val="16"/>
                <w:szCs w:val="16"/>
              </w:rPr>
            </w:pPr>
            <w:r>
              <w:rPr>
                <w:kern w:val="0"/>
                <w:sz w:val="16"/>
                <w:szCs w:val="16"/>
              </w:rPr>
              <w:t>100%</w:t>
            </w:r>
          </w:p>
        </w:tc>
        <w:tc>
          <w:tcPr>
            <w:tcW w:w="1870" w:type="dxa"/>
            <w:gridSpan w:val="2"/>
            <w:noWrap/>
            <w:vAlign w:val="center"/>
          </w:tcPr>
          <w:p>
            <w:pPr>
              <w:widowControl/>
              <w:spacing w:line="260" w:lineRule="exact"/>
              <w:rPr>
                <w:color w:val="000000"/>
                <w:kern w:val="0"/>
                <w:sz w:val="16"/>
                <w:szCs w:val="16"/>
              </w:rPr>
            </w:pPr>
            <w:r>
              <w:rPr>
                <w:color w:val="000000"/>
                <w:kern w:val="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694" w:type="dxa"/>
            <w:vMerge w:val="continue"/>
            <w:vAlign w:val="center"/>
          </w:tcPr>
          <w:p>
            <w:pPr>
              <w:widowControl/>
              <w:spacing w:line="260" w:lineRule="exact"/>
              <w:rPr>
                <w:kern w:val="0"/>
                <w:sz w:val="16"/>
                <w:szCs w:val="16"/>
              </w:rPr>
            </w:pPr>
          </w:p>
        </w:tc>
        <w:tc>
          <w:tcPr>
            <w:tcW w:w="975" w:type="dxa"/>
            <w:vMerge w:val="continue"/>
            <w:vAlign w:val="center"/>
          </w:tcPr>
          <w:p>
            <w:pPr>
              <w:widowControl/>
              <w:spacing w:line="260" w:lineRule="exact"/>
              <w:rPr>
                <w:kern w:val="0"/>
                <w:sz w:val="16"/>
                <w:szCs w:val="16"/>
              </w:rPr>
            </w:pPr>
          </w:p>
        </w:tc>
        <w:tc>
          <w:tcPr>
            <w:tcW w:w="1572" w:type="dxa"/>
            <w:gridSpan w:val="2"/>
            <w:vMerge w:val="continue"/>
            <w:vAlign w:val="center"/>
          </w:tcPr>
          <w:p>
            <w:pPr>
              <w:widowControl/>
              <w:spacing w:line="260" w:lineRule="exact"/>
              <w:rPr>
                <w:kern w:val="0"/>
                <w:sz w:val="16"/>
                <w:szCs w:val="16"/>
              </w:rPr>
            </w:pPr>
          </w:p>
        </w:tc>
        <w:tc>
          <w:tcPr>
            <w:tcW w:w="1729" w:type="dxa"/>
            <w:gridSpan w:val="2"/>
            <w:vAlign w:val="center"/>
          </w:tcPr>
          <w:p>
            <w:pPr>
              <w:widowControl/>
              <w:spacing w:line="260" w:lineRule="exact"/>
              <w:rPr>
                <w:kern w:val="0"/>
                <w:sz w:val="16"/>
                <w:szCs w:val="16"/>
              </w:rPr>
            </w:pPr>
            <w:r>
              <w:rPr>
                <w:kern w:val="0"/>
                <w:sz w:val="16"/>
                <w:szCs w:val="16"/>
              </w:rPr>
              <w:t>指标2：</w:t>
            </w:r>
            <w:r>
              <w:rPr>
                <w:rFonts w:hint="eastAsia"/>
                <w:kern w:val="0"/>
                <w:sz w:val="16"/>
                <w:szCs w:val="16"/>
              </w:rPr>
              <w:t>人大代表</w:t>
            </w:r>
            <w:r>
              <w:rPr>
                <w:kern w:val="0"/>
                <w:sz w:val="16"/>
                <w:szCs w:val="16"/>
              </w:rPr>
              <w:t>满意度</w:t>
            </w:r>
          </w:p>
        </w:tc>
        <w:tc>
          <w:tcPr>
            <w:tcW w:w="1682" w:type="dxa"/>
            <w:gridSpan w:val="2"/>
            <w:vAlign w:val="center"/>
          </w:tcPr>
          <w:p>
            <w:pPr>
              <w:widowControl/>
              <w:spacing w:line="260" w:lineRule="exact"/>
              <w:rPr>
                <w:kern w:val="0"/>
                <w:sz w:val="16"/>
                <w:szCs w:val="16"/>
              </w:rPr>
            </w:pPr>
            <w:r>
              <w:rPr>
                <w:kern w:val="0"/>
                <w:sz w:val="16"/>
                <w:szCs w:val="16"/>
              </w:rPr>
              <w:t>100%</w:t>
            </w:r>
          </w:p>
        </w:tc>
        <w:tc>
          <w:tcPr>
            <w:tcW w:w="1870" w:type="dxa"/>
            <w:gridSpan w:val="2"/>
            <w:noWrap/>
            <w:vAlign w:val="center"/>
          </w:tcPr>
          <w:p>
            <w:pPr>
              <w:widowControl/>
              <w:spacing w:line="260" w:lineRule="exact"/>
              <w:rPr>
                <w:color w:val="000000"/>
                <w:kern w:val="0"/>
                <w:sz w:val="16"/>
                <w:szCs w:val="16"/>
              </w:rPr>
            </w:pPr>
            <w:r>
              <w:rPr>
                <w:color w:val="000000"/>
                <w:kern w:val="0"/>
                <w:sz w:val="16"/>
                <w:szCs w:val="16"/>
              </w:rPr>
              <w:t>100%</w:t>
            </w:r>
          </w:p>
        </w:tc>
      </w:tr>
    </w:tbl>
    <w:p>
      <w:pPr>
        <w:pStyle w:val="6"/>
        <w:spacing w:before="93"/>
        <w:rPr>
          <w:rFonts w:hAnsi="宋体" w:cs="宋体"/>
          <w:sz w:val="32"/>
          <w:szCs w:val="32"/>
          <w:shd w:val="clear" w:color="auto" w:fill="FFFFFF"/>
          <w:lang w:val="zh-CN"/>
        </w:rPr>
      </w:pPr>
    </w:p>
    <w:p>
      <w:pPr>
        <w:pStyle w:val="6"/>
        <w:spacing w:before="93"/>
        <w:rPr>
          <w:sz w:val="32"/>
          <w:szCs w:val="32"/>
        </w:rPr>
      </w:pPr>
      <w:r>
        <w:rPr>
          <w:rFonts w:hint="eastAsia" w:hAnsi="宋体" w:cs="宋体"/>
          <w:sz w:val="32"/>
          <w:szCs w:val="32"/>
          <w:shd w:val="clear" w:color="auto" w:fill="FFFFFF"/>
          <w:lang w:val="zh-CN"/>
        </w:rPr>
        <w:t>附件</w:t>
      </w:r>
      <w:r>
        <w:rPr>
          <w:rFonts w:hint="eastAsia" w:hAnsi="宋体" w:cs="宋体"/>
          <w:sz w:val="32"/>
          <w:szCs w:val="32"/>
          <w:shd w:val="clear" w:color="auto" w:fill="FFFFFF"/>
        </w:rPr>
        <w:t>2</w:t>
      </w:r>
    </w:p>
    <w:p>
      <w:pPr>
        <w:pStyle w:val="35"/>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2022年专项资金预算项目绩效自评报告范本</w:t>
      </w:r>
    </w:p>
    <w:p>
      <w:pPr>
        <w:pStyle w:val="35"/>
        <w:spacing w:line="578" w:lineRule="exact"/>
        <w:ind w:firstLine="640"/>
        <w:jc w:val="center"/>
        <w:rPr>
          <w:rFonts w:ascii="宋体" w:hAnsi="宋体"/>
          <w:color w:val="auto"/>
          <w:kern w:val="2"/>
          <w:sz w:val="32"/>
          <w:szCs w:val="32"/>
        </w:rPr>
      </w:pPr>
      <w:r>
        <w:rPr>
          <w:rFonts w:hint="eastAsia" w:ascii="宋体" w:hAnsi="宋体"/>
          <w:color w:val="auto"/>
          <w:kern w:val="2"/>
          <w:sz w:val="32"/>
          <w:szCs w:val="32"/>
        </w:rPr>
        <w:t>（人代会会议费项目）</w:t>
      </w: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w:t>
      </w:r>
      <w:r>
        <w:rPr>
          <w:rFonts w:hint="eastAsia" w:ascii="仿宋_GB2312" w:hAnsi="仿宋" w:eastAsia="仿宋_GB2312" w:cs="仿宋"/>
          <w:color w:val="000000"/>
          <w:kern w:val="0"/>
          <w:sz w:val="31"/>
          <w:szCs w:val="31"/>
        </w:rPr>
        <w:t>2022年人代会会议费项目支出是18.73万元。</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2．人代会会议费项目是常年项目，根据每年县人代会使用资金情况，按实申请。</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3．人代会会议费项目，只能用于开展全县人代会的支出。并由财政监管支出。</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1．项目主要内容。2022年人代会会议费项目资金是18.73万元。</w:t>
      </w:r>
    </w:p>
    <w:p>
      <w:pPr>
        <w:adjustRightInd w:val="0"/>
        <w:snapToGrid w:val="0"/>
        <w:spacing w:line="560" w:lineRule="exact"/>
        <w:ind w:firstLine="640" w:firstLineChars="200"/>
        <w:rPr>
          <w:rFonts w:ascii="仿宋_GB2312" w:hAnsi="仿宋" w:eastAsia="仿宋_GB2312" w:cs="仿宋"/>
          <w:color w:val="000000"/>
          <w:kern w:val="0"/>
          <w:sz w:val="31"/>
          <w:szCs w:val="31"/>
        </w:rPr>
      </w:pPr>
      <w:r>
        <w:rPr>
          <w:rFonts w:hint="eastAsia" w:ascii="仿宋_GB2312" w:hAnsi="仿宋_GB2312" w:eastAsia="仿宋_GB2312" w:cs="仿宋_GB2312"/>
          <w:kern w:val="0"/>
          <w:sz w:val="32"/>
          <w:szCs w:val="32"/>
          <w:shd w:val="clear" w:color="auto" w:fill="FFFFFF"/>
          <w:lang w:val="zh-CN"/>
        </w:rPr>
        <w:t>2．项目应实现的具体绩效目标。</w:t>
      </w:r>
      <w:r>
        <w:rPr>
          <w:rFonts w:hint="eastAsia" w:ascii="仿宋_GB2312" w:hAnsi="仿宋" w:eastAsia="仿宋_GB2312" w:cs="仿宋"/>
          <w:color w:val="000000"/>
          <w:kern w:val="0"/>
          <w:sz w:val="31"/>
          <w:szCs w:val="31"/>
        </w:rPr>
        <w:t>人代会会议费18.73万元，主要用于保障县人代会的正常开展。</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3．人代会会议费项目申报内容与实际相符，申报目标合理。</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widowControl/>
        <w:ind w:firstLine="620" w:firstLineChars="200"/>
        <w:jc w:val="left"/>
        <w:rPr>
          <w:rFonts w:hint="eastAsia" w:ascii="仿宋_GB2312" w:hAnsi="仿宋" w:eastAsia="仿宋_GB2312" w:cs="仿宋"/>
          <w:color w:val="000000"/>
          <w:kern w:val="0"/>
          <w:sz w:val="31"/>
          <w:szCs w:val="31"/>
        </w:rPr>
      </w:pPr>
      <w:r>
        <w:rPr>
          <w:rFonts w:hint="eastAsia" w:ascii="仿宋_GB2312" w:hAnsi="仿宋" w:eastAsia="仿宋_GB2312" w:cs="仿宋"/>
          <w:color w:val="000000"/>
          <w:kern w:val="0"/>
          <w:sz w:val="31"/>
          <w:szCs w:val="31"/>
          <w:lang w:val="zh-CN"/>
        </w:rPr>
        <w:t>1．资金计划及时到位。</w:t>
      </w:r>
      <w:r>
        <w:rPr>
          <w:rFonts w:hint="eastAsia" w:ascii="仿宋_GB2312" w:hAnsi="仿宋" w:eastAsia="仿宋_GB2312" w:cs="仿宋"/>
          <w:color w:val="000000"/>
          <w:kern w:val="0"/>
          <w:sz w:val="31"/>
          <w:szCs w:val="31"/>
        </w:rPr>
        <w:t>项目于 2021年12月31日前全部实施完成，项目资金全部拨付到位。</w:t>
      </w:r>
    </w:p>
    <w:p>
      <w:pPr>
        <w:widowControl/>
        <w:ind w:firstLine="620" w:firstLineChars="200"/>
        <w:jc w:val="left"/>
        <w:rPr>
          <w:rFonts w:ascii="仿宋_GB2312" w:hAnsi="宋体" w:eastAsia="仿宋_GB2312"/>
          <w:lang w:val="zh-CN"/>
        </w:rPr>
      </w:pPr>
      <w:r>
        <w:rPr>
          <w:rFonts w:hint="eastAsia" w:ascii="仿宋_GB2312" w:hAnsi="仿宋" w:eastAsia="仿宋_GB2312" w:cs="仿宋"/>
          <w:color w:val="000000"/>
          <w:kern w:val="0"/>
          <w:sz w:val="31"/>
          <w:szCs w:val="31"/>
          <w:lang w:val="zh-CN"/>
        </w:rPr>
        <w:t>2．资金使用。</w:t>
      </w:r>
      <w:r>
        <w:rPr>
          <w:rFonts w:hint="eastAsia" w:ascii="仿宋_GB2312" w:hAnsi="仿宋" w:eastAsia="仿宋_GB2312" w:cs="仿宋"/>
          <w:color w:val="000000"/>
          <w:kern w:val="0"/>
          <w:sz w:val="31"/>
          <w:szCs w:val="31"/>
        </w:rPr>
        <w:t>截止评价时点项目资金全部兑现完成，支付依据合规合法，资金支付与预算相符。</w:t>
      </w:r>
    </w:p>
    <w:p>
      <w:pPr>
        <w:widowControl/>
        <w:ind w:firstLine="620" w:firstLineChars="200"/>
        <w:jc w:val="left"/>
        <w:rPr>
          <w:rFonts w:ascii="仿宋_GB2312" w:hAnsi="仿宋" w:eastAsia="仿宋_GB2312" w:cs="仿宋"/>
          <w:color w:val="000000"/>
          <w:kern w:val="0"/>
          <w:sz w:val="31"/>
          <w:szCs w:val="31"/>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ascii="仿宋_GB2312" w:eastAsia="仿宋_GB2312"/>
        </w:rPr>
      </w:pPr>
      <w:r>
        <w:rPr>
          <w:rFonts w:hint="eastAsia" w:ascii="仿宋_GB2312" w:hAnsi="仿宋" w:eastAsia="仿宋_GB2312" w:cs="仿宋"/>
          <w:color w:val="000000"/>
          <w:kern w:val="0"/>
          <w:sz w:val="31"/>
          <w:szCs w:val="31"/>
        </w:rPr>
        <w:t xml:space="preserve">项目资金严格按照财政专项资金管理办法的要求，专款 </w:t>
      </w:r>
    </w:p>
    <w:p>
      <w:pPr>
        <w:widowControl/>
        <w:jc w:val="left"/>
        <w:rPr>
          <w:rFonts w:ascii="仿宋_GB2312" w:eastAsia="仿宋_GB2312"/>
        </w:rPr>
      </w:pPr>
      <w:r>
        <w:rPr>
          <w:rFonts w:hint="eastAsia" w:ascii="仿宋_GB2312" w:hAnsi="仿宋" w:eastAsia="仿宋_GB2312" w:cs="仿宋"/>
          <w:color w:val="000000"/>
          <w:kern w:val="0"/>
          <w:sz w:val="31"/>
          <w:szCs w:val="31"/>
        </w:rPr>
        <w:t xml:space="preserve">专用，并及时进行了会计核算处理。该项目严格执行财务管 </w:t>
      </w:r>
    </w:p>
    <w:p>
      <w:pPr>
        <w:widowControl/>
        <w:jc w:val="left"/>
        <w:rPr>
          <w:rFonts w:ascii="仿宋_GB2312" w:eastAsia="仿宋_GB2312"/>
        </w:rPr>
      </w:pPr>
      <w:r>
        <w:rPr>
          <w:rFonts w:hint="eastAsia" w:ascii="仿宋_GB2312" w:hAnsi="仿宋" w:eastAsia="仿宋_GB2312" w:cs="仿宋"/>
          <w:color w:val="000000"/>
          <w:kern w:val="0"/>
          <w:sz w:val="31"/>
          <w:szCs w:val="31"/>
        </w:rPr>
        <w:t>理制度、财务处理及时、会计核算规范。</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widowControl/>
        <w:ind w:firstLine="62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 w:eastAsia="仿宋_GB2312" w:cs="仿宋"/>
          <w:color w:val="000000"/>
          <w:kern w:val="0"/>
          <w:sz w:val="31"/>
          <w:szCs w:val="31"/>
        </w:rPr>
        <w:t>项目严格按照财政专项资金管理办法的要求，严格按照 法律法规组织实施人代会会议费。</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adjustRightInd w:val="0"/>
        <w:snapToGrid w:val="0"/>
        <w:spacing w:line="578" w:lineRule="exact"/>
        <w:ind w:firstLine="620" w:firstLineChars="200"/>
        <w:contextualSpacing/>
        <w:rPr>
          <w:rFonts w:ascii="仿宋_GB2312" w:hAnsi="仿宋_GB2312" w:eastAsia="仿宋_GB2312" w:cs="仿宋_GB2312"/>
          <w:kern w:val="0"/>
          <w:sz w:val="32"/>
          <w:szCs w:val="32"/>
          <w:shd w:val="clear" w:color="auto" w:fill="FFFFFF"/>
          <w:lang w:val="zh-CN"/>
        </w:rPr>
      </w:pPr>
      <w:r>
        <w:rPr>
          <w:rFonts w:hint="eastAsia" w:ascii="仿宋_GB2312" w:hAnsi="仿宋" w:eastAsia="仿宋_GB2312" w:cs="仿宋"/>
          <w:color w:val="000000"/>
          <w:kern w:val="0"/>
          <w:sz w:val="31"/>
          <w:szCs w:val="31"/>
        </w:rPr>
        <w:t>截止2021年12月31日，全面完成人代会会议费项目</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78" w:lineRule="exact"/>
        <w:ind w:firstLine="720"/>
        <w:rPr>
          <w:rFonts w:hint="eastAsia" w:ascii="仿宋_GB2312" w:hAnsi="仿宋" w:eastAsia="仿宋_GB2312" w:cs="仿宋"/>
          <w:color w:val="000000"/>
          <w:kern w:val="0"/>
          <w:sz w:val="31"/>
          <w:szCs w:val="31"/>
        </w:rPr>
      </w:pPr>
      <w:r>
        <w:rPr>
          <w:rFonts w:hint="eastAsia" w:ascii="仿宋_GB2312" w:hAnsi="仿宋" w:eastAsia="仿宋_GB2312" w:cs="仿宋"/>
          <w:color w:val="000000"/>
          <w:kern w:val="0"/>
          <w:sz w:val="31"/>
          <w:szCs w:val="31"/>
        </w:rPr>
        <w:t>项目的实施，保障了县人代会的正常召开，切实保障了人民当家作主的权利，让社会更好的发展。</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widowControl/>
        <w:adjustRightInd w:val="0"/>
        <w:snapToGrid w:val="0"/>
        <w:spacing w:line="578" w:lineRule="exact"/>
        <w:ind w:firstLine="640" w:firstLineChars="200"/>
        <w:contextualSpacing/>
        <w:jc w:val="left"/>
        <w:rPr>
          <w:rStyle w:val="29"/>
          <w:rFonts w:ascii="黑体" w:hAnsi="黑体" w:eastAsia="黑体"/>
          <w:b w:val="0"/>
          <w:sz w:val="32"/>
          <w:szCs w:val="32"/>
        </w:rPr>
      </w:pPr>
      <w:r>
        <w:rPr>
          <w:rFonts w:hint="eastAsia" w:ascii="仿宋_GB2312" w:hAnsi="仿宋_GB2312" w:eastAsia="仿宋_GB2312" w:cs="仿宋_GB2312"/>
          <w:kern w:val="0"/>
          <w:sz w:val="32"/>
          <w:szCs w:val="32"/>
          <w:shd w:val="clear" w:color="auto" w:fill="FFFFFF"/>
          <w:lang w:val="zh-CN"/>
        </w:rPr>
        <w:t>无</w:t>
      </w:r>
    </w:p>
    <w:p>
      <w:pPr>
        <w:widowControl/>
        <w:jc w:val="left"/>
        <w:rPr>
          <w:rStyle w:val="29"/>
          <w:rFonts w:ascii="黑体" w:hAnsi="黑体" w:eastAsia="黑体"/>
          <w:b w:val="0"/>
        </w:rPr>
      </w:pPr>
      <w:r>
        <w:rPr>
          <w:rStyle w:val="29"/>
          <w:rFonts w:hint="eastAsia" w:ascii="黑体" w:hAnsi="黑体" w:eastAsia="黑体"/>
          <w:b w:val="0"/>
        </w:rPr>
        <w:t xml:space="preserve">               </w:t>
      </w:r>
      <w:r>
        <w:rPr>
          <w:rStyle w:val="29"/>
          <w:rFonts w:ascii="黑体" w:hAnsi="黑体" w:eastAsia="黑体"/>
          <w:b w:val="0"/>
        </w:rPr>
        <w:br w:type="page"/>
      </w:r>
    </w:p>
    <w:p>
      <w:pPr>
        <w:spacing w:line="600" w:lineRule="exact"/>
        <w:jc w:val="center"/>
        <w:outlineLvl w:val="0"/>
        <w:rPr>
          <w:rFonts w:ascii="仿宋" w:hAnsi="仿宋" w:eastAsia="仿宋"/>
        </w:rPr>
      </w:pPr>
      <w:bookmarkStart w:id="57" w:name="_Toc15396618"/>
      <w:r>
        <w:rPr>
          <w:rFonts w:hint="eastAsia" w:ascii="黑体" w:hAnsi="黑体" w:eastAsia="黑体"/>
          <w:sz w:val="44"/>
          <w:szCs w:val="44"/>
        </w:rPr>
        <w:t>第</w:t>
      </w:r>
      <w:r>
        <w:rPr>
          <w:rStyle w:val="29"/>
          <w:rFonts w:hint="eastAsia" w:ascii="黑体" w:hAnsi="黑体" w:eastAsia="黑体"/>
          <w:b w:val="0"/>
        </w:rPr>
        <w:t>五部分 附表</w:t>
      </w:r>
      <w:bookmarkEnd w:id="55"/>
      <w:bookmarkEnd w:id="57"/>
      <w:bookmarkStart w:id="58" w:name="_Toc15396619"/>
    </w:p>
    <w:p>
      <w:pPr>
        <w:pStyle w:val="3"/>
        <w:rPr>
          <w:rFonts w:ascii="仿宋" w:hAnsi="仿宋" w:eastAsia="仿宋"/>
        </w:rPr>
      </w:pPr>
      <w:r>
        <w:rPr>
          <w:rFonts w:hint="eastAsia" w:ascii="仿宋" w:hAnsi="仿宋" w:eastAsia="仿宋"/>
          <w:b w:val="0"/>
        </w:rPr>
        <w:t>一、收</w:t>
      </w:r>
      <w:r>
        <w:rPr>
          <w:rStyle w:val="30"/>
          <w:rFonts w:hint="eastAsia" w:ascii="仿宋" w:hAnsi="仿宋" w:eastAsia="仿宋"/>
          <w:b w:val="0"/>
          <w:bCs w:val="0"/>
        </w:rPr>
        <w:t>入支出决算总表</w:t>
      </w:r>
      <w:bookmarkEnd w:id="58"/>
    </w:p>
    <w:p>
      <w:pPr>
        <w:pStyle w:val="3"/>
        <w:rPr>
          <w:rFonts w:ascii="仿宋" w:hAnsi="仿宋" w:eastAsia="仿宋"/>
        </w:rPr>
      </w:pPr>
      <w:bookmarkStart w:id="59" w:name="_Toc15396620"/>
      <w:r>
        <w:rPr>
          <w:rFonts w:hint="eastAsia" w:ascii="仿宋" w:hAnsi="仿宋" w:eastAsia="仿宋"/>
          <w:b w:val="0"/>
        </w:rPr>
        <w:t>二、收</w:t>
      </w:r>
      <w:r>
        <w:rPr>
          <w:rStyle w:val="30"/>
          <w:rFonts w:hint="eastAsia" w:ascii="仿宋" w:hAnsi="仿宋" w:eastAsia="仿宋"/>
          <w:b w:val="0"/>
          <w:bCs w:val="0"/>
        </w:rPr>
        <w:t>入决算表</w:t>
      </w:r>
      <w:bookmarkEnd w:id="59"/>
    </w:p>
    <w:p>
      <w:pPr>
        <w:pStyle w:val="3"/>
        <w:rPr>
          <w:rFonts w:ascii="仿宋" w:hAnsi="仿宋" w:eastAsia="仿宋"/>
        </w:rPr>
      </w:pPr>
      <w:bookmarkStart w:id="60" w:name="_Toc15396621"/>
      <w:r>
        <w:rPr>
          <w:rStyle w:val="30"/>
          <w:rFonts w:hint="eastAsia" w:ascii="仿宋" w:hAnsi="仿宋" w:eastAsia="仿宋"/>
          <w:b w:val="0"/>
          <w:bCs w:val="0"/>
        </w:rPr>
        <w:t>三、</w:t>
      </w:r>
      <w:r>
        <w:rPr>
          <w:rFonts w:hint="eastAsia" w:ascii="仿宋" w:hAnsi="仿宋" w:eastAsia="仿宋"/>
          <w:b w:val="0"/>
        </w:rPr>
        <w:t>支</w:t>
      </w:r>
      <w:r>
        <w:rPr>
          <w:rStyle w:val="30"/>
          <w:rFonts w:hint="eastAsia" w:ascii="仿宋" w:hAnsi="仿宋" w:eastAsia="仿宋"/>
          <w:b w:val="0"/>
          <w:bCs w:val="0"/>
        </w:rPr>
        <w:t>出决算表</w:t>
      </w:r>
      <w:bookmarkEnd w:id="60"/>
    </w:p>
    <w:p>
      <w:pPr>
        <w:pStyle w:val="3"/>
        <w:rPr>
          <w:rFonts w:ascii="仿宋" w:hAnsi="仿宋" w:eastAsia="仿宋"/>
          <w:b w:val="0"/>
        </w:rPr>
      </w:pPr>
      <w:bookmarkStart w:id="61" w:name="_Toc15396622"/>
      <w:r>
        <w:rPr>
          <w:rStyle w:val="30"/>
          <w:rFonts w:hint="eastAsia" w:ascii="仿宋" w:hAnsi="仿宋" w:eastAsia="仿宋"/>
          <w:b w:val="0"/>
          <w:bCs w:val="0"/>
        </w:rPr>
        <w:t>四、</w:t>
      </w:r>
      <w:r>
        <w:rPr>
          <w:rFonts w:hint="eastAsia" w:ascii="仿宋" w:hAnsi="仿宋" w:eastAsia="仿宋"/>
          <w:b w:val="0"/>
        </w:rPr>
        <w:t>财</w:t>
      </w:r>
      <w:r>
        <w:rPr>
          <w:rStyle w:val="30"/>
          <w:rFonts w:hint="eastAsia" w:ascii="仿宋" w:hAnsi="仿宋" w:eastAsia="仿宋"/>
          <w:b w:val="0"/>
          <w:bCs w:val="0"/>
        </w:rPr>
        <w:t>政拨款收入支出决算总表</w:t>
      </w:r>
      <w:bookmarkEnd w:id="61"/>
    </w:p>
    <w:p>
      <w:pPr>
        <w:pStyle w:val="3"/>
        <w:rPr>
          <w:rStyle w:val="30"/>
          <w:rFonts w:ascii="仿宋" w:hAnsi="仿宋" w:eastAsia="仿宋"/>
          <w:b w:val="0"/>
          <w:bCs w:val="0"/>
        </w:rPr>
      </w:pPr>
      <w:bookmarkStart w:id="62" w:name="_Toc15396623"/>
      <w:r>
        <w:rPr>
          <w:rStyle w:val="30"/>
          <w:rFonts w:hint="eastAsia" w:ascii="仿宋" w:hAnsi="仿宋" w:eastAsia="仿宋"/>
          <w:b w:val="0"/>
          <w:bCs w:val="0"/>
        </w:rPr>
        <w:t>五、</w:t>
      </w:r>
      <w:r>
        <w:rPr>
          <w:rFonts w:hint="eastAsia" w:ascii="仿宋" w:hAnsi="仿宋" w:eastAsia="仿宋"/>
          <w:b w:val="0"/>
        </w:rPr>
        <w:t>财</w:t>
      </w:r>
      <w:r>
        <w:rPr>
          <w:rStyle w:val="30"/>
          <w:rFonts w:hint="eastAsia" w:ascii="仿宋" w:hAnsi="仿宋" w:eastAsia="仿宋"/>
          <w:b w:val="0"/>
          <w:bCs w:val="0"/>
        </w:rPr>
        <w:t>政拨款支出决算明细表</w:t>
      </w:r>
      <w:bookmarkEnd w:id="62"/>
      <w:bookmarkStart w:id="63" w:name="_Toc15396624"/>
    </w:p>
    <w:p>
      <w:pPr>
        <w:pStyle w:val="3"/>
        <w:rPr>
          <w:rFonts w:ascii="仿宋" w:hAnsi="仿宋" w:eastAsia="仿宋"/>
        </w:rPr>
      </w:pPr>
      <w:r>
        <w:rPr>
          <w:rStyle w:val="30"/>
          <w:rFonts w:hint="eastAsia" w:ascii="仿宋" w:hAnsi="仿宋" w:eastAsia="仿宋"/>
          <w:b w:val="0"/>
          <w:bCs w:val="0"/>
        </w:rPr>
        <w:t>六、</w:t>
      </w:r>
      <w:r>
        <w:rPr>
          <w:rFonts w:hint="eastAsia" w:ascii="仿宋" w:hAnsi="仿宋" w:eastAsia="仿宋"/>
          <w:b w:val="0"/>
        </w:rPr>
        <w:t>一</w:t>
      </w:r>
      <w:r>
        <w:rPr>
          <w:rStyle w:val="30"/>
          <w:rFonts w:hint="eastAsia" w:ascii="仿宋" w:hAnsi="仿宋" w:eastAsia="仿宋"/>
          <w:b w:val="0"/>
          <w:bCs w:val="0"/>
        </w:rPr>
        <w:t>般公共预算财政拨款支出决算表</w:t>
      </w:r>
      <w:bookmarkEnd w:id="63"/>
    </w:p>
    <w:p>
      <w:pPr>
        <w:pStyle w:val="3"/>
        <w:rPr>
          <w:rFonts w:ascii="仿宋" w:hAnsi="仿宋" w:eastAsia="仿宋"/>
        </w:rPr>
      </w:pPr>
      <w:bookmarkStart w:id="64" w:name="_Toc15396625"/>
      <w:r>
        <w:rPr>
          <w:rStyle w:val="30"/>
          <w:rFonts w:hint="eastAsia" w:ascii="仿宋" w:hAnsi="仿宋" w:eastAsia="仿宋"/>
          <w:b w:val="0"/>
          <w:bCs w:val="0"/>
        </w:rPr>
        <w:t>七、</w:t>
      </w:r>
      <w:r>
        <w:rPr>
          <w:rFonts w:hint="eastAsia" w:ascii="仿宋" w:hAnsi="仿宋" w:eastAsia="仿宋"/>
          <w:b w:val="0"/>
        </w:rPr>
        <w:t>一</w:t>
      </w:r>
      <w:r>
        <w:rPr>
          <w:rStyle w:val="30"/>
          <w:rFonts w:hint="eastAsia" w:ascii="仿宋" w:hAnsi="仿宋" w:eastAsia="仿宋"/>
          <w:b w:val="0"/>
          <w:bCs w:val="0"/>
        </w:rPr>
        <w:t>般公共预算财政拨款支出决算明细表</w:t>
      </w:r>
      <w:bookmarkEnd w:id="64"/>
    </w:p>
    <w:p>
      <w:pPr>
        <w:pStyle w:val="3"/>
        <w:rPr>
          <w:rFonts w:ascii="仿宋" w:hAnsi="仿宋" w:eastAsia="仿宋"/>
        </w:rPr>
      </w:pPr>
      <w:bookmarkStart w:id="65" w:name="_Toc15396626"/>
      <w:r>
        <w:rPr>
          <w:rStyle w:val="30"/>
          <w:rFonts w:hint="eastAsia" w:ascii="仿宋" w:hAnsi="仿宋" w:eastAsia="仿宋"/>
          <w:b w:val="0"/>
          <w:bCs w:val="0"/>
        </w:rPr>
        <w:t>八、</w:t>
      </w:r>
      <w:r>
        <w:rPr>
          <w:rFonts w:hint="eastAsia" w:ascii="仿宋" w:hAnsi="仿宋" w:eastAsia="仿宋"/>
          <w:b w:val="0"/>
        </w:rPr>
        <w:t>一</w:t>
      </w:r>
      <w:r>
        <w:rPr>
          <w:rStyle w:val="30"/>
          <w:rFonts w:hint="eastAsia" w:ascii="仿宋" w:hAnsi="仿宋" w:eastAsia="仿宋"/>
          <w:b w:val="0"/>
          <w:bCs w:val="0"/>
        </w:rPr>
        <w:t>般公共预算财政拨款基本支出决算表</w:t>
      </w:r>
      <w:bookmarkEnd w:id="65"/>
    </w:p>
    <w:p>
      <w:pPr>
        <w:pStyle w:val="3"/>
        <w:rPr>
          <w:rFonts w:ascii="仿宋" w:hAnsi="仿宋" w:eastAsia="仿宋"/>
        </w:rPr>
      </w:pPr>
      <w:bookmarkStart w:id="66" w:name="_Toc15396627"/>
      <w:r>
        <w:rPr>
          <w:rStyle w:val="30"/>
          <w:rFonts w:hint="eastAsia" w:ascii="仿宋" w:hAnsi="仿宋" w:eastAsia="仿宋"/>
          <w:b w:val="0"/>
          <w:bCs w:val="0"/>
        </w:rPr>
        <w:t>九、</w:t>
      </w:r>
      <w:r>
        <w:rPr>
          <w:rFonts w:hint="eastAsia" w:ascii="仿宋" w:hAnsi="仿宋" w:eastAsia="仿宋"/>
          <w:b w:val="0"/>
        </w:rPr>
        <w:t>一</w:t>
      </w:r>
      <w:r>
        <w:rPr>
          <w:rStyle w:val="30"/>
          <w:rFonts w:hint="eastAsia" w:ascii="仿宋" w:hAnsi="仿宋" w:eastAsia="仿宋"/>
          <w:b w:val="0"/>
          <w:bCs w:val="0"/>
        </w:rPr>
        <w:t>般公共预算财政拨款项目支出决算表</w:t>
      </w:r>
      <w:bookmarkEnd w:id="66"/>
    </w:p>
    <w:p>
      <w:pPr>
        <w:pStyle w:val="3"/>
        <w:rPr>
          <w:rFonts w:ascii="仿宋" w:hAnsi="仿宋" w:eastAsia="仿宋"/>
        </w:rPr>
      </w:pPr>
      <w:bookmarkStart w:id="67" w:name="_Toc15396628"/>
      <w:r>
        <w:rPr>
          <w:rStyle w:val="30"/>
          <w:rFonts w:hint="eastAsia" w:ascii="仿宋" w:hAnsi="仿宋" w:eastAsia="仿宋"/>
          <w:b w:val="0"/>
          <w:bCs w:val="0"/>
        </w:rPr>
        <w:t>十、</w:t>
      </w:r>
      <w:bookmarkEnd w:id="67"/>
      <w:r>
        <w:rPr>
          <w:rFonts w:hint="eastAsia" w:ascii="仿宋" w:hAnsi="仿宋" w:eastAsia="仿宋"/>
          <w:b w:val="0"/>
        </w:rPr>
        <w:t>政</w:t>
      </w:r>
      <w:r>
        <w:rPr>
          <w:rStyle w:val="30"/>
          <w:rFonts w:hint="eastAsia" w:ascii="仿宋" w:hAnsi="仿宋" w:eastAsia="仿宋"/>
          <w:b w:val="0"/>
          <w:bCs w:val="0"/>
        </w:rPr>
        <w:t>府性基金预算财政拨款收入支出决算表</w:t>
      </w:r>
    </w:p>
    <w:p>
      <w:pPr>
        <w:pStyle w:val="3"/>
        <w:rPr>
          <w:rFonts w:ascii="仿宋" w:hAnsi="仿宋" w:eastAsia="仿宋"/>
        </w:rPr>
      </w:pPr>
      <w:bookmarkStart w:id="68" w:name="_Toc15396629"/>
      <w:r>
        <w:rPr>
          <w:rStyle w:val="30"/>
          <w:rFonts w:hint="eastAsia" w:ascii="仿宋" w:hAnsi="仿宋" w:eastAsia="仿宋"/>
          <w:b w:val="0"/>
          <w:bCs w:val="0"/>
        </w:rPr>
        <w:t>十一、</w:t>
      </w:r>
      <w:bookmarkEnd w:id="68"/>
      <w:r>
        <w:rPr>
          <w:rFonts w:hint="eastAsia" w:ascii="仿宋" w:hAnsi="仿宋" w:eastAsia="仿宋"/>
          <w:b w:val="0"/>
        </w:rPr>
        <w:t>国</w:t>
      </w:r>
      <w:r>
        <w:rPr>
          <w:rStyle w:val="30"/>
          <w:rFonts w:hint="eastAsia" w:ascii="仿宋" w:hAnsi="仿宋" w:eastAsia="仿宋"/>
          <w:b w:val="0"/>
          <w:bCs w:val="0"/>
        </w:rPr>
        <w:t>有资本经营预算财政拨款收入支出决算表</w:t>
      </w:r>
    </w:p>
    <w:p>
      <w:pPr>
        <w:pStyle w:val="3"/>
        <w:rPr>
          <w:rFonts w:ascii="仿宋" w:hAnsi="仿宋" w:eastAsia="仿宋"/>
        </w:rPr>
      </w:pPr>
      <w:bookmarkStart w:id="69" w:name="_Toc15396630"/>
      <w:r>
        <w:rPr>
          <w:rStyle w:val="30"/>
          <w:rFonts w:hint="eastAsia" w:ascii="仿宋" w:hAnsi="仿宋" w:eastAsia="仿宋"/>
          <w:b w:val="0"/>
          <w:bCs w:val="0"/>
        </w:rPr>
        <w:t>十二、</w:t>
      </w:r>
      <w:bookmarkEnd w:id="69"/>
      <w:r>
        <w:rPr>
          <w:rStyle w:val="30"/>
          <w:rFonts w:hint="eastAsia" w:ascii="仿宋" w:hAnsi="仿宋" w:eastAsia="仿宋"/>
          <w:b w:val="0"/>
          <w:bCs w:val="0"/>
        </w:rPr>
        <w:t>国有资本经营预算财政拨款支出决算表</w:t>
      </w:r>
    </w:p>
    <w:p>
      <w:pPr>
        <w:pStyle w:val="3"/>
        <w:rPr>
          <w:rFonts w:eastAsia="仿宋"/>
        </w:rPr>
      </w:pPr>
      <w:bookmarkStart w:id="70" w:name="_Toc15396631"/>
      <w:r>
        <w:rPr>
          <w:rStyle w:val="30"/>
          <w:rFonts w:hint="eastAsia" w:ascii="仿宋" w:hAnsi="仿宋" w:eastAsia="仿宋"/>
          <w:b w:val="0"/>
          <w:bCs w:val="0"/>
        </w:rPr>
        <w:t>十三、</w:t>
      </w:r>
      <w:bookmarkEnd w:id="70"/>
      <w:r>
        <w:rPr>
          <w:rStyle w:val="30"/>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FF674BC"/>
    <w:multiLevelType w:val="singleLevel"/>
    <w:tmpl w:val="FFF674BC"/>
    <w:lvl w:ilvl="0" w:tentative="0">
      <w:start w:val="1"/>
      <w:numFmt w:val="chineseCounting"/>
      <w:suff w:val="nothing"/>
      <w:lvlText w:val="%1、"/>
      <w:lvlJc w:val="left"/>
      <w:rPr>
        <w:rFonts w:hint="eastAsia"/>
      </w:rPr>
    </w:lvl>
  </w:abstractNum>
  <w:abstractNum w:abstractNumId="3">
    <w:nsid w:val="0A4AE057"/>
    <w:multiLevelType w:val="singleLevel"/>
    <w:tmpl w:val="0A4AE057"/>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9C7280A"/>
    <w:multiLevelType w:val="multilevel"/>
    <w:tmpl w:val="19C7280A"/>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42EDFBCC"/>
    <w:multiLevelType w:val="singleLevel"/>
    <w:tmpl w:val="42EDFBCC"/>
    <w:lvl w:ilvl="0" w:tentative="0">
      <w:start w:val="4"/>
      <w:numFmt w:val="decimal"/>
      <w:lvlText w:val="%1."/>
      <w:lvlJc w:val="left"/>
      <w:pPr>
        <w:tabs>
          <w:tab w:val="left" w:pos="312"/>
        </w:tabs>
      </w:pPr>
    </w:lvl>
  </w:abstractNum>
  <w:num w:numId="1">
    <w:abstractNumId w:val="3"/>
  </w:num>
  <w:num w:numId="2">
    <w:abstractNumId w:val="4"/>
  </w:num>
  <w:num w:numId="3">
    <w:abstractNumId w:val="6"/>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640"/>
    <w:rsid w:val="000049C0"/>
    <w:rsid w:val="000222C6"/>
    <w:rsid w:val="0002549F"/>
    <w:rsid w:val="0004198F"/>
    <w:rsid w:val="000468DB"/>
    <w:rsid w:val="0006487A"/>
    <w:rsid w:val="00065F8F"/>
    <w:rsid w:val="00070A43"/>
    <w:rsid w:val="000768F2"/>
    <w:rsid w:val="0009184B"/>
    <w:rsid w:val="000920D1"/>
    <w:rsid w:val="00094236"/>
    <w:rsid w:val="0009593C"/>
    <w:rsid w:val="00097322"/>
    <w:rsid w:val="000A6A92"/>
    <w:rsid w:val="000B047F"/>
    <w:rsid w:val="000B5923"/>
    <w:rsid w:val="000B5A48"/>
    <w:rsid w:val="000B6FF3"/>
    <w:rsid w:val="000C3467"/>
    <w:rsid w:val="000C3CA6"/>
    <w:rsid w:val="000C60DE"/>
    <w:rsid w:val="000D1267"/>
    <w:rsid w:val="000D1D50"/>
    <w:rsid w:val="000D5782"/>
    <w:rsid w:val="000E6613"/>
    <w:rsid w:val="000E7119"/>
    <w:rsid w:val="00114E9B"/>
    <w:rsid w:val="00142216"/>
    <w:rsid w:val="00144D6A"/>
    <w:rsid w:val="0014729F"/>
    <w:rsid w:val="00154E6F"/>
    <w:rsid w:val="00157BAB"/>
    <w:rsid w:val="001654D1"/>
    <w:rsid w:val="00172A27"/>
    <w:rsid w:val="00174518"/>
    <w:rsid w:val="0018106D"/>
    <w:rsid w:val="001877A7"/>
    <w:rsid w:val="00191536"/>
    <w:rsid w:val="00196687"/>
    <w:rsid w:val="001A54F5"/>
    <w:rsid w:val="001C0962"/>
    <w:rsid w:val="001D7531"/>
    <w:rsid w:val="001E737D"/>
    <w:rsid w:val="001F0592"/>
    <w:rsid w:val="001F7506"/>
    <w:rsid w:val="002006CD"/>
    <w:rsid w:val="00202B36"/>
    <w:rsid w:val="00204B7A"/>
    <w:rsid w:val="00204CDE"/>
    <w:rsid w:val="0021101A"/>
    <w:rsid w:val="00220536"/>
    <w:rsid w:val="002212E9"/>
    <w:rsid w:val="00235629"/>
    <w:rsid w:val="00260C38"/>
    <w:rsid w:val="002616C0"/>
    <w:rsid w:val="00265372"/>
    <w:rsid w:val="002662AA"/>
    <w:rsid w:val="00280496"/>
    <w:rsid w:val="00294DC9"/>
    <w:rsid w:val="00295495"/>
    <w:rsid w:val="002A31DE"/>
    <w:rsid w:val="002B2613"/>
    <w:rsid w:val="002D6D05"/>
    <w:rsid w:val="002F1818"/>
    <w:rsid w:val="002F45F5"/>
    <w:rsid w:val="002F567B"/>
    <w:rsid w:val="00315AE5"/>
    <w:rsid w:val="003216A9"/>
    <w:rsid w:val="003227C2"/>
    <w:rsid w:val="00335A74"/>
    <w:rsid w:val="00363930"/>
    <w:rsid w:val="0036561B"/>
    <w:rsid w:val="0037013F"/>
    <w:rsid w:val="00380C92"/>
    <w:rsid w:val="003A484F"/>
    <w:rsid w:val="003A4883"/>
    <w:rsid w:val="003B0362"/>
    <w:rsid w:val="003B0BE0"/>
    <w:rsid w:val="003B0C1B"/>
    <w:rsid w:val="003B688C"/>
    <w:rsid w:val="003C0291"/>
    <w:rsid w:val="003C39AE"/>
    <w:rsid w:val="003C7B60"/>
    <w:rsid w:val="003C7C4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456E"/>
    <w:rsid w:val="005664BB"/>
    <w:rsid w:val="00566FFA"/>
    <w:rsid w:val="0057481D"/>
    <w:rsid w:val="005821CD"/>
    <w:rsid w:val="0058486E"/>
    <w:rsid w:val="00585B33"/>
    <w:rsid w:val="0059014D"/>
    <w:rsid w:val="005A5CE7"/>
    <w:rsid w:val="005B5C64"/>
    <w:rsid w:val="005C5337"/>
    <w:rsid w:val="005C6BD0"/>
    <w:rsid w:val="005D1C8B"/>
    <w:rsid w:val="005D468D"/>
    <w:rsid w:val="005D5CED"/>
    <w:rsid w:val="005E1968"/>
    <w:rsid w:val="005F1A4C"/>
    <w:rsid w:val="00605688"/>
    <w:rsid w:val="006070AF"/>
    <w:rsid w:val="00607E6C"/>
    <w:rsid w:val="006101B1"/>
    <w:rsid w:val="00614E44"/>
    <w:rsid w:val="00615EFD"/>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C568D"/>
    <w:rsid w:val="006F020C"/>
    <w:rsid w:val="006F42D2"/>
    <w:rsid w:val="007127B7"/>
    <w:rsid w:val="0071798E"/>
    <w:rsid w:val="007416B6"/>
    <w:rsid w:val="00746F48"/>
    <w:rsid w:val="0075404D"/>
    <w:rsid w:val="007574F6"/>
    <w:rsid w:val="007613BF"/>
    <w:rsid w:val="0076182A"/>
    <w:rsid w:val="00767B7E"/>
    <w:rsid w:val="007770C3"/>
    <w:rsid w:val="00784D24"/>
    <w:rsid w:val="00785FBA"/>
    <w:rsid w:val="00786E4A"/>
    <w:rsid w:val="007875EB"/>
    <w:rsid w:val="0079426B"/>
    <w:rsid w:val="007C03EE"/>
    <w:rsid w:val="007D1682"/>
    <w:rsid w:val="007D312A"/>
    <w:rsid w:val="007D3F19"/>
    <w:rsid w:val="007E23B0"/>
    <w:rsid w:val="007E23E5"/>
    <w:rsid w:val="007F1991"/>
    <w:rsid w:val="007F2C2F"/>
    <w:rsid w:val="007F55FC"/>
    <w:rsid w:val="007F5665"/>
    <w:rsid w:val="00800112"/>
    <w:rsid w:val="00813348"/>
    <w:rsid w:val="00825313"/>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6D8E"/>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7459B"/>
    <w:rsid w:val="00977E46"/>
    <w:rsid w:val="0098660A"/>
    <w:rsid w:val="009931C3"/>
    <w:rsid w:val="009942AB"/>
    <w:rsid w:val="009A0194"/>
    <w:rsid w:val="009B2C43"/>
    <w:rsid w:val="009B4EAE"/>
    <w:rsid w:val="009B57E4"/>
    <w:rsid w:val="009B7573"/>
    <w:rsid w:val="009C22F4"/>
    <w:rsid w:val="009C2A4B"/>
    <w:rsid w:val="009C2E98"/>
    <w:rsid w:val="009D3447"/>
    <w:rsid w:val="009D4711"/>
    <w:rsid w:val="009F1185"/>
    <w:rsid w:val="009F18CD"/>
    <w:rsid w:val="009F2A13"/>
    <w:rsid w:val="009F31E5"/>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062D"/>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27A6A"/>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51C5"/>
    <w:rsid w:val="00BF5BD6"/>
    <w:rsid w:val="00C03E31"/>
    <w:rsid w:val="00C13A7C"/>
    <w:rsid w:val="00C17DC9"/>
    <w:rsid w:val="00C33E72"/>
    <w:rsid w:val="00C354B2"/>
    <w:rsid w:val="00C35554"/>
    <w:rsid w:val="00C42709"/>
    <w:rsid w:val="00C533CC"/>
    <w:rsid w:val="00C5751C"/>
    <w:rsid w:val="00C61BFC"/>
    <w:rsid w:val="00C62B85"/>
    <w:rsid w:val="00C65438"/>
    <w:rsid w:val="00C837A1"/>
    <w:rsid w:val="00C87FD8"/>
    <w:rsid w:val="00C90F4F"/>
    <w:rsid w:val="00C91381"/>
    <w:rsid w:val="00C91CBB"/>
    <w:rsid w:val="00CB4E70"/>
    <w:rsid w:val="00CC09B6"/>
    <w:rsid w:val="00CC666F"/>
    <w:rsid w:val="00CD1E3F"/>
    <w:rsid w:val="00CE44F6"/>
    <w:rsid w:val="00CE49DA"/>
    <w:rsid w:val="00CE7B61"/>
    <w:rsid w:val="00CF1E2A"/>
    <w:rsid w:val="00D00095"/>
    <w:rsid w:val="00D114F0"/>
    <w:rsid w:val="00D20620"/>
    <w:rsid w:val="00D254F7"/>
    <w:rsid w:val="00D26091"/>
    <w:rsid w:val="00D2685C"/>
    <w:rsid w:val="00D32828"/>
    <w:rsid w:val="00D34E7C"/>
    <w:rsid w:val="00D35489"/>
    <w:rsid w:val="00D36AFE"/>
    <w:rsid w:val="00D51276"/>
    <w:rsid w:val="00D7035F"/>
    <w:rsid w:val="00DA634F"/>
    <w:rsid w:val="00DA65AC"/>
    <w:rsid w:val="00DB1913"/>
    <w:rsid w:val="00DC410D"/>
    <w:rsid w:val="00DC4D5A"/>
    <w:rsid w:val="00DC5A81"/>
    <w:rsid w:val="00DC68CA"/>
    <w:rsid w:val="00DC7CBA"/>
    <w:rsid w:val="00DD1273"/>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4ECD"/>
    <w:rsid w:val="00ED6FBE"/>
    <w:rsid w:val="00EE2F57"/>
    <w:rsid w:val="00EF4764"/>
    <w:rsid w:val="00EF4C34"/>
    <w:rsid w:val="00EF77C6"/>
    <w:rsid w:val="00F05438"/>
    <w:rsid w:val="00F1361C"/>
    <w:rsid w:val="00F156F0"/>
    <w:rsid w:val="00F160C7"/>
    <w:rsid w:val="00F2408F"/>
    <w:rsid w:val="00F240E9"/>
    <w:rsid w:val="00F36D8F"/>
    <w:rsid w:val="00F417B1"/>
    <w:rsid w:val="00F45853"/>
    <w:rsid w:val="00F602DF"/>
    <w:rsid w:val="00F75163"/>
    <w:rsid w:val="00F754A1"/>
    <w:rsid w:val="00F81FD9"/>
    <w:rsid w:val="00F841AA"/>
    <w:rsid w:val="00F84A94"/>
    <w:rsid w:val="00F87E96"/>
    <w:rsid w:val="00F90578"/>
    <w:rsid w:val="00FA23E8"/>
    <w:rsid w:val="00FD3CC1"/>
    <w:rsid w:val="00FE6823"/>
    <w:rsid w:val="00FF1E02"/>
    <w:rsid w:val="00FF30B4"/>
    <w:rsid w:val="015975B8"/>
    <w:rsid w:val="01CB411D"/>
    <w:rsid w:val="02143E91"/>
    <w:rsid w:val="02DB78E0"/>
    <w:rsid w:val="066E0107"/>
    <w:rsid w:val="07996F6E"/>
    <w:rsid w:val="0A2032A3"/>
    <w:rsid w:val="0F98263C"/>
    <w:rsid w:val="101860EC"/>
    <w:rsid w:val="10C055FF"/>
    <w:rsid w:val="118107EC"/>
    <w:rsid w:val="13D50BC4"/>
    <w:rsid w:val="151424BA"/>
    <w:rsid w:val="16BB723D"/>
    <w:rsid w:val="1A5C7163"/>
    <w:rsid w:val="1B40281D"/>
    <w:rsid w:val="1BE8440E"/>
    <w:rsid w:val="1D155CEE"/>
    <w:rsid w:val="1D62181B"/>
    <w:rsid w:val="1FF35744"/>
    <w:rsid w:val="23860B96"/>
    <w:rsid w:val="240371BF"/>
    <w:rsid w:val="28750CAC"/>
    <w:rsid w:val="29FD04D3"/>
    <w:rsid w:val="2C8A61B5"/>
    <w:rsid w:val="2DF04E50"/>
    <w:rsid w:val="2F040D46"/>
    <w:rsid w:val="319F7F4E"/>
    <w:rsid w:val="3304709D"/>
    <w:rsid w:val="36AA5135"/>
    <w:rsid w:val="376D39B2"/>
    <w:rsid w:val="37E16F03"/>
    <w:rsid w:val="38D469F0"/>
    <w:rsid w:val="3CA7684E"/>
    <w:rsid w:val="3D98207C"/>
    <w:rsid w:val="3E78745D"/>
    <w:rsid w:val="40DA219D"/>
    <w:rsid w:val="44E268DA"/>
    <w:rsid w:val="4A627F82"/>
    <w:rsid w:val="4B0E749A"/>
    <w:rsid w:val="4B4F25DA"/>
    <w:rsid w:val="4BE068DB"/>
    <w:rsid w:val="4D577224"/>
    <w:rsid w:val="4EAB630A"/>
    <w:rsid w:val="4ECE2238"/>
    <w:rsid w:val="537E6D0A"/>
    <w:rsid w:val="54C0143C"/>
    <w:rsid w:val="590036EF"/>
    <w:rsid w:val="5AF92295"/>
    <w:rsid w:val="5CD71FC4"/>
    <w:rsid w:val="601C6054"/>
    <w:rsid w:val="6147473A"/>
    <w:rsid w:val="65CD394C"/>
    <w:rsid w:val="65E725C6"/>
    <w:rsid w:val="6A013D0B"/>
    <w:rsid w:val="6C4A05C8"/>
    <w:rsid w:val="6E7E3605"/>
    <w:rsid w:val="6EBC3D83"/>
    <w:rsid w:val="6F5F696E"/>
    <w:rsid w:val="6FF5CC65"/>
    <w:rsid w:val="715C0E4B"/>
    <w:rsid w:val="725D773D"/>
    <w:rsid w:val="72734D90"/>
    <w:rsid w:val="72892FCB"/>
    <w:rsid w:val="73AD73D5"/>
    <w:rsid w:val="73B6EB34"/>
    <w:rsid w:val="744731E5"/>
    <w:rsid w:val="76E3355F"/>
    <w:rsid w:val="778769C8"/>
    <w:rsid w:val="7831249F"/>
    <w:rsid w:val="79EE5BA4"/>
    <w:rsid w:val="7A894339"/>
    <w:rsid w:val="7B8D5601"/>
    <w:rsid w:val="7C6863EA"/>
    <w:rsid w:val="7EEF11D3"/>
    <w:rsid w:val="7FA30C79"/>
    <w:rsid w:val="7FB7269E"/>
    <w:rsid w:val="7FC96657"/>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caption"/>
    <w:basedOn w:val="1"/>
    <w:next w:val="1"/>
    <w:semiHidden/>
    <w:unhideWhenUsed/>
    <w:qFormat/>
    <w:uiPriority w:val="35"/>
    <w:rPr>
      <w:rFonts w:eastAsia="黑体" w:asciiTheme="majorHAnsi" w:hAnsiTheme="majorHAnsi" w:cstheme="majorBidi"/>
      <w:sz w:val="20"/>
      <w:szCs w:val="20"/>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HTML Preformatted"/>
    <w:basedOn w:val="1"/>
    <w:link w:val="3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HTML 预设格式 Char"/>
    <w:basedOn w:val="17"/>
    <w:link w:val="14"/>
    <w:uiPriority w:val="99"/>
    <w:rPr>
      <w:rFonts w:ascii="宋体" w:hAnsi="宋体" w:eastAsia="宋体" w:cs="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20(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Documents%20and%20Settings\Administrator\&#26700;&#38754;\&#26032;&#24314;%20XLS%20&#24037;&#20316;&#34920;%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032;&#24314;%20Microsoft%20Office%20Excel%20&#24037;&#20316;&#34920;%20(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Documents%20and%20Settings\Administrator\&#26700;&#38754;\&#26032;&#24314;%20XLS%20&#24037;&#20316;&#34920;%20(2).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Documents%20and%20Settings\Administrator\&#26700;&#38754;\&#26032;&#24314;%20XLS%20&#24037;&#20316;&#34920;%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Sheet1!$D$9</c:f>
              <c:strCache>
                <c:ptCount val="1"/>
                <c:pt idx="0">
                  <c:v>财政拨款收、支决算总计变动情况</c:v>
                </c:pt>
              </c:strCache>
            </c:strRef>
          </c:tx>
          <c:invertIfNegative val="0"/>
          <c:dLbls>
            <c:delete val="1"/>
          </c:dLbls>
          <c:cat>
            <c:strRef>
              <c:f>Sheet1!$E$8:$F$8</c:f>
              <c:strCache>
                <c:ptCount val="2"/>
                <c:pt idx="0">
                  <c:v>2021年</c:v>
                </c:pt>
                <c:pt idx="1">
                  <c:v>2022年</c:v>
                </c:pt>
              </c:strCache>
            </c:strRef>
          </c:cat>
          <c:val>
            <c:numRef>
              <c:f>Sheet1!$E$9:$F$9</c:f>
              <c:numCache>
                <c:formatCode>0.00_ </c:formatCode>
                <c:ptCount val="2"/>
                <c:pt idx="0">
                  <c:v>1012.4</c:v>
                </c:pt>
                <c:pt idx="1">
                  <c:v>923.87</c:v>
                </c:pt>
              </c:numCache>
            </c:numRef>
          </c:val>
        </c:ser>
        <c:dLbls>
          <c:showLegendKey val="0"/>
          <c:showVal val="0"/>
          <c:showCatName val="0"/>
          <c:showSerName val="0"/>
          <c:showPercent val="0"/>
          <c:showBubbleSize val="0"/>
        </c:dLbls>
        <c:gapWidth val="150"/>
        <c:axId val="447836544"/>
        <c:axId val="447839232"/>
      </c:barChart>
      <c:catAx>
        <c:axId val="4478365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7839232"/>
        <c:crosses val="autoZero"/>
        <c:auto val="1"/>
        <c:lblAlgn val="ctr"/>
        <c:lblOffset val="100"/>
        <c:noMultiLvlLbl val="0"/>
      </c:catAx>
      <c:valAx>
        <c:axId val="447839232"/>
        <c:scaling>
          <c:orientation val="minMax"/>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78365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 (2).xls]Sheet1'!$E$8</c:f>
              <c:strCache>
                <c:ptCount val="1"/>
                <c:pt idx="0">
                  <c:v>收入决算结构图</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(2).xls]Sheet1'!$F$7</c:f>
              <c:strCache>
                <c:ptCount val="1"/>
                <c:pt idx="0">
                  <c:v>一般公共预算财政拨款收入</c:v>
                </c:pt>
              </c:strCache>
            </c:strRef>
          </c:cat>
          <c:val>
            <c:numRef>
              <c:f>'[新建 XLS 工作表 (2).xls]Sheet1'!$F$8</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Sheet1!$D$9</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Sheet1!$E$8:$F$8</c:f>
              <c:strCache>
                <c:ptCount val="2"/>
                <c:pt idx="0">
                  <c:v>项目支出</c:v>
                </c:pt>
                <c:pt idx="1">
                  <c:v>基本支出</c:v>
                </c:pt>
              </c:strCache>
            </c:strRef>
          </c:cat>
          <c:val>
            <c:numRef>
              <c:f>Sheet1!$E$9:$F$9</c:f>
              <c:numCache>
                <c:formatCode>0.00%</c:formatCode>
                <c:ptCount val="2"/>
                <c:pt idx="0">
                  <c:v>0.0871</c:v>
                </c:pt>
                <c:pt idx="1">
                  <c:v>0.9129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Sheet1!$D$9</c:f>
              <c:strCache>
                <c:ptCount val="1"/>
                <c:pt idx="0">
                  <c:v>财政拨款收、支决算总计变动情况</c:v>
                </c:pt>
              </c:strCache>
            </c:strRef>
          </c:tx>
          <c:invertIfNegative val="0"/>
          <c:dLbls>
            <c:delete val="1"/>
          </c:dLbls>
          <c:cat>
            <c:strRef>
              <c:f>Sheet1!$E$8:$F$8</c:f>
              <c:strCache>
                <c:ptCount val="2"/>
                <c:pt idx="0">
                  <c:v>2021年</c:v>
                </c:pt>
                <c:pt idx="1">
                  <c:v>2022年</c:v>
                </c:pt>
              </c:strCache>
            </c:strRef>
          </c:cat>
          <c:val>
            <c:numRef>
              <c:f>Sheet1!$E$9:$F$9</c:f>
              <c:numCache>
                <c:formatCode>0.00_ </c:formatCode>
                <c:ptCount val="2"/>
                <c:pt idx="0">
                  <c:v>1012.4</c:v>
                </c:pt>
                <c:pt idx="1">
                  <c:v>923.87</c:v>
                </c:pt>
              </c:numCache>
            </c:numRef>
          </c:val>
        </c:ser>
        <c:dLbls>
          <c:showLegendKey val="0"/>
          <c:showVal val="0"/>
          <c:showCatName val="0"/>
          <c:showSerName val="0"/>
          <c:showPercent val="0"/>
          <c:showBubbleSize val="0"/>
        </c:dLbls>
        <c:gapWidth val="150"/>
        <c:axId val="463596160"/>
        <c:axId val="463827328"/>
      </c:barChart>
      <c:catAx>
        <c:axId val="4635961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3827328"/>
        <c:crosses val="autoZero"/>
        <c:auto val="1"/>
        <c:lblAlgn val="ctr"/>
        <c:lblOffset val="100"/>
        <c:noMultiLvlLbl val="0"/>
      </c:catAx>
      <c:valAx>
        <c:axId val="463827328"/>
        <c:scaling>
          <c:orientation val="minMax"/>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359616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Sheet1!$D$9</c:f>
              <c:strCache>
                <c:ptCount val="1"/>
                <c:pt idx="0">
                  <c:v>财政拨款收、支决算总计变动情况</c:v>
                </c:pt>
              </c:strCache>
            </c:strRef>
          </c:tx>
          <c:invertIfNegative val="0"/>
          <c:dLbls>
            <c:delete val="1"/>
          </c:dLbls>
          <c:cat>
            <c:strRef>
              <c:f>Sheet1!$E$7:$F$8</c:f>
              <c:strCache>
                <c:ptCount val="2"/>
                <c:pt idx="0">
                  <c:v>2021年</c:v>
                </c:pt>
                <c:pt idx="1">
                  <c:v>2022年</c:v>
                </c:pt>
              </c:strCache>
            </c:strRef>
          </c:cat>
          <c:val>
            <c:numRef>
              <c:f>Sheet1!$E$9:$F$9</c:f>
              <c:numCache>
                <c:formatCode>0.00_ </c:formatCode>
                <c:ptCount val="2"/>
                <c:pt idx="0">
                  <c:v>1012.4</c:v>
                </c:pt>
                <c:pt idx="1">
                  <c:v>923.87</c:v>
                </c:pt>
              </c:numCache>
            </c:numRef>
          </c:val>
        </c:ser>
        <c:dLbls>
          <c:showLegendKey val="0"/>
          <c:showVal val="0"/>
          <c:showCatName val="0"/>
          <c:showSerName val="0"/>
          <c:showPercent val="0"/>
          <c:showBubbleSize val="0"/>
        </c:dLbls>
        <c:gapWidth val="150"/>
        <c:axId val="448421248"/>
        <c:axId val="457045120"/>
      </c:barChart>
      <c:catAx>
        <c:axId val="4484212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57045120"/>
        <c:crosses val="autoZero"/>
        <c:auto val="1"/>
        <c:lblAlgn val="ctr"/>
        <c:lblOffset val="100"/>
        <c:noMultiLvlLbl val="0"/>
      </c:catAx>
      <c:valAx>
        <c:axId val="457045120"/>
        <c:scaling>
          <c:orientation val="minMax"/>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84212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 (2).xls]Sheet1'!$E$8</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(2).xls]Sheet1'!$F$7:$I$7</c:f>
              <c:strCache>
                <c:ptCount val="4"/>
                <c:pt idx="0">
                  <c:v>一般公共服务支出</c:v>
                </c:pt>
                <c:pt idx="1">
                  <c:v>社会保障和就业支出</c:v>
                </c:pt>
                <c:pt idx="2">
                  <c:v>卫生健康支出</c:v>
                </c:pt>
                <c:pt idx="3">
                  <c:v>住房保障支出</c:v>
                </c:pt>
              </c:strCache>
            </c:strRef>
          </c:cat>
          <c:val>
            <c:numRef>
              <c:f>'[新建 XLS 工作表 (2).xls]Sheet1'!$F$8:$I$8</c:f>
              <c:numCache>
                <c:formatCode>0.00%</c:formatCode>
                <c:ptCount val="4"/>
                <c:pt idx="0">
                  <c:v>0.8359</c:v>
                </c:pt>
                <c:pt idx="1">
                  <c:v>0.0667</c:v>
                </c:pt>
                <c:pt idx="2">
                  <c:v>0.0244</c:v>
                </c:pt>
                <c:pt idx="3">
                  <c:v>0.073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 (2).xls]Sheet1'!$E$8</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(2).xls]Sheet1'!$F$7</c:f>
              <c:strCache>
                <c:ptCount val="1"/>
                <c:pt idx="0">
                  <c:v>公务接待费</c:v>
                </c:pt>
              </c:strCache>
            </c:strRef>
          </c:cat>
          <c:val>
            <c:numRef>
              <c:f>'[新建 XLS 工作表 (2).xls]Sheet1'!$F$8</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7558</Words>
  <Characters>2311</Characters>
  <Lines>19</Lines>
  <Paragraphs>19</Paragraphs>
  <TotalTime>0</TotalTime>
  <ScaleCrop>false</ScaleCrop>
  <LinksUpToDate>false</LinksUpToDate>
  <CharactersWithSpaces>9850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2023-10-17T03:13:00Z</dcterms:created>
  <dc:creator>曹颖</dc:creator>
  <cp:lastModifiedBy>Administrator</cp:lastModifiedBy>
  <cp:lastPrinted>2023-07-31T02:35:00Z</cp:lastPrinted>
  <dcterms:modified xsi:type="dcterms:W3CDTF">2024-12-20T02:53:43Z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