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Times New Roman" w:hAnsi="Times New Roman" w:eastAsia="方正小标宋简体" w:cs="Times New Roman"/>
          <w:color w:val="000000"/>
          <w:sz w:val="72"/>
          <w:szCs w:val="72"/>
        </w:rPr>
      </w:pPr>
      <w:bookmarkStart w:id="0" w:name="_Toc15306267"/>
    </w:p>
    <w:p>
      <w:pPr>
        <w:spacing w:line="600" w:lineRule="exact"/>
        <w:jc w:val="center"/>
        <w:outlineLvl w:val="9"/>
        <w:rPr>
          <w:rFonts w:hint="default" w:ascii="Times New Roman" w:hAnsi="Times New Roman" w:eastAsia="方正小标宋简体" w:cs="Times New Roman"/>
          <w:color w:val="000000"/>
          <w:sz w:val="72"/>
          <w:szCs w:val="72"/>
        </w:rPr>
      </w:pPr>
    </w:p>
    <w:p>
      <w:pPr>
        <w:spacing w:line="600" w:lineRule="exact"/>
        <w:jc w:val="center"/>
        <w:outlineLvl w:val="9"/>
        <w:rPr>
          <w:rFonts w:hint="default" w:ascii="Times New Roman" w:hAnsi="Times New Roman" w:eastAsia="方正小标宋简体" w:cs="Times New Roman"/>
          <w:color w:val="000000"/>
          <w:sz w:val="72"/>
          <w:szCs w:val="72"/>
        </w:rPr>
      </w:pPr>
    </w:p>
    <w:p>
      <w:pPr>
        <w:spacing w:line="600" w:lineRule="exact"/>
        <w:jc w:val="center"/>
        <w:outlineLvl w:val="9"/>
        <w:rPr>
          <w:rFonts w:hint="default" w:ascii="Times New Roman" w:hAnsi="Times New Roman" w:eastAsia="方正小标宋简体" w:cs="Times New Roman"/>
          <w:color w:val="000000"/>
          <w:sz w:val="72"/>
          <w:szCs w:val="72"/>
        </w:rPr>
      </w:pPr>
    </w:p>
    <w:bookmarkEnd w:id="0"/>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bookmarkStart w:id="1" w:name="_Toc15377425"/>
      <w:bookmarkStart w:id="2" w:name="_Toc15377193"/>
      <w:bookmarkStart w:id="3" w:name="_Toc15378441"/>
      <w:bookmarkStart w:id="4" w:name="_Toc15396597"/>
      <w:bookmarkStart w:id="5" w:name="_Toc15396475"/>
      <w:r>
        <w:rPr>
          <w:rFonts w:hint="default" w:ascii="Times New Roman" w:hAnsi="Times New Roman" w:eastAsia="方正小标宋简体" w:cs="Times New Roman"/>
          <w:sz w:val="72"/>
          <w:szCs w:val="72"/>
        </w:rPr>
        <w:tab/>
      </w:r>
      <w:bookmarkStart w:id="6" w:name="_Toc148448171"/>
      <w:bookmarkStart w:id="7" w:name="_Toc148448405"/>
      <w:bookmarkStart w:id="8" w:name="_Toc15429"/>
      <w:r>
        <w:rPr>
          <w:rFonts w:hint="default" w:ascii="Times New Roman" w:hAnsi="Times New Roman" w:eastAsia="方正小标宋简体" w:cs="Times New Roman"/>
          <w:color w:val="auto"/>
          <w:sz w:val="72"/>
          <w:szCs w:val="72"/>
          <w:highlight w:val="none"/>
        </w:rPr>
        <w:t>2022年度</w:t>
      </w:r>
      <w:bookmarkEnd w:id="1"/>
      <w:bookmarkEnd w:id="2"/>
      <w:bookmarkEnd w:id="3"/>
      <w:bookmarkEnd w:id="4"/>
      <w:bookmarkEnd w:id="5"/>
      <w:bookmarkEnd w:id="6"/>
      <w:bookmarkEnd w:id="7"/>
      <w:bookmarkEnd w:id="8"/>
      <w:r>
        <w:rPr>
          <w:rFonts w:hint="default" w:ascii="Times New Roman" w:hAnsi="Times New Roman" w:eastAsia="方正小标宋简体" w:cs="Times New Roman"/>
          <w:color w:val="auto"/>
          <w:sz w:val="72"/>
          <w:szCs w:val="72"/>
          <w:highlight w:val="none"/>
        </w:rPr>
        <w:tab/>
      </w:r>
    </w:p>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bookmarkStart w:id="9" w:name="_Toc148448172"/>
      <w:bookmarkStart w:id="10" w:name="_Toc148448406"/>
      <w:bookmarkStart w:id="11" w:name="_Toc28875"/>
      <w:bookmarkStart w:id="12" w:name="_Toc15396476"/>
      <w:bookmarkStart w:id="13" w:name="_Toc15377426"/>
      <w:bookmarkStart w:id="14" w:name="_Toc15377194"/>
      <w:bookmarkStart w:id="15" w:name="_Toc15396598"/>
      <w:bookmarkStart w:id="16" w:name="_Toc15378442"/>
      <w:r>
        <w:rPr>
          <w:rFonts w:hint="default" w:ascii="Times New Roman" w:hAnsi="Times New Roman" w:eastAsia="方正小标宋简体" w:cs="Times New Roman"/>
          <w:color w:val="auto"/>
          <w:sz w:val="72"/>
          <w:szCs w:val="72"/>
          <w:highlight w:val="none"/>
        </w:rPr>
        <w:t>四川省</w:t>
      </w:r>
      <w:bookmarkStart w:id="17" w:name="_Toc15306268"/>
      <w:r>
        <w:rPr>
          <w:rFonts w:hint="default" w:ascii="Times New Roman" w:hAnsi="Times New Roman" w:eastAsia="方正小标宋简体" w:cs="Times New Roman"/>
          <w:color w:val="auto"/>
          <w:sz w:val="72"/>
          <w:szCs w:val="72"/>
          <w:highlight w:val="none"/>
        </w:rPr>
        <w:t>沐川县公路建设</w:t>
      </w:r>
      <w:bookmarkEnd w:id="9"/>
      <w:bookmarkEnd w:id="10"/>
      <w:bookmarkEnd w:id="11"/>
    </w:p>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bookmarkStart w:id="18" w:name="_Toc148448407"/>
      <w:bookmarkStart w:id="19" w:name="_Toc148448173"/>
      <w:bookmarkStart w:id="20" w:name="_Toc27963"/>
      <w:r>
        <w:rPr>
          <w:rFonts w:hint="default" w:ascii="Times New Roman" w:hAnsi="Times New Roman" w:eastAsia="方正小标宋简体" w:cs="Times New Roman"/>
          <w:color w:val="auto"/>
          <w:sz w:val="72"/>
          <w:szCs w:val="72"/>
          <w:highlight w:val="none"/>
        </w:rPr>
        <w:t>服务中心单位决算</w:t>
      </w:r>
      <w:bookmarkEnd w:id="12"/>
      <w:bookmarkEnd w:id="13"/>
      <w:bookmarkEnd w:id="14"/>
      <w:bookmarkEnd w:id="15"/>
      <w:bookmarkEnd w:id="16"/>
      <w:bookmarkEnd w:id="17"/>
      <w:bookmarkEnd w:id="18"/>
      <w:bookmarkEnd w:id="19"/>
      <w:bookmarkEnd w:id="20"/>
    </w:p>
    <w:p>
      <w:pPr>
        <w:adjustRightInd w:val="0"/>
        <w:snapToGrid w:val="0"/>
        <w:spacing w:line="360" w:lineRule="auto"/>
        <w:jc w:val="center"/>
        <w:outlineLvl w:val="9"/>
        <w:rPr>
          <w:rFonts w:hint="default" w:ascii="Times New Roman" w:hAnsi="Times New Roman" w:eastAsia="方正小标宋简体" w:cs="Times New Roman"/>
          <w:color w:val="000000"/>
          <w:sz w:val="72"/>
          <w:szCs w:val="72"/>
        </w:rPr>
      </w:pPr>
    </w:p>
    <w:p>
      <w:pPr>
        <w:widowControl/>
        <w:jc w:val="center"/>
        <w:rPr>
          <w:rFonts w:hint="default" w:ascii="Times New Roman" w:hAnsi="Times New Roman" w:eastAsia="黑体" w:cs="Times New Roman"/>
          <w:sz w:val="32"/>
          <w:szCs w:val="32"/>
        </w:rPr>
        <w:sectPr>
          <w:headerReference r:id="rId3" w:type="default"/>
          <w:footerReference r:id="rId4" w:type="default"/>
          <w:pgSz w:w="11906" w:h="16838"/>
          <w:pgMar w:top="1440" w:right="1080" w:bottom="1440" w:left="1080" w:header="851" w:footer="992" w:gutter="0"/>
          <w:pgNumType w:fmt="decimal" w:start="1"/>
          <w:cols w:space="425" w:num="1"/>
          <w:titlePg/>
          <w:docGrid w:type="lines" w:linePitch="312" w:charSpace="0"/>
        </w:sectPr>
      </w:pPr>
      <w:bookmarkStart w:id="21" w:name="_Toc15396599"/>
      <w:bookmarkStart w:id="22" w:name="_Toc15377196"/>
    </w:p>
    <w:p>
      <w:pPr>
        <w:widowControl/>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目录</w:t>
      </w:r>
    </w:p>
    <w:p>
      <w:pPr>
        <w:pStyle w:val="13"/>
        <w:jc w:val="center"/>
        <w:rPr>
          <w:rFonts w:hint="default" w:ascii="Times New Roman" w:hAnsi="Times New Roman" w:cs="Times New Roman"/>
        </w:rPr>
      </w:pPr>
      <w:r>
        <w:rPr>
          <w:rFonts w:hint="default" w:ascii="Times New Roman" w:hAnsi="Times New Roman" w:eastAsia="仿宋_GB2312" w:cs="Times New Roman"/>
          <w:b w:val="0"/>
          <w:sz w:val="32"/>
          <w:szCs w:val="32"/>
        </w:rPr>
        <w:t>公开时间：2023年</w:t>
      </w:r>
      <w:r>
        <w:rPr>
          <w:rFonts w:hint="default" w:ascii="Times New Roman" w:hAnsi="Times New Roman" w:eastAsia="仿宋_GB2312" w:cs="Times New Roman"/>
          <w:b w:val="0"/>
          <w:sz w:val="32"/>
          <w:szCs w:val="32"/>
          <w:lang w:val="en-US" w:eastAsia="zh-CN"/>
        </w:rPr>
        <w:t>10</w:t>
      </w:r>
      <w:r>
        <w:rPr>
          <w:rFonts w:hint="default" w:ascii="Times New Roman" w:hAnsi="Times New Roman" w:eastAsia="仿宋_GB2312" w:cs="Times New Roman"/>
          <w:b w:val="0"/>
          <w:sz w:val="32"/>
          <w:szCs w:val="32"/>
        </w:rPr>
        <w:t>月</w:t>
      </w:r>
      <w:r>
        <w:rPr>
          <w:rFonts w:hint="default" w:ascii="Times New Roman" w:hAnsi="Times New Roman" w:eastAsia="仿宋_GB2312" w:cs="Times New Roman"/>
          <w:b w:val="0"/>
          <w:sz w:val="32"/>
          <w:szCs w:val="32"/>
          <w:lang w:val="en-US" w:eastAsia="zh-CN"/>
        </w:rPr>
        <w:t>18</w:t>
      </w:r>
      <w:r>
        <w:rPr>
          <w:rFonts w:hint="default" w:ascii="Times New Roman" w:hAnsi="Times New Roman" w:eastAsia="仿宋_GB2312" w:cs="Times New Roman"/>
          <w:b w:val="0"/>
          <w:sz w:val="32"/>
          <w:szCs w:val="32"/>
        </w:rPr>
        <w:t>日</w:t>
      </w:r>
    </w:p>
    <w:bookmarkEnd w:id="21"/>
    <w:bookmarkEnd w:id="22"/>
    <w:sdt>
      <w:sdtPr>
        <w:rPr>
          <w:rFonts w:hint="default" w:ascii="Times New Roman" w:hAnsi="Times New Roman" w:eastAsia="宋体" w:cs="Times New Roman"/>
          <w:kern w:val="2"/>
          <w:sz w:val="21"/>
          <w:szCs w:val="24"/>
          <w:lang w:val="en-US" w:eastAsia="zh-CN" w:bidi="ar-SA"/>
        </w:rPr>
        <w:id w:val="147459770"/>
        <w15:color w:val="DBDBDB"/>
        <w:docPartObj>
          <w:docPartGallery w:val="Table of Contents"/>
          <w:docPartUnique/>
        </w:docPartObj>
      </w:sdtPr>
      <w:sdtEndPr>
        <w:rPr>
          <w:rFonts w:hint="default" w:ascii="Times New Roman" w:hAnsi="Times New Roman" w:cs="Times New Roman"/>
        </w:rPr>
      </w:sdtEndPr>
      <w:sdtContent>
        <w:p>
          <w:pPr>
            <w:spacing w:before="0" w:beforeLines="0" w:after="0" w:afterLines="0" w:line="240" w:lineRule="auto"/>
            <w:ind w:left="0" w:leftChars="0" w:right="0" w:rightChars="0" w:firstLine="0" w:firstLineChars="0"/>
            <w:jc w:val="center"/>
            <w:rPr>
              <w:rFonts w:hint="default" w:ascii="Times New Roman" w:hAnsi="Times New Roman" w:eastAsia="仿宋_GB2312" w:cs="Times New Roman"/>
              <w:b w:val="0"/>
              <w:bCs w:val="0"/>
              <w:sz w:val="21"/>
              <w:szCs w:val="21"/>
            </w:rPr>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p>
        <w:p>
          <w:pPr>
            <w:pStyle w:val="40"/>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_Toc30831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第一部分 单位概况</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_Toc30831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_Toc23375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一、主要职责</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_Toc23375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_Toc29410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二、机构设置</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_Toc29410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0"/>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_Toc1857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第二部分 2022年度部门决算情况说明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_Toc1857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2</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_Toc9680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一、收入支出决算总体情况说明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_Toc9680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2</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_Toc26963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二、收入决算情况说明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_Toc26963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2</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_Toc31249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三、支出决算情况说明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_Toc31249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2</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_Toc25300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四、财政拨款收入支出决算总体情况说明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_Toc25300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3</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_Toc29003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五、一般公共预算财政拨款支出决算情况说明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_Toc29003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3</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_Toc21318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六、一般公共预算财政拨款基本支出决算情况说明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_Toc21318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5</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_Toc10140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七、财政拨款“三公”经费支出决算情况说明</w:t>
          </w:r>
          <w:r>
            <w:rPr>
              <w:rFonts w:hint="default" w:ascii="Times New Roman" w:hAnsi="Times New Roman" w:eastAsia="仿宋_GB2312" w:cs="Times New Roman"/>
              <w:b w:val="0"/>
              <w:bCs w:val="0"/>
              <w:sz w:val="21"/>
              <w:szCs w:val="21"/>
            </w:rPr>
            <w:tab/>
          </w:r>
          <w:bookmarkStart w:id="204" w:name="_GoBack"/>
          <w:bookmarkEnd w:id="204"/>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_Toc10140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6</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_Toc20945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八、政府性基金预算支出决算情况说明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_Toc20945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8</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_Toc24111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九、国有资本经营预算支出决算情况说明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_Toc24111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8</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_Toc29814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十、其他重要事项的情况说明</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_Toc29814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8</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0"/>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_Toc32101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第三部分 名词解释</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_Toc32101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10</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0"/>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_Toc4184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第四部分 附件</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_Toc4184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12</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0"/>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_Toc29016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kern w:val="0"/>
              <w:sz w:val="21"/>
              <w:szCs w:val="21"/>
            </w:rPr>
            <w:t>部门预算项目支出绩效自评表（2022年度）</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_Toc29016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12</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_Toc14136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第五部分 附表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_Toc14136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_Toc18347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一、收入支出决算总表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_Toc18347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_Toc23052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二、收入决算表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_Toc23052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_Toc23017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三、支出决算表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_Toc23017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_Toc28357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四、财政拨款收入支出决算总表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_Toc28357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_Toc1676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五、财政拨款支出决算明细表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_Toc1676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_Toc16658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六、一般公共预算财政拨款支出决算表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_Toc16658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_Toc15648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七、一般公共预算财政拨款支出决算明细表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_Toc15648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_Toc29318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八、一般公共预算财政拨款基本支出决算表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_Toc29318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_Toc4181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九、一般公共预算财政拨款项目支出决算表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_Toc4181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_Toc3279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十、政府性基金预算财政拨款收入支出决算表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_Toc3279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_Toc9694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十一、国有资本经营预算财政拨款收入支出决算表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_Toc9694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_Toc16041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十二、国有资本经营预算财政拨款支出决算表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_Toc16041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pStyle w:val="41"/>
            <w:tabs>
              <w:tab w:val="right" w:leader="dot" w:pos="9746"/>
            </w:tabs>
            <w:rPr>
              <w:rFonts w:hint="default" w:ascii="Times New Roman" w:hAnsi="Times New Roman" w:cs="Times New Roman"/>
            </w:rPr>
          </w:pP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HYPERLINK \l _Toc23056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十三、财政拨款“三公”经费支出决算表</w:t>
          </w:r>
          <w:r>
            <w:rPr>
              <w:rFonts w:hint="default" w:ascii="Times New Roman" w:hAnsi="Times New Roman" w:eastAsia="仿宋_GB2312" w:cs="Times New Roman"/>
              <w:b w:val="0"/>
              <w:bCs w:val="0"/>
              <w:sz w:val="21"/>
              <w:szCs w:val="21"/>
            </w:rPr>
            <w:tab/>
          </w:r>
          <w:r>
            <w:rPr>
              <w:rFonts w:hint="default" w:ascii="Times New Roman" w:hAnsi="Times New Roman" w:eastAsia="仿宋_GB2312" w:cs="Times New Roman"/>
              <w:b w:val="0"/>
              <w:bCs w:val="0"/>
              <w:sz w:val="21"/>
              <w:szCs w:val="21"/>
            </w:rPr>
            <w:fldChar w:fldCharType="begin"/>
          </w:r>
          <w:r>
            <w:rPr>
              <w:rFonts w:hint="default" w:ascii="Times New Roman" w:hAnsi="Times New Roman" w:eastAsia="仿宋_GB2312" w:cs="Times New Roman"/>
              <w:b w:val="0"/>
              <w:bCs w:val="0"/>
              <w:sz w:val="21"/>
              <w:szCs w:val="21"/>
            </w:rPr>
            <w:instrText xml:space="preserve"> PAGEREF _Toc23056 \h </w:instrText>
          </w:r>
          <w:r>
            <w:rPr>
              <w:rFonts w:hint="default" w:ascii="Times New Roman" w:hAnsi="Times New Roman" w:eastAsia="仿宋_GB2312" w:cs="Times New Roman"/>
              <w:b w:val="0"/>
              <w:bCs w:val="0"/>
              <w:sz w:val="21"/>
              <w:szCs w:val="21"/>
            </w:rPr>
            <w:fldChar w:fldCharType="separate"/>
          </w:r>
          <w:r>
            <w:rPr>
              <w:rFonts w:hint="default" w:ascii="Times New Roman" w:hAnsi="Times New Roman" w:eastAsia="仿宋_GB2312" w:cs="Times New Roman"/>
              <w:b w:val="0"/>
              <w:bCs w:val="0"/>
              <w:sz w:val="21"/>
              <w:szCs w:val="21"/>
            </w:rPr>
            <w:t>14</w:t>
          </w:r>
          <w:r>
            <w:rPr>
              <w:rFonts w:hint="default" w:ascii="Times New Roman" w:hAnsi="Times New Roman" w:eastAsia="仿宋_GB2312" w:cs="Times New Roman"/>
              <w:b w:val="0"/>
              <w:bCs w:val="0"/>
              <w:sz w:val="21"/>
              <w:szCs w:val="21"/>
            </w:rPr>
            <w:fldChar w:fldCharType="end"/>
          </w:r>
          <w:r>
            <w:rPr>
              <w:rFonts w:hint="default" w:ascii="Times New Roman" w:hAnsi="Times New Roman" w:eastAsia="仿宋_GB2312" w:cs="Times New Roman"/>
              <w:b w:val="0"/>
              <w:bCs w:val="0"/>
              <w:sz w:val="21"/>
              <w:szCs w:val="21"/>
            </w:rPr>
            <w:fldChar w:fldCharType="end"/>
          </w:r>
        </w:p>
        <w:p>
          <w:pPr>
            <w:rPr>
              <w:rFonts w:hint="default" w:ascii="Times New Roman" w:hAnsi="Times New Roman" w:cs="Times New Roman"/>
            </w:rPr>
          </w:pPr>
          <w:r>
            <w:rPr>
              <w:rFonts w:hint="default" w:ascii="Times New Roman" w:hAnsi="Times New Roman" w:cs="Times New Roman"/>
            </w:rPr>
            <w:fldChar w:fldCharType="end"/>
          </w:r>
        </w:p>
      </w:sdtContent>
    </w:sdt>
    <w:p>
      <w:pPr>
        <w:pStyle w:val="13"/>
        <w:tabs>
          <w:tab w:val="right" w:leader="hyphen" w:pos="9736"/>
        </w:tabs>
        <w:spacing w:before="93"/>
        <w:rPr>
          <w:rFonts w:hint="default" w:ascii="Times New Roman" w:hAnsi="Times New Roman" w:cs="Times New Roman" w:eastAsiaTheme="minorEastAsia"/>
          <w:b w:val="0"/>
          <w:bCs w:val="0"/>
          <w:sz w:val="21"/>
          <w:szCs w:val="22"/>
        </w:rPr>
      </w:pPr>
      <w:r>
        <w:rPr>
          <w:rFonts w:hint="default" w:ascii="Times New Roman" w:hAnsi="Times New Roman" w:eastAsia="黑体" w:cs="Times New Roman"/>
          <w:b w:val="0"/>
        </w:rPr>
        <w:fldChar w:fldCharType="begin"/>
      </w:r>
      <w:r>
        <w:rPr>
          <w:rFonts w:hint="default" w:ascii="Times New Roman" w:hAnsi="Times New Roman" w:eastAsia="黑体" w:cs="Times New Roman"/>
          <w:b w:val="0"/>
        </w:rPr>
        <w:instrText xml:space="preserve"> TOC \o "1-3" \h \z \u </w:instrText>
      </w:r>
      <w:r>
        <w:rPr>
          <w:rFonts w:hint="default" w:ascii="Times New Roman" w:hAnsi="Times New Roman" w:eastAsia="黑体" w:cs="Times New Roman"/>
          <w:b w:val="0"/>
        </w:rPr>
        <w:fldChar w:fldCharType="separate"/>
      </w:r>
    </w:p>
    <w:p>
      <w:pPr>
        <w:pStyle w:val="3"/>
        <w:pageBreakBefore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黑体" w:cs="Times New Roman"/>
          <w:b w:val="0"/>
        </w:rPr>
        <w:sectPr>
          <w:footerReference r:id="rId6" w:type="first"/>
          <w:footerReference r:id="rId5" w:type="default"/>
          <w:pgSz w:w="11906" w:h="16838"/>
          <w:pgMar w:top="1440" w:right="1080" w:bottom="1440" w:left="1080" w:header="851" w:footer="992" w:gutter="0"/>
          <w:pgNumType w:fmt="decimal" w:start="1"/>
          <w:cols w:space="425" w:num="1"/>
          <w:titlePg/>
          <w:docGrid w:type="lines" w:linePitch="312" w:charSpace="0"/>
        </w:sectPr>
      </w:pPr>
    </w:p>
    <w:p>
      <w:pPr>
        <w:pStyle w:val="3"/>
        <w:pageBreakBefore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黑体" w:cs="Times New Roman"/>
          <w:bCs w:val="0"/>
        </w:rPr>
      </w:pPr>
      <w:r>
        <w:rPr>
          <w:rFonts w:hint="default" w:ascii="Times New Roman" w:hAnsi="Times New Roman" w:eastAsia="黑体" w:cs="Times New Roman"/>
          <w:b w:val="0"/>
        </w:rPr>
        <w:fldChar w:fldCharType="end"/>
      </w:r>
      <w:bookmarkStart w:id="23" w:name="_Toc148448174"/>
      <w:bookmarkStart w:id="24" w:name="_Toc148448408"/>
      <w:bookmarkStart w:id="25" w:name="_Toc30831"/>
      <w:r>
        <w:rPr>
          <w:rFonts w:hint="default" w:ascii="Times New Roman" w:hAnsi="Times New Roman" w:eastAsia="黑体" w:cs="Times New Roman"/>
          <w:b w:val="0"/>
          <w:sz w:val="32"/>
          <w:szCs w:val="32"/>
        </w:rPr>
        <w:t>第一部分 单位</w:t>
      </w:r>
      <w:r>
        <w:rPr>
          <w:rStyle w:val="31"/>
          <w:rFonts w:hint="default" w:ascii="Times New Roman" w:hAnsi="Times New Roman" w:eastAsia="黑体" w:cs="Times New Roman"/>
          <w:b w:val="0"/>
          <w:bCs w:val="0"/>
          <w:sz w:val="32"/>
          <w:szCs w:val="32"/>
        </w:rPr>
        <w:t>概况</w:t>
      </w:r>
      <w:bookmarkEnd w:id="23"/>
      <w:bookmarkEnd w:id="24"/>
      <w:bookmarkEnd w:id="25"/>
    </w:p>
    <w:p>
      <w:pPr>
        <w:pStyle w:val="4"/>
        <w:pageBreakBefore w:val="0"/>
        <w:kinsoku/>
        <w:wordWrap/>
        <w:overflowPunct/>
        <w:topLinePunct w:val="0"/>
        <w:bidi w:val="0"/>
        <w:spacing w:line="560" w:lineRule="exact"/>
        <w:ind w:firstLine="643" w:firstLineChars="200"/>
        <w:textAlignment w:val="auto"/>
        <w:rPr>
          <w:rFonts w:hint="default" w:ascii="Times New Roman" w:hAnsi="Times New Roman" w:eastAsia="黑体" w:cs="Times New Roman"/>
          <w:b/>
          <w:bCs w:val="0"/>
        </w:rPr>
      </w:pPr>
      <w:bookmarkStart w:id="26" w:name="_Toc15396600"/>
      <w:bookmarkStart w:id="27" w:name="_Toc15377197"/>
      <w:bookmarkStart w:id="28" w:name="_Toc148448175"/>
      <w:bookmarkStart w:id="29" w:name="_Toc148448409"/>
      <w:bookmarkStart w:id="30" w:name="_Toc23375"/>
      <w:r>
        <w:rPr>
          <w:rFonts w:hint="default" w:ascii="Times New Roman" w:hAnsi="Times New Roman" w:eastAsia="黑体" w:cs="Times New Roman"/>
          <w:b/>
          <w:bCs w:val="0"/>
          <w:color w:val="000000"/>
        </w:rPr>
        <w:t>一、</w:t>
      </w:r>
      <w:bookmarkEnd w:id="26"/>
      <w:bookmarkEnd w:id="27"/>
      <w:r>
        <w:rPr>
          <w:rStyle w:val="32"/>
          <w:rFonts w:hint="default" w:ascii="Times New Roman" w:hAnsi="Times New Roman" w:eastAsia="黑体" w:cs="Times New Roman"/>
          <w:b/>
          <w:bCs w:val="0"/>
        </w:rPr>
        <w:t>主要职责</w:t>
      </w:r>
      <w:bookmarkEnd w:id="28"/>
      <w:bookmarkEnd w:id="29"/>
      <w:bookmarkEnd w:id="30"/>
      <w:bookmarkStart w:id="31" w:name="_Toc15378446"/>
      <w:bookmarkStart w:id="32" w:name="_Toc15377199"/>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严格执行国家公路、桥隧建设管理养护有关法律法规。</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组织实施上级安排的公路、桥隧建设项目，承担国省县乡道公路桥隧设施维护、公路绿化工作。</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负责国省县乡道公路、桥隧养护和监控工作；承担国省县乡道交通流量、路况监测和调查，制定大、中、小修、预防性养护计划并组织实施。</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负责公路桥隧管理养护信息化、智能化建设规划并组织实施，承担公路桥隧管理养护统计及信息上报工作。</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负责村级公路及桥梁管理养护的指导、考核工作，建立完善村级公路管养体系。</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负责管养道路、桥隧应急抢险机械、物资、队伍的组织、储备、保管、调集工作，保障应急抢险之需，参与全县道路桥隧建设、养护安全事故的调查处理。</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负责职责范围内的安全生产和职业健康、生态环境保护等工作。</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000000"/>
          <w:sz w:val="32"/>
          <w:szCs w:val="32"/>
        </w:rPr>
        <w:t>完成县委、县政府交办的其他工作。</w:t>
      </w:r>
    </w:p>
    <w:bookmarkEnd w:id="31"/>
    <w:bookmarkEnd w:id="32"/>
    <w:p>
      <w:pPr>
        <w:pStyle w:val="4"/>
        <w:pageBreakBefore w:val="0"/>
        <w:kinsoku/>
        <w:wordWrap/>
        <w:overflowPunct/>
        <w:topLinePunct w:val="0"/>
        <w:bidi w:val="0"/>
        <w:spacing w:line="560" w:lineRule="exact"/>
        <w:ind w:firstLine="643" w:firstLineChars="200"/>
        <w:textAlignment w:val="auto"/>
        <w:rPr>
          <w:rStyle w:val="32"/>
          <w:rFonts w:hint="default" w:ascii="Times New Roman" w:hAnsi="Times New Roman" w:cs="Times New Roman"/>
          <w:b/>
          <w:bCs w:val="0"/>
        </w:rPr>
      </w:pPr>
      <w:bookmarkStart w:id="33" w:name="_Toc148448410"/>
      <w:bookmarkStart w:id="34" w:name="_Toc148448176"/>
      <w:bookmarkStart w:id="35" w:name="_Toc15396601"/>
      <w:bookmarkStart w:id="36" w:name="_Toc15377200"/>
      <w:bookmarkStart w:id="37" w:name="_Toc29410"/>
      <w:r>
        <w:rPr>
          <w:rFonts w:hint="default" w:ascii="Times New Roman" w:hAnsi="Times New Roman" w:eastAsia="黑体" w:cs="Times New Roman"/>
          <w:b/>
          <w:bCs w:val="0"/>
          <w:color w:val="000000"/>
        </w:rPr>
        <w:t>二、</w:t>
      </w:r>
      <w:r>
        <w:rPr>
          <w:rFonts w:hint="default" w:ascii="Times New Roman" w:hAnsi="Times New Roman" w:eastAsia="黑体" w:cs="Times New Roman"/>
          <w:b/>
          <w:bCs w:val="0"/>
          <w:color w:val="000000"/>
        </w:rPr>
        <w:t>机</w:t>
      </w:r>
      <w:r>
        <w:rPr>
          <w:rStyle w:val="32"/>
          <w:rFonts w:hint="default" w:ascii="Times New Roman" w:hAnsi="Times New Roman" w:eastAsia="黑体" w:cs="Times New Roman"/>
          <w:b/>
          <w:bCs w:val="0"/>
        </w:rPr>
        <w:t>构设置</w:t>
      </w:r>
      <w:bookmarkEnd w:id="33"/>
      <w:bookmarkEnd w:id="34"/>
      <w:bookmarkEnd w:id="35"/>
      <w:bookmarkEnd w:id="36"/>
      <w:bookmarkEnd w:id="37"/>
    </w:p>
    <w:p>
      <w:pPr>
        <w:pageBreakBefore w:val="0"/>
        <w:widowControl/>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沐川县公路建设服务中心为公益一类正科级事业单位，属于沐川县交通运输局下属的二级预算单位，内设办公室、建设管理股、养护应急股三个股室，下设四个片区养护站（城郊片区、大楠片区、黄丹片区、利店片区）。</w:t>
      </w:r>
    </w:p>
    <w:p>
      <w:pPr>
        <w:pStyle w:val="3"/>
        <w:pageBreakBefore w:val="0"/>
        <w:kinsoku/>
        <w:wordWrap/>
        <w:overflowPunct/>
        <w:topLinePunct w:val="0"/>
        <w:bidi w:val="0"/>
        <w:spacing w:line="560" w:lineRule="exact"/>
        <w:ind w:right="442" w:firstLine="640" w:firstLineChars="200"/>
        <w:jc w:val="center"/>
        <w:textAlignment w:val="auto"/>
        <w:rPr>
          <w:rFonts w:hint="default" w:ascii="Times New Roman" w:hAnsi="Times New Roman" w:eastAsia="黑体" w:cs="Times New Roman"/>
          <w:b w:val="0"/>
          <w:color w:val="000000"/>
          <w:sz w:val="32"/>
          <w:szCs w:val="32"/>
        </w:rPr>
        <w:sectPr>
          <w:footerReference r:id="rId8" w:type="first"/>
          <w:footerReference r:id="rId7" w:type="default"/>
          <w:pgSz w:w="11906" w:h="16838"/>
          <w:pgMar w:top="1440" w:right="1080" w:bottom="1440" w:left="1080" w:header="851" w:footer="992" w:gutter="0"/>
          <w:pgNumType w:fmt="decimal" w:start="1"/>
          <w:cols w:space="425" w:num="1"/>
          <w:titlePg/>
          <w:docGrid w:type="lines" w:linePitch="312" w:charSpace="0"/>
        </w:sectPr>
      </w:pPr>
      <w:bookmarkStart w:id="38" w:name="_Toc148448177"/>
      <w:bookmarkStart w:id="39" w:name="_Toc15396602"/>
      <w:bookmarkStart w:id="40" w:name="_Toc148448411"/>
      <w:bookmarkStart w:id="41" w:name="_Toc15377204"/>
      <w:bookmarkStart w:id="42" w:name="_Toc1857"/>
    </w:p>
    <w:p>
      <w:pPr>
        <w:pStyle w:val="3"/>
        <w:pageBreakBefore w:val="0"/>
        <w:kinsoku/>
        <w:wordWrap/>
        <w:overflowPunct/>
        <w:topLinePunct w:val="0"/>
        <w:bidi w:val="0"/>
        <w:spacing w:line="560" w:lineRule="exact"/>
        <w:ind w:right="442" w:firstLine="640" w:firstLineChars="200"/>
        <w:jc w:val="center"/>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color w:val="000000"/>
          <w:sz w:val="32"/>
          <w:szCs w:val="32"/>
        </w:rPr>
        <w:t xml:space="preserve">第二部分 </w:t>
      </w:r>
      <w:r>
        <w:rPr>
          <w:rStyle w:val="31"/>
          <w:rFonts w:hint="default" w:ascii="Times New Roman" w:hAnsi="Times New Roman" w:eastAsia="黑体" w:cs="Times New Roman"/>
          <w:b w:val="0"/>
          <w:bCs w:val="0"/>
          <w:sz w:val="32"/>
          <w:szCs w:val="32"/>
        </w:rPr>
        <w:t>2022年度部门决算情况说明</w:t>
      </w:r>
      <w:bookmarkEnd w:id="38"/>
      <w:bookmarkEnd w:id="39"/>
      <w:bookmarkEnd w:id="40"/>
      <w:bookmarkEnd w:id="41"/>
      <w:bookmarkEnd w:id="42"/>
    </w:p>
    <w:p>
      <w:pPr>
        <w:pStyle w:val="30"/>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43" w:name="_Toc15377205"/>
      <w:bookmarkStart w:id="44" w:name="_Toc148448178"/>
      <w:bookmarkStart w:id="45" w:name="_Toc15396603"/>
      <w:bookmarkStart w:id="46" w:name="_Toc148448412"/>
      <w:bookmarkStart w:id="47" w:name="_Toc9680"/>
      <w:r>
        <w:rPr>
          <w:rFonts w:hint="default" w:ascii="Times New Roman" w:hAnsi="Times New Roman" w:eastAsia="黑体" w:cs="Times New Roman"/>
          <w:b/>
          <w:bCs/>
          <w:color w:val="000000"/>
          <w:sz w:val="32"/>
          <w:szCs w:val="32"/>
        </w:rPr>
        <w:t>一、收</w:t>
      </w:r>
      <w:r>
        <w:rPr>
          <w:rStyle w:val="32"/>
          <w:rFonts w:hint="default" w:ascii="Times New Roman" w:hAnsi="Times New Roman" w:eastAsia="黑体" w:cs="Times New Roman"/>
          <w:b/>
          <w:bCs/>
        </w:rPr>
        <w:t>入支出决算总体情况说明</w:t>
      </w:r>
      <w:bookmarkEnd w:id="43"/>
      <w:bookmarkEnd w:id="44"/>
      <w:bookmarkEnd w:id="45"/>
      <w:bookmarkEnd w:id="46"/>
      <w:bookmarkEnd w:id="47"/>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000000"/>
          <w:sz w:val="32"/>
          <w:szCs w:val="32"/>
        </w:rPr>
        <w:t>022年度收、支总计1900.32万元。</w:t>
      </w:r>
      <w:r>
        <w:rPr>
          <w:rFonts w:hint="default" w:ascii="Times New Roman" w:hAnsi="Times New Roman" w:eastAsia="仿宋_GB2312" w:cs="Times New Roman"/>
          <w:sz w:val="32"/>
          <w:szCs w:val="32"/>
        </w:rPr>
        <w:t>与2021年相比，收、支总计各增加418.06万元，增长28.2%。主要变动原因是2021年项目收入由交通运输局统一汇总填报数据。</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（图1：收、支决算总计变动情况图）（柱状图）</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drawing>
          <wp:anchor distT="0" distB="0" distL="114300" distR="114300" simplePos="0" relativeHeight="251660288" behindDoc="1" locked="0" layoutInCell="1" allowOverlap="1">
            <wp:simplePos x="0" y="0"/>
            <wp:positionH relativeFrom="column">
              <wp:posOffset>462280</wp:posOffset>
            </wp:positionH>
            <wp:positionV relativeFrom="paragraph">
              <wp:posOffset>327025</wp:posOffset>
            </wp:positionV>
            <wp:extent cx="4294505" cy="1876425"/>
            <wp:effectExtent l="19050" t="0" r="10795" b="0"/>
            <wp:wrapTight wrapText="bothSides">
              <wp:wrapPolygon>
                <wp:start x="-96" y="0"/>
                <wp:lineTo x="-96" y="21490"/>
                <wp:lineTo x="21654" y="21490"/>
                <wp:lineTo x="21654" y="0"/>
                <wp:lineTo x="-96"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Style w:val="30"/>
        <w:pageBreakBefore w:val="0"/>
        <w:kinsoku/>
        <w:wordWrap/>
        <w:overflowPunct/>
        <w:topLinePunct w:val="0"/>
        <w:bidi w:val="0"/>
        <w:spacing w:line="560" w:lineRule="exact"/>
        <w:ind w:left="1360" w:firstLine="640" w:firstLineChars="200"/>
        <w:textAlignment w:val="auto"/>
        <w:outlineLvl w:val="9"/>
        <w:rPr>
          <w:rFonts w:hint="default" w:ascii="Times New Roman" w:hAnsi="Times New Roman" w:eastAsia="黑体" w:cs="Times New Roman"/>
          <w:bCs/>
          <w:sz w:val="32"/>
          <w:szCs w:val="32"/>
        </w:rPr>
      </w:pPr>
      <w:bookmarkStart w:id="48" w:name="_Toc15377206"/>
      <w:bookmarkStart w:id="49" w:name="_Toc15396604"/>
    </w:p>
    <w:p>
      <w:pPr>
        <w:pStyle w:val="30"/>
        <w:pageBreakBefore w:val="0"/>
        <w:numPr>
          <w:ilvl w:val="0"/>
          <w:numId w:val="1"/>
        </w:numPr>
        <w:kinsoku/>
        <w:wordWrap/>
        <w:overflowPunct/>
        <w:topLinePunct w:val="0"/>
        <w:bidi w:val="0"/>
        <w:spacing w:line="560" w:lineRule="exact"/>
        <w:ind w:firstLine="640" w:firstLineChars="200"/>
        <w:textAlignment w:val="auto"/>
        <w:outlineLvl w:val="1"/>
        <w:rPr>
          <w:rFonts w:hint="default" w:ascii="Times New Roman" w:hAnsi="Times New Roman" w:eastAsia="黑体" w:cs="Times New Roman"/>
          <w:bCs/>
          <w:sz w:val="32"/>
          <w:szCs w:val="32"/>
        </w:rPr>
      </w:pPr>
      <w:bookmarkStart w:id="50" w:name="_Toc148448179"/>
      <w:bookmarkEnd w:id="50"/>
      <w:bookmarkStart w:id="51" w:name="_Toc148448413"/>
      <w:bookmarkEnd w:id="51"/>
      <w:bookmarkStart w:id="52" w:name="_Toc12364"/>
      <w:bookmarkEnd w:id="52"/>
    </w:p>
    <w:p>
      <w:pPr>
        <w:pStyle w:val="30"/>
        <w:pageBreakBefore w:val="0"/>
        <w:numPr>
          <w:ilvl w:val="0"/>
          <w:numId w:val="1"/>
        </w:numPr>
        <w:kinsoku/>
        <w:wordWrap/>
        <w:overflowPunct/>
        <w:topLinePunct w:val="0"/>
        <w:bidi w:val="0"/>
        <w:spacing w:line="560" w:lineRule="exact"/>
        <w:ind w:firstLine="640" w:firstLineChars="200"/>
        <w:textAlignment w:val="auto"/>
        <w:outlineLvl w:val="1"/>
        <w:rPr>
          <w:rFonts w:hint="default" w:ascii="Times New Roman" w:hAnsi="Times New Roman" w:eastAsia="黑体" w:cs="Times New Roman"/>
          <w:bCs/>
          <w:sz w:val="32"/>
          <w:szCs w:val="32"/>
        </w:rPr>
      </w:pPr>
      <w:bookmarkStart w:id="53" w:name="_Toc148448180"/>
      <w:bookmarkEnd w:id="53"/>
      <w:bookmarkStart w:id="54" w:name="_Toc148448414"/>
      <w:bookmarkEnd w:id="54"/>
      <w:bookmarkStart w:id="55" w:name="_Toc13001"/>
      <w:bookmarkEnd w:id="55"/>
    </w:p>
    <w:p>
      <w:pPr>
        <w:pStyle w:val="30"/>
        <w:pageBreakBefore w:val="0"/>
        <w:numPr>
          <w:ilvl w:val="0"/>
          <w:numId w:val="1"/>
        </w:numPr>
        <w:kinsoku/>
        <w:wordWrap/>
        <w:overflowPunct/>
        <w:topLinePunct w:val="0"/>
        <w:bidi w:val="0"/>
        <w:spacing w:line="560" w:lineRule="exact"/>
        <w:ind w:firstLine="640" w:firstLineChars="200"/>
        <w:textAlignment w:val="auto"/>
        <w:outlineLvl w:val="1"/>
        <w:rPr>
          <w:rFonts w:hint="default" w:ascii="Times New Roman" w:hAnsi="Times New Roman" w:eastAsia="黑体" w:cs="Times New Roman"/>
          <w:bCs/>
          <w:sz w:val="32"/>
          <w:szCs w:val="32"/>
        </w:rPr>
      </w:pPr>
      <w:bookmarkStart w:id="56" w:name="_Toc148448181"/>
      <w:bookmarkEnd w:id="56"/>
      <w:bookmarkStart w:id="57" w:name="_Toc148448415"/>
      <w:bookmarkEnd w:id="57"/>
      <w:bookmarkStart w:id="58" w:name="_Toc2096"/>
      <w:bookmarkEnd w:id="58"/>
    </w:p>
    <w:p>
      <w:pPr>
        <w:pStyle w:val="30"/>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59" w:name="_Toc148448416"/>
      <w:bookmarkStart w:id="60" w:name="_Toc148448182"/>
      <w:bookmarkStart w:id="61" w:name="_Toc26963"/>
      <w:r>
        <w:rPr>
          <w:rFonts w:hint="default" w:ascii="Times New Roman" w:hAnsi="Times New Roman" w:eastAsia="黑体" w:cs="Times New Roman"/>
          <w:b/>
          <w:bCs/>
          <w:color w:val="000000"/>
          <w:sz w:val="32"/>
          <w:szCs w:val="32"/>
        </w:rPr>
        <w:t>二、收</w:t>
      </w:r>
      <w:r>
        <w:rPr>
          <w:rStyle w:val="32"/>
          <w:rFonts w:hint="default" w:ascii="Times New Roman" w:hAnsi="Times New Roman" w:eastAsia="黑体" w:cs="Times New Roman"/>
          <w:b/>
          <w:bCs/>
        </w:rPr>
        <w:t>入决算情况说明</w:t>
      </w:r>
      <w:bookmarkEnd w:id="48"/>
      <w:bookmarkEnd w:id="49"/>
      <w:bookmarkEnd w:id="59"/>
      <w:bookmarkEnd w:id="60"/>
      <w:bookmarkEnd w:id="61"/>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bookmarkStart w:id="62" w:name="_Toc148448183"/>
      <w:r>
        <w:rPr>
          <w:rFonts w:hint="default" w:ascii="Times New Roman" w:hAnsi="Times New Roman" w:eastAsia="仿宋_GB2312" w:cs="Times New Roman"/>
          <w:color w:val="000000"/>
          <w:sz w:val="32"/>
          <w:szCs w:val="32"/>
        </w:rPr>
        <w:t>2022年本年收入合计1900.32万元，其中：一般公共预算财政拨款收入1713.15万元，占90.15%，其他收入187.17万元，占9.85%。</w:t>
      </w:r>
      <w:bookmarkEnd w:id="62"/>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（图2：收入决算结构图）（饼状图）</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drawing>
          <wp:anchor distT="0" distB="0" distL="114300" distR="114300" simplePos="0" relativeHeight="251661312" behindDoc="1" locked="0" layoutInCell="1" allowOverlap="1">
            <wp:simplePos x="0" y="0"/>
            <wp:positionH relativeFrom="column">
              <wp:posOffset>715010</wp:posOffset>
            </wp:positionH>
            <wp:positionV relativeFrom="paragraph">
              <wp:posOffset>89535</wp:posOffset>
            </wp:positionV>
            <wp:extent cx="4180205" cy="2179320"/>
            <wp:effectExtent l="19050" t="0" r="10795" b="0"/>
            <wp:wrapTight wrapText="bothSides">
              <wp:wrapPolygon>
                <wp:start x="-98" y="0"/>
                <wp:lineTo x="-98" y="21524"/>
                <wp:lineTo x="21656" y="21524"/>
                <wp:lineTo x="21656" y="0"/>
                <wp:lineTo x="-98"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bookmarkStart w:id="63" w:name="_Toc15396605"/>
      <w:bookmarkStart w:id="64" w:name="_Toc15377207"/>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65" w:name="_Toc148448417"/>
      <w:bookmarkStart w:id="66" w:name="_Toc148448184"/>
      <w:bookmarkStart w:id="67" w:name="_Toc31249"/>
      <w:r>
        <w:rPr>
          <w:rFonts w:hint="default" w:ascii="Times New Roman" w:hAnsi="Times New Roman" w:eastAsia="黑体" w:cs="Times New Roman"/>
          <w:b/>
          <w:bCs/>
          <w:color w:val="000000"/>
          <w:sz w:val="32"/>
          <w:szCs w:val="32"/>
        </w:rPr>
        <w:t>三、支</w:t>
      </w:r>
      <w:r>
        <w:rPr>
          <w:rStyle w:val="32"/>
          <w:rFonts w:hint="default" w:ascii="Times New Roman" w:hAnsi="Times New Roman" w:eastAsia="黑体" w:cs="Times New Roman"/>
          <w:b/>
          <w:bCs/>
        </w:rPr>
        <w:t>出决算情况说明</w:t>
      </w:r>
      <w:bookmarkEnd w:id="63"/>
      <w:bookmarkEnd w:id="64"/>
      <w:bookmarkEnd w:id="65"/>
      <w:bookmarkEnd w:id="66"/>
      <w:bookmarkEnd w:id="67"/>
    </w:p>
    <w:p>
      <w:pPr>
        <w:pageBreakBefore w:val="0"/>
        <w:widowControl/>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2022年本年支出合计1900.32万元，其中：基本支出1492.15万元，占78.52%；项目支出408.17万元，占21.48%。</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（图3：支出决算结构图）（饼状图）</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drawing>
          <wp:anchor distT="0" distB="0" distL="114300" distR="114300" simplePos="0" relativeHeight="251662336" behindDoc="1" locked="0" layoutInCell="1" allowOverlap="1">
            <wp:simplePos x="0" y="0"/>
            <wp:positionH relativeFrom="column">
              <wp:posOffset>879475</wp:posOffset>
            </wp:positionH>
            <wp:positionV relativeFrom="paragraph">
              <wp:posOffset>116840</wp:posOffset>
            </wp:positionV>
            <wp:extent cx="3415665" cy="1821180"/>
            <wp:effectExtent l="19050" t="0" r="13335" b="7620"/>
            <wp:wrapTight wrapText="bothSides">
              <wp:wrapPolygon>
                <wp:start x="-120" y="0"/>
                <wp:lineTo x="-120" y="21690"/>
                <wp:lineTo x="21684" y="21690"/>
                <wp:lineTo x="21684" y="0"/>
                <wp:lineTo x="-120" y="0"/>
              </wp:wrapPolygon>
            </wp:wrapTight>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68" w:name="_Toc15396606"/>
      <w:bookmarkStart w:id="69" w:name="_Toc15377208"/>
      <w:bookmarkStart w:id="70" w:name="_Toc148448418"/>
      <w:bookmarkStart w:id="71" w:name="_Toc148448185"/>
      <w:bookmarkStart w:id="72" w:name="_Toc25300"/>
      <w:r>
        <w:rPr>
          <w:rFonts w:hint="default" w:ascii="Times New Roman" w:hAnsi="Times New Roman" w:eastAsia="黑体" w:cs="Times New Roman"/>
          <w:b/>
          <w:bCs/>
          <w:color w:val="000000"/>
          <w:sz w:val="32"/>
          <w:szCs w:val="32"/>
        </w:rPr>
        <w:t>四、财</w:t>
      </w:r>
      <w:r>
        <w:rPr>
          <w:rStyle w:val="32"/>
          <w:rFonts w:hint="default" w:ascii="Times New Roman" w:hAnsi="Times New Roman" w:eastAsia="黑体" w:cs="Times New Roman"/>
          <w:b/>
          <w:bCs/>
        </w:rPr>
        <w:t>政拨款收入支出决算总体情况说明</w:t>
      </w:r>
      <w:bookmarkEnd w:id="68"/>
      <w:bookmarkEnd w:id="69"/>
      <w:bookmarkEnd w:id="70"/>
      <w:bookmarkEnd w:id="71"/>
      <w:bookmarkEnd w:id="72"/>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2022年财政拨款收、支总计1713.15万元,与2021年相比，财政拨款收、支总计各增加230.89万元，增长15.58%，</w:t>
      </w:r>
      <w:r>
        <w:rPr>
          <w:rFonts w:hint="default" w:ascii="Times New Roman" w:hAnsi="Times New Roman" w:eastAsia="仿宋_GB2312" w:cs="Times New Roman"/>
          <w:sz w:val="32"/>
          <w:szCs w:val="32"/>
        </w:rPr>
        <w:t>主要变动原因是2021年项目收、支由交通运输局统一汇总填报数据</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（图4：财政拨款收、支决算总计变动情况）（柱状图）</w:t>
      </w:r>
    </w:p>
    <w:p>
      <w:pPr>
        <w:pageBreakBefore w:val="0"/>
        <w:kinsoku/>
        <w:wordWrap/>
        <w:overflowPunct/>
        <w:topLinePunct w:val="0"/>
        <w:bidi w:val="0"/>
        <w:spacing w:line="560" w:lineRule="exact"/>
        <w:ind w:firstLine="643" w:firstLineChars="200"/>
        <w:textAlignment w:val="auto"/>
        <w:rPr>
          <w:rFonts w:hint="default" w:ascii="Times New Roman" w:hAnsi="Times New Roman" w:eastAsia="仿宋" w:cs="Times New Roman"/>
          <w:b/>
          <w:color w:val="00B050"/>
          <w:sz w:val="32"/>
          <w:szCs w:val="32"/>
        </w:rPr>
      </w:pPr>
      <w:r>
        <w:rPr>
          <w:rFonts w:hint="default" w:ascii="Times New Roman" w:hAnsi="Times New Roman" w:eastAsia="仿宋" w:cs="Times New Roman"/>
          <w:b/>
          <w:color w:val="00B050"/>
          <w:sz w:val="32"/>
          <w:szCs w:val="32"/>
        </w:rPr>
        <w:drawing>
          <wp:anchor distT="0" distB="0" distL="114300" distR="114300" simplePos="0" relativeHeight="251663360" behindDoc="1" locked="0" layoutInCell="1" allowOverlap="1">
            <wp:simplePos x="0" y="0"/>
            <wp:positionH relativeFrom="column">
              <wp:posOffset>561340</wp:posOffset>
            </wp:positionH>
            <wp:positionV relativeFrom="paragraph">
              <wp:posOffset>155575</wp:posOffset>
            </wp:positionV>
            <wp:extent cx="4071620" cy="2489835"/>
            <wp:effectExtent l="19050" t="0" r="24130" b="5715"/>
            <wp:wrapTight wrapText="bothSides">
              <wp:wrapPolygon>
                <wp:start x="-101" y="0"/>
                <wp:lineTo x="-101" y="21650"/>
                <wp:lineTo x="21728" y="21650"/>
                <wp:lineTo x="21728" y="0"/>
                <wp:lineTo x="-101" y="0"/>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bookmarkStart w:id="73" w:name="_Toc15396607"/>
      <w:bookmarkStart w:id="74" w:name="_Toc15377209"/>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0" w:firstLineChars="200"/>
        <w:textAlignment w:val="auto"/>
        <w:outlineLvl w:val="9"/>
        <w:rPr>
          <w:rFonts w:hint="default" w:ascii="Times New Roman" w:hAnsi="Times New Roman" w:eastAsia="黑体" w:cs="Times New Roman"/>
          <w:color w:val="000000"/>
          <w:sz w:val="32"/>
          <w:szCs w:val="32"/>
        </w:rPr>
      </w:pPr>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75" w:name="_Toc148448186"/>
      <w:bookmarkStart w:id="76" w:name="_Toc148448419"/>
      <w:bookmarkStart w:id="77" w:name="_Toc29003"/>
      <w:r>
        <w:rPr>
          <w:rFonts w:hint="default" w:ascii="Times New Roman" w:hAnsi="Times New Roman" w:eastAsia="黑体" w:cs="Times New Roman"/>
          <w:b/>
          <w:bCs/>
          <w:color w:val="000000"/>
          <w:sz w:val="32"/>
          <w:szCs w:val="32"/>
        </w:rPr>
        <w:t>五、一</w:t>
      </w:r>
      <w:r>
        <w:rPr>
          <w:rStyle w:val="32"/>
          <w:rFonts w:hint="default" w:ascii="Times New Roman" w:hAnsi="Times New Roman" w:eastAsia="黑体" w:cs="Times New Roman"/>
          <w:b/>
          <w:bCs/>
        </w:rPr>
        <w:t>般公共预算财政拨款支出决算情况说明</w:t>
      </w:r>
      <w:bookmarkEnd w:id="73"/>
      <w:bookmarkEnd w:id="74"/>
      <w:bookmarkEnd w:id="75"/>
      <w:bookmarkEnd w:id="76"/>
      <w:bookmarkEnd w:id="77"/>
      <w:bookmarkStart w:id="78" w:name="_Toc15377210"/>
    </w:p>
    <w:p>
      <w:pPr>
        <w:pageBreakBefore w:val="0"/>
        <w:kinsoku/>
        <w:wordWrap/>
        <w:overflowPunct/>
        <w:topLinePunct w:val="0"/>
        <w:bidi w:val="0"/>
        <w:spacing w:line="560" w:lineRule="exact"/>
        <w:ind w:firstLine="640" w:firstLineChars="200"/>
        <w:textAlignment w:val="auto"/>
        <w:outlineLvl w:val="2"/>
        <w:rPr>
          <w:rFonts w:hint="default" w:ascii="Times New Roman" w:hAnsi="Times New Roman" w:eastAsia="楷体" w:cs="Times New Roman"/>
          <w:b w:val="0"/>
          <w:bCs/>
          <w:color w:val="000000"/>
          <w:sz w:val="32"/>
          <w:szCs w:val="32"/>
        </w:rPr>
      </w:pPr>
      <w:bookmarkStart w:id="79" w:name="_Toc148448187"/>
      <w:bookmarkStart w:id="80" w:name="_Toc24213"/>
      <w:r>
        <w:rPr>
          <w:rFonts w:hint="default" w:ascii="Times New Roman" w:hAnsi="Times New Roman" w:eastAsia="楷体" w:cs="Times New Roman"/>
          <w:b w:val="0"/>
          <w:bCs/>
          <w:color w:val="000000"/>
          <w:sz w:val="32"/>
          <w:szCs w:val="32"/>
        </w:rPr>
        <w:t>（一）一般公共预算财政拨款支出决算总体情况</w:t>
      </w:r>
      <w:bookmarkEnd w:id="78"/>
      <w:bookmarkEnd w:id="79"/>
      <w:bookmarkEnd w:id="80"/>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2022年一般公共预算财政拨款支出1713.15万元，占本年支出合计的90.15%。</w:t>
      </w:r>
      <w:r>
        <w:rPr>
          <w:rFonts w:hint="default" w:ascii="Times New Roman" w:hAnsi="Times New Roman" w:eastAsia="仿宋_GB2312" w:cs="Times New Roman"/>
          <w:sz w:val="32"/>
          <w:szCs w:val="32"/>
        </w:rPr>
        <w:t>与2021年相比，一般公共预算财政拨款支出增加230.89万元，增长15.58%。主要变动原因是2021年项目支出由交通运输局统一汇总填报数据</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（图5：一般公共预算财政拨款支出决算变动情况）（柱状图）</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themeColor="text1"/>
          <w:sz w:val="32"/>
          <w:szCs w:val="32"/>
        </w:rPr>
        <w:drawing>
          <wp:anchor distT="0" distB="0" distL="114300" distR="114300" simplePos="0" relativeHeight="251664384" behindDoc="1" locked="0" layoutInCell="1" allowOverlap="1">
            <wp:simplePos x="0" y="0"/>
            <wp:positionH relativeFrom="column">
              <wp:posOffset>426085</wp:posOffset>
            </wp:positionH>
            <wp:positionV relativeFrom="paragraph">
              <wp:posOffset>60960</wp:posOffset>
            </wp:positionV>
            <wp:extent cx="4115435" cy="2218055"/>
            <wp:effectExtent l="19050" t="0" r="18415" b="0"/>
            <wp:wrapTight wrapText="bothSides">
              <wp:wrapPolygon>
                <wp:start x="-100" y="0"/>
                <wp:lineTo x="-100" y="21520"/>
                <wp:lineTo x="21697" y="21520"/>
                <wp:lineTo x="21697" y="0"/>
                <wp:lineTo x="-100" y="0"/>
              </wp:wrapPolygon>
            </wp:wrapTight>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themeColor="text1"/>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themeColor="text1"/>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themeColor="text1"/>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themeColor="text1"/>
          <w:sz w:val="32"/>
          <w:szCs w:val="32"/>
        </w:rPr>
      </w:pPr>
    </w:p>
    <w:p>
      <w:pPr>
        <w:pageBreakBefore w:val="0"/>
        <w:kinsoku/>
        <w:wordWrap/>
        <w:overflowPunct/>
        <w:topLinePunct w:val="0"/>
        <w:bidi w:val="0"/>
        <w:spacing w:line="560" w:lineRule="exact"/>
        <w:ind w:firstLine="643" w:firstLineChars="200"/>
        <w:textAlignment w:val="auto"/>
        <w:outlineLvl w:val="9"/>
        <w:rPr>
          <w:rFonts w:hint="default" w:ascii="Times New Roman" w:hAnsi="Times New Roman" w:eastAsia="仿宋" w:cs="Times New Roman"/>
          <w:b/>
          <w:color w:val="000000"/>
          <w:sz w:val="32"/>
          <w:szCs w:val="32"/>
        </w:rPr>
      </w:pPr>
      <w:bookmarkStart w:id="81" w:name="_Toc15377211"/>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仿宋_GB2312" w:cs="Times New Roman"/>
          <w:b/>
          <w:color w:val="000000"/>
          <w:sz w:val="32"/>
          <w:szCs w:val="32"/>
        </w:rPr>
      </w:pPr>
      <w:bookmarkStart w:id="82" w:name="_Toc148448188"/>
      <w:bookmarkStart w:id="83" w:name="_Toc13272"/>
    </w:p>
    <w:p>
      <w:pPr>
        <w:pageBreakBefore w:val="0"/>
        <w:kinsoku/>
        <w:wordWrap/>
        <w:overflowPunct/>
        <w:topLinePunct w:val="0"/>
        <w:bidi w:val="0"/>
        <w:spacing w:line="560" w:lineRule="exact"/>
        <w:ind w:firstLine="640" w:firstLineChars="200"/>
        <w:textAlignment w:val="auto"/>
        <w:outlineLvl w:val="2"/>
        <w:rPr>
          <w:rFonts w:hint="default" w:ascii="Times New Roman" w:hAnsi="Times New Roman" w:eastAsia="楷体" w:cs="Times New Roman"/>
          <w:b w:val="0"/>
          <w:bCs/>
          <w:color w:val="000000"/>
          <w:sz w:val="32"/>
          <w:szCs w:val="32"/>
        </w:rPr>
      </w:pPr>
      <w:r>
        <w:rPr>
          <w:rFonts w:hint="default" w:ascii="Times New Roman" w:hAnsi="Times New Roman" w:eastAsia="楷体" w:cs="Times New Roman"/>
          <w:b w:val="0"/>
          <w:bCs/>
          <w:color w:val="000000"/>
          <w:sz w:val="32"/>
          <w:szCs w:val="32"/>
        </w:rPr>
        <w:t>（二）一般公共预算财政拨款支出决算结构情况</w:t>
      </w:r>
      <w:bookmarkEnd w:id="81"/>
      <w:bookmarkEnd w:id="82"/>
      <w:bookmarkEnd w:id="83"/>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sz w:val="32"/>
          <w:szCs w:val="32"/>
        </w:rPr>
        <w:t>2022年一般公共预算财</w:t>
      </w:r>
      <w:r>
        <w:rPr>
          <w:rFonts w:hint="default" w:ascii="Times New Roman" w:hAnsi="Times New Roman" w:eastAsia="仿宋_GB2312" w:cs="Times New Roman"/>
          <w:color w:val="000000" w:themeColor="text1"/>
          <w:sz w:val="32"/>
          <w:szCs w:val="32"/>
        </w:rPr>
        <w:t>政拨款支出1713.15万元，主要用于以下方面:社会保障和就业（类）支出122.27万元，占7.13%；卫生健康支出54.43万元，占3.18%；交通运输支出1428.21万元，占83.37%；住房保障支出108.24万元，占6.32%。</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（图6：一般公共预算财政拨款支出决算结构）（饼状图）</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drawing>
          <wp:anchor distT="0" distB="0" distL="114300" distR="114300" simplePos="0" relativeHeight="251665408" behindDoc="1" locked="0" layoutInCell="1" allowOverlap="1">
            <wp:simplePos x="0" y="0"/>
            <wp:positionH relativeFrom="column">
              <wp:posOffset>991870</wp:posOffset>
            </wp:positionH>
            <wp:positionV relativeFrom="paragraph">
              <wp:posOffset>233045</wp:posOffset>
            </wp:positionV>
            <wp:extent cx="3556000" cy="1435100"/>
            <wp:effectExtent l="19050" t="0" r="25400" b="0"/>
            <wp:wrapTight wrapText="bothSides">
              <wp:wrapPolygon>
                <wp:start x="-116" y="0"/>
                <wp:lineTo x="-116" y="21504"/>
                <wp:lineTo x="21754" y="21504"/>
                <wp:lineTo x="21754" y="0"/>
                <wp:lineTo x="-116" y="0"/>
              </wp:wrapPolygon>
            </wp:wrapTight>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default" w:ascii="Times New Roman" w:hAnsi="Times New Roman" w:eastAsia="仿宋" w:cs="Times New Roman"/>
          <w:color w:val="000000"/>
          <w:sz w:val="32"/>
          <w:szCs w:val="32"/>
        </w:rPr>
        <w:t xml:space="preserve">               </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60" w:lineRule="exact"/>
        <w:ind w:firstLine="643" w:firstLineChars="200"/>
        <w:textAlignment w:val="auto"/>
        <w:outlineLvl w:val="9"/>
        <w:rPr>
          <w:rFonts w:hint="default" w:ascii="Times New Roman" w:hAnsi="Times New Roman" w:eastAsia="仿宋_GB2312" w:cs="Times New Roman"/>
          <w:b/>
          <w:color w:val="000000"/>
          <w:sz w:val="32"/>
          <w:szCs w:val="32"/>
        </w:rPr>
      </w:pPr>
      <w:bookmarkStart w:id="84" w:name="_Toc15377212"/>
    </w:p>
    <w:p>
      <w:pPr>
        <w:pageBreakBefore w:val="0"/>
        <w:kinsoku/>
        <w:wordWrap/>
        <w:overflowPunct/>
        <w:topLinePunct w:val="0"/>
        <w:bidi w:val="0"/>
        <w:spacing w:line="560" w:lineRule="exact"/>
        <w:ind w:firstLine="643" w:firstLineChars="200"/>
        <w:textAlignment w:val="auto"/>
        <w:outlineLvl w:val="9"/>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仿宋_GB2312" w:cs="Times New Roman"/>
          <w:b/>
          <w:color w:val="000000"/>
          <w:sz w:val="32"/>
          <w:szCs w:val="32"/>
        </w:rPr>
      </w:pPr>
      <w:bookmarkStart w:id="85" w:name="_Toc148448189"/>
      <w:bookmarkStart w:id="86" w:name="_Toc148448420"/>
      <w:bookmarkStart w:id="87" w:name="_Toc26400"/>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楷体" w:cs="Times New Roman"/>
          <w:b/>
          <w:color w:val="000000"/>
          <w:sz w:val="32"/>
          <w:szCs w:val="32"/>
        </w:rPr>
      </w:pPr>
      <w:r>
        <w:rPr>
          <w:rFonts w:hint="default" w:ascii="Times New Roman" w:hAnsi="Times New Roman" w:eastAsia="楷体" w:cs="Times New Roman"/>
          <w:b/>
          <w:color w:val="000000"/>
          <w:sz w:val="32"/>
          <w:szCs w:val="32"/>
        </w:rPr>
        <w:t>（三）一般公共预算财政拨款支出决算具体情况</w:t>
      </w:r>
      <w:bookmarkEnd w:id="84"/>
      <w:bookmarkEnd w:id="85"/>
      <w:bookmarkEnd w:id="86"/>
      <w:bookmarkEnd w:id="87"/>
    </w:p>
    <w:p>
      <w:pPr>
        <w:pageBreakBefore w:val="0"/>
        <w:kinsoku/>
        <w:wordWrap/>
        <w:overflowPunct/>
        <w:topLinePunct w:val="0"/>
        <w:bidi w:val="0"/>
        <w:spacing w:line="560" w:lineRule="exact"/>
        <w:ind w:firstLine="640" w:firstLineChars="200"/>
        <w:textAlignment w:val="auto"/>
        <w:outlineLvl w:val="2"/>
        <w:rPr>
          <w:rFonts w:hint="default" w:ascii="Times New Roman" w:hAnsi="Times New Roman" w:eastAsia="仿宋_GB2312" w:cs="Times New Roman"/>
          <w:b w:val="0"/>
          <w:bCs/>
          <w:color w:val="FF0000"/>
          <w:sz w:val="32"/>
          <w:szCs w:val="32"/>
        </w:rPr>
      </w:pPr>
      <w:bookmarkStart w:id="88" w:name="_Toc15377213"/>
      <w:bookmarkStart w:id="89" w:name="_Toc148448190"/>
      <w:bookmarkStart w:id="90" w:name="_Toc148448421"/>
      <w:bookmarkStart w:id="91" w:name="_Toc15378460"/>
      <w:bookmarkStart w:id="92" w:name="_Toc15377444"/>
      <w:bookmarkStart w:id="93" w:name="_Toc21702"/>
      <w:r>
        <w:rPr>
          <w:rFonts w:hint="default" w:ascii="Times New Roman" w:hAnsi="Times New Roman" w:eastAsia="仿宋_GB2312" w:cs="Times New Roman"/>
          <w:b w:val="0"/>
          <w:bCs/>
          <w:color w:val="000000" w:themeColor="text1"/>
          <w:sz w:val="32"/>
          <w:szCs w:val="32"/>
        </w:rPr>
        <w:t>2022年一般公共预算支出决算数为1713.15万元，</w:t>
      </w:r>
      <w:r>
        <w:rPr>
          <w:rStyle w:val="21"/>
          <w:rFonts w:hint="default" w:ascii="Times New Roman" w:hAnsi="Times New Roman" w:eastAsia="仿宋_GB2312" w:cs="Times New Roman"/>
          <w:b w:val="0"/>
          <w:bCs/>
          <w:color w:val="000000" w:themeColor="text1"/>
          <w:sz w:val="32"/>
          <w:szCs w:val="32"/>
        </w:rPr>
        <w:t>完成</w:t>
      </w:r>
      <w:r>
        <w:rPr>
          <w:rStyle w:val="21"/>
          <w:rFonts w:hint="default" w:ascii="Times New Roman" w:hAnsi="Times New Roman" w:eastAsia="仿宋_GB2312" w:cs="Times New Roman"/>
          <w:b w:val="0"/>
          <w:bCs/>
          <w:color w:val="000000"/>
          <w:sz w:val="32"/>
          <w:szCs w:val="32"/>
        </w:rPr>
        <w:t>预算的100%。其中：</w:t>
      </w:r>
      <w:bookmarkEnd w:id="88"/>
      <w:bookmarkEnd w:id="89"/>
      <w:bookmarkEnd w:id="90"/>
      <w:bookmarkEnd w:id="91"/>
      <w:bookmarkEnd w:id="92"/>
      <w:bookmarkEnd w:id="93"/>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bookmarkStart w:id="94" w:name="_Toc15377214"/>
      <w:bookmarkStart w:id="95" w:name="_Toc15396608"/>
      <w:r>
        <w:rPr>
          <w:rStyle w:val="21"/>
          <w:rFonts w:hint="default" w:ascii="Times New Roman" w:hAnsi="Times New Roman" w:eastAsia="仿宋_GB2312" w:cs="Times New Roman"/>
          <w:b w:val="0"/>
          <w:bCs/>
          <w:color w:val="000000"/>
          <w:sz w:val="32"/>
          <w:szCs w:val="32"/>
        </w:rPr>
        <w:t>1．社会保障和就业支出（类）行政事业单位养老支出（款）机关事业单位基本养老保险缴费支出（项）：支出决算为91.73万元，完成预算100%。</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2．社会保障和就业支出（类）行政事业单位养老支出（款）机关事业单位职业年金缴费支出（项）：支出决算为14.81万元，完成预算100%。</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3．社会保障和就业支出（类）行政事业单位养老（款）其他行政事业单位养老支出（项）：支出决算为15.73万元，完成预算100%。</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4</w:t>
      </w:r>
      <w:r>
        <w:rPr>
          <w:rStyle w:val="21"/>
          <w:rFonts w:hint="default" w:ascii="Times New Roman" w:hAnsi="Times New Roman" w:eastAsia="仿宋_GB2312" w:cs="Times New Roman"/>
          <w:b w:val="0"/>
          <w:bCs/>
          <w:color w:val="000000"/>
          <w:sz w:val="32"/>
          <w:szCs w:val="32"/>
          <w:lang w:val="en-US" w:eastAsia="zh-CN"/>
        </w:rPr>
        <w:t>．</w:t>
      </w:r>
      <w:r>
        <w:rPr>
          <w:rStyle w:val="21"/>
          <w:rFonts w:hint="default" w:ascii="Times New Roman" w:hAnsi="Times New Roman" w:eastAsia="仿宋_GB2312" w:cs="Times New Roman"/>
          <w:b w:val="0"/>
          <w:bCs/>
          <w:color w:val="000000"/>
          <w:sz w:val="32"/>
          <w:szCs w:val="32"/>
        </w:rPr>
        <w:t>卫生健康支出（类）行政事业单位医疗（款）事业单位医疗（项）：支出决算为36.02万元，完成预算100%。</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5</w:t>
      </w:r>
      <w:r>
        <w:rPr>
          <w:rStyle w:val="21"/>
          <w:rFonts w:hint="default" w:ascii="Times New Roman" w:hAnsi="Times New Roman" w:eastAsia="仿宋_GB2312" w:cs="Times New Roman"/>
          <w:b w:val="0"/>
          <w:bCs/>
          <w:color w:val="000000"/>
          <w:sz w:val="32"/>
          <w:szCs w:val="32"/>
          <w:lang w:val="en-US" w:eastAsia="zh-CN"/>
        </w:rPr>
        <w:t>．</w:t>
      </w:r>
      <w:r>
        <w:rPr>
          <w:rStyle w:val="21"/>
          <w:rFonts w:hint="default" w:ascii="Times New Roman" w:hAnsi="Times New Roman" w:eastAsia="仿宋_GB2312" w:cs="Times New Roman"/>
          <w:b w:val="0"/>
          <w:bCs/>
          <w:color w:val="000000"/>
          <w:sz w:val="32"/>
          <w:szCs w:val="32"/>
        </w:rPr>
        <w:t>卫生健康支出（类）行政事业单位医疗（款）公务员医疗补助（项）：18.41万元，完成预算100%。</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6</w:t>
      </w:r>
      <w:r>
        <w:rPr>
          <w:rStyle w:val="21"/>
          <w:rFonts w:hint="default" w:ascii="Times New Roman" w:hAnsi="Times New Roman" w:eastAsia="仿宋_GB2312" w:cs="Times New Roman"/>
          <w:b w:val="0"/>
          <w:bCs/>
          <w:color w:val="000000"/>
          <w:sz w:val="32"/>
          <w:szCs w:val="32"/>
          <w:lang w:val="en-US" w:eastAsia="zh-CN"/>
        </w:rPr>
        <w:t>．</w:t>
      </w:r>
      <w:r>
        <w:rPr>
          <w:rStyle w:val="21"/>
          <w:rFonts w:hint="default" w:ascii="Times New Roman" w:hAnsi="Times New Roman" w:eastAsia="仿宋_GB2312" w:cs="Times New Roman"/>
          <w:b w:val="0"/>
          <w:bCs/>
          <w:color w:val="000000"/>
          <w:sz w:val="32"/>
          <w:szCs w:val="32"/>
        </w:rPr>
        <w:t>交通运输支出（类）公路水路运输（款）公路建设（项）：支出决算为5.70万元，完成预算100%。</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7</w:t>
      </w:r>
      <w:r>
        <w:rPr>
          <w:rStyle w:val="21"/>
          <w:rFonts w:hint="default" w:ascii="Times New Roman" w:hAnsi="Times New Roman" w:eastAsia="仿宋_GB2312" w:cs="Times New Roman"/>
          <w:b w:val="0"/>
          <w:bCs/>
          <w:color w:val="000000"/>
          <w:sz w:val="32"/>
          <w:szCs w:val="32"/>
          <w:lang w:val="en-US" w:eastAsia="zh-CN"/>
        </w:rPr>
        <w:t>．</w:t>
      </w:r>
      <w:r>
        <w:rPr>
          <w:rStyle w:val="21"/>
          <w:rFonts w:hint="default" w:ascii="Times New Roman" w:hAnsi="Times New Roman" w:eastAsia="仿宋_GB2312" w:cs="Times New Roman"/>
          <w:b w:val="0"/>
          <w:bCs/>
          <w:color w:val="000000"/>
          <w:sz w:val="32"/>
          <w:szCs w:val="32"/>
        </w:rPr>
        <w:t>交通运输支出（类）公路水路运输（款）公路养护（项）：支出决算为243.64万元，完成预算100%。</w:t>
      </w:r>
    </w:p>
    <w:p>
      <w:pPr>
        <w:pageBreakBefore w:val="0"/>
        <w:widowControl/>
        <w:shd w:val="clear" w:color="auto" w:fill="FFFFFF"/>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8</w:t>
      </w:r>
      <w:r>
        <w:rPr>
          <w:rStyle w:val="21"/>
          <w:rFonts w:hint="default" w:ascii="Times New Roman" w:hAnsi="Times New Roman" w:eastAsia="仿宋_GB2312" w:cs="Times New Roman"/>
          <w:b w:val="0"/>
          <w:bCs/>
          <w:color w:val="000000"/>
          <w:sz w:val="32"/>
          <w:szCs w:val="32"/>
          <w:lang w:val="en-US" w:eastAsia="zh-CN"/>
        </w:rPr>
        <w:t>．</w:t>
      </w:r>
      <w:r>
        <w:rPr>
          <w:rStyle w:val="21"/>
          <w:rFonts w:hint="default" w:ascii="Times New Roman" w:hAnsi="Times New Roman" w:eastAsia="仿宋_GB2312" w:cs="Times New Roman"/>
          <w:b w:val="0"/>
          <w:bCs/>
          <w:color w:val="000000"/>
          <w:sz w:val="32"/>
          <w:szCs w:val="32"/>
        </w:rPr>
        <w:t>交通运输支出（类）公路水路运输（款）其他公路水路运输支出（项）：支出决算为1178.87万元，完成预算100%。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9</w:t>
      </w:r>
      <w:r>
        <w:rPr>
          <w:rStyle w:val="21"/>
          <w:rFonts w:hint="default" w:ascii="Times New Roman" w:hAnsi="Times New Roman" w:eastAsia="仿宋_GB2312" w:cs="Times New Roman"/>
          <w:b w:val="0"/>
          <w:bCs/>
          <w:color w:val="000000"/>
          <w:sz w:val="32"/>
          <w:szCs w:val="32"/>
          <w:lang w:val="en-US" w:eastAsia="zh-CN"/>
        </w:rPr>
        <w:t>．</w:t>
      </w:r>
      <w:r>
        <w:rPr>
          <w:rStyle w:val="21"/>
          <w:rFonts w:hint="default" w:ascii="Times New Roman" w:hAnsi="Times New Roman" w:eastAsia="仿宋_GB2312" w:cs="Times New Roman"/>
          <w:b w:val="0"/>
          <w:bCs/>
          <w:color w:val="000000"/>
          <w:sz w:val="32"/>
          <w:szCs w:val="32"/>
        </w:rPr>
        <w:t>住房保障支出（类）住房改革支出（款）住房公积金（项）：支出决算为108.24万元，完成预算100%。</w:t>
      </w:r>
    </w:p>
    <w:p>
      <w:pPr>
        <w:pageBreakBefore w:val="0"/>
        <w:tabs>
          <w:tab w:val="right" w:pos="8306"/>
        </w:tabs>
        <w:kinsoku/>
        <w:wordWrap/>
        <w:overflowPunct/>
        <w:topLinePunct w:val="0"/>
        <w:bidi w:val="0"/>
        <w:spacing w:line="560" w:lineRule="exact"/>
        <w:ind w:firstLine="643" w:firstLineChars="200"/>
        <w:textAlignment w:val="auto"/>
        <w:outlineLvl w:val="1"/>
        <w:rPr>
          <w:rStyle w:val="32"/>
          <w:rFonts w:hint="default" w:ascii="Times New Roman" w:hAnsi="Times New Roman" w:cs="Times New Roman"/>
          <w:b/>
          <w:bCs/>
        </w:rPr>
      </w:pPr>
      <w:bookmarkStart w:id="96" w:name="_Toc148448191"/>
      <w:bookmarkStart w:id="97" w:name="_Toc148448422"/>
      <w:bookmarkStart w:id="98" w:name="_Toc21318"/>
      <w:r>
        <w:rPr>
          <w:rFonts w:hint="default" w:ascii="Times New Roman" w:hAnsi="Times New Roman" w:eastAsia="黑体" w:cs="Times New Roman"/>
          <w:b/>
          <w:bCs/>
          <w:sz w:val="32"/>
          <w:szCs w:val="32"/>
        </w:rPr>
        <w:t>六、</w:t>
      </w:r>
      <w:r>
        <w:rPr>
          <w:rFonts w:hint="default" w:ascii="Times New Roman" w:hAnsi="Times New Roman" w:eastAsia="黑体" w:cs="Times New Roman"/>
          <w:b/>
          <w:bCs/>
          <w:sz w:val="32"/>
          <w:szCs w:val="32"/>
        </w:rPr>
        <w:t>一</w:t>
      </w:r>
      <w:r>
        <w:rPr>
          <w:rStyle w:val="32"/>
          <w:rFonts w:hint="default" w:ascii="Times New Roman" w:hAnsi="Times New Roman" w:eastAsia="黑体" w:cs="Times New Roman"/>
          <w:b/>
          <w:bCs/>
        </w:rPr>
        <w:t>般公共预算财政拨款基本支出决算情况说明</w:t>
      </w:r>
      <w:bookmarkEnd w:id="94"/>
      <w:bookmarkEnd w:id="95"/>
      <w:bookmarkEnd w:id="96"/>
      <w:bookmarkEnd w:id="97"/>
      <w:bookmarkEnd w:id="98"/>
      <w:r>
        <w:rPr>
          <w:rStyle w:val="32"/>
          <w:rFonts w:hint="default" w:ascii="Times New Roman" w:hAnsi="Times New Roman" w:eastAsia="黑体" w:cs="Times New Roman"/>
          <w:b/>
          <w:bCs/>
        </w:rPr>
        <w:tab/>
      </w:r>
    </w:p>
    <w:p>
      <w:pPr>
        <w:pageBreakBefore w:val="0"/>
        <w:widowControl/>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2022年度一般公共预算财政拨款基本支出1492.15万元，其中：</w:t>
      </w:r>
    </w:p>
    <w:p>
      <w:pPr>
        <w:pageBreakBefore w:val="0"/>
        <w:widowControl/>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人员经费1387.64万元，主要包括：基本工资371.4万元、津贴补贴11.60万元、奖金32.16万元、绩效工资561万元、机关事业单位基本养老保险缴费91.73万元、职工基本医疗保缴费36.02万元、公务员医疗补助缴费18.41万元、其他社会保障缴费22.71万元、职业年金缴费14.81万元、其他工资福利支出11万元、抚恤金53.58万元、生活补助25.43万元、医疗费补助2.56万元、奖励金0.05万元、住房公积金108.24万元、其他对个人和家庭的补助支出26.94万元等。</w:t>
      </w:r>
    </w:p>
    <w:p>
      <w:pPr>
        <w:pageBreakBefore w:val="0"/>
        <w:widowControl/>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 w:cs="Times New Roman"/>
          <w:color w:val="000000"/>
          <w:sz w:val="32"/>
          <w:szCs w:val="32"/>
        </w:rPr>
      </w:pPr>
      <w:r>
        <w:rPr>
          <w:rFonts w:hint="default" w:ascii="Times New Roman" w:hAnsi="Times New Roman" w:eastAsia="仿宋_GB2312" w:cs="Times New Roman"/>
          <w:b w:val="0"/>
          <w:bCs w:val="0"/>
          <w:color w:val="000000"/>
          <w:sz w:val="32"/>
          <w:szCs w:val="32"/>
        </w:rPr>
        <w:t>公用经费104.51万元，主要包括：办公费2.96万元、咨询费2.39万元、水费0.91万元、电费1.77万元、邮电费1.19万元、物业管理费0.06万元、差旅费23.92万元、维修（护）费0.71万元、培训费0.01万元、公务接待费0.9万元、专用材料费2.06万元、专用燃料费1.4万元、委托业务费5.36万元、工会费21.75万元、福利费13.65万元、公务用车运行维护费2.04万元、其他交通费16.13万元、其他商品和服务支出3.17万元、办公设备购置4.13万元等。</w:t>
      </w:r>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99" w:name="_Toc148448192"/>
      <w:bookmarkStart w:id="100" w:name="_Toc148448423"/>
      <w:bookmarkStart w:id="101" w:name="_Toc15377215"/>
      <w:bookmarkStart w:id="102" w:name="_Toc15396609"/>
      <w:bookmarkStart w:id="103" w:name="_Toc10140"/>
      <w:r>
        <w:rPr>
          <w:rFonts w:hint="default" w:ascii="Times New Roman" w:hAnsi="Times New Roman" w:eastAsia="黑体" w:cs="Times New Roman"/>
          <w:b/>
          <w:bCs/>
          <w:color w:val="000000"/>
          <w:sz w:val="32"/>
          <w:szCs w:val="32"/>
        </w:rPr>
        <w:t>七、</w:t>
      </w:r>
      <w:r>
        <w:rPr>
          <w:rStyle w:val="32"/>
          <w:rFonts w:hint="default" w:ascii="Times New Roman" w:hAnsi="Times New Roman" w:eastAsia="黑体" w:cs="Times New Roman"/>
          <w:b/>
          <w:bCs/>
        </w:rPr>
        <w:t>财政拨款“三公”经费支出决算情况说明</w:t>
      </w:r>
      <w:bookmarkEnd w:id="99"/>
      <w:bookmarkEnd w:id="100"/>
      <w:bookmarkEnd w:id="101"/>
      <w:bookmarkEnd w:id="102"/>
      <w:bookmarkEnd w:id="103"/>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楷体" w:cs="Times New Roman"/>
          <w:b/>
          <w:bCs w:val="0"/>
          <w:color w:val="000000"/>
          <w:sz w:val="32"/>
          <w:szCs w:val="32"/>
        </w:rPr>
      </w:pPr>
      <w:bookmarkStart w:id="104" w:name="_Toc148448193"/>
      <w:bookmarkStart w:id="105" w:name="_Toc15377216"/>
      <w:bookmarkStart w:id="106" w:name="_Toc2187"/>
      <w:r>
        <w:rPr>
          <w:rFonts w:hint="default" w:ascii="Times New Roman" w:hAnsi="Times New Roman" w:eastAsia="楷体" w:cs="Times New Roman"/>
          <w:b/>
          <w:bCs w:val="0"/>
          <w:color w:val="000000"/>
          <w:sz w:val="32"/>
          <w:szCs w:val="32"/>
        </w:rPr>
        <w:t>（一）“三公”经费财政拨款支出决算总体情况说明</w:t>
      </w:r>
      <w:bookmarkEnd w:id="104"/>
      <w:bookmarkEnd w:id="105"/>
      <w:bookmarkEnd w:id="106"/>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三公”经费财政拨款支出决算为0.9万元，完成预算90%，较上年减少0.39万元，下降30.4%，决算数小于预算数的主要原因是严格按照《沐川县贯彻〈党政机关厉行节约反对浪费条例〉实施细则》（沐委办发〔2014〕10号）精神要求，厉行节约，反对浪费。</w:t>
      </w:r>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楷体" w:cs="Times New Roman"/>
          <w:b/>
          <w:bCs w:val="0"/>
          <w:color w:val="000000"/>
          <w:sz w:val="32"/>
          <w:szCs w:val="32"/>
        </w:rPr>
      </w:pPr>
      <w:bookmarkStart w:id="107" w:name="_Toc15377217"/>
      <w:bookmarkStart w:id="108" w:name="_Toc148448194"/>
      <w:bookmarkStart w:id="109" w:name="_Toc9113"/>
      <w:r>
        <w:rPr>
          <w:rFonts w:hint="default" w:ascii="Times New Roman" w:hAnsi="Times New Roman" w:eastAsia="楷体" w:cs="Times New Roman"/>
          <w:b/>
          <w:bCs w:val="0"/>
          <w:color w:val="000000"/>
          <w:sz w:val="32"/>
          <w:szCs w:val="32"/>
        </w:rPr>
        <w:t>（二）“三公”经费财政拨款支出决算具体情况说明</w:t>
      </w:r>
      <w:bookmarkEnd w:id="107"/>
      <w:bookmarkEnd w:id="108"/>
      <w:bookmarkEnd w:id="109"/>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2022年“三公”经费财政拨款支出决算中，</w:t>
      </w:r>
      <w:r>
        <w:rPr>
          <w:rFonts w:hint="default" w:ascii="Times New Roman" w:hAnsi="Times New Roman" w:eastAsia="仿宋_GB2312" w:cs="Times New Roman"/>
          <w:sz w:val="32"/>
          <w:szCs w:val="32"/>
        </w:rPr>
        <w:t>因公出国（境）费支出决算为0万元，占0%；公</w:t>
      </w:r>
      <w:r>
        <w:rPr>
          <w:rFonts w:hint="default" w:ascii="Times New Roman" w:hAnsi="Times New Roman" w:eastAsia="仿宋_GB2312" w:cs="Times New Roman"/>
          <w:color w:val="000000"/>
          <w:sz w:val="32"/>
          <w:szCs w:val="32"/>
        </w:rPr>
        <w:t>务用车购置及运行维护费支出决算数为2.04万元，占68%；公务接待费支出决算数为0.9万元，占90%。具体情况如下：</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_GB2312" w:cs="Times New Roman"/>
          <w:color w:val="000000"/>
          <w:sz w:val="32"/>
          <w:szCs w:val="32"/>
        </w:rPr>
        <w:t>（图7：“三公”经费财政拨款支出结构）（饼状图）</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drawing>
          <wp:anchor distT="0" distB="0" distL="114300" distR="114300" simplePos="0" relativeHeight="251666432" behindDoc="1" locked="0" layoutInCell="1" allowOverlap="1">
            <wp:simplePos x="0" y="0"/>
            <wp:positionH relativeFrom="column">
              <wp:posOffset>664845</wp:posOffset>
            </wp:positionH>
            <wp:positionV relativeFrom="paragraph">
              <wp:posOffset>120015</wp:posOffset>
            </wp:positionV>
            <wp:extent cx="3722370" cy="1947545"/>
            <wp:effectExtent l="19050" t="0" r="11430" b="0"/>
            <wp:wrapTight wrapText="bothSides">
              <wp:wrapPolygon>
                <wp:start x="-111" y="0"/>
                <wp:lineTo x="-111" y="21551"/>
                <wp:lineTo x="21666" y="21551"/>
                <wp:lineTo x="21666" y="0"/>
                <wp:lineTo x="-111" y="0"/>
              </wp:wrapPolygon>
            </wp:wrapTight>
            <wp:docPr id="1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60" w:lineRule="exact"/>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sz w:val="32"/>
          <w:szCs w:val="32"/>
        </w:rPr>
        <w:t>因公出国（境）经费支出0万元，完成预算0%。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sz w:val="32"/>
          <w:szCs w:val="32"/>
        </w:rPr>
        <w:t>2</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sz w:val="32"/>
          <w:szCs w:val="32"/>
        </w:rPr>
        <w:t>公务用车购置及运行维护费支出2.04万元,</w:t>
      </w:r>
      <w:r>
        <w:rPr>
          <w:rStyle w:val="21"/>
          <w:rFonts w:hint="default" w:ascii="Times New Roman" w:hAnsi="Times New Roman" w:eastAsia="仿宋_GB2312" w:cs="Times New Roman"/>
          <w:b w:val="0"/>
          <w:bCs/>
          <w:sz w:val="32"/>
          <w:szCs w:val="32"/>
        </w:rPr>
        <w:t>完成预算68%。公务用车购置及运行维护费支出决算比2021年减少0.38万元，下降15.69%，主要原因是</w:t>
      </w:r>
      <w:r>
        <w:rPr>
          <w:rFonts w:hint="default" w:ascii="Times New Roman" w:hAnsi="Times New Roman" w:eastAsia="仿宋_GB2312" w:cs="Times New Roman"/>
          <w:b w:val="0"/>
          <w:bCs/>
          <w:color w:val="000000"/>
          <w:sz w:val="32"/>
          <w:szCs w:val="32"/>
        </w:rPr>
        <w:t>是严格按照《沐川县贯彻〈党政机关厉行节约反对浪费条例〉实施细则》（沐委办发〔2014〕10号）精神要求，厉行节约，反对浪费。</w:t>
      </w:r>
    </w:p>
    <w:p>
      <w:pPr>
        <w:pageBreakBefore w:val="0"/>
        <w:kinsoku/>
        <w:wordWrap/>
        <w:overflowPunct/>
        <w:topLinePunct w:val="0"/>
        <w:bidi w:val="0"/>
        <w:spacing w:line="560" w:lineRule="exact"/>
        <w:ind w:firstLine="640" w:firstLineChars="200"/>
        <w:textAlignment w:val="auto"/>
        <w:rPr>
          <w:rStyle w:val="21"/>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其中</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公务用车购置</w:t>
      </w:r>
      <w:r>
        <w:rPr>
          <w:rFonts w:hint="default" w:ascii="Times New Roman" w:hAnsi="Times New Roman" w:eastAsia="仿宋_GB2312" w:cs="Times New Roman"/>
          <w:b w:val="0"/>
          <w:bCs/>
          <w:sz w:val="32"/>
          <w:szCs w:val="32"/>
          <w:lang w:val="en-US" w:eastAsia="zh-CN"/>
        </w:rPr>
        <w:t>费</w:t>
      </w:r>
      <w:r>
        <w:rPr>
          <w:rFonts w:hint="default" w:ascii="Times New Roman" w:hAnsi="Times New Roman" w:eastAsia="仿宋_GB2312" w:cs="Times New Roman"/>
          <w:b w:val="0"/>
          <w:bCs/>
          <w:sz w:val="32"/>
          <w:szCs w:val="32"/>
        </w:rPr>
        <w:t>支出0万元。截至2022年12月31日，公路建设服务中心共有车辆4辆，其中：公务用车1辆、其他用车3辆。</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color w:val="000000"/>
          <w:sz w:val="32"/>
          <w:szCs w:val="32"/>
        </w:rPr>
      </w:pPr>
      <w:r>
        <w:rPr>
          <w:rStyle w:val="21"/>
          <w:rFonts w:hint="default" w:ascii="Times New Roman" w:hAnsi="Times New Roman" w:eastAsia="仿宋_GB2312" w:cs="Times New Roman"/>
          <w:b w:val="0"/>
          <w:bCs/>
          <w:color w:val="000000"/>
          <w:sz w:val="32"/>
          <w:szCs w:val="32"/>
        </w:rPr>
        <w:t>公务用车运行维护费支出2.04万元，主要用于</w:t>
      </w:r>
      <w:r>
        <w:rPr>
          <w:rFonts w:hint="default" w:ascii="Times New Roman" w:hAnsi="Times New Roman" w:eastAsia="仿宋_GB2312" w:cs="Times New Roman"/>
          <w:b w:val="0"/>
          <w:bCs/>
          <w:color w:val="000000"/>
          <w:sz w:val="32"/>
          <w:szCs w:val="32"/>
        </w:rPr>
        <w:t>公路抢险、保洁、因公出行、五指山隧道管理所公务用车燃料费、维修费、过路过桥费、保险费等支出。</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lang w:val="zh-CN"/>
        </w:rPr>
      </w:pPr>
      <w:r>
        <w:rPr>
          <w:rFonts w:hint="default" w:ascii="Times New Roman" w:hAnsi="Times New Roman" w:eastAsia="仿宋_GB2312" w:cs="Times New Roman"/>
          <w:b w:val="0"/>
          <w:bCs/>
          <w:color w:val="000000"/>
          <w:sz w:val="32"/>
          <w:szCs w:val="32"/>
          <w:lang w:val="en-US" w:eastAsia="zh-CN"/>
        </w:rPr>
        <w:t>3</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color w:val="000000"/>
          <w:sz w:val="32"/>
          <w:szCs w:val="32"/>
        </w:rPr>
        <w:t>公务接待费支出0.9万元，</w:t>
      </w:r>
      <w:r>
        <w:rPr>
          <w:rStyle w:val="21"/>
          <w:rFonts w:hint="default" w:ascii="Times New Roman" w:hAnsi="Times New Roman" w:eastAsia="仿宋_GB2312" w:cs="Times New Roman"/>
          <w:b w:val="0"/>
          <w:bCs/>
          <w:color w:val="000000"/>
          <w:sz w:val="32"/>
          <w:szCs w:val="32"/>
        </w:rPr>
        <w:t>完成预算90%，</w:t>
      </w:r>
      <w:r>
        <w:rPr>
          <w:rFonts w:hint="default" w:ascii="Times New Roman" w:hAnsi="Times New Roman" w:eastAsia="仿宋_GB2312" w:cs="Times New Roman"/>
          <w:b w:val="0"/>
          <w:bCs/>
          <w:color w:val="000000"/>
          <w:sz w:val="32"/>
          <w:szCs w:val="32"/>
          <w:lang w:val="zh-CN"/>
        </w:rPr>
        <w:t>公务接待费支出决算比2021年减少0.39万元，下降30.2</w:t>
      </w:r>
      <w:r>
        <w:rPr>
          <w:rFonts w:hint="default" w:ascii="Times New Roman" w:hAnsi="Times New Roman" w:eastAsia="仿宋_GB2312" w:cs="Times New Roman"/>
          <w:b w:val="0"/>
          <w:bCs/>
          <w:color w:val="000000"/>
          <w:sz w:val="32"/>
          <w:szCs w:val="32"/>
          <w:lang w:val="en-US" w:eastAsia="zh-CN"/>
        </w:rPr>
        <w:t>3</w:t>
      </w:r>
      <w:r>
        <w:rPr>
          <w:rFonts w:hint="default" w:ascii="Times New Roman" w:hAnsi="Times New Roman" w:eastAsia="仿宋_GB2312" w:cs="Times New Roman"/>
          <w:b w:val="0"/>
          <w:bCs/>
          <w:color w:val="000000"/>
          <w:sz w:val="32"/>
          <w:szCs w:val="32"/>
          <w:lang w:val="zh-CN"/>
        </w:rPr>
        <w:t>%。主要原因是</w:t>
      </w:r>
      <w:r>
        <w:rPr>
          <w:rFonts w:hint="default" w:ascii="Times New Roman" w:hAnsi="Times New Roman" w:eastAsia="仿宋_GB2312" w:cs="Times New Roman"/>
          <w:b w:val="0"/>
          <w:bCs/>
          <w:color w:val="000000"/>
          <w:sz w:val="32"/>
          <w:szCs w:val="32"/>
        </w:rPr>
        <w:t>严格按照《沐川县贯彻〈党政机关厉行节约反对浪费条例〉实施细则》（沐委办发〔2014〕10号）精神要求，厉行节约，反对浪费。</w:t>
      </w:r>
      <w:r>
        <w:rPr>
          <w:rFonts w:hint="default" w:ascii="Times New Roman" w:hAnsi="Times New Roman" w:eastAsia="仿宋_GB2312" w:cs="Times New Roman"/>
          <w:b w:val="0"/>
          <w:bCs/>
          <w:color w:val="000000"/>
          <w:sz w:val="32"/>
          <w:szCs w:val="32"/>
          <w:lang w:val="zh-CN"/>
        </w:rPr>
        <w:t>其中：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color w:val="000000"/>
          <w:sz w:val="32"/>
          <w:szCs w:val="32"/>
        </w:rPr>
        <w:t>国内公务接待支出0.9万元，主要用于开展业务活动开支的用餐费等。国内公务接待6批次，74人次（不包括陪同人员），共计支出0.9万元，</w:t>
      </w:r>
      <w:r>
        <w:rPr>
          <w:rFonts w:hint="default" w:ascii="Times New Roman" w:hAnsi="Times New Roman" w:eastAsia="仿宋_GB2312" w:cs="Times New Roman"/>
          <w:b w:val="0"/>
          <w:bCs/>
          <w:sz w:val="32"/>
          <w:szCs w:val="32"/>
        </w:rPr>
        <w:t>具体内容</w:t>
      </w:r>
      <w:r>
        <w:rPr>
          <w:rFonts w:hint="default" w:ascii="Times New Roman" w:hAnsi="Times New Roman" w:eastAsia="仿宋_GB2312" w:cs="Times New Roman"/>
          <w:b w:val="0"/>
          <w:bCs/>
          <w:kern w:val="0"/>
          <w:sz w:val="32"/>
          <w:szCs w:val="32"/>
        </w:rPr>
        <w:t>主要包括省、市、区（县）交通检查、考核、调研。</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外事接待支出0万元。外事接待0批次，0人（不包括陪同人员），共计支出0万元</w:t>
      </w:r>
      <w:r>
        <w:rPr>
          <w:rFonts w:hint="default" w:ascii="Times New Roman" w:hAnsi="Times New Roman" w:eastAsia="仿宋_GB2312" w:cs="Times New Roman"/>
          <w:b w:val="0"/>
          <w:bCs/>
          <w:color w:val="000000"/>
          <w:sz w:val="32"/>
          <w:szCs w:val="32"/>
        </w:rPr>
        <w:t>。</w:t>
      </w:r>
      <w:bookmarkStart w:id="110" w:name="_Toc15396610"/>
      <w:bookmarkStart w:id="111" w:name="_Toc15377218"/>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112" w:name="_Toc148448424"/>
      <w:bookmarkStart w:id="113" w:name="_Toc148448195"/>
      <w:bookmarkStart w:id="114" w:name="_Toc20945"/>
      <w:r>
        <w:rPr>
          <w:rFonts w:hint="default" w:ascii="Times New Roman" w:hAnsi="Times New Roman" w:eastAsia="黑体" w:cs="Times New Roman"/>
          <w:b/>
          <w:bCs/>
          <w:color w:val="000000"/>
          <w:sz w:val="32"/>
          <w:szCs w:val="32"/>
        </w:rPr>
        <w:t>八、</w:t>
      </w:r>
      <w:r>
        <w:rPr>
          <w:rStyle w:val="32"/>
          <w:rFonts w:hint="default" w:ascii="Times New Roman" w:hAnsi="Times New Roman" w:eastAsia="黑体" w:cs="Times New Roman"/>
          <w:b/>
          <w:bCs/>
        </w:rPr>
        <w:t>政府性基金预算支出决算情况说明</w:t>
      </w:r>
      <w:bookmarkEnd w:id="110"/>
      <w:bookmarkEnd w:id="111"/>
      <w:bookmarkEnd w:id="112"/>
      <w:bookmarkEnd w:id="113"/>
      <w:bookmarkEnd w:id="114"/>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2022年政府性基金预算财政拨款支出0万元。</w:t>
      </w:r>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115" w:name="_Toc15396611"/>
      <w:bookmarkStart w:id="116" w:name="_Toc15377219"/>
      <w:bookmarkStart w:id="117" w:name="_Toc148448425"/>
      <w:bookmarkStart w:id="118" w:name="_Toc148448196"/>
      <w:bookmarkStart w:id="119" w:name="_Toc24111"/>
      <w:r>
        <w:rPr>
          <w:rStyle w:val="32"/>
          <w:rFonts w:hint="default" w:ascii="Times New Roman" w:hAnsi="Times New Roman" w:eastAsia="黑体" w:cs="Times New Roman"/>
          <w:b/>
          <w:bCs/>
        </w:rPr>
        <w:t>九、国有资本经营预算支出决算情况说明</w:t>
      </w:r>
      <w:bookmarkEnd w:id="115"/>
      <w:bookmarkEnd w:id="116"/>
      <w:bookmarkEnd w:id="117"/>
      <w:bookmarkEnd w:id="118"/>
      <w:bookmarkEnd w:id="119"/>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bookmarkStart w:id="120" w:name="_Toc15396612"/>
      <w:bookmarkStart w:id="121" w:name="_Toc15377221"/>
      <w:r>
        <w:rPr>
          <w:rFonts w:hint="default" w:ascii="Times New Roman" w:hAnsi="Times New Roman" w:eastAsia="仿宋_GB2312" w:cs="Times New Roman"/>
          <w:color w:val="000000"/>
          <w:sz w:val="32"/>
          <w:szCs w:val="32"/>
        </w:rPr>
        <w:t>2022年</w:t>
      </w:r>
      <w:r>
        <w:rPr>
          <w:rFonts w:hint="default" w:ascii="Times New Roman" w:hAnsi="Times New Roman" w:eastAsia="仿宋_GB2312" w:cs="Times New Roman"/>
          <w:bCs/>
          <w:color w:val="000000"/>
          <w:sz w:val="32"/>
          <w:szCs w:val="32"/>
        </w:rPr>
        <w:t>国有资本经营</w:t>
      </w:r>
      <w:r>
        <w:rPr>
          <w:rFonts w:hint="default" w:ascii="Times New Roman" w:hAnsi="Times New Roman" w:eastAsia="仿宋_GB2312" w:cs="Times New Roman"/>
          <w:color w:val="000000"/>
          <w:sz w:val="32"/>
          <w:szCs w:val="32"/>
        </w:rPr>
        <w:t>预算财政拨款支出0万元。</w:t>
      </w:r>
    </w:p>
    <w:p>
      <w:pPr>
        <w:pageBreakBefore w:val="0"/>
        <w:kinsoku/>
        <w:wordWrap/>
        <w:overflowPunct/>
        <w:topLinePunct w:val="0"/>
        <w:bidi w:val="0"/>
        <w:spacing w:line="560" w:lineRule="exact"/>
        <w:ind w:firstLine="643" w:firstLineChars="200"/>
        <w:textAlignment w:val="auto"/>
        <w:outlineLvl w:val="1"/>
        <w:rPr>
          <w:rStyle w:val="32"/>
          <w:rFonts w:hint="default" w:ascii="Times New Roman" w:hAnsi="Times New Roman" w:eastAsia="黑体" w:cs="Times New Roman"/>
          <w:b/>
          <w:bCs/>
        </w:rPr>
      </w:pPr>
      <w:bookmarkStart w:id="122" w:name="_Toc148448197"/>
      <w:bookmarkStart w:id="123" w:name="_Toc148448426"/>
      <w:bookmarkStart w:id="124" w:name="_Toc29814"/>
      <w:r>
        <w:rPr>
          <w:rFonts w:hint="default" w:ascii="Times New Roman" w:hAnsi="Times New Roman" w:eastAsia="黑体" w:cs="Times New Roman"/>
          <w:b/>
          <w:bCs/>
          <w:color w:val="000000"/>
          <w:sz w:val="32"/>
          <w:szCs w:val="32"/>
        </w:rPr>
        <w:t>十</w:t>
      </w:r>
      <w:r>
        <w:rPr>
          <w:rStyle w:val="32"/>
          <w:rFonts w:hint="default" w:ascii="Times New Roman" w:hAnsi="Times New Roman" w:eastAsia="黑体" w:cs="Times New Roman"/>
          <w:b/>
          <w:bCs/>
        </w:rPr>
        <w:t>、其他重要事项的情况说明</w:t>
      </w:r>
      <w:bookmarkEnd w:id="120"/>
      <w:bookmarkEnd w:id="121"/>
      <w:bookmarkEnd w:id="122"/>
      <w:bookmarkEnd w:id="123"/>
      <w:bookmarkEnd w:id="124"/>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楷体" w:cs="Times New Roman"/>
          <w:b/>
          <w:color w:val="000000"/>
          <w:sz w:val="32"/>
          <w:szCs w:val="32"/>
        </w:rPr>
      </w:pPr>
      <w:bookmarkStart w:id="125" w:name="_Toc15377222"/>
      <w:bookmarkStart w:id="126" w:name="_Toc148448198"/>
      <w:bookmarkStart w:id="127" w:name="_Toc15921"/>
      <w:r>
        <w:rPr>
          <w:rFonts w:hint="default" w:ascii="Times New Roman" w:hAnsi="Times New Roman" w:eastAsia="楷体" w:cs="Times New Roman"/>
          <w:b/>
          <w:color w:val="000000"/>
          <w:sz w:val="32"/>
          <w:szCs w:val="32"/>
        </w:rPr>
        <w:t>（一）机关运行经费支出情况</w:t>
      </w:r>
      <w:bookmarkEnd w:id="125"/>
      <w:bookmarkEnd w:id="126"/>
      <w:bookmarkEnd w:id="127"/>
    </w:p>
    <w:p>
      <w:pPr>
        <w:pageBreakBefore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b/>
          <w:color w:val="FF0000"/>
          <w:sz w:val="32"/>
          <w:szCs w:val="32"/>
        </w:rPr>
      </w:pPr>
      <w:r>
        <w:rPr>
          <w:rFonts w:hint="default" w:ascii="Times New Roman" w:hAnsi="Times New Roman" w:eastAsia="仿宋_GB2312" w:cs="Times New Roman"/>
          <w:color w:val="000000"/>
          <w:sz w:val="32"/>
          <w:szCs w:val="32"/>
        </w:rPr>
        <w:t>2022年，公路建设服务中心机关运行经费支出0万元。</w:t>
      </w:r>
    </w:p>
    <w:p>
      <w:pPr>
        <w:pageBreakBefore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 w:cs="Times New Roman"/>
          <w:b/>
          <w:color w:val="000000"/>
          <w:sz w:val="32"/>
          <w:szCs w:val="32"/>
        </w:rPr>
      </w:pPr>
      <w:bookmarkStart w:id="128" w:name="_Toc148448199"/>
      <w:bookmarkStart w:id="129" w:name="_Toc15377223"/>
      <w:bookmarkStart w:id="130" w:name="_Toc16191"/>
      <w:r>
        <w:rPr>
          <w:rFonts w:hint="default" w:ascii="Times New Roman" w:hAnsi="Times New Roman" w:eastAsia="楷体" w:cs="Times New Roman"/>
          <w:b/>
          <w:color w:val="000000"/>
          <w:sz w:val="32"/>
          <w:szCs w:val="32"/>
        </w:rPr>
        <w:t>（二）政府采购支出情况</w:t>
      </w:r>
      <w:bookmarkEnd w:id="128"/>
      <w:bookmarkEnd w:id="129"/>
      <w:bookmarkEnd w:id="130"/>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color w:val="FF0000"/>
          <w:sz w:val="32"/>
          <w:szCs w:val="32"/>
        </w:rPr>
      </w:pPr>
      <w:r>
        <w:rPr>
          <w:rFonts w:hint="default" w:ascii="Times New Roman" w:hAnsi="Times New Roman" w:eastAsia="仿宋_GB2312" w:cs="Times New Roman"/>
          <w:color w:val="000000"/>
          <w:sz w:val="32"/>
          <w:szCs w:val="32"/>
        </w:rPr>
        <w:t>2022年，</w:t>
      </w:r>
      <w:r>
        <w:rPr>
          <w:rFonts w:hint="default" w:ascii="Times New Roman" w:hAnsi="Times New Roman" w:eastAsia="仿宋_GB2312" w:cs="Times New Roman"/>
          <w:sz w:val="32"/>
          <w:szCs w:val="32"/>
        </w:rPr>
        <w:t>公路建设服务中心</w:t>
      </w:r>
      <w:bookmarkStart w:id="131" w:name="_Toc15377224"/>
      <w:r>
        <w:rPr>
          <w:rFonts w:hint="default" w:ascii="Times New Roman" w:hAnsi="Times New Roman" w:eastAsia="仿宋_GB2312" w:cs="Times New Roman"/>
          <w:sz w:val="32"/>
          <w:szCs w:val="32"/>
        </w:rPr>
        <w:t>政府采</w:t>
      </w:r>
      <w:r>
        <w:rPr>
          <w:rFonts w:hint="default" w:ascii="Times New Roman" w:hAnsi="Times New Roman" w:eastAsia="仿宋_GB2312" w:cs="Times New Roman"/>
          <w:color w:val="000000"/>
          <w:sz w:val="32"/>
          <w:szCs w:val="32"/>
        </w:rPr>
        <w:t>购支出总额1.39万元，其中：政府采购货物支出1.39万元、政府采购工程支出0万元、政府采购服务支出0万元。主要用于机关办公电脑、打印机购置。授予中小企业合同金额0万元，占政府采购支出总额的0%，其中：授予小微企业合同金额1.39万元，占政府采购支出总额的100%。</w:t>
      </w:r>
    </w:p>
    <w:p>
      <w:pPr>
        <w:pageBreakBefore w:val="0"/>
        <w:kinsoku/>
        <w:wordWrap/>
        <w:overflowPunct/>
        <w:topLinePunct w:val="0"/>
        <w:bidi w:val="0"/>
        <w:spacing w:line="560" w:lineRule="exact"/>
        <w:ind w:firstLine="643" w:firstLineChars="200"/>
        <w:textAlignment w:val="auto"/>
        <w:outlineLvl w:val="2"/>
        <w:rPr>
          <w:rFonts w:hint="default" w:ascii="Times New Roman" w:hAnsi="Times New Roman" w:eastAsia="楷体" w:cs="Times New Roman"/>
          <w:b/>
          <w:color w:val="000000"/>
          <w:sz w:val="32"/>
          <w:szCs w:val="32"/>
        </w:rPr>
      </w:pPr>
      <w:bookmarkStart w:id="132" w:name="_Toc21895"/>
      <w:r>
        <w:rPr>
          <w:rFonts w:hint="default" w:ascii="Times New Roman" w:hAnsi="Times New Roman" w:eastAsia="楷体" w:cs="Times New Roman"/>
          <w:b/>
          <w:color w:val="000000"/>
          <w:sz w:val="32"/>
          <w:szCs w:val="32"/>
        </w:rPr>
        <w:t>（三）国有资产占有使用情况</w:t>
      </w:r>
      <w:bookmarkEnd w:id="131"/>
      <w:bookmarkEnd w:id="132"/>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仿宋_GB2312" w:cs="Times New Roman"/>
          <w:b/>
          <w:color w:val="FF0000"/>
          <w:sz w:val="32"/>
          <w:szCs w:val="32"/>
        </w:rPr>
      </w:pPr>
      <w:r>
        <w:rPr>
          <w:rFonts w:hint="default" w:ascii="Times New Roman" w:hAnsi="Times New Roman" w:eastAsia="仿宋_GB2312" w:cs="Times New Roman"/>
          <w:color w:val="000000"/>
          <w:sz w:val="32"/>
          <w:szCs w:val="32"/>
        </w:rPr>
        <w:t>截至2022年12月31日，公路建设服务中心共有车辆4辆，其中：主要公务用车1辆、其他用车3辆，</w:t>
      </w:r>
      <w:r>
        <w:rPr>
          <w:rFonts w:hint="default" w:ascii="Times New Roman" w:hAnsi="Times New Roman" w:eastAsia="仿宋_GB2312" w:cs="Times New Roman"/>
          <w:color w:val="000000" w:themeColor="text1"/>
          <w:sz w:val="32"/>
          <w:szCs w:val="32"/>
        </w:rPr>
        <w:t>主要是</w:t>
      </w:r>
      <w:r>
        <w:rPr>
          <w:rFonts w:hint="default" w:ascii="Times New Roman" w:hAnsi="Times New Roman" w:eastAsia="仿宋_GB2312" w:cs="Times New Roman"/>
          <w:color w:val="000000"/>
          <w:sz w:val="32"/>
          <w:szCs w:val="32"/>
        </w:rPr>
        <w:t>用于公路抢险、保洁、因公出行、五指山隧道管理等所需的公务用车。无</w:t>
      </w:r>
      <w:r>
        <w:rPr>
          <w:rFonts w:hint="default" w:ascii="Times New Roman" w:hAnsi="Times New Roman" w:eastAsia="仿宋_GB2312" w:cs="Times New Roman"/>
          <w:color w:val="000000" w:themeColor="text1"/>
          <w:sz w:val="32"/>
          <w:szCs w:val="32"/>
        </w:rPr>
        <w:t>单价50万元以上通用设备，无单价100</w:t>
      </w:r>
      <w:r>
        <w:rPr>
          <w:rFonts w:hint="default" w:ascii="Times New Roman" w:hAnsi="Times New Roman" w:eastAsia="仿宋_GB2312" w:cs="Times New Roman"/>
          <w:color w:val="000000"/>
          <w:sz w:val="32"/>
          <w:szCs w:val="32"/>
        </w:rPr>
        <w:t>万元以上专用设备。</w:t>
      </w:r>
    </w:p>
    <w:p>
      <w:pPr>
        <w:pageBreakBefore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仿宋_GB2312" w:cs="Times New Roman"/>
          <w:b/>
          <w:sz w:val="32"/>
          <w:szCs w:val="32"/>
        </w:rPr>
      </w:pPr>
      <w:bookmarkStart w:id="133" w:name="_Toc148448200"/>
      <w:bookmarkStart w:id="134" w:name="_Toc27081"/>
      <w:r>
        <w:rPr>
          <w:rFonts w:hint="default" w:ascii="Times New Roman" w:hAnsi="Times New Roman" w:eastAsia="楷体" w:cs="Times New Roman"/>
          <w:b/>
          <w:bCs w:val="0"/>
          <w:sz w:val="32"/>
          <w:szCs w:val="32"/>
        </w:rPr>
        <w:t>（四）预算绩效管理情况</w:t>
      </w:r>
      <w:bookmarkEnd w:id="133"/>
      <w:bookmarkEnd w:id="134"/>
    </w:p>
    <w:p>
      <w:pPr>
        <w:pStyle w:val="2"/>
        <w:pageBreakBefore w:val="0"/>
        <w:kinsoku/>
        <w:wordWrap/>
        <w:overflowPunct/>
        <w:topLinePunct w:val="0"/>
        <w:bidi w:val="0"/>
        <w:spacing w:before="93" w:line="560" w:lineRule="exact"/>
        <w:ind w:firstLine="640" w:firstLineChars="200"/>
        <w:textAlignment w:val="auto"/>
        <w:rPr>
          <w:rFonts w:hint="default" w:ascii="Times New Roman" w:hAnsi="Times New Roman" w:cs="Times New Roman"/>
          <w:sz w:val="32"/>
          <w:szCs w:val="32"/>
          <w:highlight w:val="yellow"/>
        </w:rPr>
      </w:pPr>
      <w:r>
        <w:rPr>
          <w:rFonts w:hint="default" w:ascii="Times New Roman" w:hAnsi="Times New Roman" w:cs="Times New Roman"/>
          <w:sz w:val="32"/>
          <w:szCs w:val="32"/>
        </w:rPr>
        <w:t>根据预算绩效管理要求，本单位在2022年度预算编制阶段，组织对县国省县乡道招标养护、快速通道管养经费2个项目开展了预算事前绩效评估，编制了绩效目标，预算执行过程中，开展绩效监控，组织对其开展绩效自评，绩效自评表详见第四部分附件。</w:t>
      </w:r>
    </w:p>
    <w:p>
      <w:pPr>
        <w:widowControl/>
        <w:ind w:firstLine="113"/>
        <w:jc w:val="lef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br w:type="page"/>
      </w:r>
    </w:p>
    <w:p>
      <w:pPr>
        <w:spacing w:line="576" w:lineRule="exact"/>
        <w:ind w:firstLine="113"/>
        <w:jc w:val="center"/>
        <w:outlineLvl w:val="0"/>
        <w:rPr>
          <w:rFonts w:hint="default" w:ascii="Times New Roman" w:hAnsi="Times New Roman" w:cs="Times New Roman"/>
          <w:b/>
          <w:color w:val="000000"/>
          <w:sz w:val="32"/>
          <w:szCs w:val="32"/>
        </w:rPr>
      </w:pPr>
      <w:bookmarkStart w:id="135" w:name="_Toc148448201"/>
      <w:bookmarkStart w:id="136" w:name="_Toc15377225"/>
      <w:bookmarkStart w:id="137" w:name="_Toc15396613"/>
      <w:bookmarkStart w:id="138" w:name="_Toc148448427"/>
      <w:bookmarkStart w:id="139" w:name="_Toc32101"/>
      <w:r>
        <w:rPr>
          <w:rFonts w:hint="default" w:ascii="Times New Roman" w:hAnsi="Times New Roman" w:eastAsia="黑体" w:cs="Times New Roman"/>
          <w:color w:val="000000"/>
          <w:sz w:val="32"/>
          <w:szCs w:val="32"/>
        </w:rPr>
        <w:t>第三部分 名</w:t>
      </w:r>
      <w:r>
        <w:rPr>
          <w:rStyle w:val="31"/>
          <w:rFonts w:hint="default" w:ascii="Times New Roman" w:hAnsi="Times New Roman" w:eastAsia="黑体" w:cs="Times New Roman"/>
          <w:b w:val="0"/>
          <w:sz w:val="32"/>
          <w:szCs w:val="32"/>
        </w:rPr>
        <w:t>词解释</w:t>
      </w:r>
      <w:bookmarkEnd w:id="135"/>
      <w:bookmarkEnd w:id="136"/>
      <w:bookmarkEnd w:id="137"/>
      <w:bookmarkEnd w:id="138"/>
      <w:bookmarkEnd w:id="139"/>
    </w:p>
    <w:p>
      <w:pPr>
        <w:pStyle w:val="29"/>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bookmarkStart w:id="140" w:name="_Toc15396614"/>
      <w:bookmarkStart w:id="141" w:name="_Toc15377226"/>
      <w:r>
        <w:rPr>
          <w:rFonts w:hint="default" w:ascii="Times New Roman" w:hAnsi="Times New Roman" w:eastAsia="仿宋_GB2312" w:cs="Times New Roman"/>
          <w:sz w:val="32"/>
          <w:szCs w:val="32"/>
        </w:rPr>
        <w:t>1</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sz w:val="32"/>
          <w:szCs w:val="32"/>
        </w:rPr>
        <w:t>财政拨款收入：指单位从同级财政部门取得的财政预算资金。</w:t>
      </w:r>
    </w:p>
    <w:p>
      <w:pPr>
        <w:pStyle w:val="29"/>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pStyle w:val="29"/>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sz w:val="32"/>
          <w:szCs w:val="32"/>
        </w:rPr>
        <w:t>年末结转和结余：指单位按有关规定结转到下年或以后年度继续使用的资金。</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社会保障和就业支出（类）行政事业单位养老支出（款）机关事业单位基本养老保险缴费支出（项）：反映机关事业单位实施养老保险制度由单位缴纳的基本养老保险费支出。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社会保障和就业支出（类）行政事业单位养老支出（款）机关事业单位职业年金缴费支出（项）：反映机关事业单位实施养老保险制度由单位实际缴纳的职业年金支出。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社会保障和就业支出（类）行政事业单位养老支出（款）其他行政事业单位养老支出（项）：反映机关事业单位支付的一次性退休补贴支出。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社会保障和就业支出（类）抚恤（款）死亡抚恤（项）：反映按规定用于烈士和牺牲、病故人员家属的一次性和定期抚恤金以及丧葬补助费。</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8</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社会保障和就业支出（类）抚恤（款）伤残抚恤（项）：反映按规定用于伤残人员的抚恤金和按规定开支的各种伤残补助费。</w:t>
      </w:r>
    </w:p>
    <w:p>
      <w:pPr>
        <w:keepNext w:val="0"/>
        <w:keepLines w:val="0"/>
        <w:pageBreakBefore w:val="0"/>
        <w:widowControl/>
        <w:shd w:val="clear" w:color="auto" w:fill="FFFFFF"/>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9</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卫生健康支出（类）行政事业单位医疗（款）事业单位医疗（项）</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反映财政部门安排的事业单位基本医疗保险缴费经费，未参加医疗保险的事业单位的公费医疗经费，按国家规定享受离休人员待遇的医疗经费。</w:t>
      </w:r>
    </w:p>
    <w:p>
      <w:pPr>
        <w:keepNext w:val="0"/>
        <w:keepLines w:val="0"/>
        <w:pageBreakBefore w:val="0"/>
        <w:widowControl/>
        <w:shd w:val="clear" w:color="auto" w:fill="FFFFFF"/>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10</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kern w:val="0"/>
          <w:sz w:val="32"/>
          <w:szCs w:val="32"/>
        </w:rPr>
        <w:t>卫生健康支出（类）行政事业单位医疗（款）公务员医疗补助（项）：反映公务员医疗补助和大病医疗保险缴费。</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11</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kern w:val="0"/>
          <w:sz w:val="32"/>
          <w:szCs w:val="32"/>
        </w:rPr>
        <w:t>交通运输支出（类）公路水路运输（款）公路建设（项）：反映新建公路支出，公路改建支出，特大型桥梁建设支出，公路客货运站（场）建设支出。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12</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kern w:val="0"/>
          <w:sz w:val="32"/>
          <w:szCs w:val="32"/>
        </w:rPr>
        <w:t>交通运输支出（类）公路水路运输（款）公路养护（项）：反映公路养护支出。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13</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kern w:val="0"/>
          <w:sz w:val="32"/>
          <w:szCs w:val="32"/>
        </w:rPr>
        <w:t>交通运输支出（类）公路水路运输（款）其他公路水路运输支出（项）： 反映除上述项目以外其他用于公路水路运输方面的支出。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14</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kern w:val="0"/>
          <w:sz w:val="32"/>
          <w:szCs w:val="32"/>
        </w:rPr>
        <w:t>住房保障支出（类）住房改革支出（款）住房公积金（项）：反映行政事业单位按人力资源和社会保障部、财政部规定的基本工资和津贴补贴以及规定比例为职工缴纳的住房公积金。</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15</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pStyle w:val="29"/>
        <w:keepNext w:val="0"/>
        <w:keepLines w:val="0"/>
        <w:pageBreakBefore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w:t>
      </w:r>
      <w:r>
        <w:rPr>
          <w:rStyle w:val="21"/>
          <w:rFonts w:hint="default"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outlineLvl w:val="9"/>
        <w:rPr>
          <w:rFonts w:hint="default" w:ascii="Times New Roman" w:hAnsi="Times New Roman" w:eastAsia="黑体" w:cs="Times New Roman"/>
          <w:bCs/>
          <w:kern w:val="44"/>
          <w:sz w:val="44"/>
          <w:szCs w:val="44"/>
        </w:rPr>
      </w:pPr>
    </w:p>
    <w:p>
      <w:pPr>
        <w:numPr>
          <w:numId w:val="0"/>
        </w:numPr>
        <w:spacing w:line="600" w:lineRule="exact"/>
        <w:jc w:val="center"/>
        <w:outlineLvl w:val="0"/>
        <w:rPr>
          <w:rStyle w:val="31"/>
          <w:rFonts w:hint="default" w:ascii="Times New Roman" w:hAnsi="Times New Roman" w:eastAsia="黑体" w:cs="Times New Roman"/>
          <w:b/>
          <w:bCs w:val="0"/>
          <w:sz w:val="32"/>
          <w:szCs w:val="32"/>
        </w:rPr>
      </w:pPr>
      <w:bookmarkStart w:id="142" w:name="_Toc148448202"/>
      <w:bookmarkStart w:id="143" w:name="_Toc148448428"/>
      <w:bookmarkStart w:id="144" w:name="_Toc4184"/>
      <w:r>
        <w:rPr>
          <w:rStyle w:val="31"/>
          <w:rFonts w:hint="default" w:ascii="Times New Roman" w:hAnsi="Times New Roman" w:eastAsia="黑体" w:cs="Times New Roman"/>
          <w:b/>
          <w:bCs w:val="0"/>
          <w:sz w:val="32"/>
          <w:szCs w:val="32"/>
          <w:lang w:val="en-US" w:eastAsia="zh-CN"/>
        </w:rPr>
        <w:t xml:space="preserve">第四部分 </w:t>
      </w:r>
      <w:r>
        <w:rPr>
          <w:rStyle w:val="31"/>
          <w:rFonts w:hint="default" w:ascii="Times New Roman" w:hAnsi="Times New Roman" w:eastAsia="黑体" w:cs="Times New Roman"/>
          <w:b/>
          <w:bCs w:val="0"/>
          <w:sz w:val="32"/>
          <w:szCs w:val="32"/>
        </w:rPr>
        <w:t>附件</w:t>
      </w:r>
      <w:bookmarkEnd w:id="140"/>
      <w:bookmarkEnd w:id="142"/>
      <w:bookmarkEnd w:id="143"/>
      <w:bookmarkEnd w:id="144"/>
    </w:p>
    <w:p>
      <w:pPr>
        <w:spacing w:line="600" w:lineRule="exact"/>
        <w:outlineLvl w:val="9"/>
        <w:rPr>
          <w:rStyle w:val="31"/>
          <w:rFonts w:hint="default" w:ascii="Times New Roman" w:hAnsi="Times New Roman" w:eastAsia="黑体" w:cs="Times New Roman"/>
          <w:b w:val="0"/>
        </w:rPr>
      </w:pPr>
    </w:p>
    <w:p>
      <w:pPr>
        <w:spacing w:line="600" w:lineRule="exact"/>
        <w:jc w:val="center"/>
        <w:outlineLvl w:val="0"/>
        <w:rPr>
          <w:rFonts w:hint="default" w:ascii="Times New Roman" w:hAnsi="Times New Roman" w:eastAsia="仿宋_GB2312" w:cs="Times New Roman"/>
          <w:kern w:val="0"/>
          <w:sz w:val="32"/>
          <w:szCs w:val="32"/>
        </w:rPr>
      </w:pPr>
      <w:bookmarkStart w:id="145" w:name="_Toc148448203"/>
      <w:bookmarkStart w:id="146" w:name="_Toc148448429"/>
      <w:bookmarkStart w:id="147" w:name="_Toc29016"/>
      <w:bookmarkStart w:id="148" w:name="_Toc15396618"/>
      <w:r>
        <w:rPr>
          <w:rFonts w:hint="default" w:ascii="Times New Roman" w:hAnsi="Times New Roman" w:eastAsia="仿宋_GB2312" w:cs="Times New Roman"/>
          <w:kern w:val="0"/>
          <w:sz w:val="32"/>
          <w:szCs w:val="32"/>
        </w:rPr>
        <w:t>部门预算项目支出绩效自评表（2022年度）</w:t>
      </w:r>
      <w:bookmarkEnd w:id="145"/>
      <w:bookmarkEnd w:id="146"/>
      <w:bookmarkEnd w:id="147"/>
    </w:p>
    <w:p>
      <w:pPr>
        <w:spacing w:line="600" w:lineRule="exact"/>
        <w:jc w:val="center"/>
        <w:outlineLvl w:val="9"/>
        <w:rPr>
          <w:rFonts w:hint="default" w:ascii="Times New Roman" w:hAnsi="Times New Roman" w:cs="Times New Roman"/>
          <w:kern w:val="0"/>
          <w:sz w:val="32"/>
          <w:szCs w:val="32"/>
        </w:rPr>
      </w:pPr>
    </w:p>
    <w:tbl>
      <w:tblPr>
        <w:tblStyle w:val="18"/>
        <w:tblW w:w="9229" w:type="dxa"/>
        <w:tblInd w:w="93" w:type="dxa"/>
        <w:tblLayout w:type="fixed"/>
        <w:tblCellMar>
          <w:top w:w="0" w:type="dxa"/>
          <w:left w:w="108" w:type="dxa"/>
          <w:bottom w:w="0" w:type="dxa"/>
          <w:right w:w="108" w:type="dxa"/>
        </w:tblCellMar>
      </w:tblPr>
      <w:tblGrid>
        <w:gridCol w:w="847"/>
        <w:gridCol w:w="691"/>
        <w:gridCol w:w="836"/>
        <w:gridCol w:w="1469"/>
        <w:gridCol w:w="141"/>
        <w:gridCol w:w="709"/>
        <w:gridCol w:w="284"/>
        <w:gridCol w:w="562"/>
        <w:gridCol w:w="430"/>
        <w:gridCol w:w="567"/>
        <w:gridCol w:w="142"/>
        <w:gridCol w:w="425"/>
        <w:gridCol w:w="425"/>
        <w:gridCol w:w="142"/>
        <w:gridCol w:w="425"/>
        <w:gridCol w:w="1134"/>
      </w:tblGrid>
      <w:tr>
        <w:tblPrEx>
          <w:tblCellMar>
            <w:top w:w="0" w:type="dxa"/>
            <w:left w:w="108" w:type="dxa"/>
            <w:bottom w:w="0" w:type="dxa"/>
            <w:right w:w="108" w:type="dxa"/>
          </w:tblCellMar>
        </w:tblPrEx>
        <w:trPr>
          <w:trHeight w:val="600" w:hRule="atLeast"/>
        </w:trPr>
        <w:tc>
          <w:tcPr>
            <w:tcW w:w="9229" w:type="dxa"/>
            <w:gridSpan w:val="16"/>
            <w:tcBorders>
              <w:top w:val="nil"/>
              <w:left w:val="nil"/>
              <w:bottom w:val="nil"/>
              <w:right w:val="nil"/>
            </w:tcBorders>
            <w:shd w:val="clear" w:color="auto" w:fill="auto"/>
            <w:vAlign w:val="center"/>
          </w:tcPr>
          <w:p>
            <w:pPr>
              <w:widowControl/>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rPr>
              <w:t>道路养护经费项目（政策）绩效目标</w:t>
            </w:r>
            <w:r>
              <w:rPr>
                <w:rFonts w:hint="default" w:ascii="Times New Roman" w:hAnsi="Times New Roman" w:eastAsia="仿宋_GB2312" w:cs="Times New Roman"/>
                <w:b/>
                <w:bCs/>
                <w:color w:val="000000"/>
                <w:kern w:val="0"/>
                <w:sz w:val="22"/>
                <w:szCs w:val="22"/>
              </w:rPr>
              <w:br w:type="textWrapping"/>
            </w:r>
            <w:r>
              <w:rPr>
                <w:rFonts w:hint="default" w:ascii="Times New Roman" w:hAnsi="Times New Roman" w:eastAsia="仿宋_GB2312" w:cs="Times New Roman"/>
                <w:b/>
                <w:bCs/>
                <w:color w:val="000000"/>
                <w:kern w:val="0"/>
                <w:sz w:val="22"/>
                <w:szCs w:val="22"/>
              </w:rPr>
              <w:t>自评表</w:t>
            </w:r>
          </w:p>
        </w:tc>
      </w:tr>
      <w:tr>
        <w:tblPrEx>
          <w:tblCellMar>
            <w:top w:w="0" w:type="dxa"/>
            <w:left w:w="108" w:type="dxa"/>
            <w:bottom w:w="0" w:type="dxa"/>
            <w:right w:w="108" w:type="dxa"/>
          </w:tblCellMar>
        </w:tblPrEx>
        <w:trPr>
          <w:trHeight w:val="330" w:hRule="atLeast"/>
        </w:trPr>
        <w:tc>
          <w:tcPr>
            <w:tcW w:w="9229" w:type="dxa"/>
            <w:gridSpan w:val="16"/>
            <w:tcBorders>
              <w:top w:val="nil"/>
              <w:left w:val="nil"/>
              <w:bottom w:val="nil"/>
              <w:right w:val="nil"/>
            </w:tcBorders>
            <w:shd w:val="clear" w:color="auto" w:fill="auto"/>
          </w:tcPr>
          <w:p>
            <w:pPr>
              <w:widowControl/>
              <w:jc w:val="center"/>
              <w:textAlignment w:val="top"/>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（2022年度）</w:t>
            </w:r>
          </w:p>
        </w:tc>
      </w:tr>
      <w:tr>
        <w:tblPrEx>
          <w:tblCellMar>
            <w:top w:w="0" w:type="dxa"/>
            <w:left w:w="108" w:type="dxa"/>
            <w:bottom w:w="0" w:type="dxa"/>
            <w:right w:w="108" w:type="dxa"/>
          </w:tblCellMar>
        </w:tblPrEx>
        <w:trPr>
          <w:trHeight w:val="300" w:hRule="atLeast"/>
        </w:trPr>
        <w:tc>
          <w:tcPr>
            <w:tcW w:w="2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项目（政策）名称</w:t>
            </w:r>
          </w:p>
        </w:tc>
        <w:tc>
          <w:tcPr>
            <w:tcW w:w="68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道路养护经费</w:t>
            </w:r>
          </w:p>
        </w:tc>
      </w:tr>
      <w:tr>
        <w:tblPrEx>
          <w:tblCellMar>
            <w:top w:w="0" w:type="dxa"/>
            <w:left w:w="108" w:type="dxa"/>
            <w:bottom w:w="0" w:type="dxa"/>
            <w:right w:w="108" w:type="dxa"/>
          </w:tblCellMar>
        </w:tblPrEx>
        <w:trPr>
          <w:trHeight w:val="300" w:hRule="atLeast"/>
        </w:trPr>
        <w:tc>
          <w:tcPr>
            <w:tcW w:w="2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项目主管部门</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沐川县交通运输局</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资金使用单位</w:t>
            </w:r>
          </w:p>
        </w:tc>
        <w:tc>
          <w:tcPr>
            <w:tcW w:w="32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沐川县公路建设服务中心</w:t>
            </w:r>
          </w:p>
        </w:tc>
      </w:tr>
      <w:tr>
        <w:tblPrEx>
          <w:tblCellMar>
            <w:top w:w="0" w:type="dxa"/>
            <w:left w:w="108" w:type="dxa"/>
            <w:bottom w:w="0" w:type="dxa"/>
            <w:right w:w="108" w:type="dxa"/>
          </w:tblCellMar>
        </w:tblPrEx>
        <w:trPr>
          <w:trHeight w:val="300" w:hRule="atLeast"/>
        </w:trPr>
        <w:tc>
          <w:tcPr>
            <w:tcW w:w="237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项目资金（万元）</w:t>
            </w:r>
          </w:p>
        </w:tc>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全年预算数</w:t>
            </w:r>
          </w:p>
        </w:tc>
        <w:tc>
          <w:tcPr>
            <w:tcW w:w="21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全年执行数</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预算执行率</w:t>
            </w:r>
          </w:p>
        </w:tc>
      </w:tr>
      <w:tr>
        <w:tblPrEx>
          <w:tblCellMar>
            <w:top w:w="0" w:type="dxa"/>
            <w:left w:w="108" w:type="dxa"/>
            <w:bottom w:w="0" w:type="dxa"/>
            <w:right w:w="108" w:type="dxa"/>
          </w:tblCellMar>
        </w:tblPrEx>
        <w:trPr>
          <w:trHeight w:val="450"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年度资金总额：</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400</w:t>
            </w:r>
          </w:p>
        </w:tc>
        <w:tc>
          <w:tcPr>
            <w:tcW w:w="21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181</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780" w:firstLineChars="650"/>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100%</w:t>
            </w:r>
          </w:p>
        </w:tc>
      </w:tr>
      <w:tr>
        <w:tblPrEx>
          <w:tblCellMar>
            <w:top w:w="0" w:type="dxa"/>
            <w:left w:w="108" w:type="dxa"/>
            <w:bottom w:w="0" w:type="dxa"/>
            <w:right w:w="108" w:type="dxa"/>
          </w:tblCellMar>
        </w:tblPrEx>
        <w:trPr>
          <w:trHeight w:val="450"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其中：中央、省补助</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0</w:t>
            </w:r>
          </w:p>
        </w:tc>
        <w:tc>
          <w:tcPr>
            <w:tcW w:w="21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65"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市级财政资</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21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65"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县级财政资</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400</w:t>
            </w:r>
          </w:p>
        </w:tc>
        <w:tc>
          <w:tcPr>
            <w:tcW w:w="21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181</w:t>
            </w: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100%</w:t>
            </w:r>
          </w:p>
        </w:tc>
      </w:tr>
      <w:tr>
        <w:tblPrEx>
          <w:tblCellMar>
            <w:top w:w="0" w:type="dxa"/>
            <w:left w:w="108" w:type="dxa"/>
            <w:bottom w:w="0" w:type="dxa"/>
            <w:right w:w="108" w:type="dxa"/>
          </w:tblCellMar>
        </w:tblPrEx>
        <w:trPr>
          <w:trHeight w:val="300"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其他资金</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21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21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300" w:hRule="atLeast"/>
        </w:trPr>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总体目标完成情况</w:t>
            </w:r>
          </w:p>
        </w:tc>
        <w:tc>
          <w:tcPr>
            <w:tcW w:w="4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总体目标</w:t>
            </w:r>
          </w:p>
        </w:tc>
        <w:tc>
          <w:tcPr>
            <w:tcW w:w="425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全年实际完成情况</w:t>
            </w:r>
          </w:p>
        </w:tc>
      </w:tr>
      <w:tr>
        <w:tblPrEx>
          <w:tblCellMar>
            <w:top w:w="0" w:type="dxa"/>
            <w:left w:w="108" w:type="dxa"/>
            <w:bottom w:w="0" w:type="dxa"/>
            <w:right w:w="108" w:type="dxa"/>
          </w:tblCellMar>
        </w:tblPrEx>
        <w:trPr>
          <w:trHeight w:val="56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4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完成农村公路养护工程资金支付，确保农村公路畅通。</w:t>
            </w:r>
          </w:p>
        </w:tc>
        <w:tc>
          <w:tcPr>
            <w:tcW w:w="425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r>
      <w:tr>
        <w:tblPrEx>
          <w:tblCellMar>
            <w:top w:w="0" w:type="dxa"/>
            <w:left w:w="108" w:type="dxa"/>
            <w:bottom w:w="0" w:type="dxa"/>
            <w:right w:w="108" w:type="dxa"/>
          </w:tblCellMar>
        </w:tblPrEx>
        <w:trPr>
          <w:trHeight w:val="312" w:hRule="atLeast"/>
        </w:trPr>
        <w:tc>
          <w:tcPr>
            <w:tcW w:w="847" w:type="dxa"/>
            <w:vMerge w:val="restart"/>
            <w:tcBorders>
              <w:top w:val="nil"/>
              <w:left w:val="single" w:color="000000" w:sz="8" w:space="0"/>
              <w:bottom w:val="single" w:color="000000" w:sz="8" w:space="0"/>
              <w:right w:val="nil"/>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绩效指标</w:t>
            </w:r>
          </w:p>
        </w:tc>
        <w:tc>
          <w:tcPr>
            <w:tcW w:w="69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一级指标</w:t>
            </w:r>
          </w:p>
        </w:tc>
        <w:tc>
          <w:tcPr>
            <w:tcW w:w="83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二级指标</w:t>
            </w:r>
          </w:p>
        </w:tc>
        <w:tc>
          <w:tcPr>
            <w:tcW w:w="2603"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三级指标</w:t>
            </w:r>
          </w:p>
        </w:tc>
        <w:tc>
          <w:tcPr>
            <w:tcW w:w="1701"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指标值</w:t>
            </w:r>
          </w:p>
        </w:tc>
        <w:tc>
          <w:tcPr>
            <w:tcW w:w="1417"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全年实际完成值</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未完成原因和改进措施</w:t>
            </w:r>
          </w:p>
        </w:tc>
      </w:tr>
      <w:tr>
        <w:tblPrEx>
          <w:tblCellMar>
            <w:top w:w="0" w:type="dxa"/>
            <w:left w:w="108" w:type="dxa"/>
            <w:bottom w:w="0" w:type="dxa"/>
            <w:right w:w="108" w:type="dxa"/>
          </w:tblCellMar>
        </w:tblPrEx>
        <w:trPr>
          <w:trHeight w:val="312"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2603"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701"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417"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13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产出指标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数量指标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省省县乡道养护409.982公里</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409.982公里</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409.982公里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质量指标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按相关养护标准执行</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按相关养护标准执行</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时效指标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2022年12月31日前</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2022年12月31日前</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成本指标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181万</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181万</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181万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1119"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效益指标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经济效益指标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推动地方经济的提升，促进城乡共同繁荣，盘活县机养中心，推进市场化运营</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推动地方经济的提升，促进城乡共同繁荣盘活县机养中心，推进市场化运营</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6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社会效益指标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确保公路安全、畅通、整洁，确保行人车辆安全通行</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确保公路安全、畅通、整洁</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0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生态效益指标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打造绿色交通</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打造绿色交通</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60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可持续影响指标</w:t>
            </w:r>
          </w:p>
        </w:tc>
        <w:tc>
          <w:tcPr>
            <w:tcW w:w="26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保障了交通工作持续有效开展，行业监督、管理效能明显提高</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保障了交通工作持续有效开展，行业监督、管理效能明显提高</w:t>
            </w:r>
          </w:p>
        </w:tc>
        <w:tc>
          <w:tcPr>
            <w:tcW w:w="14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8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满意度指标</w:t>
            </w:r>
          </w:p>
        </w:tc>
        <w:tc>
          <w:tcPr>
            <w:tcW w:w="83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服务对象满意度指标</w:t>
            </w:r>
          </w:p>
        </w:tc>
        <w:tc>
          <w:tcPr>
            <w:tcW w:w="2603" w:type="dxa"/>
            <w:gridSpan w:val="4"/>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人民群众满意</w:t>
            </w:r>
          </w:p>
        </w:tc>
        <w:tc>
          <w:tcPr>
            <w:tcW w:w="1701" w:type="dxa"/>
            <w:gridSpan w:val="4"/>
            <w:tcBorders>
              <w:top w:val="single" w:color="000000" w:sz="4" w:space="0"/>
              <w:left w:val="single" w:color="000000" w:sz="4" w:space="0"/>
              <w:bottom w:val="nil"/>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95%</w:t>
            </w:r>
          </w:p>
        </w:tc>
        <w:tc>
          <w:tcPr>
            <w:tcW w:w="1417" w:type="dxa"/>
            <w:gridSpan w:val="4"/>
            <w:tcBorders>
              <w:top w:val="single" w:color="000000" w:sz="4" w:space="0"/>
              <w:left w:val="single" w:color="000000" w:sz="4" w:space="0"/>
              <w:bottom w:val="nil"/>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95%</w:t>
            </w:r>
          </w:p>
        </w:tc>
        <w:tc>
          <w:tcPr>
            <w:tcW w:w="113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35"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说明</w:t>
            </w:r>
          </w:p>
        </w:tc>
        <w:tc>
          <w:tcPr>
            <w:tcW w:w="83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无</w:t>
            </w:r>
          </w:p>
        </w:tc>
      </w:tr>
      <w:tr>
        <w:tblPrEx>
          <w:tblCellMar>
            <w:top w:w="0" w:type="dxa"/>
            <w:left w:w="108" w:type="dxa"/>
            <w:bottom w:w="0" w:type="dxa"/>
            <w:right w:w="108" w:type="dxa"/>
          </w:tblCellMar>
        </w:tblPrEx>
        <w:trPr>
          <w:trHeight w:val="600" w:hRule="atLeast"/>
        </w:trPr>
        <w:tc>
          <w:tcPr>
            <w:tcW w:w="9229" w:type="dxa"/>
            <w:gridSpan w:val="16"/>
            <w:tcBorders>
              <w:top w:val="nil"/>
              <w:left w:val="nil"/>
              <w:bottom w:val="nil"/>
              <w:right w:val="nil"/>
            </w:tcBorders>
            <w:shd w:val="clear" w:color="auto" w:fill="auto"/>
            <w:vAlign w:val="center"/>
          </w:tcPr>
          <w:p>
            <w:pPr>
              <w:widowControl/>
              <w:jc w:val="center"/>
              <w:textAlignment w:val="center"/>
              <w:rPr>
                <w:rFonts w:hint="default" w:ascii="Times New Roman" w:hAnsi="Times New Roman" w:eastAsia="仿宋_GB2312" w:cs="Times New Roman"/>
                <w:b/>
                <w:bCs/>
                <w:color w:val="000000"/>
                <w:kern w:val="0"/>
                <w:sz w:val="22"/>
                <w:szCs w:val="22"/>
              </w:rPr>
            </w:pPr>
          </w:p>
          <w:p>
            <w:pPr>
              <w:widowControl/>
              <w:jc w:val="center"/>
              <w:textAlignment w:val="center"/>
              <w:rPr>
                <w:rFonts w:hint="default" w:ascii="Times New Roman" w:hAnsi="Times New Roman" w:eastAsia="仿宋_GB2312" w:cs="Times New Roman"/>
                <w:b/>
                <w:bCs/>
                <w:color w:val="000000"/>
                <w:kern w:val="0"/>
                <w:sz w:val="22"/>
                <w:szCs w:val="22"/>
              </w:rPr>
            </w:pPr>
          </w:p>
          <w:p>
            <w:pPr>
              <w:widowControl/>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rPr>
              <w:t>五沐快速管养项目（政策）绩效目标</w:t>
            </w:r>
            <w:r>
              <w:rPr>
                <w:rFonts w:hint="default" w:ascii="Times New Roman" w:hAnsi="Times New Roman" w:eastAsia="仿宋_GB2312" w:cs="Times New Roman"/>
                <w:b/>
                <w:bCs/>
                <w:color w:val="000000"/>
                <w:kern w:val="0"/>
                <w:sz w:val="22"/>
                <w:szCs w:val="22"/>
              </w:rPr>
              <w:br w:type="textWrapping"/>
            </w:r>
            <w:r>
              <w:rPr>
                <w:rFonts w:hint="default" w:ascii="Times New Roman" w:hAnsi="Times New Roman" w:eastAsia="仿宋_GB2312" w:cs="Times New Roman"/>
                <w:b/>
                <w:bCs/>
                <w:color w:val="000000"/>
                <w:kern w:val="0"/>
                <w:sz w:val="22"/>
                <w:szCs w:val="22"/>
              </w:rPr>
              <w:t>自评表</w:t>
            </w:r>
          </w:p>
        </w:tc>
      </w:tr>
      <w:tr>
        <w:tblPrEx>
          <w:tblCellMar>
            <w:top w:w="0" w:type="dxa"/>
            <w:left w:w="108" w:type="dxa"/>
            <w:bottom w:w="0" w:type="dxa"/>
            <w:right w:w="108" w:type="dxa"/>
          </w:tblCellMar>
        </w:tblPrEx>
        <w:trPr>
          <w:trHeight w:val="330" w:hRule="atLeast"/>
        </w:trPr>
        <w:tc>
          <w:tcPr>
            <w:tcW w:w="9229" w:type="dxa"/>
            <w:gridSpan w:val="16"/>
            <w:tcBorders>
              <w:top w:val="nil"/>
              <w:left w:val="nil"/>
              <w:bottom w:val="nil"/>
              <w:right w:val="nil"/>
            </w:tcBorders>
            <w:shd w:val="clear" w:color="auto" w:fill="auto"/>
          </w:tcPr>
          <w:p>
            <w:pPr>
              <w:widowControl/>
              <w:jc w:val="center"/>
              <w:textAlignment w:val="top"/>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（2022年度）</w:t>
            </w:r>
          </w:p>
        </w:tc>
      </w:tr>
      <w:tr>
        <w:tblPrEx>
          <w:tblCellMar>
            <w:top w:w="0" w:type="dxa"/>
            <w:left w:w="108" w:type="dxa"/>
            <w:bottom w:w="0" w:type="dxa"/>
            <w:right w:w="108" w:type="dxa"/>
          </w:tblCellMar>
        </w:tblPrEx>
        <w:trPr>
          <w:trHeight w:val="300" w:hRule="atLeast"/>
        </w:trPr>
        <w:tc>
          <w:tcPr>
            <w:tcW w:w="2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项目（政策）名称</w:t>
            </w:r>
          </w:p>
        </w:tc>
        <w:tc>
          <w:tcPr>
            <w:tcW w:w="68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五沐快速管养经费</w:t>
            </w:r>
          </w:p>
        </w:tc>
      </w:tr>
      <w:tr>
        <w:tblPrEx>
          <w:tblCellMar>
            <w:top w:w="0" w:type="dxa"/>
            <w:left w:w="108" w:type="dxa"/>
            <w:bottom w:w="0" w:type="dxa"/>
            <w:right w:w="108" w:type="dxa"/>
          </w:tblCellMar>
        </w:tblPrEx>
        <w:trPr>
          <w:trHeight w:val="300" w:hRule="atLeast"/>
        </w:trPr>
        <w:tc>
          <w:tcPr>
            <w:tcW w:w="2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项目主管部门</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沐川县交通运输局</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资金使用单位</w:t>
            </w:r>
          </w:p>
        </w:tc>
        <w:tc>
          <w:tcPr>
            <w:tcW w:w="36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沐川县公路建设服务中心</w:t>
            </w:r>
          </w:p>
        </w:tc>
      </w:tr>
      <w:tr>
        <w:tblPrEx>
          <w:tblCellMar>
            <w:top w:w="0" w:type="dxa"/>
            <w:left w:w="108" w:type="dxa"/>
            <w:bottom w:w="0" w:type="dxa"/>
            <w:right w:w="108" w:type="dxa"/>
          </w:tblCellMar>
        </w:tblPrEx>
        <w:trPr>
          <w:trHeight w:val="300" w:hRule="atLeast"/>
        </w:trPr>
        <w:tc>
          <w:tcPr>
            <w:tcW w:w="237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项目资金（万元）</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全年预算数</w:t>
            </w: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全年执行数</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预算执行率</w:t>
            </w:r>
          </w:p>
        </w:tc>
      </w:tr>
      <w:tr>
        <w:tblPrEx>
          <w:tblCellMar>
            <w:top w:w="0" w:type="dxa"/>
            <w:left w:w="108" w:type="dxa"/>
            <w:bottom w:w="0" w:type="dxa"/>
            <w:right w:w="108" w:type="dxa"/>
          </w:tblCellMar>
        </w:tblPrEx>
        <w:trPr>
          <w:trHeight w:val="450"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年度资金总额：</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w:t>
            </w: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w:t>
            </w:r>
          </w:p>
        </w:tc>
      </w:tr>
      <w:tr>
        <w:tblPrEx>
          <w:tblCellMar>
            <w:top w:w="0" w:type="dxa"/>
            <w:left w:w="108" w:type="dxa"/>
            <w:bottom w:w="0" w:type="dxa"/>
            <w:right w:w="108" w:type="dxa"/>
          </w:tblCellMar>
        </w:tblPrEx>
        <w:trPr>
          <w:trHeight w:val="450"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其中：中央、省补助</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65"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市级财政资</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65"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县级财政资</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40</w:t>
            </w: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40</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sz w:val="12"/>
                <w:szCs w:val="12"/>
              </w:rPr>
              <w:t>100%</w:t>
            </w:r>
          </w:p>
        </w:tc>
      </w:tr>
      <w:tr>
        <w:tblPrEx>
          <w:tblCellMar>
            <w:top w:w="0" w:type="dxa"/>
            <w:left w:w="108" w:type="dxa"/>
            <w:bottom w:w="0" w:type="dxa"/>
            <w:right w:w="108" w:type="dxa"/>
          </w:tblCellMar>
        </w:tblPrEx>
        <w:trPr>
          <w:trHeight w:val="300" w:hRule="atLeast"/>
        </w:trPr>
        <w:tc>
          <w:tcPr>
            <w:tcW w:w="23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其他资金</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28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300" w:hRule="atLeast"/>
        </w:trPr>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总体目标完成情况</w:t>
            </w:r>
          </w:p>
        </w:tc>
        <w:tc>
          <w:tcPr>
            <w:tcW w:w="38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总体目标</w:t>
            </w:r>
          </w:p>
        </w:tc>
        <w:tc>
          <w:tcPr>
            <w:tcW w:w="453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全年实际完成情况</w:t>
            </w:r>
          </w:p>
        </w:tc>
      </w:tr>
      <w:tr>
        <w:tblPrEx>
          <w:tblCellMar>
            <w:top w:w="0" w:type="dxa"/>
            <w:left w:w="108" w:type="dxa"/>
            <w:bottom w:w="0" w:type="dxa"/>
            <w:right w:w="108" w:type="dxa"/>
          </w:tblCellMar>
        </w:tblPrEx>
        <w:trPr>
          <w:trHeight w:val="56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38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做好日常养护和保洁、隧道管理、机电设备维护及绿化维护</w:t>
            </w:r>
          </w:p>
        </w:tc>
        <w:tc>
          <w:tcPr>
            <w:tcW w:w="453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r>
      <w:tr>
        <w:tblPrEx>
          <w:tblCellMar>
            <w:top w:w="0" w:type="dxa"/>
            <w:left w:w="108" w:type="dxa"/>
            <w:bottom w:w="0" w:type="dxa"/>
            <w:right w:w="108" w:type="dxa"/>
          </w:tblCellMar>
        </w:tblPrEx>
        <w:trPr>
          <w:trHeight w:val="312" w:hRule="atLeast"/>
        </w:trPr>
        <w:tc>
          <w:tcPr>
            <w:tcW w:w="847" w:type="dxa"/>
            <w:vMerge w:val="restart"/>
            <w:tcBorders>
              <w:top w:val="nil"/>
              <w:left w:val="single" w:color="000000" w:sz="8" w:space="0"/>
              <w:bottom w:val="single" w:color="000000" w:sz="8" w:space="0"/>
              <w:right w:val="nil"/>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绩效指标</w:t>
            </w:r>
          </w:p>
        </w:tc>
        <w:tc>
          <w:tcPr>
            <w:tcW w:w="69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一级指标</w:t>
            </w:r>
          </w:p>
        </w:tc>
        <w:tc>
          <w:tcPr>
            <w:tcW w:w="83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二级指标</w:t>
            </w:r>
          </w:p>
        </w:tc>
        <w:tc>
          <w:tcPr>
            <w:tcW w:w="2319"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三级指标</w:t>
            </w:r>
          </w:p>
        </w:tc>
        <w:tc>
          <w:tcPr>
            <w:tcW w:w="1843"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指标值</w:t>
            </w:r>
          </w:p>
        </w:tc>
        <w:tc>
          <w:tcPr>
            <w:tcW w:w="1134"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全年实际完成值</w:t>
            </w:r>
          </w:p>
        </w:tc>
        <w:tc>
          <w:tcPr>
            <w:tcW w:w="1559"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未完成原因和改进措施</w:t>
            </w:r>
          </w:p>
        </w:tc>
      </w:tr>
      <w:tr>
        <w:tblPrEx>
          <w:tblCellMar>
            <w:top w:w="0" w:type="dxa"/>
            <w:left w:w="108" w:type="dxa"/>
            <w:bottom w:w="0" w:type="dxa"/>
            <w:right w:w="108" w:type="dxa"/>
          </w:tblCellMar>
        </w:tblPrEx>
        <w:trPr>
          <w:trHeight w:val="312"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2319"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843"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134"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1559"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产出指标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数量指标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16.969公里</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16.969公里</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16.969公里</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质量指标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按质量要求完成管养</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按质量要求完成管养</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时效指标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2022年12月31日前</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2022年12月31日前</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5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成本指标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40万</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40万</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40万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2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效益指标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经济效益指标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推动地方经济的提升，促进城乡共同繁荣</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推动地方经济的提升，促进城乡共同繁荣</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66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社会效益指标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确保公路安全、畅通、整洁，确保行人车辆安全通行</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确保公路安全、畅通、整洁</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0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生态效益指标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打造绿色交通</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打造绿色交通</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60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可持续影响指标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保障了交通工作持续有效开展，行业监督、管理效能明显提高</w:t>
            </w:r>
          </w:p>
        </w:tc>
        <w:tc>
          <w:tcPr>
            <w:tcW w:w="18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保障了交通工作持续有效开展，行业监督、管理效能明显提高</w:t>
            </w:r>
          </w:p>
        </w:tc>
        <w:tc>
          <w:tcPr>
            <w:tcW w:w="11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完成</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80" w:hRule="atLeast"/>
        </w:trPr>
        <w:tc>
          <w:tcPr>
            <w:tcW w:w="847" w:type="dxa"/>
            <w:vMerge w:val="continue"/>
            <w:tcBorders>
              <w:top w:val="nil"/>
              <w:left w:val="single" w:color="000000" w:sz="8" w:space="0"/>
              <w:bottom w:val="single" w:color="000000" w:sz="8" w:space="0"/>
              <w:right w:val="nil"/>
            </w:tcBorders>
            <w:shd w:val="clear" w:color="auto" w:fill="auto"/>
            <w:vAlign w:val="center"/>
          </w:tcPr>
          <w:p>
            <w:pPr>
              <w:jc w:val="center"/>
              <w:rPr>
                <w:rFonts w:hint="default" w:ascii="Times New Roman" w:hAnsi="Times New Roman" w:eastAsia="仿宋_GB2312" w:cs="Times New Roman"/>
                <w:color w:val="000000"/>
                <w:sz w:val="12"/>
                <w:szCs w:val="12"/>
              </w:rPr>
            </w:pPr>
          </w:p>
        </w:tc>
        <w:tc>
          <w:tcPr>
            <w:tcW w:w="691"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满意度指标</w:t>
            </w:r>
          </w:p>
        </w:tc>
        <w:tc>
          <w:tcPr>
            <w:tcW w:w="83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服务对象满意度指标</w:t>
            </w:r>
          </w:p>
        </w:tc>
        <w:tc>
          <w:tcPr>
            <w:tcW w:w="2319" w:type="dxa"/>
            <w:gridSpan w:val="3"/>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人民群众满意</w:t>
            </w:r>
          </w:p>
        </w:tc>
        <w:tc>
          <w:tcPr>
            <w:tcW w:w="1843" w:type="dxa"/>
            <w:gridSpan w:val="4"/>
            <w:tcBorders>
              <w:top w:val="single" w:color="000000" w:sz="4" w:space="0"/>
              <w:left w:val="single" w:color="000000" w:sz="4" w:space="0"/>
              <w:bottom w:val="nil"/>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95%</w:t>
            </w:r>
          </w:p>
        </w:tc>
        <w:tc>
          <w:tcPr>
            <w:tcW w:w="1134" w:type="dxa"/>
            <w:gridSpan w:val="4"/>
            <w:tcBorders>
              <w:top w:val="single" w:color="000000" w:sz="4" w:space="0"/>
              <w:left w:val="single" w:color="000000" w:sz="4" w:space="0"/>
              <w:bottom w:val="nil"/>
              <w:right w:val="single" w:color="000000" w:sz="4" w:space="0"/>
            </w:tcBorders>
            <w:shd w:val="clear" w:color="auto" w:fill="auto"/>
            <w:vAlign w:val="center"/>
          </w:tcPr>
          <w:p>
            <w:pPr>
              <w:widowControl/>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95%</w:t>
            </w:r>
          </w:p>
        </w:tc>
        <w:tc>
          <w:tcPr>
            <w:tcW w:w="1559" w:type="dxa"/>
            <w:gridSpan w:val="2"/>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仿宋_GB2312" w:cs="Times New Roman"/>
                <w:color w:val="000000"/>
                <w:sz w:val="12"/>
                <w:szCs w:val="12"/>
              </w:rPr>
            </w:pPr>
          </w:p>
        </w:tc>
      </w:tr>
      <w:tr>
        <w:tblPrEx>
          <w:tblCellMar>
            <w:top w:w="0" w:type="dxa"/>
            <w:left w:w="108" w:type="dxa"/>
            <w:bottom w:w="0" w:type="dxa"/>
            <w:right w:w="108" w:type="dxa"/>
          </w:tblCellMar>
        </w:tblPrEx>
        <w:trPr>
          <w:trHeight w:val="435"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说明</w:t>
            </w:r>
          </w:p>
        </w:tc>
        <w:tc>
          <w:tcPr>
            <w:tcW w:w="83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12"/>
                <w:szCs w:val="12"/>
              </w:rPr>
            </w:pPr>
            <w:r>
              <w:rPr>
                <w:rFonts w:hint="default" w:ascii="Times New Roman" w:hAnsi="Times New Roman" w:eastAsia="仿宋_GB2312" w:cs="Times New Roman"/>
                <w:color w:val="000000"/>
                <w:kern w:val="0"/>
                <w:sz w:val="12"/>
                <w:szCs w:val="12"/>
              </w:rPr>
              <w:t>无</w:t>
            </w:r>
          </w:p>
        </w:tc>
      </w:tr>
      <w:bookmarkEnd w:id="141"/>
      <w:bookmarkEnd w:id="148"/>
    </w:tbl>
    <w:p>
      <w:pPr>
        <w:pStyle w:val="4"/>
        <w:spacing w:line="600" w:lineRule="exact"/>
        <w:jc w:val="center"/>
        <w:outlineLvl w:val="0"/>
        <w:rPr>
          <w:rStyle w:val="31"/>
          <w:rFonts w:hint="default" w:ascii="Times New Roman" w:hAnsi="Times New Roman" w:eastAsia="黑体" w:cs="Times New Roman"/>
          <w:b w:val="0"/>
          <w:bCs w:val="0"/>
        </w:rPr>
      </w:pPr>
      <w:bookmarkStart w:id="149" w:name="_Toc148448430"/>
      <w:bookmarkStart w:id="150" w:name="_Toc148448204"/>
      <w:bookmarkStart w:id="151" w:name="_Toc14136"/>
      <w:bookmarkStart w:id="152" w:name="_Toc15396619"/>
      <w:r>
        <w:rPr>
          <w:rFonts w:hint="default" w:ascii="Times New Roman" w:hAnsi="Times New Roman" w:eastAsia="黑体" w:cs="Times New Roman"/>
          <w:color w:val="000000"/>
          <w:sz w:val="32"/>
          <w:szCs w:val="32"/>
        </w:rPr>
        <w:t>第</w:t>
      </w:r>
      <w:r>
        <w:rPr>
          <w:rStyle w:val="31"/>
          <w:rFonts w:hint="default" w:ascii="Times New Roman" w:hAnsi="Times New Roman" w:eastAsia="黑体" w:cs="Times New Roman"/>
          <w:b w:val="0"/>
          <w:bCs w:val="0"/>
          <w:sz w:val="32"/>
          <w:szCs w:val="32"/>
        </w:rPr>
        <w:t>五部分 附表</w:t>
      </w:r>
      <w:bookmarkEnd w:id="149"/>
      <w:bookmarkEnd w:id="150"/>
      <w:bookmarkEnd w:id="151"/>
    </w:p>
    <w:bookmarkEnd w:id="152"/>
    <w:p>
      <w:pPr>
        <w:pStyle w:val="4"/>
        <w:spacing w:line="408" w:lineRule="auto"/>
        <w:rPr>
          <w:rFonts w:hint="default" w:ascii="Times New Roman" w:hAnsi="Times New Roman" w:eastAsia="仿宋_GB2312" w:cs="Times New Roman"/>
        </w:rPr>
      </w:pPr>
      <w:bookmarkStart w:id="153" w:name="_Toc148448205"/>
      <w:bookmarkStart w:id="154" w:name="_Toc148448431"/>
      <w:bookmarkStart w:id="155" w:name="_Toc18347"/>
      <w:r>
        <w:rPr>
          <w:rFonts w:hint="default" w:ascii="Times New Roman" w:hAnsi="Times New Roman" w:eastAsia="仿宋_GB2312" w:cs="Times New Roman"/>
          <w:b w:val="0"/>
        </w:rPr>
        <w:t>一、收</w:t>
      </w:r>
      <w:r>
        <w:rPr>
          <w:rStyle w:val="32"/>
          <w:rFonts w:hint="default" w:ascii="Times New Roman" w:hAnsi="Times New Roman" w:eastAsia="仿宋_GB2312" w:cs="Times New Roman"/>
          <w:b w:val="0"/>
          <w:bCs w:val="0"/>
        </w:rPr>
        <w:t>入支出决算总表</w:t>
      </w:r>
      <w:bookmarkEnd w:id="153"/>
      <w:bookmarkEnd w:id="154"/>
      <w:bookmarkEnd w:id="155"/>
    </w:p>
    <w:p>
      <w:pPr>
        <w:pStyle w:val="4"/>
        <w:spacing w:line="408" w:lineRule="auto"/>
        <w:rPr>
          <w:rFonts w:hint="default" w:ascii="Times New Roman" w:hAnsi="Times New Roman" w:eastAsia="仿宋_GB2312" w:cs="Times New Roman"/>
        </w:rPr>
      </w:pPr>
      <w:bookmarkStart w:id="156" w:name="_Toc148448206"/>
      <w:bookmarkStart w:id="157" w:name="_Toc15396620"/>
      <w:bookmarkStart w:id="158" w:name="_Toc148448432"/>
      <w:bookmarkStart w:id="159" w:name="_Toc23052"/>
      <w:r>
        <w:rPr>
          <w:rFonts w:hint="default" w:ascii="Times New Roman" w:hAnsi="Times New Roman" w:eastAsia="仿宋_GB2312" w:cs="Times New Roman"/>
          <w:b w:val="0"/>
        </w:rPr>
        <w:t>二、收</w:t>
      </w:r>
      <w:r>
        <w:rPr>
          <w:rStyle w:val="32"/>
          <w:rFonts w:hint="default" w:ascii="Times New Roman" w:hAnsi="Times New Roman" w:eastAsia="仿宋_GB2312" w:cs="Times New Roman"/>
          <w:b w:val="0"/>
          <w:bCs w:val="0"/>
        </w:rPr>
        <w:t>入决算表</w:t>
      </w:r>
      <w:bookmarkEnd w:id="156"/>
      <w:bookmarkEnd w:id="157"/>
      <w:bookmarkEnd w:id="158"/>
      <w:bookmarkEnd w:id="159"/>
    </w:p>
    <w:p>
      <w:pPr>
        <w:pStyle w:val="4"/>
        <w:spacing w:line="408" w:lineRule="auto"/>
        <w:rPr>
          <w:rFonts w:hint="default" w:ascii="Times New Roman" w:hAnsi="Times New Roman" w:eastAsia="仿宋_GB2312" w:cs="Times New Roman"/>
        </w:rPr>
      </w:pPr>
      <w:bookmarkStart w:id="160" w:name="_Toc15396621"/>
      <w:bookmarkStart w:id="161" w:name="_Toc148448207"/>
      <w:bookmarkStart w:id="162" w:name="_Toc148448433"/>
      <w:bookmarkStart w:id="163" w:name="_Toc23017"/>
      <w:r>
        <w:rPr>
          <w:rStyle w:val="32"/>
          <w:rFonts w:hint="default" w:ascii="Times New Roman" w:hAnsi="Times New Roman" w:eastAsia="仿宋_GB2312" w:cs="Times New Roman"/>
          <w:b w:val="0"/>
          <w:bCs w:val="0"/>
        </w:rPr>
        <w:t>三、</w:t>
      </w:r>
      <w:r>
        <w:rPr>
          <w:rFonts w:hint="default" w:ascii="Times New Roman" w:hAnsi="Times New Roman" w:eastAsia="仿宋_GB2312" w:cs="Times New Roman"/>
          <w:b w:val="0"/>
        </w:rPr>
        <w:t>支</w:t>
      </w:r>
      <w:r>
        <w:rPr>
          <w:rStyle w:val="32"/>
          <w:rFonts w:hint="default" w:ascii="Times New Roman" w:hAnsi="Times New Roman" w:eastAsia="仿宋_GB2312" w:cs="Times New Roman"/>
          <w:b w:val="0"/>
          <w:bCs w:val="0"/>
        </w:rPr>
        <w:t>出决算表</w:t>
      </w:r>
      <w:bookmarkEnd w:id="160"/>
      <w:bookmarkEnd w:id="161"/>
      <w:bookmarkEnd w:id="162"/>
      <w:bookmarkEnd w:id="163"/>
    </w:p>
    <w:p>
      <w:pPr>
        <w:pStyle w:val="4"/>
        <w:spacing w:line="408" w:lineRule="auto"/>
        <w:rPr>
          <w:rFonts w:hint="default" w:ascii="Times New Roman" w:hAnsi="Times New Roman" w:eastAsia="仿宋_GB2312" w:cs="Times New Roman"/>
          <w:b w:val="0"/>
        </w:rPr>
      </w:pPr>
      <w:bookmarkStart w:id="164" w:name="_Toc148448434"/>
      <w:bookmarkStart w:id="165" w:name="_Toc15396622"/>
      <w:bookmarkStart w:id="166" w:name="_Toc148448208"/>
      <w:bookmarkStart w:id="167" w:name="_Toc28357"/>
      <w:r>
        <w:rPr>
          <w:rStyle w:val="32"/>
          <w:rFonts w:hint="default" w:ascii="Times New Roman" w:hAnsi="Times New Roman" w:eastAsia="仿宋_GB2312" w:cs="Times New Roman"/>
          <w:b w:val="0"/>
          <w:bCs w:val="0"/>
        </w:rPr>
        <w:t>四、</w:t>
      </w:r>
      <w:r>
        <w:rPr>
          <w:rFonts w:hint="default" w:ascii="Times New Roman" w:hAnsi="Times New Roman" w:eastAsia="仿宋_GB2312" w:cs="Times New Roman"/>
          <w:b w:val="0"/>
        </w:rPr>
        <w:t>财</w:t>
      </w:r>
      <w:r>
        <w:rPr>
          <w:rStyle w:val="32"/>
          <w:rFonts w:hint="default" w:ascii="Times New Roman" w:hAnsi="Times New Roman" w:eastAsia="仿宋_GB2312" w:cs="Times New Roman"/>
          <w:b w:val="0"/>
          <w:bCs w:val="0"/>
        </w:rPr>
        <w:t>政拨款收入支出决算总表</w:t>
      </w:r>
      <w:bookmarkEnd w:id="164"/>
      <w:bookmarkEnd w:id="165"/>
      <w:bookmarkEnd w:id="166"/>
      <w:bookmarkEnd w:id="167"/>
    </w:p>
    <w:p>
      <w:pPr>
        <w:pStyle w:val="4"/>
        <w:spacing w:line="408" w:lineRule="auto"/>
        <w:rPr>
          <w:rStyle w:val="32"/>
          <w:rFonts w:hint="default" w:ascii="Times New Roman" w:hAnsi="Times New Roman" w:eastAsia="仿宋_GB2312" w:cs="Times New Roman"/>
          <w:b w:val="0"/>
          <w:bCs w:val="0"/>
        </w:rPr>
      </w:pPr>
      <w:bookmarkStart w:id="168" w:name="_Toc148448209"/>
      <w:bookmarkStart w:id="169" w:name="_Toc148448435"/>
      <w:bookmarkStart w:id="170" w:name="_Toc15396623"/>
      <w:bookmarkStart w:id="171" w:name="_Toc1676"/>
      <w:r>
        <w:rPr>
          <w:rStyle w:val="32"/>
          <w:rFonts w:hint="default" w:ascii="Times New Roman" w:hAnsi="Times New Roman" w:eastAsia="仿宋_GB2312" w:cs="Times New Roman"/>
          <w:b w:val="0"/>
          <w:bCs w:val="0"/>
        </w:rPr>
        <w:t>五、</w:t>
      </w:r>
      <w:r>
        <w:rPr>
          <w:rFonts w:hint="default" w:ascii="Times New Roman" w:hAnsi="Times New Roman" w:eastAsia="仿宋_GB2312" w:cs="Times New Roman"/>
          <w:b w:val="0"/>
        </w:rPr>
        <w:t>财</w:t>
      </w:r>
      <w:r>
        <w:rPr>
          <w:rStyle w:val="32"/>
          <w:rFonts w:hint="default" w:ascii="Times New Roman" w:hAnsi="Times New Roman" w:eastAsia="仿宋_GB2312" w:cs="Times New Roman"/>
          <w:b w:val="0"/>
          <w:bCs w:val="0"/>
        </w:rPr>
        <w:t>政拨款支出决算明细表</w:t>
      </w:r>
      <w:bookmarkEnd w:id="168"/>
      <w:bookmarkEnd w:id="169"/>
      <w:bookmarkEnd w:id="170"/>
      <w:bookmarkEnd w:id="171"/>
      <w:bookmarkStart w:id="172" w:name="_Toc15396624"/>
    </w:p>
    <w:p>
      <w:pPr>
        <w:pStyle w:val="4"/>
        <w:spacing w:line="408" w:lineRule="auto"/>
        <w:rPr>
          <w:rFonts w:hint="default" w:ascii="Times New Roman" w:hAnsi="Times New Roman" w:eastAsia="仿宋_GB2312" w:cs="Times New Roman"/>
        </w:rPr>
      </w:pPr>
      <w:bookmarkStart w:id="173" w:name="_Toc148448210"/>
      <w:bookmarkStart w:id="174" w:name="_Toc148448436"/>
      <w:bookmarkStart w:id="175" w:name="_Toc16658"/>
      <w:r>
        <w:rPr>
          <w:rStyle w:val="32"/>
          <w:rFonts w:hint="default" w:ascii="Times New Roman" w:hAnsi="Times New Roman" w:eastAsia="仿宋_GB2312" w:cs="Times New Roman"/>
          <w:b w:val="0"/>
          <w:bCs w:val="0"/>
        </w:rPr>
        <w:t>六、</w:t>
      </w:r>
      <w:r>
        <w:rPr>
          <w:rFonts w:hint="default" w:ascii="Times New Roman" w:hAnsi="Times New Roman" w:eastAsia="仿宋_GB2312" w:cs="Times New Roman"/>
          <w:b w:val="0"/>
        </w:rPr>
        <w:t>一</w:t>
      </w:r>
      <w:r>
        <w:rPr>
          <w:rStyle w:val="32"/>
          <w:rFonts w:hint="default" w:ascii="Times New Roman" w:hAnsi="Times New Roman" w:eastAsia="仿宋_GB2312" w:cs="Times New Roman"/>
          <w:b w:val="0"/>
          <w:bCs w:val="0"/>
        </w:rPr>
        <w:t>般公共预算财政拨款支出决算表</w:t>
      </w:r>
      <w:bookmarkEnd w:id="172"/>
      <w:bookmarkEnd w:id="173"/>
      <w:bookmarkEnd w:id="174"/>
      <w:bookmarkEnd w:id="175"/>
    </w:p>
    <w:p>
      <w:pPr>
        <w:pStyle w:val="4"/>
        <w:spacing w:line="408" w:lineRule="auto"/>
        <w:rPr>
          <w:rFonts w:hint="default" w:ascii="Times New Roman" w:hAnsi="Times New Roman" w:eastAsia="仿宋_GB2312" w:cs="Times New Roman"/>
        </w:rPr>
      </w:pPr>
      <w:bookmarkStart w:id="176" w:name="_Toc15396625"/>
      <w:bookmarkStart w:id="177" w:name="_Toc148448437"/>
      <w:bookmarkStart w:id="178" w:name="_Toc148448211"/>
      <w:bookmarkStart w:id="179" w:name="_Toc15648"/>
      <w:r>
        <w:rPr>
          <w:rStyle w:val="32"/>
          <w:rFonts w:hint="default" w:ascii="Times New Roman" w:hAnsi="Times New Roman" w:eastAsia="仿宋_GB2312" w:cs="Times New Roman"/>
          <w:b w:val="0"/>
          <w:bCs w:val="0"/>
        </w:rPr>
        <w:t>七、</w:t>
      </w:r>
      <w:r>
        <w:rPr>
          <w:rFonts w:hint="default" w:ascii="Times New Roman" w:hAnsi="Times New Roman" w:eastAsia="仿宋_GB2312" w:cs="Times New Roman"/>
          <w:b w:val="0"/>
        </w:rPr>
        <w:t>一</w:t>
      </w:r>
      <w:r>
        <w:rPr>
          <w:rStyle w:val="32"/>
          <w:rFonts w:hint="default" w:ascii="Times New Roman" w:hAnsi="Times New Roman" w:eastAsia="仿宋_GB2312" w:cs="Times New Roman"/>
          <w:b w:val="0"/>
          <w:bCs w:val="0"/>
        </w:rPr>
        <w:t>般公共预算财政拨款支出决算明细表</w:t>
      </w:r>
      <w:bookmarkEnd w:id="176"/>
      <w:bookmarkEnd w:id="177"/>
      <w:bookmarkEnd w:id="178"/>
      <w:bookmarkEnd w:id="179"/>
    </w:p>
    <w:p>
      <w:pPr>
        <w:pStyle w:val="4"/>
        <w:spacing w:line="408" w:lineRule="auto"/>
        <w:rPr>
          <w:rFonts w:hint="default" w:ascii="Times New Roman" w:hAnsi="Times New Roman" w:eastAsia="仿宋_GB2312" w:cs="Times New Roman"/>
        </w:rPr>
      </w:pPr>
      <w:bookmarkStart w:id="180" w:name="_Toc148448438"/>
      <w:bookmarkStart w:id="181" w:name="_Toc15396626"/>
      <w:bookmarkStart w:id="182" w:name="_Toc148448212"/>
      <w:bookmarkStart w:id="183" w:name="_Toc29318"/>
      <w:r>
        <w:rPr>
          <w:rStyle w:val="32"/>
          <w:rFonts w:hint="default" w:ascii="Times New Roman" w:hAnsi="Times New Roman" w:eastAsia="仿宋_GB2312" w:cs="Times New Roman"/>
          <w:b w:val="0"/>
          <w:bCs w:val="0"/>
        </w:rPr>
        <w:t>八、</w:t>
      </w:r>
      <w:r>
        <w:rPr>
          <w:rFonts w:hint="default" w:ascii="Times New Roman" w:hAnsi="Times New Roman" w:eastAsia="仿宋_GB2312" w:cs="Times New Roman"/>
          <w:b w:val="0"/>
        </w:rPr>
        <w:t>一</w:t>
      </w:r>
      <w:r>
        <w:rPr>
          <w:rStyle w:val="32"/>
          <w:rFonts w:hint="default" w:ascii="Times New Roman" w:hAnsi="Times New Roman" w:eastAsia="仿宋_GB2312" w:cs="Times New Roman"/>
          <w:b w:val="0"/>
          <w:bCs w:val="0"/>
        </w:rPr>
        <w:t>般公共预算财政拨款基本支出决算表</w:t>
      </w:r>
      <w:bookmarkEnd w:id="180"/>
      <w:bookmarkEnd w:id="181"/>
      <w:bookmarkEnd w:id="182"/>
      <w:bookmarkEnd w:id="183"/>
    </w:p>
    <w:p>
      <w:pPr>
        <w:pStyle w:val="4"/>
        <w:spacing w:line="408" w:lineRule="auto"/>
        <w:rPr>
          <w:rFonts w:hint="default" w:ascii="Times New Roman" w:hAnsi="Times New Roman" w:eastAsia="仿宋_GB2312" w:cs="Times New Roman"/>
        </w:rPr>
      </w:pPr>
      <w:bookmarkStart w:id="184" w:name="_Toc148448213"/>
      <w:bookmarkStart w:id="185" w:name="_Toc148448439"/>
      <w:bookmarkStart w:id="186" w:name="_Toc15396627"/>
      <w:bookmarkStart w:id="187" w:name="_Toc4181"/>
      <w:r>
        <w:rPr>
          <w:rStyle w:val="32"/>
          <w:rFonts w:hint="default" w:ascii="Times New Roman" w:hAnsi="Times New Roman" w:eastAsia="仿宋_GB2312" w:cs="Times New Roman"/>
          <w:b w:val="0"/>
          <w:bCs w:val="0"/>
        </w:rPr>
        <w:t>九、</w:t>
      </w:r>
      <w:r>
        <w:rPr>
          <w:rFonts w:hint="default" w:ascii="Times New Roman" w:hAnsi="Times New Roman" w:eastAsia="仿宋_GB2312" w:cs="Times New Roman"/>
          <w:b w:val="0"/>
        </w:rPr>
        <w:t>一</w:t>
      </w:r>
      <w:r>
        <w:rPr>
          <w:rStyle w:val="32"/>
          <w:rFonts w:hint="default" w:ascii="Times New Roman" w:hAnsi="Times New Roman" w:eastAsia="仿宋_GB2312" w:cs="Times New Roman"/>
          <w:b w:val="0"/>
          <w:bCs w:val="0"/>
        </w:rPr>
        <w:t>般公共预算财政拨款项目支出决算表</w:t>
      </w:r>
      <w:bookmarkEnd w:id="184"/>
      <w:bookmarkEnd w:id="185"/>
      <w:bookmarkEnd w:id="186"/>
      <w:bookmarkEnd w:id="187"/>
    </w:p>
    <w:p>
      <w:pPr>
        <w:pStyle w:val="4"/>
        <w:spacing w:line="408" w:lineRule="auto"/>
        <w:rPr>
          <w:rFonts w:hint="default" w:ascii="Times New Roman" w:hAnsi="Times New Roman" w:eastAsia="仿宋_GB2312" w:cs="Times New Roman"/>
        </w:rPr>
      </w:pPr>
      <w:bookmarkStart w:id="188" w:name="_Toc15396628"/>
      <w:bookmarkStart w:id="189" w:name="_Toc148448214"/>
      <w:bookmarkStart w:id="190" w:name="_Toc148448440"/>
      <w:bookmarkStart w:id="191" w:name="_Toc3279"/>
      <w:r>
        <w:rPr>
          <w:rStyle w:val="32"/>
          <w:rFonts w:hint="default" w:ascii="Times New Roman" w:hAnsi="Times New Roman" w:eastAsia="仿宋_GB2312" w:cs="Times New Roman"/>
          <w:b w:val="0"/>
          <w:bCs w:val="0"/>
        </w:rPr>
        <w:t>十、</w:t>
      </w:r>
      <w:bookmarkEnd w:id="188"/>
      <w:r>
        <w:rPr>
          <w:rFonts w:hint="default" w:ascii="Times New Roman" w:hAnsi="Times New Roman" w:eastAsia="仿宋_GB2312" w:cs="Times New Roman"/>
          <w:b w:val="0"/>
        </w:rPr>
        <w:t>政</w:t>
      </w:r>
      <w:r>
        <w:rPr>
          <w:rStyle w:val="32"/>
          <w:rFonts w:hint="default" w:ascii="Times New Roman" w:hAnsi="Times New Roman" w:eastAsia="仿宋_GB2312" w:cs="Times New Roman"/>
          <w:b w:val="0"/>
          <w:bCs w:val="0"/>
        </w:rPr>
        <w:t>府性基金预算财政拨款收入支出决算表</w:t>
      </w:r>
      <w:bookmarkEnd w:id="189"/>
      <w:bookmarkEnd w:id="190"/>
      <w:bookmarkEnd w:id="191"/>
    </w:p>
    <w:p>
      <w:pPr>
        <w:pStyle w:val="4"/>
        <w:spacing w:line="408" w:lineRule="auto"/>
        <w:rPr>
          <w:rFonts w:hint="default" w:ascii="Times New Roman" w:hAnsi="Times New Roman" w:eastAsia="仿宋_GB2312" w:cs="Times New Roman"/>
        </w:rPr>
      </w:pPr>
      <w:bookmarkStart w:id="192" w:name="_Toc15396629"/>
      <w:bookmarkStart w:id="193" w:name="_Toc148448441"/>
      <w:bookmarkStart w:id="194" w:name="_Toc148448215"/>
      <w:bookmarkStart w:id="195" w:name="_Toc9694"/>
      <w:r>
        <w:rPr>
          <w:rStyle w:val="32"/>
          <w:rFonts w:hint="default" w:ascii="Times New Roman" w:hAnsi="Times New Roman" w:eastAsia="仿宋_GB2312" w:cs="Times New Roman"/>
          <w:b w:val="0"/>
          <w:bCs w:val="0"/>
        </w:rPr>
        <w:t>十一、</w:t>
      </w:r>
      <w:bookmarkEnd w:id="192"/>
      <w:r>
        <w:rPr>
          <w:rFonts w:hint="default" w:ascii="Times New Roman" w:hAnsi="Times New Roman" w:eastAsia="仿宋_GB2312" w:cs="Times New Roman"/>
          <w:b w:val="0"/>
        </w:rPr>
        <w:t>国</w:t>
      </w:r>
      <w:r>
        <w:rPr>
          <w:rStyle w:val="32"/>
          <w:rFonts w:hint="default" w:ascii="Times New Roman" w:hAnsi="Times New Roman" w:eastAsia="仿宋_GB2312" w:cs="Times New Roman"/>
          <w:b w:val="0"/>
          <w:bCs w:val="0"/>
        </w:rPr>
        <w:t>有资本经营预算财政拨款收入支出决算表</w:t>
      </w:r>
      <w:bookmarkEnd w:id="193"/>
      <w:bookmarkEnd w:id="194"/>
      <w:bookmarkEnd w:id="195"/>
    </w:p>
    <w:p>
      <w:pPr>
        <w:pStyle w:val="4"/>
        <w:spacing w:line="408" w:lineRule="auto"/>
        <w:rPr>
          <w:rFonts w:hint="default" w:ascii="Times New Roman" w:hAnsi="Times New Roman" w:eastAsia="仿宋_GB2312" w:cs="Times New Roman"/>
        </w:rPr>
      </w:pPr>
      <w:bookmarkStart w:id="196" w:name="_Toc15396630"/>
      <w:bookmarkStart w:id="197" w:name="_Toc148448442"/>
      <w:bookmarkStart w:id="198" w:name="_Toc148448216"/>
      <w:bookmarkStart w:id="199" w:name="_Toc16041"/>
      <w:r>
        <w:rPr>
          <w:rStyle w:val="32"/>
          <w:rFonts w:hint="default" w:ascii="Times New Roman" w:hAnsi="Times New Roman" w:eastAsia="仿宋_GB2312" w:cs="Times New Roman"/>
          <w:b w:val="0"/>
          <w:bCs w:val="0"/>
        </w:rPr>
        <w:t>十二、</w:t>
      </w:r>
      <w:bookmarkEnd w:id="196"/>
      <w:r>
        <w:rPr>
          <w:rStyle w:val="32"/>
          <w:rFonts w:hint="default" w:ascii="Times New Roman" w:hAnsi="Times New Roman" w:eastAsia="仿宋_GB2312" w:cs="Times New Roman"/>
          <w:b w:val="0"/>
          <w:bCs w:val="0"/>
        </w:rPr>
        <w:t>国有资本经营预算财政拨款支出决算表</w:t>
      </w:r>
      <w:bookmarkEnd w:id="197"/>
      <w:bookmarkEnd w:id="198"/>
      <w:bookmarkEnd w:id="199"/>
    </w:p>
    <w:p>
      <w:pPr>
        <w:pStyle w:val="4"/>
        <w:spacing w:line="408" w:lineRule="auto"/>
        <w:rPr>
          <w:rFonts w:hint="default" w:ascii="Times New Roman" w:hAnsi="Times New Roman" w:eastAsia="仿宋_GB2312" w:cs="Times New Roman"/>
        </w:rPr>
      </w:pPr>
      <w:bookmarkStart w:id="200" w:name="_Toc15396631"/>
      <w:bookmarkStart w:id="201" w:name="_Toc148448443"/>
      <w:bookmarkStart w:id="202" w:name="_Toc148448217"/>
      <w:bookmarkStart w:id="203" w:name="_Toc23056"/>
      <w:r>
        <w:rPr>
          <w:rStyle w:val="32"/>
          <w:rFonts w:hint="default" w:ascii="Times New Roman" w:hAnsi="Times New Roman" w:eastAsia="仿宋_GB2312" w:cs="Times New Roman"/>
          <w:b w:val="0"/>
          <w:bCs w:val="0"/>
        </w:rPr>
        <w:t>十三、</w:t>
      </w:r>
      <w:bookmarkEnd w:id="200"/>
      <w:r>
        <w:rPr>
          <w:rStyle w:val="32"/>
          <w:rFonts w:hint="default" w:ascii="Times New Roman" w:hAnsi="Times New Roman" w:eastAsia="仿宋_GB2312" w:cs="Times New Roman"/>
          <w:b w:val="0"/>
          <w:bCs w:val="0"/>
        </w:rPr>
        <w:t>财政拨款“三公”经费支出决算表</w:t>
      </w:r>
      <w:bookmarkEnd w:id="201"/>
      <w:bookmarkEnd w:id="202"/>
      <w:bookmarkEnd w:id="203"/>
    </w:p>
    <w:p>
      <w:pPr>
        <w:rPr>
          <w:rFonts w:hint="default" w:ascii="Times New Roman" w:hAnsi="Times New Roman" w:cs="Times New Roman"/>
        </w:rPr>
      </w:pPr>
    </w:p>
    <w:sectPr>
      <w:footerReference r:id="rId10" w:type="first"/>
      <w:footerReference r:id="rId9" w:type="default"/>
      <w:pgSz w:w="11906" w:h="16838"/>
      <w:pgMar w:top="1440" w:right="1080" w:bottom="1440" w:left="108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sdt>
      <w:sdtPr>
        <w:rPr>
          <w:rFonts w:hint="default"/>
          <w:lang w:val="en-US"/>
        </w:rPr>
        <w:id w:val="-1994781956"/>
      </w:sdtPr>
      <w:sdtContent>
        <w:r>
          <w:rPr>
            <w:rFonts w:hint="eastAsia"/>
            <w:lang w:val="en-US" w:eastAsia="zh-CN"/>
          </w:rPr>
          <w:t>1</w:t>
        </w:r>
      </w:sdtContent>
    </w:sdt>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5492"/>
        <w:tab w:val="clear" w:pos="4153"/>
      </w:tabs>
      <w:jc w:val="both"/>
    </w:pPr>
    <w:r>
      <w:rPr>
        <w:sz w:val="18"/>
      </w:rPr>
      <w:pict>
        <v:shape id="_x0000_s2053" o:spid="_x0000_s2053"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txbxContent>
          </v:textbox>
        </v:shape>
      </w:pict>
    </w: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1"/>
                </w:pPr>
                <w: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5492"/>
        <w:tab w:val="clear" w:pos="4153"/>
      </w:tabs>
      <w:jc w:val="both"/>
    </w:pPr>
    <w:r>
      <w:rPr>
        <w:sz w:val="18"/>
      </w:rPr>
      <w:pict>
        <v:shape id="_x0000_s2062" o:spid="_x0000_s2062" o:spt="202" type="#_x0000_t202" style="position:absolute;left:0pt;margin-top:0pt;height:144pt;width:144pt;mso-position-horizontal:outside;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r>
      <w:rPr>
        <w:sz w:val="18"/>
      </w:rPr>
      <w:pict>
        <v:shape id="_x0000_s2054" o:spid="_x0000_s2054"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txbxContent>
          </v:textbox>
        </v:shape>
      </w:pict>
    </w:r>
    <w:r>
      <w:rPr>
        <w:sz w:val="18"/>
      </w:rPr>
      <w:pict>
        <v:shape id="_x0000_s2055" o:spid="_x0000_s2055"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11"/>
                </w:pPr>
                <w:r>
                  <w:t>——</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63" o:spid="_x0000_s2063" o:spt="202" type="#_x0000_t202" style="position:absolute;left:0pt;margin-top:0pt;height:144pt;width:144pt;mso-position-horizontal:outside;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5492"/>
        <w:tab w:val="clear" w:pos="4153"/>
      </w:tabs>
      <w:jc w:val="both"/>
    </w:pPr>
    <w:r>
      <w:rPr>
        <w:sz w:val="18"/>
      </w:rPr>
      <w:pict>
        <v:shape id="_x0000_s2064" o:spid="_x0000_s2064" o:spt="202" type="#_x0000_t202" style="position:absolute;left:0pt;margin-top:0pt;height:144pt;width:144pt;mso-position-horizontal:outside;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2</w:t>
                </w:r>
                <w:r>
                  <w:fldChar w:fldCharType="end"/>
                </w:r>
                <w:r>
                  <w:t xml:space="preserve"> —</w:t>
                </w:r>
              </w:p>
            </w:txbxContent>
          </v:textbox>
        </v:shape>
      </w:pict>
    </w:r>
    <w:r>
      <w:rPr>
        <w:sz w:val="18"/>
      </w:rPr>
      <w:pict>
        <v:shape id="_x0000_s2060" o:spid="_x0000_s2060" o:spt="202" type="#_x0000_t202" style="position:absolute;left:0pt;margin-left:234.85pt;margin-top:18.75pt;height:144pt;width:144pt;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11"/>
                </w:pPr>
              </w:p>
            </w:txbxContent>
          </v:textbox>
        </v:shape>
      </w:pict>
    </w:r>
    <w:r>
      <w:rPr>
        <w:sz w:val="18"/>
      </w:rPr>
      <w:pict>
        <v:shape id="_x0000_s2059" o:spid="_x0000_s2059" o:spt="202" type="#_x0000_t202" style="position:absolute;left:0pt;margin-top:0pt;height:144pt;width:144pt;mso-position-horizontal:center;mso-position-horizontal-relative:margin;mso-wrap-style:none;z-index:251672576;mso-width-relative:page;mso-height-relative:page;" filled="f" stroked="f" coordsize="21600,21600">
          <v:path/>
          <v:fill on="f" focussize="0,0"/>
          <v:stroke on="f"/>
          <v:imagedata o:title=""/>
          <o:lock v:ext="edit" aspectratio="f"/>
          <v:textbox inset="0mm,0mm,0mm,0mm" style="mso-fit-shape-to-text:t;">
            <w:txbxContent>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65" o:spid="_x0000_s2065" o:spt="202" type="#_x0000_t202" style="position:absolute;left:0pt;margin-top:0pt;height:144pt;width:144pt;mso-position-horizontal:outside;mso-position-horizontal-relative:margin;mso-wrap-style:none;z-index:251672576;mso-width-relative:page;mso-height-relative:page;" filled="f" stroked="f" coordsize="21600,21600">
          <v:path/>
          <v:fill on="f" focussize="0,0"/>
          <v:stroke on="f"/>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2</w:t>
                </w:r>
                <w: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19"/>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7B6F"/>
    <w:rsid w:val="000133EE"/>
    <w:rsid w:val="000222C6"/>
    <w:rsid w:val="0002549F"/>
    <w:rsid w:val="0004073B"/>
    <w:rsid w:val="00046349"/>
    <w:rsid w:val="000468DB"/>
    <w:rsid w:val="00051565"/>
    <w:rsid w:val="00061D0F"/>
    <w:rsid w:val="0006487A"/>
    <w:rsid w:val="00065F8F"/>
    <w:rsid w:val="00070A43"/>
    <w:rsid w:val="000768F2"/>
    <w:rsid w:val="0008052F"/>
    <w:rsid w:val="00083FB4"/>
    <w:rsid w:val="0009184B"/>
    <w:rsid w:val="0009217C"/>
    <w:rsid w:val="00093663"/>
    <w:rsid w:val="00094236"/>
    <w:rsid w:val="0009593C"/>
    <w:rsid w:val="00097322"/>
    <w:rsid w:val="00097B2A"/>
    <w:rsid w:val="000A0C29"/>
    <w:rsid w:val="000A6A92"/>
    <w:rsid w:val="000A6BC2"/>
    <w:rsid w:val="000B047F"/>
    <w:rsid w:val="000B0948"/>
    <w:rsid w:val="000B1FAB"/>
    <w:rsid w:val="000B22E5"/>
    <w:rsid w:val="000B55F7"/>
    <w:rsid w:val="000B5923"/>
    <w:rsid w:val="000B5A48"/>
    <w:rsid w:val="000B5E2E"/>
    <w:rsid w:val="000B6FF3"/>
    <w:rsid w:val="000C2B6C"/>
    <w:rsid w:val="000C3467"/>
    <w:rsid w:val="000C3CA6"/>
    <w:rsid w:val="000C46C9"/>
    <w:rsid w:val="000C4F97"/>
    <w:rsid w:val="000C5103"/>
    <w:rsid w:val="000C7238"/>
    <w:rsid w:val="000C7A33"/>
    <w:rsid w:val="000D0F01"/>
    <w:rsid w:val="000D1267"/>
    <w:rsid w:val="000D1D50"/>
    <w:rsid w:val="000D5782"/>
    <w:rsid w:val="000D7EE7"/>
    <w:rsid w:val="000E3CC5"/>
    <w:rsid w:val="000E43C9"/>
    <w:rsid w:val="000E6613"/>
    <w:rsid w:val="000E7119"/>
    <w:rsid w:val="000E72C4"/>
    <w:rsid w:val="000F2FC5"/>
    <w:rsid w:val="001074F1"/>
    <w:rsid w:val="00114E9B"/>
    <w:rsid w:val="0012034D"/>
    <w:rsid w:val="00123C49"/>
    <w:rsid w:val="0012705D"/>
    <w:rsid w:val="00132CB9"/>
    <w:rsid w:val="00142216"/>
    <w:rsid w:val="00144D6A"/>
    <w:rsid w:val="0014729F"/>
    <w:rsid w:val="00157BAB"/>
    <w:rsid w:val="00160594"/>
    <w:rsid w:val="001654D1"/>
    <w:rsid w:val="001712E6"/>
    <w:rsid w:val="00174518"/>
    <w:rsid w:val="0017570E"/>
    <w:rsid w:val="0018106D"/>
    <w:rsid w:val="001877A7"/>
    <w:rsid w:val="00190A3C"/>
    <w:rsid w:val="00191536"/>
    <w:rsid w:val="001927FB"/>
    <w:rsid w:val="00196687"/>
    <w:rsid w:val="001976E4"/>
    <w:rsid w:val="001A2986"/>
    <w:rsid w:val="001B015C"/>
    <w:rsid w:val="001B0B35"/>
    <w:rsid w:val="001B222E"/>
    <w:rsid w:val="001B5361"/>
    <w:rsid w:val="001C0962"/>
    <w:rsid w:val="001C451F"/>
    <w:rsid w:val="001D7531"/>
    <w:rsid w:val="001E3344"/>
    <w:rsid w:val="001E737D"/>
    <w:rsid w:val="001F0592"/>
    <w:rsid w:val="001F59FE"/>
    <w:rsid w:val="001F7506"/>
    <w:rsid w:val="002006CD"/>
    <w:rsid w:val="00202B36"/>
    <w:rsid w:val="00204698"/>
    <w:rsid w:val="00204B7A"/>
    <w:rsid w:val="00204CDE"/>
    <w:rsid w:val="00206C87"/>
    <w:rsid w:val="00210EC7"/>
    <w:rsid w:val="0021101A"/>
    <w:rsid w:val="00220536"/>
    <w:rsid w:val="002306F5"/>
    <w:rsid w:val="00233E2F"/>
    <w:rsid w:val="00235629"/>
    <w:rsid w:val="00246149"/>
    <w:rsid w:val="002527EC"/>
    <w:rsid w:val="00252AC4"/>
    <w:rsid w:val="002601BB"/>
    <w:rsid w:val="00260C38"/>
    <w:rsid w:val="002616C0"/>
    <w:rsid w:val="00262609"/>
    <w:rsid w:val="00265372"/>
    <w:rsid w:val="002662AA"/>
    <w:rsid w:val="00280496"/>
    <w:rsid w:val="00281D5F"/>
    <w:rsid w:val="0028417B"/>
    <w:rsid w:val="00294DC9"/>
    <w:rsid w:val="00295495"/>
    <w:rsid w:val="002A31DE"/>
    <w:rsid w:val="002A401C"/>
    <w:rsid w:val="002A675A"/>
    <w:rsid w:val="002A79F2"/>
    <w:rsid w:val="002B2613"/>
    <w:rsid w:val="002B3060"/>
    <w:rsid w:val="002B5337"/>
    <w:rsid w:val="002C0275"/>
    <w:rsid w:val="002D19B0"/>
    <w:rsid w:val="002D1AF0"/>
    <w:rsid w:val="002D6D05"/>
    <w:rsid w:val="002E129A"/>
    <w:rsid w:val="002E1FD6"/>
    <w:rsid w:val="002F12F5"/>
    <w:rsid w:val="002F1818"/>
    <w:rsid w:val="002F567B"/>
    <w:rsid w:val="003032B3"/>
    <w:rsid w:val="0030381E"/>
    <w:rsid w:val="00304265"/>
    <w:rsid w:val="003216A9"/>
    <w:rsid w:val="0032576C"/>
    <w:rsid w:val="00334AC9"/>
    <w:rsid w:val="00335A74"/>
    <w:rsid w:val="0034170D"/>
    <w:rsid w:val="00341D1F"/>
    <w:rsid w:val="00350BDD"/>
    <w:rsid w:val="003517F6"/>
    <w:rsid w:val="00351A12"/>
    <w:rsid w:val="0035290C"/>
    <w:rsid w:val="00352BAD"/>
    <w:rsid w:val="00352BCC"/>
    <w:rsid w:val="00352E77"/>
    <w:rsid w:val="00361228"/>
    <w:rsid w:val="00362BD4"/>
    <w:rsid w:val="0036561B"/>
    <w:rsid w:val="0037013F"/>
    <w:rsid w:val="00373D4B"/>
    <w:rsid w:val="003806DC"/>
    <w:rsid w:val="00380C92"/>
    <w:rsid w:val="00397E3A"/>
    <w:rsid w:val="003A30B9"/>
    <w:rsid w:val="003A484F"/>
    <w:rsid w:val="003A4883"/>
    <w:rsid w:val="003B0BE0"/>
    <w:rsid w:val="003B0C1B"/>
    <w:rsid w:val="003B2CA5"/>
    <w:rsid w:val="003B688C"/>
    <w:rsid w:val="003C0291"/>
    <w:rsid w:val="003C39AE"/>
    <w:rsid w:val="003C48D7"/>
    <w:rsid w:val="003C78BA"/>
    <w:rsid w:val="003C7B60"/>
    <w:rsid w:val="003D0C0F"/>
    <w:rsid w:val="003D1FB2"/>
    <w:rsid w:val="003D66DA"/>
    <w:rsid w:val="003E1310"/>
    <w:rsid w:val="003E434F"/>
    <w:rsid w:val="003E606D"/>
    <w:rsid w:val="003E6F55"/>
    <w:rsid w:val="003F1107"/>
    <w:rsid w:val="003F56F9"/>
    <w:rsid w:val="003F7155"/>
    <w:rsid w:val="0040350E"/>
    <w:rsid w:val="00406254"/>
    <w:rsid w:val="00406956"/>
    <w:rsid w:val="00412CD3"/>
    <w:rsid w:val="00416CD4"/>
    <w:rsid w:val="004221B3"/>
    <w:rsid w:val="004223DE"/>
    <w:rsid w:val="0042382B"/>
    <w:rsid w:val="00434489"/>
    <w:rsid w:val="00437085"/>
    <w:rsid w:val="00443600"/>
    <w:rsid w:val="00443880"/>
    <w:rsid w:val="0044511F"/>
    <w:rsid w:val="004464F4"/>
    <w:rsid w:val="0045653E"/>
    <w:rsid w:val="00456B7C"/>
    <w:rsid w:val="00471401"/>
    <w:rsid w:val="00473F31"/>
    <w:rsid w:val="00474357"/>
    <w:rsid w:val="0048031A"/>
    <w:rsid w:val="0048263A"/>
    <w:rsid w:val="00487E5D"/>
    <w:rsid w:val="00490152"/>
    <w:rsid w:val="004A711F"/>
    <w:rsid w:val="004B04CC"/>
    <w:rsid w:val="004B0A08"/>
    <w:rsid w:val="004B199D"/>
    <w:rsid w:val="004B4690"/>
    <w:rsid w:val="004C66D1"/>
    <w:rsid w:val="004D3E0F"/>
    <w:rsid w:val="004E0A2D"/>
    <w:rsid w:val="004E206B"/>
    <w:rsid w:val="004E62B4"/>
    <w:rsid w:val="004E6DF7"/>
    <w:rsid w:val="004F0FBD"/>
    <w:rsid w:val="004F403E"/>
    <w:rsid w:val="00502BC1"/>
    <w:rsid w:val="00505A47"/>
    <w:rsid w:val="0050613A"/>
    <w:rsid w:val="00512FDA"/>
    <w:rsid w:val="00517690"/>
    <w:rsid w:val="0052095E"/>
    <w:rsid w:val="00520DA0"/>
    <w:rsid w:val="00541184"/>
    <w:rsid w:val="00543191"/>
    <w:rsid w:val="005517EC"/>
    <w:rsid w:val="00561E4C"/>
    <w:rsid w:val="005664BB"/>
    <w:rsid w:val="00566FFA"/>
    <w:rsid w:val="00567BBE"/>
    <w:rsid w:val="00573417"/>
    <w:rsid w:val="0057481D"/>
    <w:rsid w:val="005753B9"/>
    <w:rsid w:val="00575F0B"/>
    <w:rsid w:val="00577C34"/>
    <w:rsid w:val="00581C9E"/>
    <w:rsid w:val="0058486E"/>
    <w:rsid w:val="00585B33"/>
    <w:rsid w:val="0059014D"/>
    <w:rsid w:val="005960C5"/>
    <w:rsid w:val="005960DD"/>
    <w:rsid w:val="005B5C64"/>
    <w:rsid w:val="005C6BD0"/>
    <w:rsid w:val="005C6C4C"/>
    <w:rsid w:val="005D1C8B"/>
    <w:rsid w:val="005D31B7"/>
    <w:rsid w:val="005D4054"/>
    <w:rsid w:val="005D468D"/>
    <w:rsid w:val="005D5CED"/>
    <w:rsid w:val="005E08E2"/>
    <w:rsid w:val="005E5B8E"/>
    <w:rsid w:val="005F1A4C"/>
    <w:rsid w:val="0060231E"/>
    <w:rsid w:val="00605688"/>
    <w:rsid w:val="006070AF"/>
    <w:rsid w:val="00607E6C"/>
    <w:rsid w:val="006101B1"/>
    <w:rsid w:val="00610792"/>
    <w:rsid w:val="00614E44"/>
    <w:rsid w:val="0062270A"/>
    <w:rsid w:val="00622830"/>
    <w:rsid w:val="00623D33"/>
    <w:rsid w:val="00623DA0"/>
    <w:rsid w:val="00630AEF"/>
    <w:rsid w:val="0063245D"/>
    <w:rsid w:val="006325F8"/>
    <w:rsid w:val="00633463"/>
    <w:rsid w:val="00634C9A"/>
    <w:rsid w:val="006440E4"/>
    <w:rsid w:val="00644B4C"/>
    <w:rsid w:val="00651574"/>
    <w:rsid w:val="00653A49"/>
    <w:rsid w:val="00662528"/>
    <w:rsid w:val="0066343B"/>
    <w:rsid w:val="00664436"/>
    <w:rsid w:val="00664777"/>
    <w:rsid w:val="006748A4"/>
    <w:rsid w:val="00681A31"/>
    <w:rsid w:val="00683E73"/>
    <w:rsid w:val="0069274E"/>
    <w:rsid w:val="006A3141"/>
    <w:rsid w:val="006A5B0D"/>
    <w:rsid w:val="006A5E34"/>
    <w:rsid w:val="006A682A"/>
    <w:rsid w:val="006B1EB2"/>
    <w:rsid w:val="006B2422"/>
    <w:rsid w:val="006B2B9A"/>
    <w:rsid w:val="006B63EE"/>
    <w:rsid w:val="006B6980"/>
    <w:rsid w:val="006C1937"/>
    <w:rsid w:val="006C41F9"/>
    <w:rsid w:val="006D1D7E"/>
    <w:rsid w:val="006D714D"/>
    <w:rsid w:val="006E4FA9"/>
    <w:rsid w:val="006E56C7"/>
    <w:rsid w:val="006F020C"/>
    <w:rsid w:val="006F1E62"/>
    <w:rsid w:val="006F56EE"/>
    <w:rsid w:val="007127B7"/>
    <w:rsid w:val="00716A12"/>
    <w:rsid w:val="0071798E"/>
    <w:rsid w:val="00721D02"/>
    <w:rsid w:val="00727533"/>
    <w:rsid w:val="007416B6"/>
    <w:rsid w:val="00746F48"/>
    <w:rsid w:val="007479CE"/>
    <w:rsid w:val="0075404D"/>
    <w:rsid w:val="00761078"/>
    <w:rsid w:val="0076182A"/>
    <w:rsid w:val="00767B7E"/>
    <w:rsid w:val="007724C2"/>
    <w:rsid w:val="007758D1"/>
    <w:rsid w:val="007770C3"/>
    <w:rsid w:val="00782462"/>
    <w:rsid w:val="0078492B"/>
    <w:rsid w:val="00784D24"/>
    <w:rsid w:val="00785763"/>
    <w:rsid w:val="00785FBA"/>
    <w:rsid w:val="00786C78"/>
    <w:rsid w:val="00786E4A"/>
    <w:rsid w:val="007875EB"/>
    <w:rsid w:val="0079426B"/>
    <w:rsid w:val="007A02A3"/>
    <w:rsid w:val="007A4FBA"/>
    <w:rsid w:val="007C065E"/>
    <w:rsid w:val="007C2A1E"/>
    <w:rsid w:val="007D1682"/>
    <w:rsid w:val="007D312A"/>
    <w:rsid w:val="007D3A08"/>
    <w:rsid w:val="007D3F19"/>
    <w:rsid w:val="007E0C35"/>
    <w:rsid w:val="007E23B0"/>
    <w:rsid w:val="007F1991"/>
    <w:rsid w:val="007F2C2F"/>
    <w:rsid w:val="007F55FC"/>
    <w:rsid w:val="007F5665"/>
    <w:rsid w:val="007F7619"/>
    <w:rsid w:val="00800112"/>
    <w:rsid w:val="00804B0C"/>
    <w:rsid w:val="00813348"/>
    <w:rsid w:val="008172F6"/>
    <w:rsid w:val="0081747A"/>
    <w:rsid w:val="00821026"/>
    <w:rsid w:val="008229A4"/>
    <w:rsid w:val="008253BB"/>
    <w:rsid w:val="0083009D"/>
    <w:rsid w:val="008324EA"/>
    <w:rsid w:val="00833962"/>
    <w:rsid w:val="0083466B"/>
    <w:rsid w:val="0083706E"/>
    <w:rsid w:val="00840709"/>
    <w:rsid w:val="008408F6"/>
    <w:rsid w:val="008423A5"/>
    <w:rsid w:val="00843327"/>
    <w:rsid w:val="008435B5"/>
    <w:rsid w:val="0084570B"/>
    <w:rsid w:val="00850625"/>
    <w:rsid w:val="00852AB1"/>
    <w:rsid w:val="00853718"/>
    <w:rsid w:val="00855221"/>
    <w:rsid w:val="00857E97"/>
    <w:rsid w:val="00860645"/>
    <w:rsid w:val="0086646D"/>
    <w:rsid w:val="00871F71"/>
    <w:rsid w:val="00872FD8"/>
    <w:rsid w:val="00876782"/>
    <w:rsid w:val="00877FC3"/>
    <w:rsid w:val="008801FF"/>
    <w:rsid w:val="00882EAE"/>
    <w:rsid w:val="00885AF4"/>
    <w:rsid w:val="00886395"/>
    <w:rsid w:val="008939CD"/>
    <w:rsid w:val="008A173B"/>
    <w:rsid w:val="008A3EAD"/>
    <w:rsid w:val="008B0808"/>
    <w:rsid w:val="008B4E38"/>
    <w:rsid w:val="008B768C"/>
    <w:rsid w:val="008C3E98"/>
    <w:rsid w:val="008C4DB1"/>
    <w:rsid w:val="008C4EAF"/>
    <w:rsid w:val="008C5176"/>
    <w:rsid w:val="008C7FD0"/>
    <w:rsid w:val="008D1583"/>
    <w:rsid w:val="008D1EBA"/>
    <w:rsid w:val="008D5375"/>
    <w:rsid w:val="008D575A"/>
    <w:rsid w:val="008D5ED8"/>
    <w:rsid w:val="008E1DE7"/>
    <w:rsid w:val="008E707C"/>
    <w:rsid w:val="00900B08"/>
    <w:rsid w:val="00902155"/>
    <w:rsid w:val="00902FA3"/>
    <w:rsid w:val="00914C08"/>
    <w:rsid w:val="00923564"/>
    <w:rsid w:val="0092392E"/>
    <w:rsid w:val="00925D17"/>
    <w:rsid w:val="009315F9"/>
    <w:rsid w:val="00933499"/>
    <w:rsid w:val="00935102"/>
    <w:rsid w:val="00935C98"/>
    <w:rsid w:val="00936D28"/>
    <w:rsid w:val="009410C6"/>
    <w:rsid w:val="00946945"/>
    <w:rsid w:val="00951248"/>
    <w:rsid w:val="0095152F"/>
    <w:rsid w:val="00954C49"/>
    <w:rsid w:val="00955C28"/>
    <w:rsid w:val="00955E37"/>
    <w:rsid w:val="009645F9"/>
    <w:rsid w:val="00964C16"/>
    <w:rsid w:val="009660A6"/>
    <w:rsid w:val="0096712B"/>
    <w:rsid w:val="0097099F"/>
    <w:rsid w:val="00971997"/>
    <w:rsid w:val="00971FFC"/>
    <w:rsid w:val="0098660A"/>
    <w:rsid w:val="009931C3"/>
    <w:rsid w:val="009A1442"/>
    <w:rsid w:val="009B2C43"/>
    <w:rsid w:val="009B4EAE"/>
    <w:rsid w:val="009B7573"/>
    <w:rsid w:val="009C22F4"/>
    <w:rsid w:val="009C2E98"/>
    <w:rsid w:val="009C37FB"/>
    <w:rsid w:val="009D3447"/>
    <w:rsid w:val="009D4426"/>
    <w:rsid w:val="009D4711"/>
    <w:rsid w:val="009E4E92"/>
    <w:rsid w:val="009F1185"/>
    <w:rsid w:val="009F175E"/>
    <w:rsid w:val="009F18CD"/>
    <w:rsid w:val="009F2A13"/>
    <w:rsid w:val="009F7527"/>
    <w:rsid w:val="009F7A75"/>
    <w:rsid w:val="00A01432"/>
    <w:rsid w:val="00A02DDA"/>
    <w:rsid w:val="00A02FE3"/>
    <w:rsid w:val="00A039ED"/>
    <w:rsid w:val="00A04EB0"/>
    <w:rsid w:val="00A13CC1"/>
    <w:rsid w:val="00A16847"/>
    <w:rsid w:val="00A206A6"/>
    <w:rsid w:val="00A21AD3"/>
    <w:rsid w:val="00A232F1"/>
    <w:rsid w:val="00A2333B"/>
    <w:rsid w:val="00A237D8"/>
    <w:rsid w:val="00A268C4"/>
    <w:rsid w:val="00A307CD"/>
    <w:rsid w:val="00A3085B"/>
    <w:rsid w:val="00A331C8"/>
    <w:rsid w:val="00A35117"/>
    <w:rsid w:val="00A353EA"/>
    <w:rsid w:val="00A40A00"/>
    <w:rsid w:val="00A4142F"/>
    <w:rsid w:val="00A41EF6"/>
    <w:rsid w:val="00A422EB"/>
    <w:rsid w:val="00A45BB7"/>
    <w:rsid w:val="00A50CC4"/>
    <w:rsid w:val="00A5201E"/>
    <w:rsid w:val="00A52D83"/>
    <w:rsid w:val="00A56DF2"/>
    <w:rsid w:val="00A56E6E"/>
    <w:rsid w:val="00A6352F"/>
    <w:rsid w:val="00A63A0A"/>
    <w:rsid w:val="00A67AB5"/>
    <w:rsid w:val="00A704E4"/>
    <w:rsid w:val="00A713AF"/>
    <w:rsid w:val="00A733B2"/>
    <w:rsid w:val="00A741C2"/>
    <w:rsid w:val="00A8075F"/>
    <w:rsid w:val="00A820C0"/>
    <w:rsid w:val="00A82A5D"/>
    <w:rsid w:val="00A866B3"/>
    <w:rsid w:val="00A91760"/>
    <w:rsid w:val="00A93AA0"/>
    <w:rsid w:val="00A93B00"/>
    <w:rsid w:val="00A93C21"/>
    <w:rsid w:val="00AA4C54"/>
    <w:rsid w:val="00AA7E54"/>
    <w:rsid w:val="00AB64C9"/>
    <w:rsid w:val="00AC3C6A"/>
    <w:rsid w:val="00AC6DB8"/>
    <w:rsid w:val="00AD084E"/>
    <w:rsid w:val="00AD0F83"/>
    <w:rsid w:val="00AD2BED"/>
    <w:rsid w:val="00AD5620"/>
    <w:rsid w:val="00AD656B"/>
    <w:rsid w:val="00AD7C1B"/>
    <w:rsid w:val="00AE16BA"/>
    <w:rsid w:val="00AE1EBE"/>
    <w:rsid w:val="00AF5FEA"/>
    <w:rsid w:val="00AF7969"/>
    <w:rsid w:val="00B008F3"/>
    <w:rsid w:val="00B02BE8"/>
    <w:rsid w:val="00B03C9D"/>
    <w:rsid w:val="00B05C9F"/>
    <w:rsid w:val="00B060AE"/>
    <w:rsid w:val="00B10517"/>
    <w:rsid w:val="00B14E76"/>
    <w:rsid w:val="00B161B8"/>
    <w:rsid w:val="00B2048C"/>
    <w:rsid w:val="00B302AC"/>
    <w:rsid w:val="00B310B9"/>
    <w:rsid w:val="00B3547E"/>
    <w:rsid w:val="00B35F3F"/>
    <w:rsid w:val="00B368D4"/>
    <w:rsid w:val="00B36CBB"/>
    <w:rsid w:val="00B425E0"/>
    <w:rsid w:val="00B439FA"/>
    <w:rsid w:val="00B440AA"/>
    <w:rsid w:val="00B44B70"/>
    <w:rsid w:val="00B46388"/>
    <w:rsid w:val="00B46E75"/>
    <w:rsid w:val="00B53837"/>
    <w:rsid w:val="00B53C56"/>
    <w:rsid w:val="00B571CF"/>
    <w:rsid w:val="00B57DAF"/>
    <w:rsid w:val="00B72629"/>
    <w:rsid w:val="00B77EA6"/>
    <w:rsid w:val="00B80954"/>
    <w:rsid w:val="00B81598"/>
    <w:rsid w:val="00B84045"/>
    <w:rsid w:val="00B841F1"/>
    <w:rsid w:val="00B9060F"/>
    <w:rsid w:val="00B93672"/>
    <w:rsid w:val="00B93BBD"/>
    <w:rsid w:val="00B944D6"/>
    <w:rsid w:val="00B95F7D"/>
    <w:rsid w:val="00BA0763"/>
    <w:rsid w:val="00BA5CE4"/>
    <w:rsid w:val="00BB0A1D"/>
    <w:rsid w:val="00BB4181"/>
    <w:rsid w:val="00BB444A"/>
    <w:rsid w:val="00BB4DF0"/>
    <w:rsid w:val="00BC289F"/>
    <w:rsid w:val="00BC2D50"/>
    <w:rsid w:val="00BC4046"/>
    <w:rsid w:val="00BC4E3D"/>
    <w:rsid w:val="00BC5361"/>
    <w:rsid w:val="00BC5460"/>
    <w:rsid w:val="00BC6B50"/>
    <w:rsid w:val="00BD07C3"/>
    <w:rsid w:val="00BD0800"/>
    <w:rsid w:val="00BD0E25"/>
    <w:rsid w:val="00BD2E48"/>
    <w:rsid w:val="00BD407D"/>
    <w:rsid w:val="00BE0A74"/>
    <w:rsid w:val="00BE3577"/>
    <w:rsid w:val="00BE56BB"/>
    <w:rsid w:val="00BE6083"/>
    <w:rsid w:val="00BF51D1"/>
    <w:rsid w:val="00BF5BD6"/>
    <w:rsid w:val="00C03E31"/>
    <w:rsid w:val="00C064CC"/>
    <w:rsid w:val="00C11489"/>
    <w:rsid w:val="00C11E91"/>
    <w:rsid w:val="00C1271C"/>
    <w:rsid w:val="00C17B6B"/>
    <w:rsid w:val="00C23EBA"/>
    <w:rsid w:val="00C30E69"/>
    <w:rsid w:val="00C32B55"/>
    <w:rsid w:val="00C332D6"/>
    <w:rsid w:val="00C33E72"/>
    <w:rsid w:val="00C34241"/>
    <w:rsid w:val="00C34A1B"/>
    <w:rsid w:val="00C34F8B"/>
    <w:rsid w:val="00C354B2"/>
    <w:rsid w:val="00C35554"/>
    <w:rsid w:val="00C356F4"/>
    <w:rsid w:val="00C42709"/>
    <w:rsid w:val="00C47BC8"/>
    <w:rsid w:val="00C51595"/>
    <w:rsid w:val="00C521D1"/>
    <w:rsid w:val="00C533CC"/>
    <w:rsid w:val="00C5705C"/>
    <w:rsid w:val="00C5751C"/>
    <w:rsid w:val="00C6194B"/>
    <w:rsid w:val="00C61BFC"/>
    <w:rsid w:val="00C62B85"/>
    <w:rsid w:val="00C65438"/>
    <w:rsid w:val="00C73E4E"/>
    <w:rsid w:val="00C74004"/>
    <w:rsid w:val="00C82165"/>
    <w:rsid w:val="00C82499"/>
    <w:rsid w:val="00C83D13"/>
    <w:rsid w:val="00C91CBB"/>
    <w:rsid w:val="00CA016E"/>
    <w:rsid w:val="00CB044E"/>
    <w:rsid w:val="00CB09B2"/>
    <w:rsid w:val="00CB4E70"/>
    <w:rsid w:val="00CC09B6"/>
    <w:rsid w:val="00CC2F41"/>
    <w:rsid w:val="00CC666F"/>
    <w:rsid w:val="00CD1E3F"/>
    <w:rsid w:val="00CD229C"/>
    <w:rsid w:val="00CD2B00"/>
    <w:rsid w:val="00CD2C38"/>
    <w:rsid w:val="00CD4E7D"/>
    <w:rsid w:val="00CD66DB"/>
    <w:rsid w:val="00CE02F9"/>
    <w:rsid w:val="00CE44F6"/>
    <w:rsid w:val="00CE49DA"/>
    <w:rsid w:val="00CE7B61"/>
    <w:rsid w:val="00CF767A"/>
    <w:rsid w:val="00D00095"/>
    <w:rsid w:val="00D000C0"/>
    <w:rsid w:val="00D114F0"/>
    <w:rsid w:val="00D20620"/>
    <w:rsid w:val="00D21866"/>
    <w:rsid w:val="00D22A13"/>
    <w:rsid w:val="00D23A2A"/>
    <w:rsid w:val="00D254F7"/>
    <w:rsid w:val="00D26091"/>
    <w:rsid w:val="00D2685C"/>
    <w:rsid w:val="00D34CC9"/>
    <w:rsid w:val="00D34E7C"/>
    <w:rsid w:val="00D35489"/>
    <w:rsid w:val="00D36AFE"/>
    <w:rsid w:val="00D454E1"/>
    <w:rsid w:val="00D51276"/>
    <w:rsid w:val="00D54303"/>
    <w:rsid w:val="00D5709A"/>
    <w:rsid w:val="00D63C07"/>
    <w:rsid w:val="00D64FE7"/>
    <w:rsid w:val="00D7035F"/>
    <w:rsid w:val="00D830E0"/>
    <w:rsid w:val="00D8343E"/>
    <w:rsid w:val="00D83799"/>
    <w:rsid w:val="00D85164"/>
    <w:rsid w:val="00D96FE2"/>
    <w:rsid w:val="00DA3DC8"/>
    <w:rsid w:val="00DA634F"/>
    <w:rsid w:val="00DA65AC"/>
    <w:rsid w:val="00DB1913"/>
    <w:rsid w:val="00DB5E2C"/>
    <w:rsid w:val="00DB72E1"/>
    <w:rsid w:val="00DC410D"/>
    <w:rsid w:val="00DC45B6"/>
    <w:rsid w:val="00DC5A81"/>
    <w:rsid w:val="00DC68CA"/>
    <w:rsid w:val="00DC7CBA"/>
    <w:rsid w:val="00DD73B7"/>
    <w:rsid w:val="00DE2429"/>
    <w:rsid w:val="00DF28BC"/>
    <w:rsid w:val="00DF2F53"/>
    <w:rsid w:val="00DF34B9"/>
    <w:rsid w:val="00DF58C7"/>
    <w:rsid w:val="00E00A68"/>
    <w:rsid w:val="00E01053"/>
    <w:rsid w:val="00E034F0"/>
    <w:rsid w:val="00E07ACF"/>
    <w:rsid w:val="00E10B96"/>
    <w:rsid w:val="00E1293E"/>
    <w:rsid w:val="00E3212F"/>
    <w:rsid w:val="00E331A1"/>
    <w:rsid w:val="00E33202"/>
    <w:rsid w:val="00E336A9"/>
    <w:rsid w:val="00E440CA"/>
    <w:rsid w:val="00E4582B"/>
    <w:rsid w:val="00E472B1"/>
    <w:rsid w:val="00E47839"/>
    <w:rsid w:val="00E50624"/>
    <w:rsid w:val="00E568DF"/>
    <w:rsid w:val="00E6292E"/>
    <w:rsid w:val="00E64269"/>
    <w:rsid w:val="00E66797"/>
    <w:rsid w:val="00E82267"/>
    <w:rsid w:val="00E84455"/>
    <w:rsid w:val="00E853CE"/>
    <w:rsid w:val="00E867B6"/>
    <w:rsid w:val="00E87F08"/>
    <w:rsid w:val="00EA010F"/>
    <w:rsid w:val="00EB3BFC"/>
    <w:rsid w:val="00EB4849"/>
    <w:rsid w:val="00EC0786"/>
    <w:rsid w:val="00EC0C1D"/>
    <w:rsid w:val="00ED1B63"/>
    <w:rsid w:val="00ED3C1F"/>
    <w:rsid w:val="00ED3E1B"/>
    <w:rsid w:val="00ED4085"/>
    <w:rsid w:val="00ED420E"/>
    <w:rsid w:val="00ED6FBE"/>
    <w:rsid w:val="00EE2F57"/>
    <w:rsid w:val="00EE33EC"/>
    <w:rsid w:val="00EE7648"/>
    <w:rsid w:val="00EF4C34"/>
    <w:rsid w:val="00EF77C6"/>
    <w:rsid w:val="00F05438"/>
    <w:rsid w:val="00F1361C"/>
    <w:rsid w:val="00F156F0"/>
    <w:rsid w:val="00F160C7"/>
    <w:rsid w:val="00F16DA6"/>
    <w:rsid w:val="00F20C19"/>
    <w:rsid w:val="00F2408F"/>
    <w:rsid w:val="00F240E9"/>
    <w:rsid w:val="00F250F9"/>
    <w:rsid w:val="00F25D51"/>
    <w:rsid w:val="00F30A29"/>
    <w:rsid w:val="00F36D8F"/>
    <w:rsid w:val="00F417B1"/>
    <w:rsid w:val="00F4336B"/>
    <w:rsid w:val="00F45853"/>
    <w:rsid w:val="00F50304"/>
    <w:rsid w:val="00F55179"/>
    <w:rsid w:val="00F55A7A"/>
    <w:rsid w:val="00F602DF"/>
    <w:rsid w:val="00F62D44"/>
    <w:rsid w:val="00F6690C"/>
    <w:rsid w:val="00F67D2A"/>
    <w:rsid w:val="00F754A1"/>
    <w:rsid w:val="00F81FD9"/>
    <w:rsid w:val="00F841AA"/>
    <w:rsid w:val="00F84A94"/>
    <w:rsid w:val="00F87E96"/>
    <w:rsid w:val="00F87FCF"/>
    <w:rsid w:val="00FA23E8"/>
    <w:rsid w:val="00FA495D"/>
    <w:rsid w:val="00FB14E3"/>
    <w:rsid w:val="00FB319A"/>
    <w:rsid w:val="00FB5814"/>
    <w:rsid w:val="00FB6A55"/>
    <w:rsid w:val="00FC4D8A"/>
    <w:rsid w:val="00FC523D"/>
    <w:rsid w:val="00FC5942"/>
    <w:rsid w:val="00FD2A3A"/>
    <w:rsid w:val="00FD3CC1"/>
    <w:rsid w:val="00FE39CD"/>
    <w:rsid w:val="00FF0270"/>
    <w:rsid w:val="00FF1E02"/>
    <w:rsid w:val="00FF2D10"/>
    <w:rsid w:val="00FF30B4"/>
    <w:rsid w:val="10C055FF"/>
    <w:rsid w:val="10CC3B5A"/>
    <w:rsid w:val="16BB723D"/>
    <w:rsid w:val="203B0A91"/>
    <w:rsid w:val="240371BF"/>
    <w:rsid w:val="29FD04D3"/>
    <w:rsid w:val="2A4B1D4A"/>
    <w:rsid w:val="319F7F4E"/>
    <w:rsid w:val="36DD450B"/>
    <w:rsid w:val="3E2073D6"/>
    <w:rsid w:val="443308BA"/>
    <w:rsid w:val="483C7385"/>
    <w:rsid w:val="4ECE2238"/>
    <w:rsid w:val="5C4659B6"/>
    <w:rsid w:val="64430383"/>
    <w:rsid w:val="6708692E"/>
    <w:rsid w:val="6A5F7785"/>
    <w:rsid w:val="72734D90"/>
    <w:rsid w:val="7FDB45E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8"/>
    <w:qFormat/>
    <w:uiPriority w:val="99"/>
    <w:pPr>
      <w:spacing w:beforeLines="30"/>
    </w:pPr>
    <w:rPr>
      <w:rFonts w:ascii="仿宋_GB2312" w:eastAsia="仿宋_GB2312"/>
      <w:kern w:val="0"/>
      <w:sz w:val="30"/>
    </w:rPr>
  </w:style>
  <w:style w:type="paragraph" w:styleId="6">
    <w:name w:val="toc 7"/>
    <w:basedOn w:val="1"/>
    <w:next w:val="1"/>
    <w:unhideWhenUsed/>
    <w:uiPriority w:val="39"/>
    <w:pPr>
      <w:ind w:left="1050"/>
      <w:jc w:val="left"/>
    </w:pPr>
    <w:rPr>
      <w:rFonts w:asciiTheme="minorHAnsi" w:hAnsiTheme="minorHAnsi"/>
      <w:sz w:val="20"/>
      <w:szCs w:val="20"/>
    </w:rPr>
  </w:style>
  <w:style w:type="paragraph" w:styleId="7">
    <w:name w:val="toc 5"/>
    <w:basedOn w:val="1"/>
    <w:next w:val="1"/>
    <w:unhideWhenUsed/>
    <w:uiPriority w:val="39"/>
    <w:pPr>
      <w:ind w:left="630"/>
      <w:jc w:val="left"/>
    </w:pPr>
    <w:rPr>
      <w:rFonts w:asciiTheme="minorHAnsi" w:hAnsiTheme="minorHAnsi"/>
      <w:sz w:val="20"/>
      <w:szCs w:val="20"/>
    </w:rPr>
  </w:style>
  <w:style w:type="paragraph" w:styleId="8">
    <w:name w:val="toc 3"/>
    <w:basedOn w:val="1"/>
    <w:next w:val="1"/>
    <w:unhideWhenUsed/>
    <w:qFormat/>
    <w:uiPriority w:val="39"/>
    <w:pPr>
      <w:ind w:left="210"/>
      <w:jc w:val="left"/>
    </w:pPr>
    <w:rPr>
      <w:rFonts w:asciiTheme="minorHAnsi" w:hAnsiTheme="minorHAnsi"/>
      <w:sz w:val="20"/>
      <w:szCs w:val="20"/>
    </w:rPr>
  </w:style>
  <w:style w:type="paragraph" w:styleId="9">
    <w:name w:val="toc 8"/>
    <w:basedOn w:val="1"/>
    <w:next w:val="1"/>
    <w:unhideWhenUsed/>
    <w:uiPriority w:val="39"/>
    <w:pPr>
      <w:ind w:left="1260"/>
      <w:jc w:val="left"/>
    </w:pPr>
    <w:rPr>
      <w:rFonts w:asciiTheme="minorHAnsi" w:hAnsiTheme="minorHAnsi"/>
      <w:sz w:val="20"/>
      <w:szCs w:val="20"/>
    </w:r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spacing w:before="360"/>
      <w:jc w:val="left"/>
    </w:pPr>
    <w:rPr>
      <w:rFonts w:asciiTheme="majorHAnsi" w:hAnsiTheme="majorHAnsi"/>
      <w:b/>
      <w:bCs/>
      <w:caps/>
      <w:sz w:val="24"/>
    </w:rPr>
  </w:style>
  <w:style w:type="paragraph" w:styleId="14">
    <w:name w:val="toc 4"/>
    <w:basedOn w:val="1"/>
    <w:next w:val="1"/>
    <w:unhideWhenUsed/>
    <w:qFormat/>
    <w:uiPriority w:val="39"/>
    <w:pPr>
      <w:ind w:left="420"/>
      <w:jc w:val="left"/>
    </w:pPr>
    <w:rPr>
      <w:rFonts w:asciiTheme="minorHAnsi" w:hAnsiTheme="minorHAnsi"/>
      <w:sz w:val="20"/>
      <w:szCs w:val="20"/>
    </w:rPr>
  </w:style>
  <w:style w:type="paragraph" w:styleId="15">
    <w:name w:val="toc 6"/>
    <w:basedOn w:val="1"/>
    <w:next w:val="1"/>
    <w:unhideWhenUsed/>
    <w:uiPriority w:val="39"/>
    <w:pPr>
      <w:ind w:left="840"/>
      <w:jc w:val="left"/>
    </w:pPr>
    <w:rPr>
      <w:rFonts w:asciiTheme="minorHAnsi" w:hAnsiTheme="minorHAnsi"/>
      <w:sz w:val="20"/>
      <w:szCs w:val="20"/>
    </w:rPr>
  </w:style>
  <w:style w:type="paragraph" w:styleId="16">
    <w:name w:val="toc 2"/>
    <w:basedOn w:val="1"/>
    <w:next w:val="1"/>
    <w:unhideWhenUsed/>
    <w:qFormat/>
    <w:uiPriority w:val="39"/>
    <w:pPr>
      <w:spacing w:before="240"/>
      <w:jc w:val="left"/>
    </w:pPr>
    <w:rPr>
      <w:rFonts w:asciiTheme="minorHAnsi" w:hAnsiTheme="minorHAnsi"/>
      <w:b/>
      <w:bCs/>
      <w:sz w:val="20"/>
      <w:szCs w:val="20"/>
    </w:rPr>
  </w:style>
  <w:style w:type="paragraph" w:styleId="17">
    <w:name w:val="toc 9"/>
    <w:basedOn w:val="1"/>
    <w:next w:val="1"/>
    <w:unhideWhenUsed/>
    <w:uiPriority w:val="39"/>
    <w:pPr>
      <w:ind w:left="1470"/>
      <w:jc w:val="left"/>
    </w:pPr>
    <w:rPr>
      <w:rFonts w:asciiTheme="minorHAnsi" w:hAnsiTheme="minorHAnsi"/>
      <w:sz w:val="20"/>
      <w:szCs w:val="20"/>
    </w:rPr>
  </w:style>
  <w:style w:type="table" w:styleId="19">
    <w:name w:val="Table Grid"/>
    <w:basedOn w:val="18"/>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Hyperlink"/>
    <w:basedOn w:val="20"/>
    <w:unhideWhenUsed/>
    <w:qFormat/>
    <w:uiPriority w:val="99"/>
    <w:rPr>
      <w:color w:val="0000FF" w:themeColor="hyperlink"/>
      <w:u w:val="single"/>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Char"/>
    <w:link w:val="2"/>
    <w:qFormat/>
    <w:locked/>
    <w:uiPriority w:val="99"/>
    <w:rPr>
      <w:rFonts w:ascii="仿宋_GB2312" w:hAnsi="Times New Roman" w:eastAsia="仿宋_GB2312"/>
      <w:sz w:val="24"/>
    </w:rPr>
  </w:style>
  <w:style w:type="paragraph" w:customStyle="1" w:styleId="2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20"/>
    <w:link w:val="3"/>
    <w:qFormat/>
    <w:uiPriority w:val="9"/>
    <w:rPr>
      <w:rFonts w:ascii="Times New Roman" w:hAnsi="Times New Roman"/>
      <w:b/>
      <w:bCs/>
      <w:kern w:val="44"/>
      <w:sz w:val="44"/>
      <w:szCs w:val="44"/>
    </w:rPr>
  </w:style>
  <w:style w:type="character" w:customStyle="1" w:styleId="32">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批注框文本 Char"/>
    <w:basedOn w:val="20"/>
    <w:link w:val="10"/>
    <w:semiHidden/>
    <w:qFormat/>
    <w:uiPriority w:val="99"/>
    <w:rPr>
      <w:rFonts w:ascii="Times New Roman" w:hAnsi="Times New Roman"/>
      <w:kern w:val="2"/>
      <w:sz w:val="18"/>
      <w:szCs w:val="18"/>
    </w:rPr>
  </w:style>
  <w:style w:type="character" w:customStyle="1" w:styleId="35">
    <w:name w:val="标题 3 Char"/>
    <w:basedOn w:val="20"/>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四号正文"/>
    <w:basedOn w:val="1"/>
    <w:link w:val="38"/>
    <w:qFormat/>
    <w:uiPriority w:val="0"/>
    <w:pPr>
      <w:spacing w:line="360" w:lineRule="auto"/>
    </w:pPr>
    <w:rPr>
      <w:rFonts w:ascii="??" w:hAnsi="??"/>
      <w:color w:val="000000"/>
      <w:kern w:val="0"/>
      <w:sz w:val="28"/>
      <w:szCs w:val="21"/>
    </w:rPr>
  </w:style>
  <w:style w:type="character" w:customStyle="1" w:styleId="38">
    <w:name w:val="四号正文 Char"/>
    <w:link w:val="37"/>
    <w:qFormat/>
    <w:uiPriority w:val="0"/>
    <w:rPr>
      <w:rFonts w:ascii="??" w:hAnsi="??"/>
      <w:color w:val="000000"/>
      <w:sz w:val="28"/>
      <w:szCs w:val="21"/>
    </w:rPr>
  </w:style>
  <w:style w:type="paragraph" w:customStyle="1" w:styleId="39">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0">
    <w:name w:val="WPSOffice手动目录 1"/>
    <w:uiPriority w:val="0"/>
    <w:pPr>
      <w:ind w:leftChars="0"/>
    </w:pPr>
    <w:rPr>
      <w:sz w:val="20"/>
      <w:szCs w:val="20"/>
    </w:rPr>
  </w:style>
  <w:style w:type="paragraph" w:customStyle="1" w:styleId="41">
    <w:name w:val="WPSOffice手动目录 2"/>
    <w:uiPriority w:val="0"/>
    <w:pPr>
      <w:ind w:leftChars="200"/>
    </w:pPr>
    <w:rPr>
      <w:sz w:val="20"/>
      <w:szCs w:val="20"/>
    </w:rPr>
  </w:style>
  <w:style w:type="paragraph" w:customStyle="1" w:styleId="42">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105357893401"/>
          <c:y val="0.108984904805681"/>
          <c:w val="0.847535629833938"/>
          <c:h val="0.699638941071452"/>
        </c:manualLayout>
      </c:layout>
      <c:barChart>
        <c:barDir val="col"/>
        <c:grouping val="clustered"/>
        <c:varyColors val="0"/>
        <c:ser>
          <c:idx val="0"/>
          <c:order val="0"/>
          <c:tx>
            <c:strRef>
              <c:f>Sheet1!$B$1</c:f>
              <c:strCache>
                <c:ptCount val="1"/>
                <c:pt idx="0">
                  <c:v>万元</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1482.26</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1900.32</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1482.26</c:v>
                </c:pt>
                <c:pt idx="1">
                  <c:v>1900.32</c:v>
                </c:pt>
              </c:numCache>
            </c:numRef>
          </c:val>
        </c:ser>
        <c:dLbls>
          <c:showLegendKey val="0"/>
          <c:showVal val="1"/>
          <c:showCatName val="0"/>
          <c:showSerName val="0"/>
          <c:showPercent val="0"/>
          <c:showBubbleSize val="0"/>
        </c:dLbls>
        <c:gapWidth val="150"/>
        <c:axId val="95293440"/>
        <c:axId val="95295744"/>
      </c:barChart>
      <c:catAx>
        <c:axId val="952934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5295744"/>
        <c:crosses val="autoZero"/>
        <c:auto val="1"/>
        <c:lblAlgn val="ctr"/>
        <c:lblOffset val="100"/>
        <c:noMultiLvlLbl val="0"/>
      </c:catAx>
      <c:valAx>
        <c:axId val="952957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529344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列1</c:v>
                </c:pt>
              </c:strCache>
            </c:strRef>
          </c:tx>
          <c:explosion val="0"/>
          <c:dPt>
            <c:idx val="0"/>
            <c:bubble3D val="0"/>
          </c:dPt>
          <c:dPt>
            <c:idx val="1"/>
            <c:bubble3D val="0"/>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0.9015</c:v>
                </c:pt>
                <c:pt idx="1">
                  <c:v>0.0985000000000004</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2"/>
                <c:pt idx="0">
                  <c:v>基本支出</c:v>
                </c:pt>
                <c:pt idx="1">
                  <c:v>项目支出</c:v>
                </c:pt>
              </c:strCache>
            </c:strRef>
          </c:cat>
          <c:val>
            <c:numRef>
              <c:f>Sheet1!$B$2:$B$5</c:f>
              <c:numCache>
                <c:formatCode>0.00%</c:formatCode>
                <c:ptCount val="4"/>
                <c:pt idx="0">
                  <c:v>0.7852</c:v>
                </c:pt>
                <c:pt idx="1">
                  <c:v>0.2148</c:v>
                </c:pt>
              </c:numCache>
            </c:numRef>
          </c:val>
        </c:ser>
        <c:dLbls>
          <c:showLegendKey val="0"/>
          <c:showVal val="0"/>
          <c:showCatName val="0"/>
          <c:showSerName val="0"/>
          <c:showPercent val="1"/>
          <c:showBubbleSize val="0"/>
        </c:dLbls>
      </c:pie3DChart>
    </c:plotArea>
    <c:legend>
      <c:legendPos val="r"/>
      <c:legendEntry>
        <c:idx val="2"/>
        <c:delete val="1"/>
      </c:legendEntry>
      <c:legendEntry>
        <c:idx val="3"/>
        <c:delete val="1"/>
      </c:legendEntry>
      <c:layout>
        <c:manualLayout>
          <c:xMode val="edge"/>
          <c:yMode val="edge"/>
          <c:x val="0.724913596620279"/>
          <c:y val="0.269296280433565"/>
          <c:w val="0.211877628514506"/>
          <c:h val="0.3219374251858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1482.26</c:v>
                </c:pt>
                <c:pt idx="1">
                  <c:v>1713.15</c:v>
                </c:pt>
              </c:numCache>
            </c:numRef>
          </c:val>
        </c:ser>
        <c:ser>
          <c:idx val="1"/>
          <c:order val="1"/>
          <c:tx>
            <c:strRef>
              <c:f>Sheet1!$C$1</c:f>
              <c:strCache>
                <c:ptCount val="1"/>
                <c:pt idx="0">
                  <c:v>列1</c:v>
                </c:pt>
              </c:strCache>
            </c:strRef>
          </c:tx>
          <c:invertIfNegative val="0"/>
          <c:dLbls>
            <c:delete val="1"/>
          </c:dLbls>
          <c:cat>
            <c:strRef>
              <c:f>Sheet1!$A$2:$A$3</c:f>
              <c:strCache>
                <c:ptCount val="2"/>
                <c:pt idx="0">
                  <c:v>2021年</c:v>
                </c:pt>
                <c:pt idx="1">
                  <c:v>2022年</c:v>
                </c:pt>
              </c:strCache>
            </c:strRef>
          </c:cat>
          <c:val>
            <c:numRef>
              <c:f>Sheet1!$C$2:$C$3</c:f>
              <c:numCache>
                <c:formatCode>General</c:formatCode>
                <c:ptCount val="2"/>
              </c:numCache>
            </c:numRef>
          </c:val>
        </c:ser>
        <c:ser>
          <c:idx val="2"/>
          <c:order val="2"/>
          <c:tx>
            <c:strRef>
              <c:f>Sheet1!$D$1</c:f>
              <c:strCache>
                <c:ptCount val="1"/>
                <c:pt idx="0">
                  <c:v>列2</c:v>
                </c:pt>
              </c:strCache>
            </c:strRef>
          </c:tx>
          <c:invertIfNegative val="0"/>
          <c:dLbls>
            <c:delete val="1"/>
          </c:dLbls>
          <c:cat>
            <c:strRef>
              <c:f>Sheet1!$A$2:$A$3</c:f>
              <c:strCache>
                <c:ptCount val="2"/>
                <c:pt idx="0">
                  <c:v>2021年</c:v>
                </c:pt>
                <c:pt idx="1">
                  <c:v>2022年</c:v>
                </c:pt>
              </c:strCache>
            </c:strRef>
          </c:cat>
          <c:val>
            <c:numRef>
              <c:f>Sheet1!$D$2:$D$3</c:f>
              <c:numCache>
                <c:formatCode>General</c:formatCode>
                <c:ptCount val="2"/>
              </c:numCache>
            </c:numRef>
          </c:val>
        </c:ser>
        <c:dLbls>
          <c:showLegendKey val="0"/>
          <c:showVal val="0"/>
          <c:showCatName val="0"/>
          <c:showSerName val="0"/>
          <c:showPercent val="0"/>
          <c:showBubbleSize val="0"/>
        </c:dLbls>
        <c:gapWidth val="150"/>
        <c:axId val="183177216"/>
        <c:axId val="183179136"/>
      </c:barChart>
      <c:catAx>
        <c:axId val="18317721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3179136"/>
        <c:crosses val="autoZero"/>
        <c:auto val="1"/>
        <c:lblAlgn val="ctr"/>
        <c:lblOffset val="100"/>
        <c:noMultiLvlLbl val="0"/>
      </c:catAx>
      <c:valAx>
        <c:axId val="1831791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317721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1482.26</c:v>
                </c:pt>
                <c:pt idx="1">
                  <c:v>1713.15</c:v>
                </c:pt>
              </c:numCache>
            </c:numRef>
          </c:val>
        </c:ser>
        <c:ser>
          <c:idx val="1"/>
          <c:order val="1"/>
          <c:tx>
            <c:strRef>
              <c:f>Sheet1!$C$1</c:f>
              <c:strCache>
                <c:ptCount val="1"/>
                <c:pt idx="0">
                  <c:v>列1</c:v>
                </c:pt>
              </c:strCache>
            </c:strRef>
          </c:tx>
          <c:invertIfNegative val="0"/>
          <c:dLbls>
            <c:delete val="1"/>
          </c:dLbls>
          <c:cat>
            <c:strRef>
              <c:f>Sheet1!$A$2:$A$3</c:f>
              <c:strCache>
                <c:ptCount val="2"/>
                <c:pt idx="0">
                  <c:v>2021年</c:v>
                </c:pt>
                <c:pt idx="1">
                  <c:v>2022年</c:v>
                </c:pt>
              </c:strCache>
            </c:strRef>
          </c:cat>
          <c:val>
            <c:numRef>
              <c:f>Sheet1!$C$2:$C$3</c:f>
              <c:numCache>
                <c:formatCode>General</c:formatCode>
                <c:ptCount val="2"/>
              </c:numCache>
            </c:numRef>
          </c:val>
        </c:ser>
        <c:ser>
          <c:idx val="2"/>
          <c:order val="2"/>
          <c:tx>
            <c:strRef>
              <c:f>Sheet1!$D$1</c:f>
              <c:strCache>
                <c:ptCount val="1"/>
                <c:pt idx="0">
                  <c:v>列2</c:v>
                </c:pt>
              </c:strCache>
            </c:strRef>
          </c:tx>
          <c:invertIfNegative val="0"/>
          <c:dLbls>
            <c:delete val="1"/>
          </c:dLbls>
          <c:cat>
            <c:strRef>
              <c:f>Sheet1!$A$2:$A$3</c:f>
              <c:strCache>
                <c:ptCount val="2"/>
                <c:pt idx="0">
                  <c:v>2021年</c:v>
                </c:pt>
                <c:pt idx="1">
                  <c:v>2022年</c:v>
                </c:pt>
              </c:strCache>
            </c:strRef>
          </c:cat>
          <c:val>
            <c:numRef>
              <c:f>Sheet1!$D$2:$D$3</c:f>
              <c:numCache>
                <c:formatCode>General</c:formatCode>
                <c:ptCount val="2"/>
              </c:numCache>
            </c:numRef>
          </c:val>
        </c:ser>
        <c:dLbls>
          <c:showLegendKey val="0"/>
          <c:showVal val="0"/>
          <c:showCatName val="0"/>
          <c:showSerName val="0"/>
          <c:showPercent val="0"/>
          <c:showBubbleSize val="0"/>
        </c:dLbls>
        <c:gapWidth val="150"/>
        <c:axId val="195331584"/>
        <c:axId val="195333120"/>
      </c:barChart>
      <c:catAx>
        <c:axId val="19533158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5333120"/>
        <c:crosses val="autoZero"/>
        <c:auto val="1"/>
        <c:lblAlgn val="ctr"/>
        <c:lblOffset val="100"/>
        <c:noMultiLvlLbl val="0"/>
      </c:catAx>
      <c:valAx>
        <c:axId val="1953331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533158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777362133116424"/>
          <c:y val="0.135710823168735"/>
          <c:w val="0.499003789495393"/>
          <c:h val="0.728578353662532"/>
        </c:manualLayout>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Lbl>
              <c:idx val="0"/>
              <c:layout>
                <c:manualLayout>
                  <c:x val="0.0264054502281431"/>
                  <c:y val="-0.05715199077652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c:v>
                </c:pt>
                <c:pt idx="1">
                  <c:v>卫生健康支出</c:v>
                </c:pt>
                <c:pt idx="2">
                  <c:v>交通运输支出</c:v>
                </c:pt>
                <c:pt idx="3">
                  <c:v>住房保障支出</c:v>
                </c:pt>
              </c:strCache>
            </c:strRef>
          </c:cat>
          <c:val>
            <c:numRef>
              <c:f>Sheet1!$B$2:$B$5</c:f>
              <c:numCache>
                <c:formatCode>0.00%</c:formatCode>
                <c:ptCount val="4"/>
                <c:pt idx="0">
                  <c:v>0.0713</c:v>
                </c:pt>
                <c:pt idx="1">
                  <c:v>0.0318</c:v>
                </c:pt>
                <c:pt idx="2">
                  <c:v>0.833700000000001</c:v>
                </c:pt>
                <c:pt idx="3">
                  <c:v>0.0632</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0.68</c:v>
                </c:pt>
                <c:pt idx="1">
                  <c:v>0.9</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3" textRotate="1"/>
    <customShpInfo spid="_x0000_s2049" textRotate="1"/>
    <customShpInfo spid="_x0000_s2062" textRotate="1"/>
    <customShpInfo spid="_x0000_s2054" textRotate="1"/>
    <customShpInfo spid="_x0000_s2055" textRotate="1"/>
    <customShpInfo spid="_x0000_s2063" textRotate="1"/>
    <customShpInfo spid="_x0000_s2064" textRotate="1"/>
    <customShpInfo spid="_x0000_s2060" textRotate="1"/>
    <customShpInfo spid="_x0000_s2059" textRotate="1"/>
    <customShpInfo spid="_x0000_s2065"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544194-7BAF-4F86-9046-8BBC8B5FC01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1219</Words>
  <Characters>6953</Characters>
  <Lines>57</Lines>
  <Paragraphs>16</Paragraphs>
  <TotalTime>4</TotalTime>
  <ScaleCrop>false</ScaleCrop>
  <LinksUpToDate>false</LinksUpToDate>
  <CharactersWithSpaces>8156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2020-09-21T06:55:00Z</dcterms:created>
  <dc:creator>曹颖</dc:creator>
  <cp:lastModifiedBy>宋皎</cp:lastModifiedBy>
  <cp:lastPrinted>2023-10-18T06:48:21Z</cp:lastPrinted>
  <dcterms:modified xsi:type="dcterms:W3CDTF">2023-10-18T06:51:43Z</dcterms:modified>
  <dc:title>四川省***</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55163C26DE0241E3A2EB03F7169BB128</vt:lpwstr>
  </property>
</Properties>
</file>