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C5DB2">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0" w:name="_Toc15377425"/>
      <w:bookmarkStart w:id="1" w:name="_Toc15378441"/>
      <w:bookmarkStart w:id="2" w:name="_Toc15396597"/>
      <w:bookmarkStart w:id="3" w:name="_Toc15377193"/>
      <w:bookmarkStart w:id="4" w:name="_Toc15396475"/>
      <w:bookmarkStart w:id="5" w:name="_Toc15306267"/>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p w14:paraId="006950AB">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8442"/>
      <w:bookmarkStart w:id="7" w:name="_Toc15377426"/>
      <w:bookmarkStart w:id="8" w:name="_Toc15396598"/>
      <w:bookmarkStart w:id="9" w:name="_Toc15377194"/>
      <w:bookmarkStart w:id="10" w:name="_Toc1539647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rPr>
        <w:t>沐川县总工会</w:t>
      </w:r>
    </w:p>
    <w:p w14:paraId="7BA789B7">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571DD0E4">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3812108A">
      <w:pPr>
        <w:widowControl/>
        <w:jc w:val="center"/>
        <w:rPr>
          <w:rFonts w:ascii="黑体" w:hAnsi="黑体" w:eastAsia="黑体" w:cstheme="minorBidi"/>
          <w:sz w:val="28"/>
          <w:szCs w:val="28"/>
        </w:rPr>
      </w:pPr>
    </w:p>
    <w:p w14:paraId="18BF5B2D">
      <w:pPr>
        <w:pStyle w:val="11"/>
      </w:pPr>
      <w:r>
        <w:rPr>
          <w:rFonts w:hint="eastAsia"/>
        </w:rPr>
        <w:t>公开时间：2023年10月17日</w:t>
      </w:r>
    </w:p>
    <w:p w14:paraId="2C1324BB">
      <w:pPr>
        <w:widowControl/>
        <w:adjustRightInd w:val="0"/>
        <w:snapToGrid w:val="0"/>
        <w:spacing w:line="440" w:lineRule="exact"/>
        <w:ind w:firstLine="1320" w:firstLineChars="550"/>
        <w:jc w:val="left"/>
        <w:rPr>
          <w:rFonts w:ascii="仿宋" w:hAnsi="仿宋" w:eastAsia="仿宋"/>
          <w:sz w:val="24"/>
        </w:rPr>
      </w:pPr>
    </w:p>
    <w:p w14:paraId="18A447DF">
      <w:pPr>
        <w:pStyle w:val="11"/>
        <w:adjustRightInd w:val="0"/>
        <w:snapToGrid w:val="0"/>
        <w:spacing w:before="0" w:line="440" w:lineRule="exact"/>
        <w:jc w:val="left"/>
        <w:rPr>
          <w:rFonts w:cstheme="minorBidi"/>
          <w:sz w:val="24"/>
          <w:szCs w:val="24"/>
        </w:rPr>
      </w:pPr>
      <w:bookmarkStart w:id="12" w:name="_Toc15377196"/>
      <w:bookmarkStart w:id="13" w:name="_Toc15396599"/>
      <w:r>
        <w:rPr>
          <w:rFonts w:hint="eastAsia"/>
          <w:sz w:val="24"/>
        </w:rPr>
        <w:t>第一部分</w:t>
      </w:r>
      <w:r>
        <w:rPr>
          <w:sz w:val="24"/>
        </w:rPr>
        <w:t xml:space="preserve"> </w:t>
      </w:r>
      <w:r>
        <w:rPr>
          <w:rFonts w:hint="eastAsia"/>
          <w:sz w:val="24"/>
        </w:rPr>
        <w:t>部门概况</w:t>
      </w:r>
      <w:r>
        <w:rPr>
          <w:sz w:val="24"/>
        </w:rPr>
        <w:tab/>
      </w:r>
      <w:r>
        <w:rPr>
          <w:rFonts w:hint="eastAsia"/>
          <w:sz w:val="24"/>
        </w:rPr>
        <w:t>4</w:t>
      </w:r>
    </w:p>
    <w:p w14:paraId="5A71B2F6">
      <w:pPr>
        <w:pStyle w:val="12"/>
        <w:adjustRightInd w:val="0"/>
        <w:snapToGrid w:val="0"/>
        <w:spacing w:line="440" w:lineRule="exact"/>
        <w:jc w:val="left"/>
        <w:rPr>
          <w:sz w:val="24"/>
        </w:rPr>
      </w:pPr>
      <w:r>
        <w:rPr>
          <w:rFonts w:hint="eastAsia"/>
          <w:sz w:val="24"/>
        </w:rPr>
        <w:t>一、部门职责</w:t>
      </w:r>
      <w:r>
        <w:rPr>
          <w:sz w:val="24"/>
        </w:rPr>
        <w:tab/>
      </w:r>
      <w:r>
        <w:rPr>
          <w:rFonts w:hint="eastAsia"/>
          <w:sz w:val="24"/>
        </w:rPr>
        <w:t>4</w:t>
      </w:r>
    </w:p>
    <w:p w14:paraId="527A9711">
      <w:pPr>
        <w:pStyle w:val="12"/>
        <w:adjustRightInd w:val="0"/>
        <w:snapToGrid w:val="0"/>
        <w:spacing w:line="440" w:lineRule="exact"/>
        <w:jc w:val="left"/>
        <w:rPr>
          <w:rFonts w:ascii="仿宋" w:hAnsi="仿宋" w:cstheme="minorBidi"/>
          <w:sz w:val="24"/>
        </w:rPr>
      </w:pPr>
      <w:r>
        <w:rPr>
          <w:rFonts w:hint="eastAsia"/>
          <w:sz w:val="24"/>
        </w:rPr>
        <w:t>二、机构设置</w:t>
      </w:r>
      <w:r>
        <w:rPr>
          <w:sz w:val="24"/>
        </w:rPr>
        <w:tab/>
      </w:r>
      <w:r>
        <w:rPr>
          <w:rFonts w:hint="eastAsia"/>
          <w:sz w:val="24"/>
        </w:rPr>
        <w:t>7</w:t>
      </w:r>
    </w:p>
    <w:p w14:paraId="77A85516">
      <w:pPr>
        <w:pStyle w:val="11"/>
        <w:adjustRightInd w:val="0"/>
        <w:snapToGrid w:val="0"/>
        <w:spacing w:before="0" w:line="440" w:lineRule="exact"/>
        <w:jc w:val="left"/>
        <w:rPr>
          <w:sz w:val="24"/>
          <w:szCs w:val="24"/>
        </w:rPr>
      </w:pPr>
      <w:r>
        <w:rPr>
          <w:rFonts w:hint="eastAsia"/>
          <w:sz w:val="24"/>
        </w:rPr>
        <w:t>第二部分 2022年度部门决算情况说明</w:t>
      </w:r>
      <w:r>
        <w:rPr>
          <w:sz w:val="24"/>
        </w:rPr>
        <w:tab/>
      </w:r>
      <w:r>
        <w:rPr>
          <w:rFonts w:hint="eastAsia"/>
          <w:sz w:val="24"/>
        </w:rPr>
        <w:t>8</w:t>
      </w:r>
    </w:p>
    <w:p w14:paraId="5F8A3A2E">
      <w:pPr>
        <w:pStyle w:val="12"/>
        <w:adjustRightInd w:val="0"/>
        <w:snapToGrid w:val="0"/>
        <w:spacing w:line="440" w:lineRule="exact"/>
        <w:jc w:val="left"/>
        <w:rPr>
          <w:sz w:val="24"/>
        </w:rPr>
      </w:pPr>
      <w:r>
        <w:rPr>
          <w:rFonts w:hint="eastAsia"/>
          <w:sz w:val="24"/>
        </w:rPr>
        <w:t>一、收入支出决算总体情况说明</w:t>
      </w:r>
      <w:r>
        <w:rPr>
          <w:sz w:val="24"/>
        </w:rPr>
        <w:tab/>
      </w:r>
      <w:r>
        <w:rPr>
          <w:rFonts w:hint="eastAsia"/>
          <w:sz w:val="24"/>
        </w:rPr>
        <w:t>8</w:t>
      </w:r>
    </w:p>
    <w:p w14:paraId="288305DA">
      <w:pPr>
        <w:pStyle w:val="12"/>
        <w:adjustRightInd w:val="0"/>
        <w:snapToGrid w:val="0"/>
        <w:spacing w:line="440" w:lineRule="exact"/>
        <w:jc w:val="left"/>
        <w:rPr>
          <w:sz w:val="24"/>
        </w:rPr>
      </w:pPr>
      <w:r>
        <w:rPr>
          <w:rFonts w:hint="eastAsia"/>
          <w:sz w:val="24"/>
        </w:rPr>
        <w:t>二、收入决算情况说明</w:t>
      </w:r>
      <w:r>
        <w:rPr>
          <w:sz w:val="24"/>
        </w:rPr>
        <w:tab/>
      </w:r>
      <w:r>
        <w:rPr>
          <w:rFonts w:hint="eastAsia"/>
          <w:sz w:val="24"/>
        </w:rPr>
        <w:t>8</w:t>
      </w:r>
    </w:p>
    <w:p w14:paraId="49EB5720">
      <w:pPr>
        <w:pStyle w:val="12"/>
        <w:adjustRightInd w:val="0"/>
        <w:snapToGrid w:val="0"/>
        <w:spacing w:line="440" w:lineRule="exact"/>
        <w:jc w:val="left"/>
        <w:rPr>
          <w:rFonts w:ascii="仿宋" w:hAnsi="仿宋" w:cstheme="minorBidi"/>
          <w:sz w:val="24"/>
        </w:rPr>
      </w:pPr>
      <w:r>
        <w:rPr>
          <w:rFonts w:hint="eastAsia"/>
          <w:sz w:val="24"/>
        </w:rPr>
        <w:t>三、支出决算情况说明</w:t>
      </w:r>
      <w:r>
        <w:rPr>
          <w:sz w:val="24"/>
        </w:rPr>
        <w:tab/>
      </w:r>
      <w:r>
        <w:rPr>
          <w:rFonts w:hint="eastAsia"/>
          <w:sz w:val="24"/>
        </w:rPr>
        <w:t>9</w:t>
      </w:r>
    </w:p>
    <w:p w14:paraId="4522EEEE">
      <w:pPr>
        <w:pStyle w:val="12"/>
        <w:adjustRightInd w:val="0"/>
        <w:snapToGrid w:val="0"/>
        <w:spacing w:line="440" w:lineRule="exact"/>
        <w:jc w:val="left"/>
        <w:rPr>
          <w:sz w:val="24"/>
        </w:rPr>
      </w:pPr>
      <w:r>
        <w:rPr>
          <w:rFonts w:hint="eastAsia"/>
          <w:sz w:val="24"/>
        </w:rPr>
        <w:t>四、财政拨款收入支出决算总体情况说明</w:t>
      </w:r>
      <w:r>
        <w:rPr>
          <w:sz w:val="24"/>
        </w:rPr>
        <w:tab/>
      </w:r>
      <w:r>
        <w:rPr>
          <w:rFonts w:hint="eastAsia"/>
          <w:sz w:val="24"/>
        </w:rPr>
        <w:t>9</w:t>
      </w:r>
    </w:p>
    <w:p w14:paraId="1EE38678">
      <w:pPr>
        <w:pStyle w:val="12"/>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rPr>
          <w:sz w:val="24"/>
        </w:rPr>
        <w:tab/>
      </w:r>
      <w:r>
        <w:rPr>
          <w:rFonts w:hint="eastAsia"/>
          <w:sz w:val="24"/>
        </w:rPr>
        <w:t>10</w:t>
      </w:r>
    </w:p>
    <w:p w14:paraId="3F7C5078">
      <w:pPr>
        <w:pStyle w:val="12"/>
        <w:adjustRightInd w:val="0"/>
        <w:snapToGrid w:val="0"/>
        <w:spacing w:line="440" w:lineRule="exact"/>
        <w:jc w:val="left"/>
        <w:rPr>
          <w:rFonts w:ascii="仿宋" w:hAnsi="仿宋" w:cstheme="minorBidi"/>
          <w:sz w:val="24"/>
        </w:rPr>
      </w:pPr>
      <w:r>
        <w:rPr>
          <w:rFonts w:hint="eastAsia"/>
          <w:sz w:val="24"/>
        </w:rPr>
        <w:t>六、一般公共预算财政拨款基本支出决算情况说明</w:t>
      </w:r>
      <w:r>
        <w:rPr>
          <w:sz w:val="24"/>
        </w:rPr>
        <w:tab/>
      </w:r>
      <w:r>
        <w:rPr>
          <w:rFonts w:hint="eastAsia"/>
          <w:sz w:val="24"/>
        </w:rPr>
        <w:t>13</w:t>
      </w:r>
    </w:p>
    <w:p w14:paraId="74F31812">
      <w:pPr>
        <w:pStyle w:val="12"/>
        <w:adjustRightInd w:val="0"/>
        <w:snapToGrid w:val="0"/>
        <w:spacing w:line="440" w:lineRule="exact"/>
        <w:jc w:val="left"/>
        <w:rPr>
          <w:rFonts w:ascii="仿宋" w:hAnsi="仿宋" w:cstheme="minorBidi"/>
          <w:sz w:val="24"/>
        </w:rPr>
      </w:pPr>
      <w:r>
        <w:rPr>
          <w:rFonts w:hint="eastAsia"/>
          <w:sz w:val="24"/>
        </w:rPr>
        <w:t>七、财政拨款“三公”经费支出决算情况说明</w:t>
      </w:r>
      <w:r>
        <w:rPr>
          <w:sz w:val="24"/>
        </w:rPr>
        <w:tab/>
      </w:r>
      <w:r>
        <w:rPr>
          <w:rFonts w:hint="eastAsia"/>
          <w:sz w:val="24"/>
        </w:rPr>
        <w:t>13</w:t>
      </w:r>
    </w:p>
    <w:p w14:paraId="511948C9">
      <w:pPr>
        <w:pStyle w:val="12"/>
        <w:adjustRightInd w:val="0"/>
        <w:snapToGrid w:val="0"/>
        <w:spacing w:line="440" w:lineRule="exact"/>
        <w:jc w:val="left"/>
        <w:rPr>
          <w:rFonts w:ascii="仿宋" w:hAnsi="仿宋" w:cstheme="minorBidi"/>
          <w:sz w:val="24"/>
        </w:rPr>
      </w:pPr>
      <w:r>
        <w:rPr>
          <w:rFonts w:hint="eastAsia"/>
          <w:sz w:val="24"/>
        </w:rPr>
        <w:t>八、政府性基金预算支出决算情况说明</w:t>
      </w:r>
      <w:r>
        <w:rPr>
          <w:sz w:val="24"/>
        </w:rPr>
        <w:tab/>
      </w:r>
      <w:r>
        <w:rPr>
          <w:rFonts w:hint="eastAsia"/>
          <w:sz w:val="24"/>
        </w:rPr>
        <w:t>15</w:t>
      </w:r>
    </w:p>
    <w:p w14:paraId="100D69C1">
      <w:pPr>
        <w:pStyle w:val="12"/>
        <w:adjustRightInd w:val="0"/>
        <w:snapToGrid w:val="0"/>
        <w:spacing w:line="440" w:lineRule="exact"/>
        <w:ind w:leftChars="0"/>
        <w:jc w:val="left"/>
        <w:rPr>
          <w:sz w:val="24"/>
        </w:rPr>
      </w:pPr>
      <w:r>
        <w:rPr>
          <w:rFonts w:hint="eastAsia" w:asciiTheme="minorEastAsia" w:hAnsiTheme="minorEastAsia" w:eastAsiaTheme="minorEastAsia" w:cstheme="minorEastAsia"/>
          <w:sz w:val="24"/>
        </w:rPr>
        <w:t>九、国有资本经营预算支出决算情况说明</w:t>
      </w:r>
      <w:r>
        <w:rPr>
          <w:sz w:val="24"/>
        </w:rPr>
        <w:tab/>
      </w:r>
      <w:r>
        <w:rPr>
          <w:rFonts w:hint="eastAsia"/>
          <w:sz w:val="24"/>
        </w:rPr>
        <w:t>15</w:t>
      </w:r>
    </w:p>
    <w:p w14:paraId="46C2EFA9">
      <w:pPr>
        <w:pStyle w:val="12"/>
        <w:adjustRightInd w:val="0"/>
        <w:snapToGrid w:val="0"/>
        <w:spacing w:line="440" w:lineRule="exact"/>
        <w:jc w:val="left"/>
        <w:rPr>
          <w:rFonts w:asciiTheme="minorEastAsia" w:hAnsiTheme="minorEastAsia" w:cstheme="minorEastAsia"/>
          <w:sz w:val="24"/>
        </w:rPr>
      </w:pPr>
      <w:r>
        <w:rPr>
          <w:rFonts w:hint="eastAsia"/>
          <w:sz w:val="24"/>
        </w:rPr>
        <w:t>十、其他重要事项的情况说明</w:t>
      </w:r>
      <w:r>
        <w:rPr>
          <w:rFonts w:hint="eastAsia"/>
          <w:sz w:val="24"/>
        </w:rPr>
        <w:tab/>
      </w:r>
      <w:r>
        <w:rPr>
          <w:rFonts w:hint="eastAsia"/>
          <w:sz w:val="24"/>
        </w:rPr>
        <w:t>15</w:t>
      </w:r>
    </w:p>
    <w:p w14:paraId="302F6D54">
      <w:pPr>
        <w:pStyle w:val="11"/>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hint="eastAsia"/>
          <w:sz w:val="24"/>
        </w:rPr>
        <w:tab/>
      </w:r>
      <w:r>
        <w:rPr>
          <w:rFonts w:hint="eastAsia"/>
          <w:sz w:val="24"/>
        </w:rPr>
        <w:t>17</w:t>
      </w:r>
    </w:p>
    <w:p w14:paraId="05650E27">
      <w:pPr>
        <w:pStyle w:val="11"/>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hint="eastAsia"/>
          <w:sz w:val="24"/>
        </w:rPr>
        <w:tab/>
      </w:r>
      <w:r>
        <w:rPr>
          <w:rFonts w:hint="eastAsia"/>
          <w:sz w:val="24"/>
        </w:rPr>
        <w:t>19</w:t>
      </w:r>
    </w:p>
    <w:p w14:paraId="42534F2F">
      <w:pPr>
        <w:pStyle w:val="11"/>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Pr>
          <w:rFonts w:hint="eastAsia"/>
          <w:sz w:val="24"/>
        </w:rPr>
        <w:tab/>
      </w:r>
      <w:r>
        <w:rPr>
          <w:rFonts w:hint="eastAsia"/>
          <w:sz w:val="24"/>
        </w:rPr>
        <w:t>31</w:t>
      </w:r>
    </w:p>
    <w:p w14:paraId="519549E9">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r>
        <w:rPr>
          <w:rFonts w:hint="eastAsia"/>
          <w:sz w:val="24"/>
        </w:rPr>
        <w:tab/>
      </w:r>
      <w:r>
        <w:rPr>
          <w:rFonts w:hint="eastAsia"/>
          <w:sz w:val="24"/>
        </w:rPr>
        <w:t>32</w:t>
      </w:r>
    </w:p>
    <w:p w14:paraId="7219D91A">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二、收入决算表</w:t>
      </w:r>
      <w:r>
        <w:rPr>
          <w:rFonts w:hint="eastAsia"/>
          <w:sz w:val="24"/>
        </w:rPr>
        <w:tab/>
      </w:r>
      <w:r>
        <w:rPr>
          <w:rFonts w:hint="eastAsia"/>
          <w:sz w:val="24"/>
        </w:rPr>
        <w:t>33</w:t>
      </w:r>
    </w:p>
    <w:p w14:paraId="45EC3733">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三、支出决算表</w:t>
      </w:r>
      <w:r>
        <w:rPr>
          <w:rFonts w:hint="eastAsia"/>
          <w:sz w:val="24"/>
        </w:rPr>
        <w:tab/>
      </w:r>
      <w:r>
        <w:rPr>
          <w:rFonts w:hint="eastAsia"/>
          <w:sz w:val="24"/>
        </w:rPr>
        <w:t>34</w:t>
      </w:r>
    </w:p>
    <w:p w14:paraId="56D7690E">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四、财政拨款收入支出决算总表</w:t>
      </w:r>
      <w:r>
        <w:rPr>
          <w:rFonts w:hint="eastAsia"/>
          <w:sz w:val="24"/>
        </w:rPr>
        <w:tab/>
      </w:r>
      <w:r>
        <w:rPr>
          <w:rFonts w:hint="eastAsia"/>
          <w:sz w:val="24"/>
        </w:rPr>
        <w:t>35</w:t>
      </w:r>
    </w:p>
    <w:p w14:paraId="29838015">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五、财政拨款支出决算明细表</w:t>
      </w:r>
      <w:r>
        <w:rPr>
          <w:rFonts w:hint="eastAsia"/>
          <w:sz w:val="24"/>
        </w:rPr>
        <w:tab/>
      </w:r>
      <w:r>
        <w:rPr>
          <w:rFonts w:hint="eastAsia"/>
          <w:sz w:val="24"/>
        </w:rPr>
        <w:t>36</w:t>
      </w:r>
    </w:p>
    <w:p w14:paraId="18C5A10D">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六、一般公共预算财政拨款支出决算表</w:t>
      </w:r>
      <w:r>
        <w:rPr>
          <w:rFonts w:hint="eastAsia"/>
          <w:sz w:val="24"/>
        </w:rPr>
        <w:tab/>
      </w:r>
      <w:r>
        <w:rPr>
          <w:rFonts w:hint="eastAsia"/>
          <w:sz w:val="24"/>
        </w:rPr>
        <w:t>37</w:t>
      </w:r>
    </w:p>
    <w:p w14:paraId="307601D6">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七、一般公共预算财政拨款支出决算明细表</w:t>
      </w:r>
      <w:r>
        <w:rPr>
          <w:rFonts w:hint="eastAsia"/>
          <w:sz w:val="24"/>
        </w:rPr>
        <w:tab/>
      </w:r>
      <w:r>
        <w:rPr>
          <w:rFonts w:hint="eastAsia"/>
          <w:sz w:val="24"/>
        </w:rPr>
        <w:t>38</w:t>
      </w:r>
    </w:p>
    <w:p w14:paraId="330FE12E">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八、一般公共预算财政拨款基本支出决算明细表</w:t>
      </w:r>
      <w:r>
        <w:rPr>
          <w:rFonts w:hint="eastAsia"/>
          <w:sz w:val="24"/>
        </w:rPr>
        <w:tab/>
      </w:r>
      <w:r>
        <w:rPr>
          <w:rFonts w:hint="eastAsia"/>
          <w:sz w:val="24"/>
        </w:rPr>
        <w:t>39</w:t>
      </w:r>
    </w:p>
    <w:p w14:paraId="2DAA8C68">
      <w:pPr>
        <w:pStyle w:val="12"/>
        <w:adjustRightInd w:val="0"/>
        <w:snapToGrid w:val="0"/>
        <w:spacing w:line="440" w:lineRule="exact"/>
        <w:jc w:val="left"/>
        <w:rPr>
          <w:sz w:val="24"/>
        </w:rPr>
      </w:pPr>
      <w:r>
        <w:rPr>
          <w:rFonts w:hint="eastAsia" w:asciiTheme="minorEastAsia" w:hAnsiTheme="minorEastAsia" w:eastAsiaTheme="minorEastAsia" w:cstheme="minorEastAsia"/>
          <w:sz w:val="24"/>
        </w:rPr>
        <w:t>九、一般公共预算财政拨款项目支出决算表</w:t>
      </w:r>
      <w:r>
        <w:rPr>
          <w:rFonts w:hint="eastAsia"/>
          <w:sz w:val="24"/>
        </w:rPr>
        <w:tab/>
      </w:r>
      <w:r>
        <w:rPr>
          <w:rFonts w:hint="eastAsia"/>
          <w:sz w:val="24"/>
        </w:rPr>
        <w:t>40</w:t>
      </w:r>
    </w:p>
    <w:p w14:paraId="552AC917">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十、</w:t>
      </w:r>
      <w:r>
        <w:rPr>
          <w:rFonts w:hint="eastAsia"/>
          <w:sz w:val="24"/>
        </w:rPr>
        <w:t>政府性基金预算财政拨款收入支出决算表</w:t>
      </w:r>
      <w:r>
        <w:rPr>
          <w:rFonts w:hint="eastAsia"/>
          <w:sz w:val="24"/>
        </w:rPr>
        <w:tab/>
      </w:r>
      <w:r>
        <w:rPr>
          <w:rFonts w:hint="eastAsia"/>
          <w:sz w:val="24"/>
        </w:rPr>
        <w:t>41</w:t>
      </w:r>
    </w:p>
    <w:p w14:paraId="171737A4">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十一、</w:t>
      </w:r>
      <w:r>
        <w:rPr>
          <w:rFonts w:hint="eastAsia"/>
          <w:sz w:val="24"/>
        </w:rPr>
        <w:t>国有资本经营预算财政拨款收入支出决算表</w:t>
      </w:r>
      <w:r>
        <w:rPr>
          <w:rFonts w:hint="eastAsia"/>
          <w:sz w:val="24"/>
        </w:rPr>
        <w:tab/>
      </w:r>
      <w:r>
        <w:rPr>
          <w:rFonts w:hint="eastAsia"/>
          <w:sz w:val="24"/>
        </w:rPr>
        <w:t>42</w:t>
      </w:r>
    </w:p>
    <w:p w14:paraId="5D9DDA3B">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十二、</w:t>
      </w:r>
      <w:r>
        <w:rPr>
          <w:rFonts w:hint="eastAsia"/>
          <w:sz w:val="24"/>
        </w:rPr>
        <w:t>国有资本经营预算财政拨款支出决算表</w:t>
      </w:r>
      <w:r>
        <w:rPr>
          <w:rFonts w:hint="eastAsia"/>
          <w:sz w:val="24"/>
        </w:rPr>
        <w:tab/>
      </w:r>
      <w:r>
        <w:rPr>
          <w:rFonts w:hint="eastAsia"/>
          <w:sz w:val="24"/>
        </w:rPr>
        <w:t>43</w:t>
      </w:r>
    </w:p>
    <w:p w14:paraId="13AF632D">
      <w:pPr>
        <w:pStyle w:val="12"/>
        <w:adjustRightInd w:val="0"/>
        <w:snapToGrid w:val="0"/>
        <w:spacing w:line="440" w:lineRule="exact"/>
        <w:jc w:val="left"/>
        <w:rPr>
          <w:rFonts w:asciiTheme="minorEastAsia" w:hAnsiTheme="minorEastAsia" w:cstheme="minorEastAsia"/>
          <w:sz w:val="24"/>
        </w:rPr>
      </w:pPr>
      <w:r>
        <w:rPr>
          <w:rFonts w:hint="eastAsia" w:asciiTheme="minorEastAsia" w:hAnsiTheme="minorEastAsia" w:eastAsiaTheme="minorEastAsia" w:cstheme="minorEastAsia"/>
          <w:sz w:val="24"/>
        </w:rPr>
        <w:t>十三、</w:t>
      </w:r>
      <w:r>
        <w:rPr>
          <w:rFonts w:hint="eastAsia"/>
          <w:sz w:val="24"/>
        </w:rPr>
        <w:t>财政拨款“三公”经费支出决算表</w:t>
      </w:r>
      <w:r>
        <w:rPr>
          <w:rFonts w:hint="eastAsia"/>
          <w:sz w:val="24"/>
        </w:rPr>
        <w:tab/>
      </w:r>
      <w:r>
        <w:rPr>
          <w:rFonts w:hint="eastAsia"/>
          <w:sz w:val="24"/>
        </w:rPr>
        <w:t>44</w:t>
      </w:r>
    </w:p>
    <w:p w14:paraId="04E78291">
      <w:pPr>
        <w:widowControl/>
        <w:spacing w:line="440" w:lineRule="exact"/>
        <w:jc w:val="left"/>
        <w:rPr>
          <w:rFonts w:ascii="仿宋" w:hAnsi="仿宋" w:eastAsia="仿宋"/>
          <w:bCs/>
          <w:kern w:val="44"/>
          <w:sz w:val="24"/>
        </w:rPr>
      </w:pPr>
      <w:r>
        <w:rPr>
          <w:rFonts w:ascii="仿宋" w:hAnsi="仿宋" w:eastAsia="仿宋"/>
          <w:b/>
          <w:sz w:val="24"/>
        </w:rPr>
        <w:br w:type="page"/>
      </w:r>
    </w:p>
    <w:p w14:paraId="3832E46C">
      <w:pPr>
        <w:pStyle w:val="2"/>
        <w:jc w:val="center"/>
        <w:rPr>
          <w:rFonts w:ascii="黑体" w:eastAsia="黑体"/>
          <w:sz w:val="32"/>
          <w:szCs w:val="32"/>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4694455A">
      <w:pPr>
        <w:pStyle w:val="3"/>
        <w:spacing w:before="0" w:after="0" w:line="560" w:lineRule="exact"/>
        <w:ind w:firstLine="640" w:firstLineChars="200"/>
        <w:rPr>
          <w:rFonts w:ascii="黑体" w:hAnsi="黑体" w:eastAsia="黑体"/>
          <w:b w:val="0"/>
        </w:rPr>
      </w:pPr>
      <w:r>
        <w:rPr>
          <w:rFonts w:hint="eastAsia" w:ascii="黑体" w:hAnsi="黑体" w:eastAsia="黑体"/>
          <w:b w:val="0"/>
        </w:rPr>
        <w:t>一、部门职责</w:t>
      </w:r>
      <w:bookmarkStart w:id="14" w:name="_Toc15378445"/>
      <w:bookmarkStart w:id="15" w:name="_Toc15377198"/>
      <w:bookmarkStart w:id="16" w:name="_Toc15396601"/>
      <w:bookmarkStart w:id="17" w:name="_Toc15377200"/>
    </w:p>
    <w:p w14:paraId="6AE8D6E7">
      <w:pPr>
        <w:pStyle w:val="3"/>
        <w:spacing w:before="0" w:after="0" w:line="560" w:lineRule="exact"/>
        <w:ind w:firstLine="643" w:firstLineChars="200"/>
        <w:rPr>
          <w:rFonts w:ascii="楷体" w:hAnsi="楷体" w:eastAsia="楷体" w:cs="楷体"/>
          <w:bCs w:val="0"/>
        </w:rPr>
      </w:pPr>
      <w:r>
        <w:rPr>
          <w:rFonts w:hint="eastAsia" w:ascii="楷体" w:hAnsi="楷体" w:eastAsia="楷体" w:cs="楷体"/>
          <w:bCs w:val="0"/>
        </w:rPr>
        <w:t>（一）主要职能。</w:t>
      </w:r>
      <w:bookmarkEnd w:id="14"/>
      <w:bookmarkEnd w:id="15"/>
      <w:bookmarkStart w:id="18" w:name="_Toc15377199"/>
      <w:bookmarkStart w:id="19" w:name="_Toc15378446"/>
    </w:p>
    <w:p w14:paraId="2A240806">
      <w:pPr>
        <w:widowControl/>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沐川县总工会是县委群团工作部门，负责全县工会组织建设、管理，维护职工合法权益，帮扶困难职工，参与社会治理，提升职工道德和文化素质，团结组织职工为社会经济发展发挥主力军作用。</w:t>
      </w:r>
    </w:p>
    <w:p w14:paraId="727FBEDD">
      <w:pPr>
        <w:widowControl/>
        <w:spacing w:line="560" w:lineRule="exact"/>
        <w:ind w:firstLine="645"/>
        <w:rPr>
          <w:rFonts w:ascii="仿宋" w:hAnsi="仿宋" w:eastAsia="仿宋"/>
          <w:kern w:val="0"/>
          <w:sz w:val="32"/>
          <w:szCs w:val="32"/>
        </w:rPr>
      </w:pPr>
      <w:r>
        <w:rPr>
          <w:rFonts w:hint="eastAsia" w:ascii="仿宋" w:hAnsi="仿宋" w:eastAsia="仿宋"/>
          <w:kern w:val="0"/>
          <w:sz w:val="32"/>
          <w:szCs w:val="32"/>
        </w:rPr>
        <w:t>1.</w:t>
      </w:r>
      <w:r>
        <w:rPr>
          <w:rFonts w:hint="eastAsia" w:ascii="仿宋" w:hAnsi="仿宋" w:eastAsia="仿宋"/>
          <w:sz w:val="32"/>
          <w:szCs w:val="32"/>
        </w:rPr>
        <w:t>维护职工的合法权益和民主权利。</w:t>
      </w:r>
    </w:p>
    <w:p w14:paraId="066AA4FC">
      <w:pPr>
        <w:widowControl/>
        <w:spacing w:line="560" w:lineRule="exact"/>
        <w:ind w:firstLine="645"/>
        <w:rPr>
          <w:rFonts w:ascii="仿宋" w:hAnsi="仿宋" w:eastAsia="仿宋"/>
          <w:sz w:val="32"/>
          <w:szCs w:val="32"/>
        </w:rPr>
      </w:pPr>
      <w:r>
        <w:rPr>
          <w:rFonts w:hint="eastAsia" w:ascii="仿宋" w:hAnsi="仿宋" w:eastAsia="仿宋"/>
          <w:kern w:val="0"/>
          <w:sz w:val="32"/>
          <w:szCs w:val="32"/>
        </w:rPr>
        <w:t>2.动员和</w:t>
      </w:r>
      <w:r>
        <w:rPr>
          <w:rFonts w:hint="eastAsia" w:ascii="仿宋" w:hAnsi="仿宋" w:eastAsia="仿宋"/>
          <w:sz w:val="32"/>
          <w:szCs w:val="32"/>
        </w:rPr>
        <w:t>组织职工积极参与建设和改革，完成经济和社会发展任务。</w:t>
      </w:r>
    </w:p>
    <w:p w14:paraId="01D7E876">
      <w:pPr>
        <w:widowControl/>
        <w:spacing w:line="560" w:lineRule="exact"/>
        <w:ind w:firstLine="645"/>
        <w:rPr>
          <w:rFonts w:ascii="仿宋" w:hAnsi="仿宋" w:eastAsia="仿宋"/>
          <w:sz w:val="32"/>
          <w:szCs w:val="32"/>
        </w:rPr>
      </w:pPr>
      <w:r>
        <w:rPr>
          <w:rFonts w:hint="eastAsia" w:ascii="仿宋" w:hAnsi="仿宋" w:eastAsia="仿宋"/>
          <w:kern w:val="0"/>
          <w:sz w:val="32"/>
          <w:szCs w:val="32"/>
        </w:rPr>
        <w:t>3.代表和组织职工参与行政和社会事务管理，参与企业、事业和机关的民主管理。</w:t>
      </w:r>
    </w:p>
    <w:p w14:paraId="0521132D">
      <w:pPr>
        <w:widowControl/>
        <w:spacing w:line="560" w:lineRule="exact"/>
        <w:ind w:firstLine="645"/>
        <w:rPr>
          <w:rFonts w:ascii="仿宋" w:hAnsi="仿宋" w:eastAsia="仿宋"/>
          <w:sz w:val="32"/>
          <w:szCs w:val="32"/>
        </w:rPr>
      </w:pPr>
      <w:r>
        <w:rPr>
          <w:rFonts w:hint="eastAsia" w:ascii="仿宋" w:hAnsi="仿宋" w:eastAsia="仿宋"/>
          <w:kern w:val="0"/>
          <w:sz w:val="32"/>
          <w:szCs w:val="32"/>
        </w:rPr>
        <w:t>4.</w:t>
      </w:r>
      <w:r>
        <w:rPr>
          <w:rFonts w:hint="eastAsia" w:ascii="仿宋" w:hAnsi="仿宋" w:eastAsia="仿宋"/>
          <w:sz w:val="32"/>
          <w:szCs w:val="32"/>
        </w:rPr>
        <w:t>教育职工不断提高思想道德素质和科学文化素质，建设有理想、有道德、有文化、有纪律的职工队伍。</w:t>
      </w:r>
    </w:p>
    <w:p w14:paraId="5526DEB2">
      <w:pPr>
        <w:widowControl/>
        <w:spacing w:line="560" w:lineRule="exact"/>
        <w:ind w:firstLine="645"/>
        <w:rPr>
          <w:rFonts w:ascii="仿宋" w:hAnsi="仿宋" w:eastAsia="仿宋"/>
          <w:kern w:val="0"/>
          <w:sz w:val="32"/>
          <w:szCs w:val="32"/>
        </w:rPr>
      </w:pPr>
      <w:r>
        <w:rPr>
          <w:rFonts w:hint="eastAsia" w:ascii="仿宋" w:hAnsi="仿宋" w:eastAsia="仿宋"/>
          <w:kern w:val="0"/>
          <w:sz w:val="32"/>
          <w:szCs w:val="32"/>
        </w:rPr>
        <w:t>5.开展下岗职工再就业和为困难职工送温暖活动。</w:t>
      </w:r>
    </w:p>
    <w:p w14:paraId="75688BDF">
      <w:pPr>
        <w:widowControl/>
        <w:spacing w:line="560" w:lineRule="exact"/>
        <w:ind w:firstLine="645"/>
        <w:rPr>
          <w:rFonts w:ascii="仿宋" w:hAnsi="仿宋" w:eastAsia="仿宋"/>
          <w:sz w:val="32"/>
          <w:szCs w:val="32"/>
        </w:rPr>
      </w:pPr>
      <w:r>
        <w:rPr>
          <w:rFonts w:hint="eastAsia" w:ascii="仿宋" w:hAnsi="仿宋" w:eastAsia="仿宋"/>
          <w:kern w:val="0"/>
          <w:sz w:val="32"/>
          <w:szCs w:val="32"/>
        </w:rPr>
        <w:t>6.开展女职工委员会工作，维护女职工特殊利益。</w:t>
      </w:r>
    </w:p>
    <w:p w14:paraId="06192041">
      <w:pPr>
        <w:widowControl/>
        <w:spacing w:line="560" w:lineRule="exact"/>
        <w:ind w:firstLine="645"/>
        <w:rPr>
          <w:rFonts w:ascii="仿宋" w:hAnsi="仿宋" w:eastAsia="仿宋"/>
          <w:sz w:val="32"/>
          <w:szCs w:val="32"/>
        </w:rPr>
      </w:pPr>
      <w:r>
        <w:rPr>
          <w:rFonts w:hint="eastAsia" w:ascii="仿宋" w:hAnsi="仿宋" w:eastAsia="仿宋"/>
          <w:kern w:val="0"/>
          <w:sz w:val="32"/>
          <w:szCs w:val="32"/>
        </w:rPr>
        <w:t>7.</w:t>
      </w:r>
      <w:r>
        <w:rPr>
          <w:rFonts w:hint="eastAsia" w:ascii="仿宋" w:hAnsi="仿宋" w:eastAsia="仿宋"/>
          <w:sz w:val="32"/>
          <w:szCs w:val="32"/>
        </w:rPr>
        <w:t>完成县委安排的其他工作。</w:t>
      </w:r>
    </w:p>
    <w:p w14:paraId="771EE781">
      <w:pPr>
        <w:widowControl/>
        <w:spacing w:line="560" w:lineRule="exact"/>
        <w:ind w:firstLine="645"/>
        <w:rPr>
          <w:rFonts w:ascii="楷体" w:hAnsi="楷体" w:eastAsia="楷体" w:cs="楷体"/>
          <w:b/>
          <w:sz w:val="32"/>
          <w:szCs w:val="32"/>
        </w:rPr>
      </w:pPr>
      <w:r>
        <w:rPr>
          <w:rFonts w:hint="eastAsia" w:ascii="楷体" w:hAnsi="楷体" w:eastAsia="楷体" w:cs="楷体"/>
          <w:b/>
          <w:sz w:val="32"/>
          <w:szCs w:val="32"/>
        </w:rPr>
        <w:t>（二）2022年重点工作完成情况。</w:t>
      </w:r>
      <w:bookmarkEnd w:id="18"/>
      <w:bookmarkEnd w:id="19"/>
    </w:p>
    <w:p w14:paraId="14B5D839">
      <w:pPr>
        <w:spacing w:line="560" w:lineRule="exact"/>
        <w:ind w:firstLine="643" w:firstLineChars="200"/>
        <w:rPr>
          <w:rFonts w:eastAsia="仿宋_GB2312"/>
          <w:sz w:val="32"/>
          <w:szCs w:val="32"/>
        </w:rPr>
      </w:pPr>
      <w:r>
        <w:rPr>
          <w:rFonts w:hint="eastAsia" w:eastAsia="仿宋"/>
          <w:b/>
          <w:bCs/>
          <w:sz w:val="32"/>
          <w:szCs w:val="32"/>
        </w:rPr>
        <w:t>1.</w:t>
      </w:r>
      <w:r>
        <w:rPr>
          <w:rFonts w:eastAsia="仿宋"/>
          <w:b/>
          <w:bCs/>
          <w:sz w:val="32"/>
          <w:szCs w:val="32"/>
        </w:rPr>
        <w:t>强化职工思想引领</w:t>
      </w:r>
      <w:r>
        <w:rPr>
          <w:rFonts w:hint="eastAsia" w:eastAsia="仿宋"/>
          <w:b/>
          <w:bCs/>
          <w:sz w:val="32"/>
          <w:szCs w:val="32"/>
        </w:rPr>
        <w:t>。</w:t>
      </w:r>
      <w:r>
        <w:rPr>
          <w:rFonts w:ascii="仿宋" w:hAnsi="仿宋" w:eastAsia="仿宋"/>
          <w:sz w:val="32"/>
          <w:szCs w:val="32"/>
        </w:rPr>
        <w:t>在全县开展“中国梦·劳动美—喜迎二十大 建功新时代”暨“践行十爱·德耀嘉州”主题征文活动，共征集作品121篇，评选优秀作品37篇；举办《工会法》线上有奖知识竞赛，为期3天的活动共吸引3600余人次职工参与；积极组队参加市总工会主办的“中国梦·劳动美—喜迎二十大 建功新时代”职工合唱、诵读、摄影书画展</w:t>
      </w:r>
      <w:r>
        <w:rPr>
          <w:rFonts w:hint="eastAsia" w:ascii="仿宋" w:hAnsi="仿宋" w:eastAsia="仿宋"/>
          <w:sz w:val="32"/>
          <w:szCs w:val="32"/>
        </w:rPr>
        <w:t>、乒乓球、羽毛球</w:t>
      </w:r>
      <w:r>
        <w:rPr>
          <w:rFonts w:ascii="仿宋" w:hAnsi="仿宋" w:eastAsia="仿宋"/>
          <w:sz w:val="32"/>
          <w:szCs w:val="32"/>
        </w:rPr>
        <w:t>等活动，展示新时代职工积极向上精神风貌。</w:t>
      </w:r>
      <w:r>
        <w:rPr>
          <w:rFonts w:hint="eastAsia" w:ascii="仿宋" w:hAnsi="仿宋" w:eastAsia="仿宋"/>
          <w:sz w:val="32"/>
          <w:szCs w:val="32"/>
        </w:rPr>
        <w:t xml:space="preserve"> </w:t>
      </w:r>
      <w:r>
        <w:rPr>
          <w:rFonts w:hint="eastAsia" w:eastAsia="仿宋"/>
          <w:sz w:val="32"/>
          <w:szCs w:val="32"/>
        </w:rPr>
        <w:t xml:space="preserve">  </w:t>
      </w:r>
    </w:p>
    <w:p w14:paraId="2FAB7A90">
      <w:pPr>
        <w:spacing w:line="560" w:lineRule="exact"/>
        <w:ind w:firstLine="640" w:firstLineChars="200"/>
        <w:rPr>
          <w:rFonts w:ascii="仿宋" w:hAnsi="仿宋" w:eastAsia="仿宋"/>
          <w:sz w:val="32"/>
          <w:szCs w:val="32"/>
        </w:rPr>
      </w:pPr>
      <w:r>
        <w:rPr>
          <w:rFonts w:hint="eastAsia" w:eastAsia="仿宋"/>
          <w:sz w:val="32"/>
          <w:szCs w:val="32"/>
        </w:rPr>
        <w:t>2</w:t>
      </w:r>
      <w:r>
        <w:rPr>
          <w:rFonts w:hint="eastAsia" w:eastAsia="仿宋"/>
          <w:b/>
          <w:bCs/>
          <w:sz w:val="32"/>
          <w:szCs w:val="32"/>
        </w:rPr>
        <w:t>.</w:t>
      </w:r>
      <w:r>
        <w:rPr>
          <w:rFonts w:eastAsia="仿宋"/>
          <w:b/>
          <w:bCs/>
          <w:sz w:val="32"/>
          <w:szCs w:val="32"/>
        </w:rPr>
        <w:t>大力弘扬“三个精神”。</w:t>
      </w:r>
      <w:r>
        <w:rPr>
          <w:rFonts w:ascii="仿宋" w:hAnsi="仿宋" w:eastAsia="仿宋"/>
          <w:sz w:val="32"/>
          <w:szCs w:val="32"/>
        </w:rPr>
        <w:t>在五一期间，分期对6名劳模事迹进行宣传报道，讲好了劳模故事、劳动故事、工匠故事；推荐18名（个）先进个人、集体参加</w:t>
      </w:r>
      <w:r>
        <w:rPr>
          <w:rFonts w:hint="eastAsia" w:ascii="仿宋" w:hAnsi="仿宋" w:eastAsia="仿宋"/>
          <w:sz w:val="32"/>
          <w:szCs w:val="32"/>
        </w:rPr>
        <w:t>模范</w:t>
      </w:r>
      <w:r>
        <w:rPr>
          <w:rFonts w:ascii="仿宋" w:hAnsi="仿宋" w:eastAsia="仿宋"/>
          <w:sz w:val="32"/>
          <w:szCs w:val="32"/>
        </w:rPr>
        <w:t>评选，获评省</w:t>
      </w:r>
      <w:r>
        <w:rPr>
          <w:rFonts w:hint="eastAsia" w:ascii="仿宋" w:hAnsi="仿宋" w:eastAsia="仿宋"/>
          <w:sz w:val="32"/>
          <w:szCs w:val="32"/>
        </w:rPr>
        <w:t>级</w:t>
      </w:r>
      <w:r>
        <w:rPr>
          <w:rFonts w:ascii="仿宋" w:hAnsi="仿宋" w:eastAsia="仿宋"/>
          <w:sz w:val="32"/>
          <w:szCs w:val="32"/>
        </w:rPr>
        <w:t>工人先锋号</w:t>
      </w:r>
      <w:r>
        <w:rPr>
          <w:rFonts w:hint="eastAsia" w:ascii="仿宋" w:hAnsi="仿宋" w:eastAsia="仿宋"/>
          <w:sz w:val="32"/>
          <w:szCs w:val="32"/>
        </w:rPr>
        <w:t>1个、</w:t>
      </w:r>
      <w:r>
        <w:rPr>
          <w:rFonts w:ascii="仿宋" w:hAnsi="仿宋" w:eastAsia="仿宋"/>
          <w:sz w:val="32"/>
          <w:szCs w:val="32"/>
        </w:rPr>
        <w:t>市</w:t>
      </w:r>
      <w:r>
        <w:rPr>
          <w:rFonts w:hint="eastAsia" w:ascii="仿宋" w:hAnsi="仿宋" w:eastAsia="仿宋"/>
          <w:sz w:val="32"/>
          <w:szCs w:val="32"/>
        </w:rPr>
        <w:t>级</w:t>
      </w:r>
      <w:r>
        <w:rPr>
          <w:rFonts w:ascii="仿宋" w:hAnsi="仿宋" w:eastAsia="仿宋"/>
          <w:sz w:val="32"/>
          <w:szCs w:val="32"/>
        </w:rPr>
        <w:t>工人先锋号</w:t>
      </w:r>
      <w:r>
        <w:rPr>
          <w:rFonts w:hint="eastAsia" w:ascii="仿宋" w:hAnsi="仿宋" w:eastAsia="仿宋"/>
          <w:sz w:val="32"/>
          <w:szCs w:val="32"/>
        </w:rPr>
        <w:t>1个、</w:t>
      </w:r>
      <w:r>
        <w:rPr>
          <w:rFonts w:ascii="仿宋" w:hAnsi="仿宋" w:eastAsia="仿宋"/>
          <w:sz w:val="32"/>
          <w:szCs w:val="32"/>
        </w:rPr>
        <w:t>市五一劳动奖章</w:t>
      </w:r>
      <w:r>
        <w:rPr>
          <w:rFonts w:hint="eastAsia" w:ascii="仿宋" w:hAnsi="仿宋" w:eastAsia="仿宋"/>
          <w:sz w:val="32"/>
          <w:szCs w:val="32"/>
        </w:rPr>
        <w:t>1人、</w:t>
      </w:r>
      <w:r>
        <w:rPr>
          <w:rFonts w:ascii="仿宋" w:hAnsi="仿宋" w:eastAsia="仿宋"/>
          <w:sz w:val="32"/>
          <w:szCs w:val="32"/>
        </w:rPr>
        <w:t>“乐山工匠”</w:t>
      </w:r>
      <w:r>
        <w:rPr>
          <w:rFonts w:hint="eastAsia" w:ascii="仿宋" w:hAnsi="仿宋" w:eastAsia="仿宋"/>
          <w:sz w:val="32"/>
          <w:szCs w:val="32"/>
        </w:rPr>
        <w:t>2人；</w:t>
      </w:r>
      <w:r>
        <w:rPr>
          <w:rFonts w:ascii="仿宋" w:hAnsi="仿宋" w:eastAsia="仿宋"/>
          <w:sz w:val="32"/>
          <w:szCs w:val="32"/>
        </w:rPr>
        <w:t>做实关心关爱劳模活动，走访看望县管省、市劳模57人，送去价值近2万元慰问物资。</w:t>
      </w:r>
    </w:p>
    <w:p w14:paraId="32E2D932">
      <w:pPr>
        <w:spacing w:line="560" w:lineRule="exact"/>
        <w:ind w:firstLine="643" w:firstLineChars="200"/>
        <w:rPr>
          <w:rFonts w:ascii="仿宋" w:hAnsi="仿宋" w:eastAsia="仿宋"/>
          <w:sz w:val="32"/>
          <w:szCs w:val="32"/>
        </w:rPr>
      </w:pPr>
      <w:r>
        <w:rPr>
          <w:rFonts w:hint="eastAsia" w:eastAsia="仿宋"/>
          <w:b/>
          <w:bCs/>
          <w:sz w:val="32"/>
          <w:szCs w:val="32"/>
        </w:rPr>
        <w:t>3.</w:t>
      </w:r>
      <w:r>
        <w:rPr>
          <w:rFonts w:eastAsia="仿宋"/>
          <w:b/>
          <w:bCs/>
          <w:sz w:val="32"/>
          <w:szCs w:val="32"/>
        </w:rPr>
        <w:t>深化职工志愿服务。</w:t>
      </w:r>
      <w:r>
        <w:rPr>
          <w:rFonts w:ascii="仿宋" w:hAnsi="仿宋" w:eastAsia="仿宋"/>
          <w:sz w:val="32"/>
          <w:szCs w:val="32"/>
        </w:rPr>
        <w:t>不断深化“关爱在身边 职工在行动”职工志愿服务，现在册职工志愿者163人（有心理咨询、应急救援、通讯维护等特长28人，能提供运输、救援设备等52人），组织开展疫情防控、五清行动、森林防灭火等志愿服务30余次。</w:t>
      </w:r>
    </w:p>
    <w:p w14:paraId="371BC1F7">
      <w:pPr>
        <w:spacing w:line="560" w:lineRule="exact"/>
        <w:ind w:firstLine="643" w:firstLineChars="200"/>
        <w:rPr>
          <w:rFonts w:ascii="仿宋" w:hAnsi="仿宋" w:eastAsia="仿宋"/>
          <w:sz w:val="32"/>
          <w:szCs w:val="32"/>
        </w:rPr>
      </w:pPr>
      <w:r>
        <w:rPr>
          <w:rFonts w:hint="eastAsia" w:eastAsia="楷体"/>
          <w:b/>
          <w:bCs/>
          <w:sz w:val="32"/>
          <w:szCs w:val="32"/>
        </w:rPr>
        <w:t>4.</w:t>
      </w:r>
      <w:r>
        <w:rPr>
          <w:rFonts w:eastAsia="仿宋"/>
          <w:b/>
          <w:bCs/>
          <w:sz w:val="32"/>
          <w:szCs w:val="32"/>
        </w:rPr>
        <w:t>做好东西协作扶贫车间项目。</w:t>
      </w:r>
      <w:r>
        <w:rPr>
          <w:rFonts w:ascii="仿宋" w:hAnsi="仿宋" w:eastAsia="仿宋"/>
          <w:sz w:val="32"/>
          <w:szCs w:val="32"/>
        </w:rPr>
        <w:t>争取建设资金35万元，牵头继续做好东西协作来料来样加工车间建设，现全县共建来料来样加工车间12个，解决群众就近灵活就业1</w:t>
      </w:r>
      <w:r>
        <w:rPr>
          <w:rFonts w:hint="eastAsia" w:ascii="仿宋" w:hAnsi="仿宋" w:eastAsia="仿宋"/>
          <w:sz w:val="32"/>
          <w:szCs w:val="32"/>
        </w:rPr>
        <w:t>8</w:t>
      </w:r>
      <w:r>
        <w:rPr>
          <w:rFonts w:ascii="仿宋" w:hAnsi="仿宋" w:eastAsia="仿宋"/>
          <w:sz w:val="32"/>
          <w:szCs w:val="32"/>
        </w:rPr>
        <w:t>0</w:t>
      </w:r>
      <w:r>
        <w:rPr>
          <w:rFonts w:hint="eastAsia" w:ascii="仿宋" w:hAnsi="仿宋" w:eastAsia="仿宋"/>
          <w:sz w:val="32"/>
          <w:szCs w:val="32"/>
        </w:rPr>
        <w:t>余</w:t>
      </w:r>
      <w:r>
        <w:rPr>
          <w:rFonts w:ascii="仿宋" w:hAnsi="仿宋" w:eastAsia="仿宋"/>
          <w:sz w:val="32"/>
          <w:szCs w:val="32"/>
        </w:rPr>
        <w:t>人（其中脱贫户、监测户44人），实现家庭收入月平均增加1600元左右、村集体收入增加0.8万元/年</w:t>
      </w:r>
      <w:r>
        <w:rPr>
          <w:rFonts w:hint="eastAsia" w:ascii="仿宋" w:hAnsi="仿宋" w:eastAsia="仿宋"/>
          <w:sz w:val="32"/>
          <w:szCs w:val="32"/>
        </w:rPr>
        <w:t>。</w:t>
      </w:r>
    </w:p>
    <w:p w14:paraId="2D6D97D0">
      <w:pPr>
        <w:spacing w:line="560" w:lineRule="exact"/>
        <w:ind w:firstLine="643" w:firstLineChars="200"/>
        <w:rPr>
          <w:rFonts w:ascii="仿宋" w:hAnsi="仿宋" w:eastAsia="仿宋"/>
          <w:sz w:val="32"/>
          <w:szCs w:val="32"/>
        </w:rPr>
      </w:pPr>
      <w:r>
        <w:rPr>
          <w:rFonts w:hint="eastAsia" w:eastAsia="仿宋"/>
          <w:b/>
          <w:bCs/>
          <w:sz w:val="32"/>
          <w:szCs w:val="32"/>
        </w:rPr>
        <w:t>5.</w:t>
      </w:r>
      <w:r>
        <w:rPr>
          <w:rFonts w:eastAsia="仿宋"/>
          <w:b/>
          <w:bCs/>
          <w:sz w:val="32"/>
          <w:szCs w:val="32"/>
        </w:rPr>
        <w:t>扎实开展主题劳动技能竞赛。</w:t>
      </w:r>
      <w:r>
        <w:rPr>
          <w:rFonts w:ascii="仿宋" w:hAnsi="仿宋" w:eastAsia="仿宋"/>
          <w:sz w:val="32"/>
          <w:szCs w:val="32"/>
        </w:rPr>
        <w:t>主办“建功十四五·奋进新征程”暨“践行十爱·德耀嘉州”“沐源芋工”技能大赛，大赛共设置12个比赛项目，吸引200余名职工（其中魔芋种植创业户38户）参赛；举办“中国梦·劳动美——奋进新征程 建功新时代”暨“践行十爱·德耀嘉州”创新创业大赛，评选表扬创业创业明星（项目带头人）15名和创业明星企业（项目、团队）5个。</w:t>
      </w:r>
    </w:p>
    <w:p w14:paraId="0AE8FF6E">
      <w:pPr>
        <w:spacing w:line="560" w:lineRule="exact"/>
        <w:ind w:firstLine="643" w:firstLineChars="200"/>
        <w:rPr>
          <w:rFonts w:ascii="仿宋" w:hAnsi="仿宋" w:eastAsia="仿宋"/>
          <w:sz w:val="32"/>
          <w:szCs w:val="32"/>
        </w:rPr>
      </w:pPr>
      <w:r>
        <w:rPr>
          <w:rFonts w:hint="eastAsia" w:eastAsia="仿宋"/>
          <w:b/>
          <w:bCs/>
          <w:sz w:val="32"/>
          <w:szCs w:val="32"/>
        </w:rPr>
        <w:t>6.</w:t>
      </w:r>
      <w:r>
        <w:rPr>
          <w:rFonts w:eastAsia="仿宋"/>
          <w:b/>
          <w:bCs/>
          <w:sz w:val="32"/>
          <w:szCs w:val="32"/>
        </w:rPr>
        <w:t>全力落实“拼经济、搞建设、促发展”措施。</w:t>
      </w:r>
      <w:r>
        <w:rPr>
          <w:rFonts w:ascii="仿宋" w:hAnsi="仿宋" w:eastAsia="仿宋"/>
          <w:sz w:val="32"/>
          <w:szCs w:val="32"/>
        </w:rPr>
        <w:t>加大消费帮扶工作力度，整合资金13余万元联合邮储银行开展购物满减职工普惠活动2次，促进职工消费。牵头举办“中国梦·劳动美、乡村振兴·邮你相伴”——“川工带川货”普惠主题直播活动，1个小时活动实现下单2869笔，共销售特色农副产品20.61万元。同时积极将本次活动申报参加全省“网聚职工正能量 争做中国好网民”主题活动，获三等奖。</w:t>
      </w:r>
    </w:p>
    <w:p w14:paraId="6B791158">
      <w:pPr>
        <w:spacing w:line="560" w:lineRule="exact"/>
        <w:ind w:firstLine="643" w:firstLineChars="200"/>
        <w:rPr>
          <w:rFonts w:ascii="仿宋" w:hAnsi="仿宋" w:eastAsia="仿宋"/>
          <w:sz w:val="32"/>
          <w:szCs w:val="32"/>
        </w:rPr>
      </w:pPr>
      <w:r>
        <w:rPr>
          <w:rFonts w:hint="eastAsia" w:eastAsia="楷体"/>
          <w:b/>
          <w:bCs/>
          <w:sz w:val="32"/>
          <w:szCs w:val="32"/>
        </w:rPr>
        <w:t>7.</w:t>
      </w:r>
      <w:r>
        <w:rPr>
          <w:rFonts w:eastAsia="楷体"/>
          <w:b/>
          <w:bCs/>
          <w:sz w:val="32"/>
          <w:szCs w:val="32"/>
        </w:rPr>
        <w:t>推进新就业形态劳动者工作。</w:t>
      </w:r>
      <w:r>
        <w:rPr>
          <w:rFonts w:ascii="仿宋" w:hAnsi="仿宋" w:eastAsia="仿宋"/>
          <w:sz w:val="32"/>
          <w:szCs w:val="32"/>
        </w:rPr>
        <w:t>新增新业态企业建会</w:t>
      </w:r>
      <w:r>
        <w:rPr>
          <w:rFonts w:hint="eastAsia" w:ascii="仿宋" w:hAnsi="仿宋" w:eastAsia="仿宋"/>
          <w:sz w:val="32"/>
          <w:szCs w:val="32"/>
        </w:rPr>
        <w:t>3</w:t>
      </w:r>
      <w:r>
        <w:rPr>
          <w:rFonts w:ascii="仿宋" w:hAnsi="仿宋" w:eastAsia="仿宋"/>
          <w:sz w:val="32"/>
          <w:szCs w:val="32"/>
        </w:rPr>
        <w:t>个，累计发展新就业形态劳动者会员</w:t>
      </w:r>
      <w:r>
        <w:rPr>
          <w:rFonts w:hint="eastAsia" w:ascii="仿宋" w:hAnsi="仿宋" w:eastAsia="仿宋"/>
          <w:sz w:val="32"/>
          <w:szCs w:val="32"/>
        </w:rPr>
        <w:t>1200</w:t>
      </w:r>
      <w:r>
        <w:rPr>
          <w:rFonts w:ascii="仿宋" w:hAnsi="仿宋" w:eastAsia="仿宋"/>
          <w:sz w:val="32"/>
          <w:szCs w:val="32"/>
        </w:rPr>
        <w:t>人；召开新就业形态劳动者座谈会，将新就业形态劳动者纳入</w:t>
      </w:r>
      <w:r>
        <w:rPr>
          <w:rFonts w:hint="eastAsia" w:ascii="仿宋" w:hAnsi="仿宋" w:eastAsia="仿宋"/>
          <w:sz w:val="32"/>
          <w:szCs w:val="32"/>
        </w:rPr>
        <w:t>“四季送”</w:t>
      </w:r>
      <w:r>
        <w:rPr>
          <w:rFonts w:ascii="仿宋" w:hAnsi="仿宋" w:eastAsia="仿宋"/>
          <w:sz w:val="32"/>
          <w:szCs w:val="32"/>
        </w:rPr>
        <w:t>、临时帮扶关爱对象，发放各类帮扶救助资金3万余元；合理布点、统筹推进户外劳动者服务站点建设，建成户外劳动者服务站点5个，并拍摄宣传片在新就业群体中广泛宣传。</w:t>
      </w:r>
    </w:p>
    <w:p w14:paraId="6B9305A9">
      <w:pPr>
        <w:spacing w:line="560" w:lineRule="exact"/>
        <w:ind w:firstLine="643" w:firstLineChars="200"/>
        <w:rPr>
          <w:rFonts w:ascii="仿宋" w:hAnsi="仿宋" w:eastAsia="仿宋"/>
          <w:sz w:val="32"/>
          <w:szCs w:val="32"/>
        </w:rPr>
      </w:pPr>
      <w:r>
        <w:rPr>
          <w:rFonts w:hint="eastAsia" w:eastAsia="楷体"/>
          <w:b/>
          <w:bCs/>
          <w:sz w:val="32"/>
          <w:szCs w:val="32"/>
        </w:rPr>
        <w:t>8.</w:t>
      </w:r>
      <w:r>
        <w:rPr>
          <w:rFonts w:eastAsia="楷体"/>
          <w:b/>
          <w:bCs/>
          <w:sz w:val="32"/>
          <w:szCs w:val="32"/>
        </w:rPr>
        <w:t>切实做实困难职工帮扶工作。</w:t>
      </w:r>
      <w:r>
        <w:rPr>
          <w:rFonts w:ascii="仿宋" w:hAnsi="仿宋" w:eastAsia="仿宋"/>
          <w:sz w:val="32"/>
          <w:szCs w:val="32"/>
        </w:rPr>
        <w:t>开展送温暖活动，落实资金50余万元，在春节期间走访慰问困难职工（农民工）、新就业形态劳动者等1000余人；开展送清凉活动，筹集资金</w:t>
      </w:r>
      <w:r>
        <w:rPr>
          <w:rFonts w:hint="eastAsia" w:ascii="仿宋" w:hAnsi="仿宋" w:eastAsia="仿宋"/>
          <w:sz w:val="32"/>
          <w:szCs w:val="32"/>
        </w:rPr>
        <w:t>23</w:t>
      </w:r>
      <w:r>
        <w:rPr>
          <w:rFonts w:ascii="仿宋" w:hAnsi="仿宋" w:eastAsia="仿宋"/>
          <w:sz w:val="32"/>
          <w:szCs w:val="32"/>
        </w:rPr>
        <w:t>万元，为</w:t>
      </w:r>
      <w:r>
        <w:rPr>
          <w:rFonts w:hint="eastAsia" w:ascii="仿宋" w:hAnsi="仿宋" w:eastAsia="仿宋"/>
          <w:sz w:val="32"/>
          <w:szCs w:val="32"/>
        </w:rPr>
        <w:t>4600余</w:t>
      </w:r>
      <w:r>
        <w:rPr>
          <w:rFonts w:ascii="仿宋" w:hAnsi="仿宋" w:eastAsia="仿宋"/>
          <w:sz w:val="32"/>
          <w:szCs w:val="32"/>
        </w:rPr>
        <w:t>名一线职工送去清凉；开展金秋助学活动，筹集资金</w:t>
      </w:r>
      <w:r>
        <w:rPr>
          <w:rFonts w:hint="eastAsia" w:ascii="仿宋" w:hAnsi="仿宋" w:eastAsia="仿宋"/>
          <w:sz w:val="32"/>
          <w:szCs w:val="32"/>
        </w:rPr>
        <w:t>23.5</w:t>
      </w:r>
      <w:r>
        <w:rPr>
          <w:rFonts w:ascii="仿宋" w:hAnsi="仿宋" w:eastAsia="仿宋"/>
          <w:sz w:val="32"/>
          <w:szCs w:val="32"/>
        </w:rPr>
        <w:t>万元，资助</w:t>
      </w:r>
      <w:r>
        <w:rPr>
          <w:rFonts w:hint="eastAsia" w:ascii="仿宋" w:hAnsi="仿宋" w:eastAsia="仿宋"/>
          <w:sz w:val="32"/>
          <w:szCs w:val="32"/>
        </w:rPr>
        <w:t>237</w:t>
      </w:r>
      <w:r>
        <w:rPr>
          <w:rFonts w:ascii="仿宋" w:hAnsi="仿宋" w:eastAsia="仿宋"/>
          <w:sz w:val="32"/>
          <w:szCs w:val="32"/>
        </w:rPr>
        <w:t>名困难职工家庭大学生和高中阶段学生。常态化开展困难职工（农民工）帮扶，为</w:t>
      </w:r>
      <w:r>
        <w:rPr>
          <w:rFonts w:hint="eastAsia" w:ascii="仿宋" w:hAnsi="仿宋" w:eastAsia="仿宋"/>
          <w:sz w:val="32"/>
          <w:szCs w:val="32"/>
        </w:rPr>
        <w:t>32</w:t>
      </w:r>
      <w:r>
        <w:rPr>
          <w:rFonts w:ascii="仿宋" w:hAnsi="仿宋" w:eastAsia="仿宋"/>
          <w:sz w:val="32"/>
          <w:szCs w:val="32"/>
        </w:rPr>
        <w:t>名困难职工发放救助资金</w:t>
      </w:r>
      <w:r>
        <w:rPr>
          <w:rFonts w:hint="eastAsia" w:ascii="仿宋" w:hAnsi="仿宋" w:eastAsia="仿宋"/>
          <w:sz w:val="32"/>
          <w:szCs w:val="32"/>
        </w:rPr>
        <w:t>7</w:t>
      </w:r>
      <w:r>
        <w:rPr>
          <w:rFonts w:ascii="仿宋" w:hAnsi="仿宋" w:eastAsia="仿宋"/>
          <w:sz w:val="32"/>
          <w:szCs w:val="32"/>
        </w:rPr>
        <w:t>万元。大力宣传职工互助保障计划，截至目前，已有</w:t>
      </w:r>
      <w:r>
        <w:rPr>
          <w:rFonts w:hint="eastAsia" w:ascii="仿宋" w:hAnsi="仿宋" w:eastAsia="仿宋"/>
          <w:sz w:val="32"/>
          <w:szCs w:val="32"/>
        </w:rPr>
        <w:t>69</w:t>
      </w:r>
      <w:r>
        <w:rPr>
          <w:rFonts w:ascii="仿宋" w:hAnsi="仿宋" w:eastAsia="仿宋"/>
          <w:sz w:val="32"/>
          <w:szCs w:val="32"/>
        </w:rPr>
        <w:t>个单位</w:t>
      </w:r>
      <w:r>
        <w:rPr>
          <w:rFonts w:hint="eastAsia" w:ascii="仿宋" w:hAnsi="仿宋" w:eastAsia="仿宋"/>
          <w:sz w:val="32"/>
          <w:szCs w:val="32"/>
        </w:rPr>
        <w:t>1901</w:t>
      </w:r>
      <w:r>
        <w:rPr>
          <w:rFonts w:ascii="仿宋" w:hAnsi="仿宋" w:eastAsia="仿宋"/>
          <w:sz w:val="32"/>
          <w:szCs w:val="32"/>
        </w:rPr>
        <w:t>人参保，</w:t>
      </w:r>
      <w:r>
        <w:rPr>
          <w:rFonts w:hint="eastAsia" w:ascii="仿宋" w:hAnsi="仿宋" w:eastAsia="仿宋"/>
          <w:sz w:val="32"/>
          <w:szCs w:val="32"/>
        </w:rPr>
        <w:t>108</w:t>
      </w:r>
      <w:r>
        <w:rPr>
          <w:rFonts w:ascii="仿宋" w:hAnsi="仿宋" w:eastAsia="仿宋"/>
          <w:sz w:val="32"/>
          <w:szCs w:val="32"/>
        </w:rPr>
        <w:t>人申请赔付，金额合计</w:t>
      </w:r>
      <w:r>
        <w:rPr>
          <w:rFonts w:hint="eastAsia" w:ascii="仿宋" w:hAnsi="仿宋" w:eastAsia="仿宋"/>
          <w:sz w:val="32"/>
          <w:szCs w:val="32"/>
        </w:rPr>
        <w:t>23.77</w:t>
      </w:r>
      <w:r>
        <w:rPr>
          <w:rFonts w:ascii="仿宋" w:hAnsi="仿宋" w:eastAsia="仿宋"/>
          <w:sz w:val="32"/>
          <w:szCs w:val="32"/>
        </w:rPr>
        <w:t>万元。结合我为群众办实事“百日攻坚”专项行动，扎实开展工会干部赴基层蹲点工作，落实4名工作人员到2个基层工会蹲点，发现解决基层工会和职工群众“急难愁盼”问题10个，落实资金8万元。</w:t>
      </w:r>
    </w:p>
    <w:p w14:paraId="45A16B3C">
      <w:pPr>
        <w:spacing w:line="560" w:lineRule="exact"/>
        <w:ind w:firstLine="643" w:firstLineChars="200"/>
        <w:rPr>
          <w:rFonts w:ascii="仿宋" w:hAnsi="仿宋" w:eastAsia="仿宋"/>
          <w:sz w:val="32"/>
          <w:szCs w:val="32"/>
        </w:rPr>
      </w:pPr>
      <w:r>
        <w:rPr>
          <w:rFonts w:hint="eastAsia" w:eastAsia="楷体"/>
          <w:b/>
          <w:bCs/>
          <w:sz w:val="32"/>
          <w:szCs w:val="32"/>
        </w:rPr>
        <w:t>9.</w:t>
      </w:r>
      <w:r>
        <w:rPr>
          <w:rFonts w:eastAsia="楷体"/>
          <w:b/>
          <w:bCs/>
          <w:sz w:val="32"/>
          <w:szCs w:val="32"/>
        </w:rPr>
        <w:t>大力推动构建和谐劳动关系。</w:t>
      </w:r>
      <w:r>
        <w:rPr>
          <w:rFonts w:ascii="仿宋" w:hAnsi="仿宋" w:eastAsia="仿宋"/>
          <w:sz w:val="32"/>
          <w:szCs w:val="32"/>
        </w:rPr>
        <w:t>利用春节、五一等节点广泛宣传《工会法》，推动《工会法》进园区、进企业、进班组；联合住建和应急管理局对燃气行业</w:t>
      </w:r>
      <w:r>
        <w:rPr>
          <w:rFonts w:hint="eastAsia" w:ascii="仿宋" w:hAnsi="仿宋" w:eastAsia="仿宋"/>
          <w:sz w:val="32"/>
          <w:szCs w:val="32"/>
        </w:rPr>
        <w:t>安全生产</w:t>
      </w:r>
      <w:r>
        <w:rPr>
          <w:rFonts w:ascii="仿宋" w:hAnsi="仿宋" w:eastAsia="仿宋"/>
          <w:sz w:val="32"/>
          <w:szCs w:val="32"/>
        </w:rPr>
        <w:t>工作进行监督检查5次</w:t>
      </w:r>
      <w:r>
        <w:rPr>
          <w:rFonts w:hint="eastAsia" w:ascii="仿宋" w:hAnsi="仿宋" w:eastAsia="仿宋"/>
          <w:sz w:val="32"/>
          <w:szCs w:val="32"/>
        </w:rPr>
        <w:t>；</w:t>
      </w:r>
      <w:r>
        <w:rPr>
          <w:rFonts w:ascii="仿宋" w:hAnsi="仿宋" w:eastAsia="仿宋"/>
          <w:sz w:val="32"/>
          <w:szCs w:val="32"/>
        </w:rPr>
        <w:t>争取省总专项送温暖资金12万元，慰问患尘肺病困难职工（农民工）62名；组织开展2022年集体协商集中要约活动，指导6家企业（区域）开展集体协商；组织60</w:t>
      </w:r>
      <w:bookmarkStart w:id="72" w:name="_GoBack"/>
      <w:bookmarkEnd w:id="72"/>
      <w:r>
        <w:rPr>
          <w:rFonts w:ascii="仿宋" w:hAnsi="仿宋" w:eastAsia="仿宋"/>
          <w:sz w:val="32"/>
          <w:szCs w:val="32"/>
        </w:rPr>
        <w:t>0余名职工参加市“安康杯”职工安全健康技能提升线上挑战赛，</w:t>
      </w:r>
      <w:r>
        <w:rPr>
          <w:rFonts w:hint="eastAsia" w:ascii="仿宋" w:hAnsi="仿宋" w:eastAsia="仿宋"/>
          <w:sz w:val="32"/>
          <w:szCs w:val="32"/>
        </w:rPr>
        <w:t>荣获三等奖</w:t>
      </w:r>
      <w:r>
        <w:rPr>
          <w:rFonts w:ascii="仿宋" w:hAnsi="仿宋" w:eastAsia="仿宋"/>
          <w:sz w:val="32"/>
          <w:szCs w:val="32"/>
        </w:rPr>
        <w:t>。</w:t>
      </w:r>
    </w:p>
    <w:p w14:paraId="51D0176A">
      <w:pPr>
        <w:spacing w:line="560" w:lineRule="exact"/>
        <w:ind w:firstLine="643" w:firstLineChars="200"/>
        <w:rPr>
          <w:rFonts w:ascii="仿宋" w:hAnsi="仿宋" w:eastAsia="仿宋"/>
          <w:sz w:val="32"/>
          <w:szCs w:val="32"/>
        </w:rPr>
      </w:pPr>
      <w:r>
        <w:rPr>
          <w:rFonts w:hint="eastAsia" w:eastAsia="楷体"/>
          <w:b/>
          <w:bCs/>
          <w:sz w:val="32"/>
          <w:szCs w:val="32"/>
        </w:rPr>
        <w:t>10.</w:t>
      </w:r>
      <w:r>
        <w:rPr>
          <w:rFonts w:eastAsia="楷体"/>
          <w:b/>
          <w:bCs/>
          <w:sz w:val="32"/>
          <w:szCs w:val="32"/>
        </w:rPr>
        <w:t>创新组建党建联盟。</w:t>
      </w:r>
      <w:r>
        <w:rPr>
          <w:rFonts w:ascii="仿宋" w:hAnsi="仿宋" w:eastAsia="仿宋"/>
          <w:sz w:val="32"/>
          <w:szCs w:val="32"/>
        </w:rPr>
        <w:t>以群团组织党总支下属6个党支部为依托，组建“满园春晖党建联盟”，开展各类活动73场，关爱困难职工、妇女儿童、残疾人等群体1万余人次；通过联盟邮政、邮储电信、移动沐川分公司4个党支部，组建“沐源驿站党建联盟”，深度聚焦户外劳动者“吃饭难、喝水难、休息难、如厕难”等现实问题，推动党建与业务工作深度融合，切实满足职工群众对美好生活向往的实际需求。</w:t>
      </w:r>
    </w:p>
    <w:p w14:paraId="5709286D">
      <w:pPr>
        <w:spacing w:line="560" w:lineRule="exact"/>
        <w:ind w:firstLine="643" w:firstLineChars="200"/>
        <w:rPr>
          <w:rFonts w:ascii="仿宋" w:hAnsi="仿宋" w:eastAsia="仿宋"/>
          <w:sz w:val="32"/>
          <w:szCs w:val="32"/>
        </w:rPr>
      </w:pPr>
      <w:r>
        <w:rPr>
          <w:rFonts w:hint="eastAsia" w:eastAsia="楷体"/>
          <w:b/>
          <w:bCs/>
          <w:sz w:val="32"/>
          <w:szCs w:val="32"/>
        </w:rPr>
        <w:t>11.</w:t>
      </w:r>
      <w:r>
        <w:rPr>
          <w:rFonts w:eastAsia="楷体"/>
          <w:b/>
          <w:bCs/>
          <w:sz w:val="32"/>
          <w:szCs w:val="32"/>
        </w:rPr>
        <w:t>夯实基层组织基础。</w:t>
      </w:r>
      <w:r>
        <w:rPr>
          <w:rFonts w:ascii="仿宋" w:hAnsi="仿宋" w:eastAsia="仿宋"/>
          <w:sz w:val="32"/>
          <w:szCs w:val="32"/>
        </w:rPr>
        <w:t>深化百人以下、25人以上企业建会专项行动，确保全县25人以上企业建会率动态保持在93%以上；指导基层工会职工之家阵地项目建设2个；支持4个基层工会共计</w:t>
      </w:r>
      <w:r>
        <w:rPr>
          <w:rFonts w:hint="eastAsia" w:ascii="仿宋" w:hAnsi="仿宋" w:eastAsia="仿宋"/>
          <w:sz w:val="32"/>
          <w:szCs w:val="32"/>
        </w:rPr>
        <w:t>11万</w:t>
      </w:r>
      <w:r>
        <w:rPr>
          <w:rFonts w:ascii="仿宋" w:hAnsi="仿宋" w:eastAsia="仿宋"/>
          <w:sz w:val="32"/>
          <w:szCs w:val="32"/>
        </w:rPr>
        <w:t>元，加强组织建设；主动发挥工会经审监督作用，审计基层工会组织5个。</w:t>
      </w:r>
    </w:p>
    <w:p w14:paraId="678C61D3">
      <w:pPr>
        <w:pStyle w:val="3"/>
        <w:spacing w:before="0" w:after="0" w:line="560" w:lineRule="exact"/>
        <w:ind w:firstLine="640" w:firstLineChars="200"/>
        <w:rPr>
          <w:rStyle w:val="28"/>
          <w:b w:val="0"/>
          <w:bCs w:val="0"/>
        </w:rPr>
      </w:pPr>
      <w:r>
        <w:rPr>
          <w:rFonts w:hint="eastAsia" w:ascii="黑体" w:eastAsia="黑体"/>
          <w:b w:val="0"/>
        </w:rPr>
        <w:t>二、</w:t>
      </w:r>
      <w:r>
        <w:rPr>
          <w:rFonts w:hint="eastAsia" w:ascii="黑体" w:hAnsi="黑体" w:eastAsia="黑体"/>
          <w:b w:val="0"/>
        </w:rPr>
        <w:t>机</w:t>
      </w:r>
      <w:r>
        <w:rPr>
          <w:rStyle w:val="28"/>
          <w:rFonts w:hint="eastAsia" w:ascii="黑体" w:hAnsi="黑体" w:eastAsia="黑体"/>
          <w:b w:val="0"/>
          <w:bCs w:val="0"/>
        </w:rPr>
        <w:t>构设置</w:t>
      </w:r>
      <w:bookmarkEnd w:id="16"/>
      <w:bookmarkEnd w:id="17"/>
    </w:p>
    <w:p w14:paraId="16AF2F99">
      <w:pPr>
        <w:spacing w:line="560" w:lineRule="exact"/>
        <w:ind w:firstLine="640" w:firstLineChars="200"/>
        <w:rPr>
          <w:rFonts w:hint="eastAsia" w:ascii="仿宋" w:hAnsi="仿宋" w:eastAsia="仿宋"/>
          <w:sz w:val="32"/>
          <w:szCs w:val="32"/>
        </w:rPr>
      </w:pPr>
      <w:bookmarkStart w:id="20" w:name="_Toc15377432"/>
      <w:bookmarkStart w:id="21" w:name="_Toc15378448"/>
      <w:bookmarkStart w:id="22" w:name="_Toc15377201"/>
      <w:bookmarkStart w:id="23" w:name="_Toc15306275"/>
      <w:r>
        <w:rPr>
          <w:rFonts w:hint="eastAsia" w:ascii="仿宋" w:hAnsi="仿宋" w:eastAsia="仿宋"/>
          <w:sz w:val="32"/>
          <w:szCs w:val="32"/>
        </w:rPr>
        <w:t>沐川县总工会下属二级单位1个，其中行政单位0个，参照公务员法管理的事业单位0个，其他事业单位1个。无纳入沐川县总工会2022年度部门决算编制范围的二级预算单位。</w:t>
      </w:r>
      <w:bookmarkEnd w:id="20"/>
      <w:bookmarkEnd w:id="21"/>
      <w:bookmarkEnd w:id="22"/>
      <w:bookmarkEnd w:id="23"/>
      <w:bookmarkStart w:id="24" w:name="_Toc15396602"/>
      <w:bookmarkStart w:id="25" w:name="_Toc15377204"/>
    </w:p>
    <w:p w14:paraId="1AA10E8C">
      <w:pPr>
        <w:spacing w:line="560" w:lineRule="exact"/>
        <w:ind w:firstLine="640" w:firstLineChars="200"/>
        <w:rPr>
          <w:rFonts w:hint="eastAsia" w:ascii="仿宋" w:hAnsi="仿宋" w:eastAsia="仿宋"/>
          <w:sz w:val="32"/>
          <w:szCs w:val="32"/>
        </w:rPr>
      </w:pPr>
    </w:p>
    <w:p w14:paraId="154B3690">
      <w:pPr>
        <w:spacing w:line="560" w:lineRule="exact"/>
        <w:ind w:firstLine="640" w:firstLineChars="200"/>
        <w:rPr>
          <w:rFonts w:hint="eastAsia" w:ascii="仿宋" w:hAnsi="仿宋" w:eastAsia="仿宋"/>
          <w:sz w:val="32"/>
          <w:szCs w:val="32"/>
        </w:rPr>
      </w:pPr>
    </w:p>
    <w:p w14:paraId="00306D07">
      <w:pPr>
        <w:pStyle w:val="2"/>
        <w:ind w:right="440"/>
        <w:jc w:val="center"/>
        <w:rPr>
          <w:rStyle w:val="27"/>
          <w:rFonts w:ascii="黑体" w:hAnsi="黑体" w:eastAsia="黑体"/>
          <w:b w:val="0"/>
          <w:bCs/>
        </w:rPr>
      </w:pPr>
      <w:r>
        <w:rPr>
          <w:rFonts w:hint="eastAsia" w:ascii="黑体" w:hAnsi="黑体" w:eastAsia="黑体"/>
          <w:b w:val="0"/>
        </w:rPr>
        <w:t>第二部分 2022年度</w:t>
      </w:r>
      <w:r>
        <w:rPr>
          <w:rStyle w:val="27"/>
          <w:rFonts w:hint="eastAsia" w:ascii="黑体" w:hAnsi="黑体" w:eastAsia="黑体"/>
          <w:b w:val="0"/>
          <w:bCs/>
        </w:rPr>
        <w:t>部门决算情况说明</w:t>
      </w:r>
      <w:bookmarkEnd w:id="24"/>
      <w:bookmarkEnd w:id="25"/>
    </w:p>
    <w:p w14:paraId="370F4F42"/>
    <w:p w14:paraId="7F444506">
      <w:pPr>
        <w:pStyle w:val="26"/>
        <w:numPr>
          <w:ilvl w:val="0"/>
          <w:numId w:val="1"/>
        </w:numPr>
        <w:spacing w:line="600" w:lineRule="exact"/>
        <w:ind w:firstLineChars="0"/>
        <w:outlineLvl w:val="1"/>
        <w:rPr>
          <w:rStyle w:val="28"/>
          <w:rFonts w:ascii="黑体" w:hAnsi="黑体" w:eastAsia="黑体"/>
          <w:b w:val="0"/>
        </w:rPr>
      </w:pPr>
      <w:bookmarkStart w:id="26" w:name="_Toc15396603"/>
      <w:bookmarkStart w:id="27" w:name="_Toc15377205"/>
      <w:r>
        <w:rPr>
          <w:rFonts w:hint="eastAsia" w:ascii="黑体" w:hAnsi="黑体" w:eastAsia="黑体"/>
          <w:sz w:val="32"/>
          <w:szCs w:val="32"/>
        </w:rPr>
        <w:t>收</w:t>
      </w:r>
      <w:r>
        <w:rPr>
          <w:rStyle w:val="28"/>
          <w:rFonts w:hint="eastAsia" w:ascii="黑体" w:hAnsi="黑体" w:eastAsia="黑体"/>
          <w:b w:val="0"/>
        </w:rPr>
        <w:t>入支出决算总体情况说明</w:t>
      </w:r>
      <w:bookmarkEnd w:id="26"/>
      <w:bookmarkEnd w:id="27"/>
    </w:p>
    <w:p w14:paraId="1AE62888">
      <w:pPr>
        <w:ind w:firstLine="960" w:firstLineChars="300"/>
        <w:jc w:val="left"/>
        <w:rPr>
          <w:rFonts w:hint="eastAsia" w:ascii="仿宋" w:hAnsi="仿宋" w:eastAsia="仿宋" w:cs="仿宋_GB2312"/>
          <w:color w:val="000000"/>
          <w:sz w:val="32"/>
          <w:lang w:val="zh-CN"/>
        </w:rPr>
      </w:pPr>
      <w:r>
        <w:rPr>
          <w:rFonts w:hint="eastAsia" w:ascii="仿宋" w:hAnsi="仿宋" w:eastAsia="仿宋" w:cs="仿宋_GB2312"/>
          <w:color w:val="000000"/>
          <w:sz w:val="32"/>
          <w:lang w:val="zh-CN"/>
        </w:rPr>
        <w:t>2022年度收、支总计287.29万元。与2021年相比，收、支总计各增加37.73万元，增长15.1%。主要变动原因：一是工资福利支出中基本工资、奖金、绩效工资增加；二是其他群众团体事务支出中对个人和家庭的补助增加。</w:t>
      </w:r>
    </w:p>
    <w:p w14:paraId="01BB6E1E">
      <w:pPr>
        <w:ind w:firstLine="960" w:firstLineChars="300"/>
        <w:jc w:val="left"/>
        <w:rPr>
          <w:rFonts w:ascii="仿宋" w:hAnsi="仿宋" w:eastAsia="仿宋"/>
          <w:sz w:val="32"/>
          <w:szCs w:val="32"/>
        </w:rPr>
      </w:pPr>
      <w:r>
        <w:rPr>
          <w:rFonts w:hint="eastAsia" w:ascii="仿宋" w:hAnsi="仿宋" w:eastAsia="仿宋" w:cs="仿宋_GB2312"/>
          <w:color w:val="000000"/>
          <w:sz w:val="32"/>
        </w:rPr>
        <w:drawing>
          <wp:anchor distT="0" distB="0" distL="114300" distR="114300" simplePos="0" relativeHeight="251659264" behindDoc="0" locked="0" layoutInCell="1" allowOverlap="1">
            <wp:simplePos x="0" y="0"/>
            <wp:positionH relativeFrom="column">
              <wp:posOffset>201295</wp:posOffset>
            </wp:positionH>
            <wp:positionV relativeFrom="paragraph">
              <wp:posOffset>102235</wp:posOffset>
            </wp:positionV>
            <wp:extent cx="5143500" cy="2807335"/>
            <wp:effectExtent l="19050" t="0" r="0" b="0"/>
            <wp:wrapNone/>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5143500" cy="2807330"/>
                    </a:xfrm>
                    <a:prstGeom prst="rect">
                      <a:avLst/>
                    </a:prstGeom>
                  </pic:spPr>
                </pic:pic>
              </a:graphicData>
            </a:graphic>
          </wp:anchor>
        </w:drawing>
      </w:r>
      <w:r>
        <w:rPr>
          <w:rFonts w:hint="eastAsia" w:ascii="仿宋" w:hAnsi="仿宋" w:eastAsia="仿宋" w:cs="仿宋_GB2312"/>
          <w:color w:val="000000"/>
          <w:sz w:val="32"/>
        </w:rPr>
        <w:t xml:space="preserve">      </w:t>
      </w:r>
    </w:p>
    <w:p w14:paraId="60A2F2C0">
      <w:pPr>
        <w:pStyle w:val="13"/>
        <w:ind w:left="420" w:firstLine="640"/>
        <w:rPr>
          <w:rFonts w:ascii="仿宋" w:hAnsi="仿宋" w:eastAsia="仿宋"/>
          <w:sz w:val="32"/>
        </w:rPr>
      </w:pPr>
    </w:p>
    <w:p w14:paraId="2FF7BBA8">
      <w:pPr>
        <w:rPr>
          <w:rFonts w:ascii="仿宋" w:hAnsi="仿宋" w:eastAsia="仿宋"/>
          <w:sz w:val="32"/>
          <w:szCs w:val="32"/>
        </w:rPr>
      </w:pPr>
    </w:p>
    <w:p w14:paraId="6809A6F2">
      <w:pPr>
        <w:rPr>
          <w:rFonts w:ascii="仿宋" w:hAnsi="仿宋" w:eastAsia="仿宋"/>
          <w:sz w:val="32"/>
          <w:szCs w:val="32"/>
        </w:rPr>
      </w:pPr>
    </w:p>
    <w:p w14:paraId="7559AF97">
      <w:pPr>
        <w:rPr>
          <w:rFonts w:ascii="仿宋" w:hAnsi="仿宋" w:eastAsia="仿宋"/>
          <w:sz w:val="32"/>
          <w:szCs w:val="32"/>
        </w:rPr>
      </w:pPr>
    </w:p>
    <w:p w14:paraId="412E7B21">
      <w:pPr>
        <w:pStyle w:val="13"/>
        <w:ind w:left="0" w:leftChars="0" w:firstLine="0" w:firstLineChars="0"/>
        <w:rPr>
          <w:rFonts w:hint="eastAsia" w:ascii="仿宋" w:hAnsi="仿宋" w:eastAsia="仿宋"/>
          <w:sz w:val="32"/>
        </w:rPr>
      </w:pPr>
    </w:p>
    <w:p w14:paraId="5C6544BE"/>
    <w:p w14:paraId="7D7A2261">
      <w:pPr>
        <w:spacing w:line="600" w:lineRule="exact"/>
        <w:ind w:firstLine="1600" w:firstLineChars="500"/>
        <w:rPr>
          <w:rFonts w:hint="eastAsia" w:ascii="仿宋" w:hAnsi="仿宋" w:eastAsia="仿宋"/>
          <w:sz w:val="32"/>
          <w:szCs w:val="32"/>
        </w:rPr>
      </w:pPr>
    </w:p>
    <w:p w14:paraId="2D4130DB">
      <w:pPr>
        <w:spacing w:line="600" w:lineRule="exact"/>
        <w:ind w:firstLine="1600" w:firstLineChars="500"/>
        <w:rPr>
          <w:rFonts w:hint="eastAsia" w:ascii="仿宋" w:hAnsi="仿宋" w:eastAsia="仿宋"/>
          <w:sz w:val="32"/>
          <w:szCs w:val="32"/>
          <w:highlight w:val="lightGray"/>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bookmarkStart w:id="28" w:name="_Toc15377206"/>
      <w:bookmarkStart w:id="29" w:name="_Toc15396604"/>
    </w:p>
    <w:p w14:paraId="2FA54CF1">
      <w:pPr>
        <w:pStyle w:val="26"/>
        <w:spacing w:line="600" w:lineRule="exact"/>
        <w:ind w:firstLine="640"/>
        <w:outlineLvl w:val="1"/>
        <w:rPr>
          <w:rFonts w:hint="eastAsia" w:ascii="黑体" w:hAnsi="黑体" w:eastAsia="黑体"/>
          <w:sz w:val="32"/>
          <w:szCs w:val="32"/>
        </w:rPr>
      </w:pPr>
    </w:p>
    <w:p w14:paraId="7989C15E">
      <w:pPr>
        <w:pStyle w:val="26"/>
        <w:spacing w:line="600" w:lineRule="exact"/>
        <w:ind w:firstLine="640"/>
        <w:outlineLvl w:val="1"/>
        <w:rPr>
          <w:rFonts w:ascii="仿宋_GB2312" w:hAnsi="仿宋_GB2312" w:eastAsia="仿宋_GB2312"/>
          <w:color w:val="000000"/>
          <w:sz w:val="32"/>
          <w:lang w:val="zh-CN"/>
        </w:rPr>
      </w:pPr>
      <w:r>
        <w:rPr>
          <w:rFonts w:hint="eastAsia" w:ascii="黑体" w:hAnsi="黑体" w:eastAsia="黑体"/>
          <w:sz w:val="32"/>
          <w:szCs w:val="32"/>
        </w:rPr>
        <w:t>二、收</w:t>
      </w:r>
      <w:r>
        <w:rPr>
          <w:rStyle w:val="28"/>
          <w:rFonts w:hint="eastAsia" w:ascii="黑体" w:hAnsi="黑体" w:eastAsia="黑体"/>
          <w:b w:val="0"/>
        </w:rPr>
        <w:t>入决算情况说明</w:t>
      </w:r>
      <w:bookmarkEnd w:id="28"/>
      <w:bookmarkEnd w:id="29"/>
    </w:p>
    <w:p w14:paraId="46A1F286">
      <w:pPr>
        <w:pStyle w:val="26"/>
        <w:spacing w:line="600" w:lineRule="exact"/>
        <w:ind w:firstLine="640"/>
        <w:outlineLvl w:val="1"/>
        <w:rPr>
          <w:rFonts w:ascii="仿宋" w:hAnsi="仿宋" w:eastAsia="仿宋" w:cs="仿宋_GB2312"/>
          <w:color w:val="000000"/>
          <w:sz w:val="32"/>
          <w:lang w:val="zh-CN"/>
        </w:rPr>
      </w:pPr>
      <w:r>
        <w:rPr>
          <w:rFonts w:hint="eastAsia" w:ascii="仿宋" w:hAnsi="仿宋" w:eastAsia="仿宋" w:cs="仿宋_GB2312"/>
          <w:color w:val="000000"/>
          <w:sz w:val="32"/>
          <w:lang w:val="zh-CN"/>
        </w:rPr>
        <w:t>2022年本年收入合计287.29万元，其中：一般公共预算财政拨款收入287.29万元，占100%。</w:t>
      </w:r>
    </w:p>
    <w:p w14:paraId="6074BCB2">
      <w:pPr>
        <w:pStyle w:val="26"/>
        <w:spacing w:line="600" w:lineRule="exact"/>
        <w:ind w:firstLine="640"/>
        <w:outlineLvl w:val="1"/>
        <w:rPr>
          <w:rFonts w:ascii="仿宋_GB2312" w:hAnsi="仿宋_GB2312" w:eastAsia="仿宋_GB2312"/>
          <w:color w:val="000000"/>
          <w:sz w:val="32"/>
          <w:lang w:val="zh-CN"/>
        </w:rPr>
      </w:pPr>
    </w:p>
    <w:p w14:paraId="783A8DE2">
      <w:pPr>
        <w:pStyle w:val="26"/>
        <w:spacing w:line="600" w:lineRule="exact"/>
        <w:ind w:firstLine="640"/>
        <w:outlineLvl w:val="1"/>
        <w:rPr>
          <w:rFonts w:ascii="仿宋_GB2312" w:hAnsi="仿宋_GB2312" w:eastAsia="仿宋_GB2312"/>
          <w:color w:val="000000"/>
          <w:sz w:val="32"/>
          <w:lang w:val="zh-CN"/>
        </w:rPr>
      </w:pPr>
    </w:p>
    <w:p w14:paraId="0525F174">
      <w:pPr>
        <w:pStyle w:val="26"/>
        <w:spacing w:line="600" w:lineRule="exact"/>
        <w:ind w:firstLine="640"/>
        <w:outlineLvl w:val="1"/>
        <w:rPr>
          <w:rFonts w:ascii="仿宋_GB2312" w:hAnsi="仿宋_GB2312" w:eastAsia="仿宋_GB2312"/>
          <w:color w:val="000000"/>
          <w:sz w:val="32"/>
          <w:lang w:val="zh-CN"/>
        </w:rPr>
      </w:pPr>
    </w:p>
    <w:p w14:paraId="4F16B5D0">
      <w:pPr>
        <w:pStyle w:val="26"/>
        <w:spacing w:line="600" w:lineRule="exact"/>
        <w:ind w:firstLine="640"/>
        <w:outlineLvl w:val="1"/>
        <w:rPr>
          <w:rFonts w:ascii="仿宋_GB2312" w:hAnsi="仿宋_GB2312" w:eastAsia="仿宋_GB2312"/>
          <w:color w:val="000000"/>
          <w:sz w:val="32"/>
          <w:lang w:val="zh-CN"/>
        </w:rPr>
      </w:pPr>
      <w:r>
        <w:rPr>
          <w:rFonts w:ascii="仿宋_GB2312" w:hAnsi="仿宋_GB2312" w:eastAsia="仿宋_GB2312"/>
          <w:color w:val="000000"/>
          <w:sz w:val="32"/>
        </w:rPr>
        <w:drawing>
          <wp:anchor distT="0" distB="0" distL="114300" distR="114300" simplePos="0" relativeHeight="251660288" behindDoc="0" locked="0" layoutInCell="1" allowOverlap="1">
            <wp:simplePos x="0" y="0"/>
            <wp:positionH relativeFrom="column">
              <wp:posOffset>515620</wp:posOffset>
            </wp:positionH>
            <wp:positionV relativeFrom="paragraph">
              <wp:posOffset>-123825</wp:posOffset>
            </wp:positionV>
            <wp:extent cx="4467225" cy="2784475"/>
            <wp:effectExtent l="19050" t="0" r="9525" b="0"/>
            <wp:wrapNone/>
            <wp:docPr id="10" name="图片 2" descr="C:\Users\Administrator\Desktop\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C:\Users\Administrator\Desktop\2 (2).png"/>
                    <pic:cNvPicPr>
                      <a:picLocks noChangeAspect="1" noChangeArrowheads="1"/>
                    </pic:cNvPicPr>
                  </pic:nvPicPr>
                  <pic:blipFill>
                    <a:blip r:embed="rId7"/>
                    <a:srcRect/>
                    <a:stretch>
                      <a:fillRect/>
                    </a:stretch>
                  </pic:blipFill>
                  <pic:spPr>
                    <a:xfrm>
                      <a:off x="0" y="0"/>
                      <a:ext cx="4467225" cy="2784635"/>
                    </a:xfrm>
                    <a:prstGeom prst="rect">
                      <a:avLst/>
                    </a:prstGeom>
                    <a:noFill/>
                    <a:ln w="9525">
                      <a:noFill/>
                      <a:miter lim="800000"/>
                      <a:headEnd/>
                      <a:tailEnd/>
                    </a:ln>
                  </pic:spPr>
                </pic:pic>
              </a:graphicData>
            </a:graphic>
          </wp:anchor>
        </w:drawing>
      </w:r>
    </w:p>
    <w:p w14:paraId="42F14E48">
      <w:pPr>
        <w:pStyle w:val="26"/>
        <w:spacing w:line="600" w:lineRule="exact"/>
        <w:ind w:firstLine="0" w:firstLineChars="0"/>
        <w:outlineLvl w:val="1"/>
        <w:rPr>
          <w:rFonts w:ascii="仿宋_GB2312" w:hAnsi="仿宋_GB2312" w:eastAsia="仿宋_GB2312"/>
          <w:color w:val="000000"/>
          <w:sz w:val="32"/>
          <w:lang w:val="zh-CN"/>
        </w:rPr>
      </w:pPr>
    </w:p>
    <w:p w14:paraId="2A419C71">
      <w:pPr>
        <w:spacing w:line="600" w:lineRule="exact"/>
        <w:ind w:firstLine="640" w:firstLineChars="200"/>
        <w:rPr>
          <w:rFonts w:hint="eastAsia" w:ascii="仿宋" w:hAnsi="仿宋" w:eastAsia="仿宋"/>
          <w:sz w:val="32"/>
          <w:szCs w:val="32"/>
        </w:rPr>
      </w:pPr>
    </w:p>
    <w:p w14:paraId="4E8EAE56">
      <w:pPr>
        <w:spacing w:line="600" w:lineRule="exact"/>
        <w:ind w:firstLine="2240" w:firstLineChars="700"/>
        <w:rPr>
          <w:rFonts w:hint="eastAsia" w:ascii="仿宋" w:hAnsi="仿宋" w:eastAsia="仿宋"/>
          <w:sz w:val="32"/>
          <w:szCs w:val="32"/>
        </w:rPr>
      </w:pPr>
    </w:p>
    <w:p w14:paraId="10DA8BA1">
      <w:pPr>
        <w:spacing w:line="600" w:lineRule="exact"/>
        <w:ind w:firstLine="2240" w:firstLineChars="700"/>
        <w:rPr>
          <w:rFonts w:hint="eastAsia" w:ascii="仿宋" w:hAnsi="仿宋" w:eastAsia="仿宋"/>
          <w:sz w:val="32"/>
          <w:szCs w:val="32"/>
        </w:rPr>
      </w:pPr>
    </w:p>
    <w:p w14:paraId="7AA36F71">
      <w:pPr>
        <w:spacing w:line="600" w:lineRule="exact"/>
        <w:ind w:firstLine="2240" w:firstLineChars="700"/>
        <w:rPr>
          <w:rFonts w:hint="eastAsia" w:ascii="仿宋" w:hAnsi="仿宋" w:eastAsia="仿宋"/>
          <w:sz w:val="32"/>
          <w:szCs w:val="32"/>
        </w:rPr>
      </w:pPr>
    </w:p>
    <w:p w14:paraId="6B2CE465">
      <w:pPr>
        <w:spacing w:line="600" w:lineRule="exact"/>
        <w:ind w:firstLine="2240" w:firstLineChars="700"/>
        <w:rPr>
          <w:rFonts w:hint="eastAsia" w:ascii="仿宋" w:hAnsi="仿宋" w:eastAsia="仿宋"/>
          <w:sz w:val="32"/>
          <w:szCs w:val="32"/>
        </w:rPr>
      </w:pPr>
    </w:p>
    <w:p w14:paraId="25C297E6">
      <w:pPr>
        <w:spacing w:line="600" w:lineRule="exact"/>
        <w:jc w:val="center"/>
        <w:rPr>
          <w:rFonts w:ascii="仿宋_GB2312" w:eastAsia="仿宋_GB2312"/>
          <w:sz w:val="32"/>
          <w:szCs w:val="32"/>
        </w:rPr>
      </w:pPr>
      <w:r>
        <w:rPr>
          <w:rFonts w:hint="eastAsia" w:ascii="仿宋" w:hAnsi="仿宋" w:eastAsia="仿宋"/>
          <w:sz w:val="32"/>
          <w:szCs w:val="32"/>
        </w:rPr>
        <w:t>（图2：收入决算结构图）</w:t>
      </w:r>
    </w:p>
    <w:p w14:paraId="1ABCAC1F">
      <w:pPr>
        <w:pStyle w:val="26"/>
        <w:spacing w:line="600" w:lineRule="exact"/>
        <w:ind w:left="640" w:firstLine="0" w:firstLineChars="0"/>
        <w:outlineLvl w:val="1"/>
        <w:rPr>
          <w:rFonts w:hint="eastAsia" w:ascii="黑体" w:hAnsi="黑体" w:eastAsia="黑体"/>
          <w:sz w:val="32"/>
          <w:szCs w:val="32"/>
        </w:rPr>
      </w:pPr>
      <w:bookmarkStart w:id="30" w:name="_Toc15396605"/>
      <w:bookmarkStart w:id="31" w:name="_Toc15377207"/>
    </w:p>
    <w:p w14:paraId="358ED5EB">
      <w:pPr>
        <w:pStyle w:val="26"/>
        <w:spacing w:line="600" w:lineRule="exact"/>
        <w:ind w:left="640" w:firstLine="0" w:firstLineChars="0"/>
        <w:outlineLvl w:val="1"/>
        <w:rPr>
          <w:rFonts w:ascii="仿宋_GB2312" w:hAnsi="仿宋_GB2312" w:eastAsia="仿宋_GB2312"/>
          <w:color w:val="000000"/>
          <w:sz w:val="32"/>
          <w:lang w:val="zh-CN"/>
        </w:rPr>
      </w:pPr>
      <w:r>
        <w:rPr>
          <w:rFonts w:hint="eastAsia" w:ascii="黑体" w:hAnsi="黑体" w:eastAsia="黑体"/>
          <w:sz w:val="32"/>
          <w:szCs w:val="32"/>
        </w:rPr>
        <w:t>三、支</w:t>
      </w:r>
      <w:r>
        <w:rPr>
          <w:rStyle w:val="28"/>
          <w:rFonts w:hint="eastAsia" w:ascii="黑体" w:hAnsi="黑体" w:eastAsia="黑体"/>
          <w:b w:val="0"/>
        </w:rPr>
        <w:t>出决算情况说明</w:t>
      </w:r>
      <w:bookmarkEnd w:id="30"/>
      <w:bookmarkEnd w:id="31"/>
    </w:p>
    <w:p w14:paraId="628F3065">
      <w:pPr>
        <w:pStyle w:val="26"/>
        <w:spacing w:line="600" w:lineRule="exact"/>
        <w:ind w:firstLine="640"/>
        <w:outlineLvl w:val="1"/>
        <w:rPr>
          <w:rFonts w:ascii="仿宋" w:hAnsi="仿宋" w:eastAsia="仿宋" w:cs="仿宋_GB2312"/>
          <w:color w:val="000000"/>
          <w:sz w:val="32"/>
          <w:lang w:val="zh-CN"/>
        </w:rPr>
      </w:pPr>
      <w:r>
        <w:rPr>
          <w:rFonts w:hint="eastAsia" w:ascii="仿宋" w:hAnsi="仿宋" w:eastAsia="仿宋" w:cs="仿宋_GB2312"/>
          <w:color w:val="000000"/>
          <w:sz w:val="32"/>
          <w:lang w:val="zh-CN"/>
        </w:rPr>
        <w:t>2022年本年支出合计287.29万元，其中：基本支出209.11万元，占72.8%；项目支出78.18万元，占27.2%。</w:t>
      </w:r>
    </w:p>
    <w:p w14:paraId="46815FF4">
      <w:pPr>
        <w:spacing w:line="600" w:lineRule="exact"/>
        <w:ind w:firstLine="640"/>
        <w:rPr>
          <w:rFonts w:ascii="仿宋" w:hAnsi="仿宋" w:eastAsia="仿宋"/>
          <w:sz w:val="32"/>
          <w:szCs w:val="32"/>
          <w:shd w:val="pct10" w:color="auto" w:fill="FFFFFF"/>
        </w:rPr>
      </w:pPr>
      <w:r>
        <w:rPr>
          <w:rFonts w:ascii="仿宋" w:hAnsi="仿宋" w:eastAsia="仿宋"/>
          <w:sz w:val="32"/>
          <w:szCs w:val="32"/>
        </w:rPr>
        <w:drawing>
          <wp:anchor distT="0" distB="0" distL="114300" distR="114300" simplePos="0" relativeHeight="251661312" behindDoc="0" locked="0" layoutInCell="1" allowOverlap="1">
            <wp:simplePos x="0" y="0"/>
            <wp:positionH relativeFrom="column">
              <wp:posOffset>515620</wp:posOffset>
            </wp:positionH>
            <wp:positionV relativeFrom="paragraph">
              <wp:posOffset>85725</wp:posOffset>
            </wp:positionV>
            <wp:extent cx="4467225" cy="2590800"/>
            <wp:effectExtent l="19050" t="0" r="9525" b="0"/>
            <wp:wrapNone/>
            <wp:docPr id="12" name="图片 3" descr="C:\Users\Administrato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C:\Users\Administrator\Desktop\3.png"/>
                    <pic:cNvPicPr>
                      <a:picLocks noChangeAspect="1" noChangeArrowheads="1"/>
                    </pic:cNvPicPr>
                  </pic:nvPicPr>
                  <pic:blipFill>
                    <a:blip r:embed="rId8"/>
                    <a:srcRect/>
                    <a:stretch>
                      <a:fillRect/>
                    </a:stretch>
                  </pic:blipFill>
                  <pic:spPr>
                    <a:xfrm>
                      <a:off x="0" y="0"/>
                      <a:ext cx="4467225" cy="2590800"/>
                    </a:xfrm>
                    <a:prstGeom prst="rect">
                      <a:avLst/>
                    </a:prstGeom>
                    <a:noFill/>
                    <a:ln w="9525">
                      <a:noFill/>
                      <a:miter lim="800000"/>
                      <a:headEnd/>
                      <a:tailEnd/>
                    </a:ln>
                  </pic:spPr>
                </pic:pic>
              </a:graphicData>
            </a:graphic>
          </wp:anchor>
        </w:drawing>
      </w:r>
    </w:p>
    <w:p w14:paraId="3B0844E9">
      <w:pPr>
        <w:spacing w:line="600" w:lineRule="exact"/>
        <w:ind w:firstLine="640"/>
        <w:rPr>
          <w:rFonts w:ascii="仿宋" w:hAnsi="仿宋" w:eastAsia="仿宋"/>
          <w:sz w:val="32"/>
          <w:szCs w:val="32"/>
          <w:shd w:val="pct10" w:color="auto" w:fill="FFFFFF"/>
        </w:rPr>
      </w:pPr>
    </w:p>
    <w:p w14:paraId="7D5AC151">
      <w:pPr>
        <w:spacing w:line="600" w:lineRule="exact"/>
        <w:ind w:firstLine="640"/>
        <w:rPr>
          <w:rFonts w:ascii="仿宋" w:hAnsi="仿宋" w:eastAsia="仿宋"/>
          <w:sz w:val="32"/>
          <w:szCs w:val="32"/>
          <w:shd w:val="pct10" w:color="auto" w:fill="FFFFFF"/>
        </w:rPr>
      </w:pPr>
    </w:p>
    <w:p w14:paraId="794A9C33">
      <w:pPr>
        <w:spacing w:line="600" w:lineRule="exact"/>
        <w:ind w:firstLine="640"/>
        <w:rPr>
          <w:rFonts w:ascii="仿宋" w:hAnsi="仿宋" w:eastAsia="仿宋"/>
          <w:sz w:val="32"/>
          <w:szCs w:val="32"/>
          <w:shd w:val="pct10" w:color="auto" w:fill="FFFFFF"/>
        </w:rPr>
      </w:pPr>
    </w:p>
    <w:p w14:paraId="61B127F4">
      <w:pPr>
        <w:spacing w:line="600" w:lineRule="exact"/>
        <w:ind w:firstLine="640"/>
        <w:rPr>
          <w:rFonts w:ascii="仿宋" w:hAnsi="仿宋" w:eastAsia="仿宋"/>
          <w:sz w:val="32"/>
          <w:szCs w:val="32"/>
          <w:shd w:val="pct10" w:color="auto" w:fill="FFFFFF"/>
        </w:rPr>
      </w:pPr>
    </w:p>
    <w:p w14:paraId="5B3A2A2E">
      <w:pPr>
        <w:spacing w:line="600" w:lineRule="exact"/>
        <w:ind w:firstLine="640"/>
        <w:rPr>
          <w:rFonts w:ascii="仿宋" w:hAnsi="仿宋" w:eastAsia="仿宋"/>
          <w:sz w:val="32"/>
          <w:szCs w:val="32"/>
          <w:shd w:val="pct10" w:color="auto" w:fill="FFFFFF"/>
        </w:rPr>
      </w:pPr>
    </w:p>
    <w:p w14:paraId="60DD6818">
      <w:pPr>
        <w:spacing w:line="600" w:lineRule="exact"/>
        <w:ind w:firstLine="640"/>
        <w:rPr>
          <w:rFonts w:ascii="仿宋" w:hAnsi="仿宋" w:eastAsia="仿宋"/>
          <w:sz w:val="32"/>
          <w:szCs w:val="32"/>
          <w:shd w:val="pct10" w:color="auto" w:fill="FFFFFF"/>
        </w:rPr>
      </w:pPr>
    </w:p>
    <w:p w14:paraId="4EA34333">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（图3：支出决算结构图）</w:t>
      </w:r>
    </w:p>
    <w:p w14:paraId="43E77439">
      <w:pPr>
        <w:spacing w:line="600" w:lineRule="exact"/>
        <w:ind w:firstLine="640" w:firstLineChars="200"/>
        <w:rPr>
          <w:rFonts w:ascii="仿宋_GB2312" w:eastAsia="仿宋_GB2312"/>
          <w:sz w:val="32"/>
          <w:szCs w:val="32"/>
        </w:rPr>
      </w:pPr>
    </w:p>
    <w:p w14:paraId="32B1B1FB">
      <w:pPr>
        <w:spacing w:line="600" w:lineRule="exact"/>
        <w:ind w:firstLine="640" w:firstLineChars="200"/>
        <w:outlineLvl w:val="1"/>
        <w:rPr>
          <w:rStyle w:val="28"/>
          <w:rFonts w:ascii="黑体" w:hAnsi="黑体" w:eastAsia="黑体"/>
          <w:b w:val="0"/>
        </w:rPr>
      </w:pPr>
      <w:bookmarkStart w:id="32" w:name="_Toc15377208"/>
      <w:bookmarkStart w:id="33" w:name="_Toc15396606"/>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32"/>
      <w:bookmarkEnd w:id="33"/>
    </w:p>
    <w:p w14:paraId="2A12E170">
      <w:pPr>
        <w:ind w:firstLine="960" w:firstLineChars="300"/>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2022年财政拨款收、支总计287.29万元。与2021年相比，财政拨款收、支总计各增加37.73万元，增长15.1%。主要变动原因是一是工资福利支出中基本工资、奖金、绩效工资增加；二是其他群众团体事务支出中对个人和家庭的补助增加。</w:t>
      </w:r>
    </w:p>
    <w:p w14:paraId="5DCF72AD">
      <w:pPr>
        <w:spacing w:line="600" w:lineRule="exact"/>
        <w:ind w:firstLine="640" w:firstLineChars="200"/>
        <w:rPr>
          <w:rFonts w:ascii="仿宋" w:hAnsi="仿宋" w:eastAsia="仿宋"/>
          <w:sz w:val="32"/>
          <w:szCs w:val="32"/>
        </w:rPr>
      </w:pPr>
      <w:r>
        <w:rPr>
          <w:rFonts w:ascii="仿宋" w:hAnsi="仿宋" w:eastAsia="仿宋"/>
          <w:sz w:val="32"/>
          <w:szCs w:val="32"/>
        </w:rPr>
        <w:drawing>
          <wp:anchor distT="0" distB="0" distL="114300" distR="114300" simplePos="0" relativeHeight="251662336" behindDoc="0" locked="0" layoutInCell="1" allowOverlap="1">
            <wp:simplePos x="0" y="0"/>
            <wp:positionH relativeFrom="column">
              <wp:posOffset>572770</wp:posOffset>
            </wp:positionH>
            <wp:positionV relativeFrom="paragraph">
              <wp:posOffset>74295</wp:posOffset>
            </wp:positionV>
            <wp:extent cx="4562475" cy="2181225"/>
            <wp:effectExtent l="19050" t="0" r="9525" b="0"/>
            <wp:wrapNone/>
            <wp:docPr id="13" name="图片 4" descr="C:\Users\Administrator\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C:\Users\Administrator\Desktop\4.png"/>
                    <pic:cNvPicPr>
                      <a:picLocks noChangeAspect="1" noChangeArrowheads="1"/>
                    </pic:cNvPicPr>
                  </pic:nvPicPr>
                  <pic:blipFill>
                    <a:blip r:embed="rId9"/>
                    <a:srcRect/>
                    <a:stretch>
                      <a:fillRect/>
                    </a:stretch>
                  </pic:blipFill>
                  <pic:spPr>
                    <a:xfrm>
                      <a:off x="0" y="0"/>
                      <a:ext cx="4562475" cy="2181225"/>
                    </a:xfrm>
                    <a:prstGeom prst="rect">
                      <a:avLst/>
                    </a:prstGeom>
                    <a:noFill/>
                    <a:ln w="9525">
                      <a:noFill/>
                      <a:miter lim="800000"/>
                      <a:headEnd/>
                      <a:tailEnd/>
                    </a:ln>
                  </pic:spPr>
                </pic:pic>
              </a:graphicData>
            </a:graphic>
          </wp:anchor>
        </w:drawing>
      </w:r>
    </w:p>
    <w:p w14:paraId="635B6F81">
      <w:pPr>
        <w:spacing w:line="600" w:lineRule="exact"/>
        <w:ind w:firstLine="640" w:firstLineChars="200"/>
        <w:rPr>
          <w:rFonts w:ascii="仿宋" w:hAnsi="仿宋" w:eastAsia="仿宋"/>
          <w:sz w:val="32"/>
          <w:szCs w:val="32"/>
        </w:rPr>
      </w:pPr>
    </w:p>
    <w:p w14:paraId="1C268CBE">
      <w:pPr>
        <w:spacing w:line="600" w:lineRule="exact"/>
        <w:ind w:firstLine="640" w:firstLineChars="200"/>
        <w:rPr>
          <w:rFonts w:ascii="仿宋" w:hAnsi="仿宋" w:eastAsia="仿宋"/>
          <w:sz w:val="32"/>
          <w:szCs w:val="32"/>
        </w:rPr>
      </w:pPr>
    </w:p>
    <w:p w14:paraId="3E3447AF">
      <w:pPr>
        <w:spacing w:line="600" w:lineRule="exact"/>
        <w:ind w:firstLine="640" w:firstLineChars="200"/>
        <w:rPr>
          <w:rFonts w:ascii="仿宋" w:hAnsi="仿宋" w:eastAsia="仿宋"/>
          <w:sz w:val="32"/>
          <w:szCs w:val="32"/>
        </w:rPr>
      </w:pPr>
    </w:p>
    <w:p w14:paraId="683EA716">
      <w:pPr>
        <w:spacing w:line="600" w:lineRule="exact"/>
        <w:ind w:firstLine="640" w:firstLineChars="200"/>
        <w:rPr>
          <w:rFonts w:ascii="仿宋" w:hAnsi="仿宋" w:eastAsia="仿宋"/>
          <w:sz w:val="32"/>
          <w:szCs w:val="32"/>
        </w:rPr>
      </w:pPr>
    </w:p>
    <w:p w14:paraId="660E77EE">
      <w:pPr>
        <w:spacing w:line="600" w:lineRule="exact"/>
        <w:rPr>
          <w:rFonts w:hint="eastAsia" w:ascii="仿宋" w:hAnsi="仿宋" w:eastAsia="仿宋"/>
          <w:sz w:val="32"/>
          <w:szCs w:val="32"/>
        </w:rPr>
      </w:pPr>
    </w:p>
    <w:p w14:paraId="4AB876F1">
      <w:pPr>
        <w:spacing w:line="600" w:lineRule="exact"/>
        <w:jc w:val="center"/>
        <w:rPr>
          <w:rFonts w:ascii="仿宋" w:hAnsi="仿宋" w:eastAsia="仿宋"/>
          <w:b/>
          <w:sz w:val="32"/>
          <w:szCs w:val="32"/>
        </w:rPr>
      </w:pPr>
      <w:r>
        <w:rPr>
          <w:rFonts w:hint="eastAsia" w:ascii="仿宋" w:hAnsi="仿宋" w:eastAsia="仿宋"/>
          <w:sz w:val="32"/>
          <w:szCs w:val="32"/>
        </w:rPr>
        <w:t>（图4：财政拨款收、支决算总计变动情况）</w:t>
      </w:r>
    </w:p>
    <w:p w14:paraId="1FC38CC0">
      <w:pPr>
        <w:spacing w:line="600" w:lineRule="exact"/>
        <w:ind w:firstLine="640" w:firstLineChars="200"/>
        <w:outlineLvl w:val="1"/>
        <w:rPr>
          <w:rStyle w:val="28"/>
          <w:rFonts w:ascii="黑体" w:hAnsi="黑体" w:eastAsia="黑体"/>
          <w:b w:val="0"/>
        </w:rPr>
      </w:pPr>
      <w:bookmarkStart w:id="34" w:name="_Toc15396607"/>
      <w:bookmarkStart w:id="35" w:name="_Toc15377209"/>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34"/>
      <w:bookmarkEnd w:id="35"/>
    </w:p>
    <w:p w14:paraId="220A82AF">
      <w:pPr>
        <w:spacing w:line="600" w:lineRule="exact"/>
        <w:ind w:firstLine="643" w:firstLineChars="200"/>
        <w:outlineLvl w:val="2"/>
        <w:rPr>
          <w:rFonts w:ascii="楷体" w:hAnsi="楷体" w:eastAsia="楷体" w:cs="楷体"/>
          <w:b/>
          <w:sz w:val="32"/>
          <w:szCs w:val="32"/>
        </w:rPr>
      </w:pPr>
      <w:bookmarkStart w:id="36" w:name="_Toc15377210"/>
      <w:r>
        <w:rPr>
          <w:rFonts w:hint="eastAsia" w:ascii="楷体" w:hAnsi="楷体" w:eastAsia="楷体" w:cs="楷体"/>
          <w:b/>
          <w:sz w:val="32"/>
          <w:szCs w:val="32"/>
        </w:rPr>
        <w:t>（一）一般公共预算财政拨款支出决算总体情况</w:t>
      </w:r>
      <w:bookmarkEnd w:id="36"/>
    </w:p>
    <w:p w14:paraId="1574DE5C">
      <w:pPr>
        <w:ind w:firstLine="960" w:firstLineChars="300"/>
        <w:jc w:val="left"/>
        <w:rPr>
          <w:rFonts w:hint="eastAsia" w:ascii="仿宋" w:hAnsi="仿宋" w:eastAsia="仿宋" w:cs="仿宋_GB2312"/>
          <w:color w:val="000000"/>
          <w:sz w:val="32"/>
          <w:lang w:val="zh-CN"/>
        </w:rPr>
      </w:pPr>
      <w:r>
        <w:rPr>
          <w:rFonts w:hint="eastAsia" w:ascii="仿宋" w:hAnsi="仿宋" w:eastAsia="仿宋" w:cs="仿宋_GB2312"/>
          <w:color w:val="000000"/>
          <w:sz w:val="32"/>
          <w:lang w:val="zh-CN"/>
        </w:rPr>
        <w:t>2022年一般公共预算财政拨款支出287.29万元，占本年支出合计的100%。与2021年相比，一般公共预算财政拨款支出增加37.73万元，增长15.1%。主要变动原因是一是工资福利支出中基本工资、奖金、绩效工资增加；二是其他群众团体事务支出中对个人和家庭的补助增加 。</w:t>
      </w:r>
    </w:p>
    <w:p w14:paraId="16746BC9">
      <w:pPr>
        <w:keepNext/>
        <w:keepLines/>
        <w:spacing w:line="576" w:lineRule="exact"/>
        <w:ind w:firstLine="640"/>
        <w:rPr>
          <w:rFonts w:hint="eastAsia" w:ascii="仿宋" w:hAnsi="仿宋" w:eastAsia="仿宋" w:cs="仿宋_GB2312"/>
          <w:color w:val="000000"/>
          <w:sz w:val="32"/>
          <w:lang w:val="zh-CN"/>
        </w:rPr>
      </w:pPr>
      <w:r>
        <w:rPr>
          <w:rFonts w:hint="eastAsia" w:ascii="仿宋" w:hAnsi="仿宋" w:eastAsia="仿宋" w:cs="仿宋_GB2312"/>
          <w:color w:val="000000"/>
          <w:sz w:val="32"/>
        </w:rPr>
        <w:drawing>
          <wp:anchor distT="0" distB="0" distL="114300" distR="114300" simplePos="0" relativeHeight="251663360" behindDoc="0" locked="0" layoutInCell="1" allowOverlap="1">
            <wp:simplePos x="0" y="0"/>
            <wp:positionH relativeFrom="column">
              <wp:posOffset>1010920</wp:posOffset>
            </wp:positionH>
            <wp:positionV relativeFrom="paragraph">
              <wp:posOffset>40005</wp:posOffset>
            </wp:positionV>
            <wp:extent cx="3800475" cy="1933575"/>
            <wp:effectExtent l="19050" t="0" r="9525" b="0"/>
            <wp:wrapNone/>
            <wp:docPr id="14" name="图片 5" descr="C:\Users\Administrator\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C:\Users\Administrator\Desktop\5.png"/>
                    <pic:cNvPicPr>
                      <a:picLocks noChangeAspect="1" noChangeArrowheads="1"/>
                    </pic:cNvPicPr>
                  </pic:nvPicPr>
                  <pic:blipFill>
                    <a:blip r:embed="rId10"/>
                    <a:srcRect/>
                    <a:stretch>
                      <a:fillRect/>
                    </a:stretch>
                  </pic:blipFill>
                  <pic:spPr>
                    <a:xfrm>
                      <a:off x="0" y="0"/>
                      <a:ext cx="3800475" cy="1933575"/>
                    </a:xfrm>
                    <a:prstGeom prst="rect">
                      <a:avLst/>
                    </a:prstGeom>
                    <a:noFill/>
                    <a:ln w="9525">
                      <a:noFill/>
                      <a:miter lim="800000"/>
                      <a:headEnd/>
                      <a:tailEnd/>
                    </a:ln>
                  </pic:spPr>
                </pic:pic>
              </a:graphicData>
            </a:graphic>
          </wp:anchor>
        </w:drawing>
      </w:r>
    </w:p>
    <w:p w14:paraId="5AD7B882">
      <w:pPr>
        <w:keepNext/>
        <w:keepLines/>
        <w:spacing w:line="576" w:lineRule="exact"/>
        <w:ind w:firstLine="640"/>
        <w:rPr>
          <w:rFonts w:ascii="仿宋_GB2312" w:hAnsi="仿宋_GB2312" w:eastAsia="仿宋_GB2312"/>
          <w:color w:val="000000"/>
          <w:sz w:val="32"/>
          <w:lang w:val="zh-CN"/>
        </w:rPr>
      </w:pPr>
    </w:p>
    <w:p w14:paraId="7D3B1068">
      <w:pPr>
        <w:spacing w:line="600" w:lineRule="exact"/>
        <w:ind w:firstLine="640" w:firstLineChars="200"/>
        <w:rPr>
          <w:rFonts w:ascii="仿宋" w:hAnsi="仿宋" w:eastAsia="仿宋"/>
          <w:sz w:val="32"/>
          <w:szCs w:val="32"/>
        </w:rPr>
      </w:pPr>
    </w:p>
    <w:p w14:paraId="377FA9A7">
      <w:pPr>
        <w:spacing w:line="600" w:lineRule="exact"/>
        <w:ind w:firstLine="640" w:firstLineChars="200"/>
        <w:rPr>
          <w:rFonts w:ascii="仿宋" w:hAnsi="仿宋" w:eastAsia="仿宋"/>
          <w:sz w:val="32"/>
          <w:szCs w:val="32"/>
        </w:rPr>
      </w:pPr>
    </w:p>
    <w:p w14:paraId="24F7E3D7">
      <w:pPr>
        <w:spacing w:line="600" w:lineRule="exact"/>
        <w:ind w:firstLine="640" w:firstLineChars="200"/>
        <w:rPr>
          <w:rFonts w:ascii="仿宋" w:hAnsi="仿宋" w:eastAsia="仿宋"/>
          <w:sz w:val="32"/>
          <w:szCs w:val="32"/>
        </w:rPr>
      </w:pPr>
    </w:p>
    <w:p w14:paraId="3A88F9B7">
      <w:pPr>
        <w:spacing w:line="600" w:lineRule="exact"/>
        <w:jc w:val="center"/>
        <w:rPr>
          <w:rFonts w:hint="eastAsia" w:ascii="仿宋" w:hAnsi="仿宋" w:eastAsia="仿宋"/>
          <w:sz w:val="32"/>
          <w:szCs w:val="32"/>
        </w:rPr>
      </w:pPr>
      <w:r>
        <w:rPr>
          <w:rFonts w:hint="eastAsia" w:ascii="仿宋" w:hAnsi="仿宋" w:eastAsia="仿宋"/>
          <w:sz w:val="32"/>
          <w:szCs w:val="32"/>
        </w:rPr>
        <w:t>（图5：一般公共预算财政拨款支出决算变动情况）</w:t>
      </w:r>
      <w:bookmarkStart w:id="37" w:name="_Toc15377211"/>
    </w:p>
    <w:p w14:paraId="2A0ACA18">
      <w:pPr>
        <w:spacing w:line="600" w:lineRule="exact"/>
        <w:ind w:firstLine="643" w:firstLineChars="200"/>
        <w:outlineLvl w:val="2"/>
        <w:rPr>
          <w:rFonts w:ascii="楷体" w:hAnsi="楷体" w:eastAsia="楷体" w:cs="楷体"/>
          <w:b/>
          <w:sz w:val="32"/>
          <w:szCs w:val="32"/>
        </w:rPr>
      </w:pPr>
      <w:r>
        <w:rPr>
          <w:rFonts w:hint="eastAsia" w:ascii="楷体" w:hAnsi="楷体" w:eastAsia="楷体" w:cs="楷体"/>
          <w:b/>
          <w:sz w:val="32"/>
          <w:szCs w:val="32"/>
        </w:rPr>
        <w:t>（二）一般公共预算财政拨款支出决算结构情况</w:t>
      </w:r>
      <w:bookmarkEnd w:id="37"/>
    </w:p>
    <w:p w14:paraId="401967DE">
      <w:pPr>
        <w:keepNext/>
        <w:keepLines/>
        <w:spacing w:line="576" w:lineRule="exact"/>
        <w:ind w:firstLine="640"/>
        <w:rPr>
          <w:rFonts w:ascii="仿宋" w:hAnsi="仿宋" w:eastAsia="仿宋" w:cs="仿宋_GB2312"/>
          <w:color w:val="000000"/>
          <w:sz w:val="32"/>
          <w:lang w:val="zh-CN"/>
        </w:rPr>
      </w:pPr>
      <w:r>
        <w:rPr>
          <w:rFonts w:hint="eastAsia" w:ascii="仿宋" w:hAnsi="仿宋" w:eastAsia="仿宋" w:cs="仿宋_GB2312"/>
          <w:color w:val="000000"/>
          <w:sz w:val="32"/>
          <w:lang w:val="zh-CN"/>
        </w:rPr>
        <w:t>2022年一般公共预算财政拨款支出287.29万元，主要用于以下方面: 一般公共服务支出245.36万元，占85.4%；社会保障和就业支出18.16万元，占6.3%；卫生健康支出6.04万元，占2.1%；住房保障支出17.73万元，占6.2%。</w:t>
      </w:r>
    </w:p>
    <w:p w14:paraId="3116A1EF">
      <w:pPr>
        <w:spacing w:line="600" w:lineRule="exact"/>
        <w:ind w:firstLine="640"/>
        <w:rPr>
          <w:rFonts w:ascii="仿宋" w:hAnsi="仿宋" w:eastAsia="仿宋" w:cs="仿宋_GB2312"/>
          <w:color w:val="000000"/>
          <w:sz w:val="32"/>
          <w:lang w:val="zh-CN"/>
        </w:rPr>
      </w:pPr>
      <w:r>
        <w:rPr>
          <w:rFonts w:ascii="仿宋" w:hAnsi="仿宋" w:eastAsia="仿宋" w:cs="仿宋_GB2312"/>
          <w:color w:val="000000"/>
          <w:sz w:val="32"/>
        </w:rPr>
        <w:drawing>
          <wp:anchor distT="0" distB="0" distL="114300" distR="114300" simplePos="0" relativeHeight="251664384" behindDoc="0" locked="0" layoutInCell="1" allowOverlap="1">
            <wp:simplePos x="0" y="0"/>
            <wp:positionH relativeFrom="column">
              <wp:posOffset>572770</wp:posOffset>
            </wp:positionH>
            <wp:positionV relativeFrom="paragraph">
              <wp:posOffset>270510</wp:posOffset>
            </wp:positionV>
            <wp:extent cx="4467225" cy="2952750"/>
            <wp:effectExtent l="19050" t="0" r="9525" b="0"/>
            <wp:wrapNone/>
            <wp:docPr id="15" name="图片 6" descr="C:\Users\Administrator\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C:\Users\Administrator\Desktop\6.png"/>
                    <pic:cNvPicPr>
                      <a:picLocks noChangeAspect="1" noChangeArrowheads="1"/>
                    </pic:cNvPicPr>
                  </pic:nvPicPr>
                  <pic:blipFill>
                    <a:blip r:embed="rId11"/>
                    <a:srcRect/>
                    <a:stretch>
                      <a:fillRect/>
                    </a:stretch>
                  </pic:blipFill>
                  <pic:spPr>
                    <a:xfrm>
                      <a:off x="0" y="0"/>
                      <a:ext cx="4467225" cy="2952750"/>
                    </a:xfrm>
                    <a:prstGeom prst="rect">
                      <a:avLst/>
                    </a:prstGeom>
                    <a:noFill/>
                    <a:ln w="9525">
                      <a:noFill/>
                      <a:miter lim="800000"/>
                      <a:headEnd/>
                      <a:tailEnd/>
                    </a:ln>
                  </pic:spPr>
                </pic:pic>
              </a:graphicData>
            </a:graphic>
          </wp:anchor>
        </w:drawing>
      </w:r>
    </w:p>
    <w:p w14:paraId="087E5487">
      <w:pPr>
        <w:spacing w:line="600" w:lineRule="exact"/>
        <w:rPr>
          <w:rFonts w:ascii="仿宋" w:hAnsi="仿宋" w:eastAsia="仿宋"/>
          <w:sz w:val="32"/>
          <w:szCs w:val="32"/>
        </w:rPr>
      </w:pPr>
    </w:p>
    <w:p w14:paraId="4BF37725">
      <w:pPr>
        <w:spacing w:line="600" w:lineRule="exact"/>
        <w:ind w:firstLine="640"/>
        <w:rPr>
          <w:rFonts w:ascii="仿宋" w:hAnsi="仿宋" w:eastAsia="仿宋"/>
          <w:sz w:val="32"/>
          <w:szCs w:val="32"/>
        </w:rPr>
      </w:pPr>
    </w:p>
    <w:p w14:paraId="1CFBDCE6">
      <w:pPr>
        <w:spacing w:line="600" w:lineRule="exact"/>
        <w:ind w:firstLine="640"/>
        <w:rPr>
          <w:rFonts w:ascii="仿宋" w:hAnsi="仿宋" w:eastAsia="仿宋"/>
          <w:sz w:val="32"/>
          <w:szCs w:val="32"/>
        </w:rPr>
      </w:pPr>
    </w:p>
    <w:p w14:paraId="42FFE4D2">
      <w:pPr>
        <w:spacing w:line="600" w:lineRule="exact"/>
        <w:ind w:firstLine="640"/>
        <w:rPr>
          <w:rFonts w:hint="eastAsia" w:ascii="仿宋" w:hAnsi="仿宋" w:eastAsia="仿宋"/>
          <w:sz w:val="32"/>
          <w:szCs w:val="32"/>
        </w:rPr>
      </w:pPr>
    </w:p>
    <w:p w14:paraId="2D6D1D7A">
      <w:pPr>
        <w:spacing w:line="600" w:lineRule="exact"/>
        <w:ind w:firstLine="640"/>
        <w:rPr>
          <w:rFonts w:hint="eastAsia" w:ascii="仿宋" w:hAnsi="仿宋" w:eastAsia="仿宋"/>
          <w:sz w:val="32"/>
          <w:szCs w:val="32"/>
        </w:rPr>
      </w:pPr>
    </w:p>
    <w:p w14:paraId="098E2B53">
      <w:pPr>
        <w:spacing w:line="600" w:lineRule="exact"/>
        <w:ind w:firstLine="640"/>
        <w:rPr>
          <w:rFonts w:hint="eastAsia" w:ascii="仿宋" w:hAnsi="仿宋" w:eastAsia="仿宋"/>
          <w:sz w:val="32"/>
          <w:szCs w:val="32"/>
        </w:rPr>
      </w:pPr>
    </w:p>
    <w:p w14:paraId="32A6C19D">
      <w:pPr>
        <w:spacing w:line="600" w:lineRule="exact"/>
        <w:ind w:firstLine="640"/>
        <w:rPr>
          <w:rFonts w:hint="eastAsia" w:ascii="仿宋" w:hAnsi="仿宋" w:eastAsia="仿宋"/>
          <w:sz w:val="32"/>
          <w:szCs w:val="32"/>
        </w:rPr>
      </w:pPr>
    </w:p>
    <w:p w14:paraId="0B798939">
      <w:pPr>
        <w:spacing w:line="600" w:lineRule="exact"/>
        <w:rPr>
          <w:rFonts w:ascii="仿宋" w:hAnsi="仿宋" w:eastAsia="仿宋"/>
          <w:sz w:val="32"/>
          <w:szCs w:val="32"/>
        </w:rPr>
      </w:pPr>
    </w:p>
    <w:p w14:paraId="42C6331E">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（图6：一般公共预算财政拨款支出决算结构）</w:t>
      </w:r>
    </w:p>
    <w:p w14:paraId="733391AD">
      <w:pPr>
        <w:spacing w:line="600" w:lineRule="exact"/>
        <w:ind w:firstLine="643" w:firstLineChars="200"/>
        <w:outlineLvl w:val="2"/>
        <w:rPr>
          <w:rFonts w:hint="eastAsia" w:ascii="楷体" w:hAnsi="楷体" w:eastAsia="楷体" w:cs="楷体"/>
          <w:b/>
          <w:sz w:val="32"/>
          <w:szCs w:val="32"/>
        </w:rPr>
      </w:pPr>
      <w:bookmarkStart w:id="38" w:name="_Toc15377212"/>
    </w:p>
    <w:p w14:paraId="32DC205F">
      <w:pPr>
        <w:spacing w:line="600" w:lineRule="exact"/>
        <w:ind w:firstLine="643" w:firstLineChars="200"/>
        <w:outlineLvl w:val="2"/>
        <w:rPr>
          <w:rFonts w:ascii="楷体" w:hAnsi="楷体" w:eastAsia="楷体" w:cs="楷体"/>
          <w:b/>
          <w:sz w:val="32"/>
          <w:szCs w:val="32"/>
        </w:rPr>
      </w:pPr>
      <w:r>
        <w:rPr>
          <w:rFonts w:hint="eastAsia" w:ascii="楷体" w:hAnsi="楷体" w:eastAsia="楷体" w:cs="楷体"/>
          <w:b/>
          <w:sz w:val="32"/>
          <w:szCs w:val="32"/>
        </w:rPr>
        <w:t>（三）一般公共预算财政拨款支出决算具体情况</w:t>
      </w:r>
      <w:bookmarkEnd w:id="38"/>
    </w:p>
    <w:p w14:paraId="3C3713C4">
      <w:pPr>
        <w:keepNext/>
        <w:keepLines/>
        <w:spacing w:line="576" w:lineRule="exact"/>
        <w:ind w:firstLine="643"/>
        <w:rPr>
          <w:rFonts w:ascii="仿宋" w:hAnsi="仿宋" w:eastAsia="仿宋" w:cs="仿宋_GB2312"/>
          <w:color w:val="000000"/>
          <w:sz w:val="32"/>
          <w:lang w:val="zh-CN"/>
        </w:rPr>
      </w:pPr>
      <w:r>
        <w:rPr>
          <w:rFonts w:hint="eastAsia" w:ascii="仿宋" w:hAnsi="仿宋" w:eastAsia="仿宋" w:cs="仿宋_GB2312"/>
          <w:color w:val="000000"/>
          <w:sz w:val="32"/>
          <w:lang w:val="zh-CN"/>
        </w:rPr>
        <w:t>2022年一般公共预算支出决算数为287.29万元，完成预算100%。其中：</w:t>
      </w:r>
    </w:p>
    <w:p w14:paraId="4907D902">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1.一般公共服务（类）群众团体事务（款）行政运行（项）:</w:t>
      </w:r>
      <w:r>
        <w:rPr>
          <w:rFonts w:hint="eastAsia" w:ascii="仿宋" w:hAnsi="仿宋" w:eastAsia="仿宋"/>
          <w:sz w:val="32"/>
          <w:szCs w:val="32"/>
          <w:lang w:val="zh-CN"/>
        </w:rPr>
        <w:t xml:space="preserve"> </w:t>
      </w:r>
      <w:r>
        <w:rPr>
          <w:rFonts w:hint="eastAsia" w:ascii="仿宋" w:hAnsi="仿宋" w:eastAsia="仿宋" w:cs="仿宋_GB2312"/>
          <w:color w:val="000000"/>
          <w:sz w:val="32"/>
          <w:lang w:val="zh-CN"/>
        </w:rPr>
        <w:t>支出决算为</w:t>
      </w:r>
      <w:r>
        <w:rPr>
          <w:rFonts w:ascii="仿宋" w:hAnsi="仿宋" w:eastAsia="仿宋" w:cs="仿宋_GB2312"/>
          <w:color w:val="000000"/>
          <w:sz w:val="32"/>
          <w:lang w:val="zh-CN"/>
        </w:rPr>
        <w:t>131.85</w:t>
      </w:r>
      <w:r>
        <w:rPr>
          <w:rFonts w:hint="eastAsia" w:ascii="仿宋" w:hAnsi="仿宋" w:eastAsia="仿宋" w:cs="仿宋_GB2312"/>
          <w:color w:val="000000"/>
          <w:sz w:val="32"/>
          <w:lang w:val="zh-CN"/>
        </w:rPr>
        <w:t>万元，完成预算150%，决算数大于预算数持平。</w:t>
      </w:r>
    </w:p>
    <w:p w14:paraId="31A67432">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 xml:space="preserve">2.一般公共服务（类）群众团体事务（款）一般行政管理事务（项）: </w:t>
      </w:r>
      <w:r>
        <w:rPr>
          <w:rFonts w:hint="eastAsia" w:ascii="仿宋" w:hAnsi="仿宋" w:eastAsia="仿宋" w:cs="仿宋_GB2312"/>
          <w:color w:val="000000"/>
          <w:sz w:val="32"/>
          <w:lang w:val="zh-CN"/>
        </w:rPr>
        <w:t>支出决算为</w:t>
      </w:r>
      <w:r>
        <w:rPr>
          <w:rFonts w:ascii="仿宋" w:hAnsi="仿宋" w:eastAsia="仿宋" w:cs="仿宋_GB2312"/>
          <w:color w:val="000000"/>
          <w:sz w:val="32"/>
          <w:lang w:val="zh-CN"/>
        </w:rPr>
        <w:t>4.21</w:t>
      </w:r>
      <w:r>
        <w:rPr>
          <w:rFonts w:hint="eastAsia" w:ascii="仿宋" w:hAnsi="仿宋" w:eastAsia="仿宋" w:cs="仿宋_GB2312"/>
          <w:color w:val="000000"/>
          <w:sz w:val="32"/>
          <w:lang w:val="zh-CN"/>
        </w:rPr>
        <w:t>万元，完成预算100%，决算数与预算数持平。</w:t>
      </w:r>
    </w:p>
    <w:p w14:paraId="675CAB65">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3.一般公共服务（类）群众团体事务（款）工会事务（项）：</w:t>
      </w:r>
      <w:r>
        <w:rPr>
          <w:rFonts w:hint="eastAsia" w:ascii="仿宋" w:hAnsi="仿宋" w:eastAsia="仿宋" w:cs="仿宋_GB2312"/>
          <w:color w:val="000000"/>
          <w:sz w:val="32"/>
          <w:lang w:val="zh-CN"/>
        </w:rPr>
        <w:t>支出决算为</w:t>
      </w:r>
      <w:r>
        <w:rPr>
          <w:rFonts w:ascii="仿宋" w:hAnsi="仿宋" w:eastAsia="仿宋" w:cs="仿宋_GB2312"/>
          <w:color w:val="000000"/>
          <w:sz w:val="32"/>
          <w:lang w:val="zh-CN"/>
        </w:rPr>
        <w:t>53.1</w:t>
      </w:r>
      <w:r>
        <w:rPr>
          <w:rFonts w:hint="eastAsia" w:ascii="仿宋" w:hAnsi="仿宋" w:eastAsia="仿宋" w:cs="仿宋_GB2312"/>
          <w:color w:val="000000"/>
          <w:sz w:val="32"/>
          <w:lang w:val="zh-CN"/>
        </w:rPr>
        <w:t>万元，完成预算100%，决算数与预算数持平。</w:t>
      </w:r>
    </w:p>
    <w:p w14:paraId="2C70DAB3">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4.一般公共服务（类）群众团体事务（款）事业运行（项）：</w:t>
      </w:r>
      <w:r>
        <w:rPr>
          <w:rFonts w:hint="eastAsia" w:ascii="仿宋" w:hAnsi="仿宋" w:eastAsia="仿宋" w:cs="仿宋_GB2312"/>
          <w:color w:val="000000"/>
          <w:sz w:val="32"/>
          <w:lang w:val="zh-CN"/>
        </w:rPr>
        <w:t>支出决算为</w:t>
      </w:r>
      <w:r>
        <w:rPr>
          <w:rFonts w:ascii="仿宋" w:hAnsi="仿宋" w:eastAsia="仿宋" w:cs="仿宋_GB2312"/>
          <w:color w:val="000000"/>
          <w:sz w:val="32"/>
          <w:lang w:val="zh-CN"/>
        </w:rPr>
        <w:t>35.32</w:t>
      </w:r>
      <w:r>
        <w:rPr>
          <w:rFonts w:hint="eastAsia" w:ascii="仿宋" w:hAnsi="仿宋" w:eastAsia="仿宋" w:cs="仿宋_GB2312"/>
          <w:color w:val="000000"/>
          <w:sz w:val="32"/>
          <w:lang w:val="zh-CN"/>
        </w:rPr>
        <w:t>万元，完成预算100%，决算数与预算数持平。</w:t>
      </w:r>
    </w:p>
    <w:p w14:paraId="6061EC23">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5.一般公共服务（类）群众团体事务（款）其他群团事务支出（项）：</w:t>
      </w:r>
      <w:r>
        <w:rPr>
          <w:rFonts w:hint="eastAsia" w:ascii="仿宋" w:hAnsi="仿宋" w:eastAsia="仿宋" w:cs="仿宋_GB2312"/>
          <w:color w:val="000000"/>
          <w:sz w:val="32"/>
          <w:lang w:val="zh-CN"/>
        </w:rPr>
        <w:t>支出决算为20.88万元，完成预算100%，决算数与预算数持平。</w:t>
      </w:r>
    </w:p>
    <w:p w14:paraId="10A67202">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 xml:space="preserve">6.社会保障和就业（类）行政事业单位养老支出（款）机关事业单位基本养老保险缴费支出（项）: </w:t>
      </w:r>
      <w:r>
        <w:rPr>
          <w:rFonts w:hint="eastAsia" w:ascii="仿宋" w:hAnsi="仿宋" w:eastAsia="仿宋" w:cs="仿宋_GB2312"/>
          <w:color w:val="000000"/>
          <w:sz w:val="32"/>
          <w:lang w:val="zh-CN"/>
        </w:rPr>
        <w:t>支出决算为12.68万元，完成预算100%，决算数与预算数持平。</w:t>
      </w:r>
    </w:p>
    <w:p w14:paraId="58205E4A">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 xml:space="preserve">7.社会保障和就业（类）行政事业单位养老支出（款）机关事业单位职业年金缴费支出（项）: </w:t>
      </w:r>
      <w:r>
        <w:rPr>
          <w:rFonts w:hint="eastAsia" w:ascii="仿宋" w:hAnsi="仿宋" w:eastAsia="仿宋" w:cs="仿宋_GB2312"/>
          <w:color w:val="000000"/>
          <w:sz w:val="32"/>
          <w:lang w:val="zh-CN"/>
        </w:rPr>
        <w:t>支出决算为5.48万元，完成预算100%，决算数与预算数持平。</w:t>
      </w:r>
    </w:p>
    <w:p w14:paraId="7D779FA3">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8.卫生健康（类）行政事业单位医疗（款）行政单位医疗（项）:</w:t>
      </w:r>
      <w:r>
        <w:rPr>
          <w:rFonts w:hint="eastAsia" w:ascii="仿宋" w:hAnsi="仿宋" w:eastAsia="仿宋" w:cs="仿宋_GB2312"/>
          <w:color w:val="000000"/>
          <w:sz w:val="32"/>
          <w:lang w:val="zh-CN"/>
        </w:rPr>
        <w:t>支出决算为3.89万元，完成预算100%，决算数与预算数持平。</w:t>
      </w:r>
    </w:p>
    <w:p w14:paraId="5E1994CF">
      <w:pPr>
        <w:spacing w:line="600" w:lineRule="exact"/>
        <w:ind w:firstLine="643" w:firstLineChars="200"/>
        <w:rPr>
          <w:rFonts w:hint="eastAsia" w:ascii="仿宋" w:hAnsi="仿宋" w:eastAsia="仿宋" w:cs="仿宋_GB2312"/>
          <w:color w:val="000000"/>
          <w:sz w:val="32"/>
          <w:lang w:val="zh-CN"/>
        </w:rPr>
      </w:pPr>
      <w:r>
        <w:rPr>
          <w:rFonts w:hint="eastAsia" w:ascii="仿宋" w:hAnsi="仿宋" w:eastAsia="仿宋"/>
          <w:b/>
          <w:sz w:val="32"/>
          <w:szCs w:val="32"/>
          <w:lang w:val="zh-CN"/>
        </w:rPr>
        <w:t>9.卫生健康（类）行政事业单位医疗（款）事业单位医疗（项）:</w:t>
      </w:r>
      <w:r>
        <w:rPr>
          <w:rFonts w:hint="eastAsia" w:ascii="仿宋" w:hAnsi="仿宋" w:eastAsia="仿宋" w:cs="仿宋_GB2312"/>
          <w:color w:val="000000"/>
          <w:sz w:val="32"/>
          <w:lang w:val="zh-CN"/>
        </w:rPr>
        <w:t>支出决算为1.23万元，完成预算100%，决算数与预算数持平。</w:t>
      </w:r>
    </w:p>
    <w:p w14:paraId="418651AD">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10.卫生健康（类）行政事业单位医疗（款）公务员医疗补助（项）:</w:t>
      </w:r>
      <w:r>
        <w:rPr>
          <w:rFonts w:hint="eastAsia" w:ascii="仿宋" w:hAnsi="仿宋" w:eastAsia="仿宋" w:cs="仿宋_GB2312"/>
          <w:color w:val="000000"/>
          <w:sz w:val="32"/>
          <w:lang w:val="zh-CN"/>
        </w:rPr>
        <w:t>支出决算为0.92万元，完成预算100%，决算数与预算数持平。</w:t>
      </w:r>
    </w:p>
    <w:p w14:paraId="4542B40A">
      <w:pPr>
        <w:spacing w:line="600" w:lineRule="exact"/>
        <w:ind w:firstLine="643" w:firstLineChars="200"/>
        <w:rPr>
          <w:rFonts w:ascii="仿宋" w:hAnsi="仿宋" w:eastAsia="仿宋" w:cs="仿宋_GB2312"/>
          <w:color w:val="000000"/>
          <w:sz w:val="32"/>
          <w:lang w:val="zh-CN"/>
        </w:rPr>
      </w:pPr>
      <w:r>
        <w:rPr>
          <w:rFonts w:hint="eastAsia" w:ascii="仿宋" w:hAnsi="仿宋" w:eastAsia="仿宋"/>
          <w:b/>
          <w:sz w:val="32"/>
          <w:szCs w:val="32"/>
          <w:lang w:val="zh-CN"/>
        </w:rPr>
        <w:t>11.住房保障支出（类）住房改革支出（款）住房公积金（项）:</w:t>
      </w:r>
      <w:r>
        <w:rPr>
          <w:rFonts w:hint="eastAsia" w:ascii="仿宋" w:hAnsi="仿宋" w:eastAsia="仿宋" w:cs="仿宋_GB2312"/>
          <w:color w:val="000000"/>
          <w:sz w:val="32"/>
          <w:lang w:val="zh-CN"/>
        </w:rPr>
        <w:t>支出决算为17.73万元，完成预算100%，决算数与预算数持平。</w:t>
      </w:r>
    </w:p>
    <w:p w14:paraId="3EC3C030">
      <w:pPr>
        <w:tabs>
          <w:tab w:val="right" w:pos="8306"/>
        </w:tabs>
        <w:spacing w:line="600" w:lineRule="exact"/>
        <w:ind w:firstLine="640"/>
        <w:outlineLvl w:val="1"/>
        <w:rPr>
          <w:rStyle w:val="28"/>
        </w:rPr>
      </w:pPr>
      <w:bookmarkStart w:id="39" w:name="_Toc15396608"/>
      <w:bookmarkStart w:id="40"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39"/>
      <w:bookmarkEnd w:id="40"/>
      <w:r>
        <w:rPr>
          <w:rStyle w:val="28"/>
          <w:rFonts w:ascii="黑体" w:hAnsi="黑体" w:eastAsia="黑体"/>
          <w:b w:val="0"/>
        </w:rPr>
        <w:tab/>
      </w:r>
    </w:p>
    <w:p w14:paraId="51C53000">
      <w:pPr>
        <w:spacing w:line="600" w:lineRule="exact"/>
        <w:ind w:firstLine="645"/>
        <w:rPr>
          <w:rFonts w:ascii="仿宋" w:hAnsi="仿宋" w:eastAsia="仿宋" w:cs="仿宋_GB2312"/>
          <w:color w:val="000000"/>
          <w:sz w:val="32"/>
          <w:lang w:val="zh-CN"/>
        </w:rPr>
      </w:pPr>
      <w:r>
        <w:rPr>
          <w:rFonts w:hint="eastAsia" w:ascii="仿宋" w:hAnsi="仿宋" w:eastAsia="仿宋" w:cs="仿宋_GB2312"/>
          <w:color w:val="000000"/>
          <w:sz w:val="32"/>
          <w:lang w:val="zh-CN"/>
        </w:rPr>
        <w:t>2022年一般公共预算财政拨款基本支出209.11万元，其中：</w:t>
      </w:r>
    </w:p>
    <w:p w14:paraId="53E930A8">
      <w:pPr>
        <w:spacing w:line="600" w:lineRule="exact"/>
        <w:ind w:firstLine="645"/>
        <w:rPr>
          <w:rFonts w:ascii="仿宋" w:hAnsi="仿宋" w:eastAsia="仿宋" w:cs="仿宋_GB2312"/>
          <w:color w:val="000000"/>
          <w:sz w:val="32"/>
          <w:lang w:val="zh-CN"/>
        </w:rPr>
      </w:pPr>
      <w:r>
        <w:rPr>
          <w:rFonts w:hint="eastAsia" w:ascii="仿宋" w:hAnsi="仿宋" w:eastAsia="仿宋" w:cs="仿宋_GB2312"/>
          <w:b/>
          <w:color w:val="000000"/>
          <w:sz w:val="32"/>
          <w:lang w:val="zh-CN"/>
        </w:rPr>
        <w:t>人员经费</w:t>
      </w:r>
      <w:r>
        <w:rPr>
          <w:rFonts w:hint="eastAsia" w:ascii="仿宋" w:hAnsi="仿宋" w:eastAsia="仿宋" w:cs="仿宋_GB2312"/>
          <w:color w:val="000000"/>
          <w:sz w:val="32"/>
          <w:lang w:val="zh-CN"/>
        </w:rPr>
        <w:t>188.99万元，主要包括：基本工资、津贴补贴、奖金、绩效工资、机关事业单位基本养老保险缴费、职业年金缴费、职工基本医疗保险缴费、公务员医疗补助缴费、其他社会保障缴费、住房公积金、其他工资福利支出、奖励金、其他对个人和家庭的补助支出等。</w:t>
      </w:r>
      <w:r>
        <w:rPr>
          <w:rFonts w:hint="eastAsia" w:ascii="仿宋" w:hAnsi="仿宋" w:eastAsia="仿宋" w:cs="仿宋_GB2312"/>
          <w:color w:val="000000"/>
          <w:sz w:val="32"/>
          <w:lang w:val="zh-CN"/>
        </w:rPr>
        <w:br w:type="textWrapping"/>
      </w:r>
      <w:r>
        <w:rPr>
          <w:rFonts w:hint="eastAsia" w:ascii="仿宋_GB2312" w:hAnsi="仿宋_GB2312" w:eastAsia="仿宋_GB2312" w:cs="仿宋_GB2312"/>
          <w:sz w:val="32"/>
          <w:szCs w:val="32"/>
        </w:rPr>
        <w:t>　</w:t>
      </w:r>
      <w:r>
        <w:rPr>
          <w:rFonts w:hint="eastAsia" w:ascii="仿宋" w:hAnsi="仿宋" w:eastAsia="仿宋" w:cs="仿宋_GB2312"/>
          <w:b/>
          <w:color w:val="000000"/>
          <w:sz w:val="32"/>
          <w:lang w:val="zh-CN"/>
        </w:rPr>
        <w:t>　公用经费</w:t>
      </w:r>
      <w:r>
        <w:rPr>
          <w:rFonts w:hint="eastAsia" w:ascii="仿宋" w:hAnsi="仿宋" w:eastAsia="仿宋" w:cs="仿宋_GB2312"/>
          <w:color w:val="000000"/>
          <w:sz w:val="32"/>
          <w:lang w:val="zh-CN"/>
        </w:rPr>
        <w:t>20.11万元，主要包括：办公费、印刷费、水费、电费、邮电费、差旅费、维修（护）费、劳务费、工会经费、福利费、其他交通费、其他商品和服务支出等。</w:t>
      </w:r>
    </w:p>
    <w:p w14:paraId="6408A8D5">
      <w:pPr>
        <w:spacing w:line="600" w:lineRule="exact"/>
        <w:ind w:firstLine="640"/>
        <w:outlineLvl w:val="1"/>
        <w:rPr>
          <w:rStyle w:val="28"/>
          <w:rFonts w:ascii="黑体" w:hAnsi="黑体" w:eastAsia="黑体"/>
          <w:b w:val="0"/>
        </w:rPr>
      </w:pPr>
      <w:bookmarkStart w:id="41" w:name="_Toc15377215"/>
      <w:bookmarkStart w:id="42" w:name="_Toc15396609"/>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41"/>
      <w:bookmarkEnd w:id="42"/>
    </w:p>
    <w:p w14:paraId="4B34EF9F">
      <w:pPr>
        <w:spacing w:line="600" w:lineRule="exact"/>
        <w:ind w:firstLine="640"/>
        <w:outlineLvl w:val="2"/>
        <w:rPr>
          <w:rFonts w:ascii="仿宋" w:hAnsi="仿宋" w:eastAsia="仿宋"/>
          <w:b/>
          <w:sz w:val="32"/>
          <w:szCs w:val="32"/>
        </w:rPr>
      </w:pPr>
      <w:bookmarkStart w:id="43" w:name="_Toc15377216"/>
      <w:r>
        <w:rPr>
          <w:rFonts w:hint="eastAsia" w:ascii="仿宋" w:hAnsi="仿宋" w:eastAsia="仿宋"/>
          <w:b/>
          <w:sz w:val="32"/>
          <w:szCs w:val="32"/>
        </w:rPr>
        <w:t>（一）“三公”经费财政拨款支出决算总体情况说明</w:t>
      </w:r>
      <w:bookmarkEnd w:id="43"/>
    </w:p>
    <w:p w14:paraId="2225A480">
      <w:pPr>
        <w:spacing w:line="600" w:lineRule="exact"/>
        <w:ind w:firstLine="640"/>
        <w:rPr>
          <w:rFonts w:ascii="仿宋" w:hAnsi="仿宋" w:eastAsia="仿宋" w:cs="仿宋_GB2312"/>
          <w:color w:val="000000"/>
          <w:sz w:val="32"/>
          <w:lang w:val="zh-CN"/>
        </w:rPr>
      </w:pPr>
      <w:r>
        <w:rPr>
          <w:rFonts w:hint="eastAsia" w:ascii="仿宋" w:hAnsi="仿宋" w:eastAsia="仿宋" w:cs="仿宋_GB2312"/>
          <w:color w:val="000000"/>
          <w:sz w:val="32"/>
          <w:lang w:val="zh-CN"/>
        </w:rPr>
        <w:t>2022年</w:t>
      </w:r>
      <w:r>
        <w:rPr>
          <w:rFonts w:ascii="仿宋" w:hAnsi="仿宋" w:eastAsia="仿宋" w:cs="仿宋_GB2312"/>
          <w:color w:val="000000"/>
          <w:sz w:val="32"/>
          <w:lang w:val="zh-CN"/>
        </w:rPr>
        <w:t>“</w:t>
      </w:r>
      <w:r>
        <w:rPr>
          <w:rFonts w:hint="eastAsia" w:ascii="仿宋" w:hAnsi="仿宋" w:eastAsia="仿宋" w:cs="仿宋_GB2312"/>
          <w:color w:val="000000"/>
          <w:sz w:val="32"/>
          <w:lang w:val="zh-CN"/>
        </w:rPr>
        <w:t>三公</w:t>
      </w:r>
      <w:r>
        <w:rPr>
          <w:rFonts w:ascii="仿宋" w:hAnsi="仿宋" w:eastAsia="仿宋" w:cs="仿宋_GB2312"/>
          <w:color w:val="000000"/>
          <w:sz w:val="32"/>
          <w:lang w:val="zh-CN"/>
        </w:rPr>
        <w:t>”</w:t>
      </w:r>
      <w:r>
        <w:rPr>
          <w:rFonts w:hint="eastAsia" w:ascii="仿宋" w:hAnsi="仿宋" w:eastAsia="仿宋" w:cs="仿宋_GB2312"/>
          <w:color w:val="000000"/>
          <w:sz w:val="32"/>
          <w:lang w:val="zh-CN"/>
        </w:rPr>
        <w:t>经费财政拨款支出决算为0.49万元，完成预算40.8%；较上年持平。决算数小于预算数的主要原因</w:t>
      </w:r>
      <w:r>
        <w:rPr>
          <w:rFonts w:ascii="仿宋" w:hAnsi="仿宋" w:eastAsia="仿宋" w:cs="仿宋_GB2312"/>
          <w:color w:val="000000"/>
          <w:sz w:val="32"/>
          <w:lang w:val="zh-CN"/>
        </w:rPr>
        <w:t>是贯彻落实中央八项规定</w:t>
      </w:r>
      <w:r>
        <w:rPr>
          <w:rFonts w:hint="eastAsia" w:ascii="仿宋" w:hAnsi="仿宋" w:eastAsia="仿宋" w:cs="仿宋_GB2312"/>
          <w:color w:val="000000"/>
          <w:sz w:val="32"/>
          <w:lang w:val="zh-CN"/>
        </w:rPr>
        <w:t>以及省</w:t>
      </w:r>
      <w:r>
        <w:rPr>
          <w:rFonts w:ascii="仿宋" w:hAnsi="仿宋" w:eastAsia="仿宋" w:cs="仿宋_GB2312"/>
          <w:color w:val="000000"/>
          <w:sz w:val="32"/>
          <w:lang w:val="zh-CN"/>
        </w:rPr>
        <w:t>、</w:t>
      </w:r>
      <w:r>
        <w:rPr>
          <w:rFonts w:hint="eastAsia" w:ascii="仿宋" w:hAnsi="仿宋" w:eastAsia="仿宋" w:cs="仿宋_GB2312"/>
          <w:color w:val="000000"/>
          <w:sz w:val="32"/>
          <w:lang w:val="zh-CN"/>
        </w:rPr>
        <w:t>市、县委十项规定及其实施细则</w:t>
      </w:r>
      <w:r>
        <w:rPr>
          <w:rFonts w:ascii="仿宋" w:hAnsi="仿宋" w:eastAsia="仿宋" w:cs="仿宋_GB2312"/>
          <w:color w:val="000000"/>
          <w:sz w:val="32"/>
          <w:lang w:val="zh-CN"/>
        </w:rPr>
        <w:t>要求，厉行节约，减少公务接待活动，</w:t>
      </w:r>
      <w:r>
        <w:rPr>
          <w:rFonts w:hint="eastAsia" w:ascii="仿宋" w:hAnsi="仿宋" w:eastAsia="仿宋" w:cs="仿宋_GB2312"/>
          <w:color w:val="000000"/>
          <w:sz w:val="32"/>
          <w:lang w:val="zh-CN"/>
        </w:rPr>
        <w:t>严格执行</w:t>
      </w:r>
      <w:r>
        <w:rPr>
          <w:rFonts w:ascii="仿宋" w:hAnsi="仿宋" w:eastAsia="仿宋" w:cs="仿宋_GB2312"/>
          <w:color w:val="000000"/>
          <w:sz w:val="32"/>
          <w:lang w:val="zh-CN"/>
        </w:rPr>
        <w:t>公务接待标准。</w:t>
      </w:r>
    </w:p>
    <w:p w14:paraId="1603C88F">
      <w:pPr>
        <w:spacing w:line="600" w:lineRule="exact"/>
        <w:ind w:firstLine="640"/>
        <w:outlineLvl w:val="2"/>
        <w:rPr>
          <w:rFonts w:hint="eastAsia" w:ascii="仿宋" w:hAnsi="仿宋" w:eastAsia="仿宋"/>
          <w:b/>
          <w:sz w:val="32"/>
          <w:szCs w:val="32"/>
        </w:rPr>
      </w:pPr>
      <w:bookmarkStart w:id="44" w:name="_Toc15377217"/>
      <w:r>
        <w:rPr>
          <w:rFonts w:hint="eastAsia" w:ascii="仿宋" w:hAnsi="仿宋" w:eastAsia="仿宋"/>
          <w:b/>
          <w:sz w:val="32"/>
          <w:szCs w:val="32"/>
        </w:rPr>
        <w:t>（二）“三公”经费财政拨款支出决算具体情况说明</w:t>
      </w:r>
      <w:bookmarkEnd w:id="44"/>
    </w:p>
    <w:p w14:paraId="528022D0">
      <w:pPr>
        <w:spacing w:line="600" w:lineRule="exact"/>
        <w:ind w:firstLine="640"/>
        <w:outlineLvl w:val="2"/>
        <w:rPr>
          <w:rFonts w:ascii="仿宋" w:hAnsi="仿宋" w:eastAsia="仿宋"/>
          <w:b/>
          <w:sz w:val="32"/>
          <w:szCs w:val="32"/>
        </w:rPr>
      </w:pPr>
      <w:r>
        <w:rPr>
          <w:rFonts w:hint="eastAsia" w:ascii="仿宋" w:hAnsi="仿宋" w:eastAsia="仿宋" w:cs="仿宋_GB2312"/>
          <w:color w:val="000000"/>
          <w:sz w:val="32"/>
          <w:lang w:val="zh-CN"/>
        </w:rPr>
        <w:t>2022年</w:t>
      </w:r>
      <w:r>
        <w:rPr>
          <w:rFonts w:ascii="仿宋" w:hAnsi="仿宋" w:eastAsia="仿宋" w:cs="仿宋_GB2312"/>
          <w:color w:val="000000"/>
          <w:sz w:val="32"/>
          <w:lang w:val="zh-CN"/>
        </w:rPr>
        <w:t>“</w:t>
      </w:r>
      <w:r>
        <w:rPr>
          <w:rFonts w:hint="eastAsia" w:ascii="仿宋" w:hAnsi="仿宋" w:eastAsia="仿宋" w:cs="仿宋_GB2312"/>
          <w:color w:val="000000"/>
          <w:sz w:val="32"/>
          <w:lang w:val="zh-CN"/>
        </w:rPr>
        <w:t>三公</w:t>
      </w:r>
      <w:r>
        <w:rPr>
          <w:rFonts w:ascii="仿宋" w:hAnsi="仿宋" w:eastAsia="仿宋" w:cs="仿宋_GB2312"/>
          <w:color w:val="000000"/>
          <w:sz w:val="32"/>
          <w:lang w:val="zh-CN"/>
        </w:rPr>
        <w:t>”</w:t>
      </w:r>
      <w:r>
        <w:rPr>
          <w:rFonts w:hint="eastAsia" w:ascii="仿宋" w:hAnsi="仿宋" w:eastAsia="仿宋" w:cs="仿宋_GB2312"/>
          <w:color w:val="000000"/>
          <w:sz w:val="32"/>
          <w:lang w:val="zh-CN"/>
        </w:rPr>
        <w:t>经费财政拨款支出决算中，因公出国（境）费支出决算0万元，占0%；公务用车购置及运行维护费支出决算0万元，占0%；公务接待费支出决算0.49万元，占100%。具体情况如下：</w:t>
      </w:r>
    </w:p>
    <w:p w14:paraId="34AE36D2">
      <w:pPr>
        <w:keepNext/>
        <w:keepLines/>
        <w:spacing w:line="576" w:lineRule="exact"/>
        <w:ind w:firstLine="640"/>
        <w:rPr>
          <w:rFonts w:ascii="仿宋_GB2312" w:hAnsi="仿宋_GB2312" w:eastAsia="仿宋_GB2312"/>
          <w:color w:val="000000"/>
          <w:sz w:val="32"/>
          <w:lang w:val="zh-CN"/>
        </w:rPr>
      </w:pPr>
      <w:r>
        <w:rPr>
          <w:rFonts w:ascii="仿宋_GB2312" w:hAnsi="仿宋_GB2312" w:eastAsia="仿宋_GB2312"/>
          <w:color w:val="000000"/>
          <w:sz w:val="32"/>
        </w:rPr>
        <w:drawing>
          <wp:anchor distT="0" distB="0" distL="114300" distR="114300" simplePos="0" relativeHeight="251665408" behindDoc="0" locked="0" layoutInCell="1" allowOverlap="1">
            <wp:simplePos x="0" y="0"/>
            <wp:positionH relativeFrom="column">
              <wp:posOffset>344170</wp:posOffset>
            </wp:positionH>
            <wp:positionV relativeFrom="paragraph">
              <wp:posOffset>41910</wp:posOffset>
            </wp:positionV>
            <wp:extent cx="5076825" cy="2619375"/>
            <wp:effectExtent l="19050" t="0" r="9525" b="0"/>
            <wp:wrapNone/>
            <wp:docPr id="16" name="图片 7" descr="C:\Users\Administrator\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C:\Users\Administrator\Desktop\7.png"/>
                    <pic:cNvPicPr>
                      <a:picLocks noChangeAspect="1" noChangeArrowheads="1"/>
                    </pic:cNvPicPr>
                  </pic:nvPicPr>
                  <pic:blipFill>
                    <a:blip r:embed="rId12"/>
                    <a:srcRect/>
                    <a:stretch>
                      <a:fillRect/>
                    </a:stretch>
                  </pic:blipFill>
                  <pic:spPr>
                    <a:xfrm>
                      <a:off x="0" y="0"/>
                      <a:ext cx="5076825" cy="2619375"/>
                    </a:xfrm>
                    <a:prstGeom prst="rect">
                      <a:avLst/>
                    </a:prstGeom>
                    <a:noFill/>
                    <a:ln w="9525">
                      <a:noFill/>
                      <a:miter lim="800000"/>
                      <a:headEnd/>
                      <a:tailEnd/>
                    </a:ln>
                  </pic:spPr>
                </pic:pic>
              </a:graphicData>
            </a:graphic>
          </wp:anchor>
        </w:drawing>
      </w:r>
    </w:p>
    <w:p w14:paraId="0CC0C510">
      <w:pPr>
        <w:keepNext/>
        <w:keepLines/>
        <w:spacing w:line="576" w:lineRule="exact"/>
        <w:ind w:firstLine="640"/>
        <w:rPr>
          <w:rFonts w:ascii="仿宋_GB2312" w:hAnsi="仿宋_GB2312" w:eastAsia="仿宋_GB2312"/>
          <w:color w:val="000000"/>
          <w:sz w:val="32"/>
          <w:lang w:val="zh-CN"/>
        </w:rPr>
      </w:pPr>
    </w:p>
    <w:p w14:paraId="7865C890">
      <w:pPr>
        <w:keepNext/>
        <w:keepLines/>
        <w:spacing w:line="576" w:lineRule="exact"/>
        <w:ind w:firstLine="640"/>
        <w:rPr>
          <w:rFonts w:ascii="仿宋_GB2312" w:hAnsi="仿宋_GB2312" w:eastAsia="仿宋_GB2312"/>
          <w:color w:val="000000"/>
          <w:sz w:val="32"/>
          <w:lang w:val="zh-CN"/>
        </w:rPr>
      </w:pPr>
    </w:p>
    <w:p w14:paraId="41847213">
      <w:pPr>
        <w:keepNext/>
        <w:keepLines/>
        <w:spacing w:line="576" w:lineRule="exact"/>
        <w:ind w:firstLine="640"/>
        <w:rPr>
          <w:rFonts w:ascii="仿宋_GB2312" w:hAnsi="仿宋_GB2312" w:eastAsia="仿宋_GB2312"/>
          <w:color w:val="000000"/>
          <w:sz w:val="32"/>
          <w:lang w:val="zh-CN"/>
        </w:rPr>
      </w:pPr>
    </w:p>
    <w:p w14:paraId="5DAB6594">
      <w:pPr>
        <w:keepNext/>
        <w:keepLines/>
        <w:spacing w:line="576" w:lineRule="exact"/>
        <w:ind w:firstLine="640"/>
        <w:rPr>
          <w:rFonts w:hint="eastAsia" w:ascii="仿宋_GB2312" w:hAnsi="仿宋_GB2312" w:eastAsia="仿宋_GB2312"/>
          <w:color w:val="000000"/>
          <w:sz w:val="32"/>
          <w:lang w:val="zh-CN"/>
        </w:rPr>
      </w:pPr>
    </w:p>
    <w:p w14:paraId="1FA42E01">
      <w:pPr>
        <w:keepNext/>
        <w:keepLines/>
        <w:spacing w:line="576" w:lineRule="exact"/>
        <w:ind w:firstLine="640"/>
        <w:rPr>
          <w:rFonts w:ascii="仿宋_GB2312" w:hAnsi="仿宋_GB2312" w:eastAsia="仿宋_GB2312"/>
          <w:color w:val="000000"/>
          <w:sz w:val="32"/>
          <w:lang w:val="zh-CN"/>
        </w:rPr>
      </w:pPr>
    </w:p>
    <w:p w14:paraId="56A5E46A">
      <w:pPr>
        <w:keepNext/>
        <w:keepLines/>
        <w:spacing w:line="576" w:lineRule="exact"/>
        <w:rPr>
          <w:rFonts w:ascii="仿宋_GB2312" w:hAnsi="仿宋_GB2312" w:eastAsia="仿宋_GB2312"/>
          <w:color w:val="000000"/>
          <w:sz w:val="32"/>
          <w:lang w:val="zh-CN"/>
        </w:rPr>
      </w:pPr>
    </w:p>
    <w:p w14:paraId="2409CC8D">
      <w:pPr>
        <w:spacing w:line="600" w:lineRule="exact"/>
        <w:ind w:firstLine="640"/>
        <w:jc w:val="center"/>
        <w:rPr>
          <w:rFonts w:ascii="仿宋" w:hAnsi="仿宋" w:eastAsia="仿宋"/>
          <w:sz w:val="32"/>
          <w:szCs w:val="32"/>
        </w:rPr>
      </w:pPr>
      <w:r>
        <w:rPr>
          <w:rFonts w:hint="eastAsia" w:ascii="仿宋" w:hAnsi="仿宋" w:eastAsia="仿宋"/>
          <w:sz w:val="32"/>
          <w:szCs w:val="32"/>
        </w:rPr>
        <w:t>（图7：“三公”经费财政拨款支出结构）</w:t>
      </w:r>
    </w:p>
    <w:p w14:paraId="32368D4E">
      <w:pPr>
        <w:spacing w:line="600" w:lineRule="exact"/>
        <w:ind w:firstLine="640"/>
        <w:rPr>
          <w:rFonts w:ascii="仿宋" w:hAnsi="仿宋" w:eastAsia="仿宋"/>
          <w:sz w:val="32"/>
          <w:szCs w:val="32"/>
        </w:rPr>
      </w:pPr>
      <w:r>
        <w:rPr>
          <w:rFonts w:ascii="仿宋" w:hAnsi="仿宋" w:eastAsia="仿宋"/>
          <w:b/>
          <w:sz w:val="32"/>
          <w:szCs w:val="32"/>
        </w:rPr>
        <w:t>1.</w:t>
      </w:r>
      <w:r>
        <w:rPr>
          <w:rFonts w:hint="eastAsia" w:ascii="仿宋" w:hAnsi="仿宋" w:eastAsia="仿宋"/>
          <w:b/>
          <w:sz w:val="32"/>
          <w:szCs w:val="32"/>
        </w:rPr>
        <w:t>因公出国（境）经费支出</w:t>
      </w:r>
      <w:r>
        <w:rPr>
          <w:rFonts w:hint="eastAsia" w:ascii="仿宋" w:hAnsi="仿宋" w:eastAsia="仿宋"/>
          <w:sz w:val="32"/>
          <w:szCs w:val="32"/>
        </w:rPr>
        <w:t>0万元，</w:t>
      </w:r>
      <w:r>
        <w:rPr>
          <w:rStyle w:val="16"/>
          <w:rFonts w:hint="eastAsia" w:ascii="仿宋" w:hAnsi="仿宋" w:eastAsia="仿宋"/>
          <w:b w:val="0"/>
          <w:bCs/>
          <w:sz w:val="32"/>
          <w:szCs w:val="32"/>
        </w:rPr>
        <w:t>完成预算0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 w:hAnsi="仿宋" w:eastAsia="仿宋"/>
          <w:sz w:val="32"/>
          <w:szCs w:val="32"/>
        </w:rPr>
        <w:t>全年安排因公出国（境）团组0次，出国（境）0人。因公出国（境）支出决算与</w:t>
      </w:r>
      <w:r>
        <w:rPr>
          <w:rFonts w:ascii="仿宋" w:hAnsi="仿宋" w:eastAsia="仿宋"/>
          <w:sz w:val="32"/>
          <w:szCs w:val="32"/>
        </w:rPr>
        <w:t>20</w:t>
      </w:r>
      <w:r>
        <w:rPr>
          <w:rFonts w:hint="eastAsia" w:ascii="仿宋" w:hAnsi="仿宋" w:eastAsia="仿宋"/>
          <w:sz w:val="32"/>
          <w:szCs w:val="32"/>
        </w:rPr>
        <w:t>21年持平。</w:t>
      </w:r>
    </w:p>
    <w:p w14:paraId="6F9F3978">
      <w:pPr>
        <w:spacing w:line="600" w:lineRule="exact"/>
        <w:ind w:firstLine="640"/>
        <w:rPr>
          <w:rFonts w:ascii="仿宋" w:hAnsi="仿宋" w:eastAsia="仿宋"/>
          <w:b/>
          <w:sz w:val="32"/>
          <w:szCs w:val="32"/>
        </w:rPr>
      </w:pPr>
      <w:r>
        <w:rPr>
          <w:rFonts w:ascii="仿宋" w:hAnsi="仿宋" w:eastAsia="仿宋"/>
          <w:b/>
          <w:sz w:val="32"/>
          <w:szCs w:val="32"/>
        </w:rPr>
        <w:t>2.</w:t>
      </w:r>
      <w:r>
        <w:rPr>
          <w:rFonts w:hint="eastAsia" w:ascii="仿宋" w:hAnsi="仿宋" w:eastAsia="仿宋"/>
          <w:b/>
          <w:sz w:val="32"/>
          <w:szCs w:val="32"/>
        </w:rPr>
        <w:t>公务用车购置及运行维护费支出</w:t>
      </w:r>
      <w:r>
        <w:rPr>
          <w:rFonts w:hint="eastAsia" w:ascii="仿宋" w:hAnsi="仿宋" w:eastAsia="仿宋"/>
          <w:sz w:val="32"/>
          <w:szCs w:val="32"/>
        </w:rPr>
        <w:t>0万元,</w:t>
      </w:r>
      <w:r>
        <w:rPr>
          <w:rStyle w:val="16"/>
          <w:rFonts w:hint="eastAsia" w:ascii="仿宋" w:hAnsi="仿宋" w:eastAsia="仿宋"/>
          <w:b w:val="0"/>
          <w:bCs/>
          <w:sz w:val="32"/>
          <w:szCs w:val="32"/>
        </w:rPr>
        <w:t>完成预算0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 w:hAnsi="仿宋" w:eastAsia="仿宋"/>
          <w:sz w:val="32"/>
          <w:szCs w:val="32"/>
        </w:rPr>
        <w:t>公务用车购置及运行维护费支出决算与</w:t>
      </w:r>
      <w:r>
        <w:rPr>
          <w:rFonts w:ascii="仿宋" w:hAnsi="仿宋" w:eastAsia="仿宋"/>
          <w:sz w:val="32"/>
          <w:szCs w:val="32"/>
        </w:rPr>
        <w:t>20</w:t>
      </w:r>
      <w:r>
        <w:rPr>
          <w:rFonts w:hint="eastAsia" w:ascii="仿宋" w:hAnsi="仿宋" w:eastAsia="仿宋"/>
          <w:sz w:val="32"/>
          <w:szCs w:val="32"/>
        </w:rPr>
        <w:t>21年持平。</w:t>
      </w:r>
    </w:p>
    <w:p w14:paraId="401369ED">
      <w:pPr>
        <w:spacing w:line="600" w:lineRule="exact"/>
        <w:ind w:firstLine="640" w:firstLineChars="200"/>
        <w:rPr>
          <w:rFonts w:ascii="仿宋" w:hAnsi="仿宋" w:eastAsia="仿宋"/>
          <w:b/>
          <w:sz w:val="32"/>
          <w:szCs w:val="32"/>
        </w:rPr>
      </w:pPr>
      <w:r>
        <w:rPr>
          <w:rFonts w:hint="eastAsia" w:ascii="仿宋" w:hAnsi="仿宋" w:eastAsia="仿宋"/>
          <w:sz w:val="32"/>
          <w:szCs w:val="32"/>
        </w:rPr>
        <w:t>其中：</w:t>
      </w:r>
      <w:r>
        <w:rPr>
          <w:rFonts w:hint="eastAsia" w:ascii="仿宋" w:hAnsi="仿宋" w:eastAsia="仿宋"/>
          <w:b/>
          <w:sz w:val="32"/>
          <w:szCs w:val="32"/>
        </w:rPr>
        <w:t>公务用车购置支出</w:t>
      </w:r>
      <w:r>
        <w:rPr>
          <w:rFonts w:hint="eastAsia" w:ascii="仿宋" w:hAnsi="仿宋" w:eastAsia="仿宋"/>
          <w:sz w:val="32"/>
          <w:szCs w:val="32"/>
        </w:rPr>
        <w:t>0万元。全年按规定更新购置公务用车0辆，截至</w:t>
      </w:r>
      <w:r>
        <w:rPr>
          <w:rFonts w:ascii="仿宋" w:hAnsi="仿宋" w:eastAsia="仿宋"/>
          <w:sz w:val="32"/>
          <w:szCs w:val="32"/>
        </w:rPr>
        <w:t>20</w:t>
      </w:r>
      <w:r>
        <w:rPr>
          <w:rFonts w:hint="eastAsia" w:ascii="仿宋" w:hAnsi="仿宋" w:eastAsia="仿宋"/>
          <w:sz w:val="32"/>
          <w:szCs w:val="32"/>
        </w:rPr>
        <w:t>22年</w:t>
      </w:r>
      <w:r>
        <w:rPr>
          <w:rFonts w:ascii="仿宋" w:hAnsi="仿宋" w:eastAsia="仿宋"/>
          <w:sz w:val="32"/>
          <w:szCs w:val="32"/>
        </w:rPr>
        <w:t>12</w:t>
      </w:r>
      <w:r>
        <w:rPr>
          <w:rFonts w:hint="eastAsia" w:ascii="仿宋" w:hAnsi="仿宋" w:eastAsia="仿宋"/>
          <w:sz w:val="32"/>
          <w:szCs w:val="32"/>
        </w:rPr>
        <w:t>月底，单位共有公务用车1辆，其中：轿车1辆、越野车0辆、载客汽车0辆。</w:t>
      </w:r>
    </w:p>
    <w:p w14:paraId="4940CD1E">
      <w:pPr>
        <w:spacing w:line="600" w:lineRule="exact"/>
        <w:ind w:firstLine="640"/>
        <w:rPr>
          <w:rFonts w:ascii="仿宋" w:hAnsi="仿宋" w:eastAsia="仿宋"/>
          <w:sz w:val="32"/>
          <w:szCs w:val="32"/>
        </w:rPr>
      </w:pPr>
      <w:r>
        <w:rPr>
          <w:rFonts w:hint="eastAsia" w:ascii="仿宋" w:hAnsi="仿宋" w:eastAsia="仿宋"/>
          <w:b/>
          <w:sz w:val="32"/>
          <w:szCs w:val="32"/>
        </w:rPr>
        <w:t>公务用车运行维护费支出</w:t>
      </w:r>
      <w:r>
        <w:rPr>
          <w:rFonts w:hint="eastAsia" w:ascii="仿宋" w:hAnsi="仿宋" w:eastAsia="仿宋"/>
          <w:sz w:val="32"/>
          <w:szCs w:val="32"/>
        </w:rPr>
        <w:t>0万元。</w:t>
      </w:r>
    </w:p>
    <w:p w14:paraId="08FF6996">
      <w:pPr>
        <w:numPr>
          <w:ilvl w:val="0"/>
          <w:numId w:val="2"/>
        </w:numPr>
        <w:spacing w:line="600" w:lineRule="exact"/>
        <w:ind w:firstLine="640"/>
        <w:rPr>
          <w:rFonts w:ascii="仿宋" w:hAnsi="仿宋" w:eastAsia="仿宋"/>
          <w:color w:val="000000"/>
          <w:sz w:val="32"/>
          <w:lang w:val="zh-CN"/>
        </w:rPr>
      </w:pPr>
      <w:r>
        <w:rPr>
          <w:rFonts w:hint="eastAsia" w:ascii="仿宋" w:hAnsi="仿宋" w:eastAsia="仿宋"/>
          <w:b/>
          <w:color w:val="000000"/>
          <w:sz w:val="32"/>
          <w:lang w:val="zh-CN"/>
        </w:rPr>
        <w:t>公务接待费</w:t>
      </w:r>
      <w:r>
        <w:rPr>
          <w:rFonts w:hint="eastAsia" w:ascii="仿宋" w:hAnsi="仿宋" w:eastAsia="仿宋"/>
          <w:color w:val="000000"/>
          <w:sz w:val="32"/>
          <w:lang w:val="zh-CN"/>
        </w:rPr>
        <w:t>支出0.49万元，完成预算40.8%。公务接待费支出决算与2021年持平。</w:t>
      </w:r>
    </w:p>
    <w:p w14:paraId="63D4748F">
      <w:pPr>
        <w:keepNext/>
        <w:keepLines/>
        <w:spacing w:line="576" w:lineRule="exact"/>
        <w:ind w:firstLine="643"/>
        <w:rPr>
          <w:rFonts w:ascii="仿宋" w:hAnsi="仿宋" w:eastAsia="仿宋"/>
          <w:color w:val="000000"/>
          <w:sz w:val="32"/>
        </w:rPr>
      </w:pPr>
      <w:r>
        <w:rPr>
          <w:rFonts w:hint="eastAsia" w:ascii="仿宋" w:hAnsi="仿宋" w:eastAsia="仿宋"/>
          <w:b/>
          <w:color w:val="000000"/>
          <w:sz w:val="32"/>
          <w:lang w:val="zh-CN"/>
        </w:rPr>
        <w:t>国内公务接待</w:t>
      </w:r>
      <w:r>
        <w:rPr>
          <w:rFonts w:hint="eastAsia" w:ascii="仿宋" w:hAnsi="仿宋" w:eastAsia="仿宋"/>
          <w:color w:val="000000"/>
          <w:sz w:val="32"/>
          <w:lang w:val="zh-CN"/>
        </w:rPr>
        <w:t>支出0.49万元。</w:t>
      </w:r>
      <w:r>
        <w:rPr>
          <w:rFonts w:hint="eastAsia" w:ascii="仿宋" w:hAnsi="仿宋" w:eastAsia="仿宋"/>
          <w:sz w:val="32"/>
          <w:szCs w:val="32"/>
        </w:rPr>
        <w:t>主要用于执行公务、开展业务活动开支的用餐费</w:t>
      </w:r>
      <w:r>
        <w:rPr>
          <w:rFonts w:hint="eastAsia" w:ascii="仿宋" w:hAnsi="仿宋" w:eastAsia="仿宋"/>
          <w:color w:val="000000"/>
          <w:sz w:val="32"/>
          <w:highlight w:val="white"/>
        </w:rPr>
        <w:t>。</w:t>
      </w:r>
      <w:r>
        <w:rPr>
          <w:rFonts w:hint="eastAsia" w:ascii="仿宋" w:hAnsi="仿宋" w:eastAsia="仿宋"/>
          <w:color w:val="000000"/>
          <w:sz w:val="32"/>
          <w:lang w:val="zh-CN"/>
        </w:rPr>
        <w:t>国内公务接待11批次，50人次，共计支出0.49万元</w:t>
      </w:r>
      <w:r>
        <w:rPr>
          <w:rFonts w:hint="eastAsia" w:ascii="仿宋" w:hAnsi="仿宋" w:eastAsia="仿宋"/>
          <w:color w:val="000000"/>
          <w:sz w:val="32"/>
          <w:highlight w:val="white"/>
        </w:rPr>
        <w:t>。</w:t>
      </w:r>
    </w:p>
    <w:p w14:paraId="2B9FD176">
      <w:pPr>
        <w:spacing w:line="600" w:lineRule="exact"/>
        <w:ind w:firstLine="643" w:firstLineChars="200"/>
        <w:rPr>
          <w:rFonts w:ascii="仿宋" w:hAnsi="仿宋" w:eastAsia="仿宋"/>
          <w:sz w:val="32"/>
          <w:szCs w:val="32"/>
        </w:rPr>
      </w:pPr>
      <w:r>
        <w:rPr>
          <w:rFonts w:hint="eastAsia" w:ascii="仿宋" w:hAnsi="仿宋" w:eastAsia="仿宋"/>
          <w:b/>
          <w:sz w:val="32"/>
          <w:szCs w:val="32"/>
        </w:rPr>
        <w:t>外事接待支出</w:t>
      </w:r>
      <w:r>
        <w:rPr>
          <w:rFonts w:hint="eastAsia" w:ascii="仿宋" w:hAnsi="仿宋" w:eastAsia="仿宋"/>
          <w:sz w:val="32"/>
          <w:szCs w:val="32"/>
        </w:rPr>
        <w:t>0万元，外事接待0批次，0人，共计支出0万元。</w:t>
      </w:r>
      <w:bookmarkStart w:id="45" w:name="_Toc15377218"/>
      <w:bookmarkStart w:id="46" w:name="_Toc15396610"/>
    </w:p>
    <w:p w14:paraId="1F267422">
      <w:pPr>
        <w:spacing w:line="600" w:lineRule="exact"/>
        <w:ind w:firstLine="640"/>
        <w:outlineLvl w:val="1"/>
        <w:rPr>
          <w:rStyle w:val="28"/>
          <w:rFonts w:ascii="黑体" w:hAnsi="黑体" w:eastAsia="黑体"/>
          <w:b w:val="0"/>
        </w:rPr>
      </w:pPr>
      <w:r>
        <w:rPr>
          <w:rStyle w:val="28"/>
          <w:rFonts w:hint="eastAsia" w:ascii="黑体" w:hAnsi="黑体" w:eastAsia="黑体"/>
        </w:rPr>
        <w:t>八、</w:t>
      </w:r>
      <w:r>
        <w:rPr>
          <w:rStyle w:val="28"/>
          <w:rFonts w:hint="eastAsia" w:ascii="黑体" w:hAnsi="黑体" w:eastAsia="黑体"/>
          <w:b w:val="0"/>
        </w:rPr>
        <w:t>政府性基金预算支出决算情况说明</w:t>
      </w:r>
      <w:bookmarkEnd w:id="45"/>
      <w:bookmarkEnd w:id="46"/>
    </w:p>
    <w:p w14:paraId="24AA195F">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22年政府性基金预算财政拨款支出0万元。</w:t>
      </w:r>
    </w:p>
    <w:p w14:paraId="75F2A10C">
      <w:pPr>
        <w:spacing w:line="600" w:lineRule="exact"/>
        <w:ind w:firstLine="640"/>
        <w:outlineLvl w:val="1"/>
        <w:rPr>
          <w:rStyle w:val="28"/>
          <w:rFonts w:ascii="黑体" w:hAnsi="黑体" w:eastAsia="黑体"/>
          <w:b w:val="0"/>
        </w:rPr>
      </w:pPr>
      <w:bookmarkStart w:id="47" w:name="_Toc15377219"/>
      <w:bookmarkStart w:id="48" w:name="_Toc15396611"/>
      <w:r>
        <w:rPr>
          <w:rStyle w:val="28"/>
          <w:rFonts w:hint="eastAsia" w:ascii="黑体" w:hAnsi="黑体" w:eastAsia="黑体"/>
          <w:b w:val="0"/>
        </w:rPr>
        <w:t>九、国有资本经营预算支出决算情况说明</w:t>
      </w:r>
      <w:bookmarkEnd w:id="47"/>
      <w:bookmarkEnd w:id="48"/>
    </w:p>
    <w:p w14:paraId="01BA726C">
      <w:pPr>
        <w:spacing w:line="600" w:lineRule="exact"/>
        <w:ind w:firstLine="640"/>
        <w:rPr>
          <w:rFonts w:ascii="仿宋" w:hAnsi="仿宋" w:eastAsia="仿宋" w:cs="方正小标宋简体"/>
          <w:sz w:val="44"/>
          <w:szCs w:val="44"/>
        </w:rPr>
      </w:pPr>
      <w:r>
        <w:rPr>
          <w:rFonts w:ascii="仿宋" w:hAnsi="仿宋" w:eastAsia="仿宋"/>
          <w:sz w:val="32"/>
          <w:szCs w:val="32"/>
        </w:rPr>
        <w:t>20</w:t>
      </w:r>
      <w:r>
        <w:rPr>
          <w:rFonts w:hint="eastAsia" w:ascii="仿宋" w:hAnsi="仿宋" w:eastAsia="仿宋"/>
          <w:sz w:val="32"/>
          <w:szCs w:val="32"/>
        </w:rPr>
        <w:t>22年国有资本经营预算财政拨款支出0万元。</w:t>
      </w:r>
    </w:p>
    <w:p w14:paraId="06BC85A5">
      <w:pPr>
        <w:spacing w:line="600" w:lineRule="exact"/>
        <w:ind w:firstLine="640"/>
        <w:outlineLvl w:val="1"/>
        <w:rPr>
          <w:rStyle w:val="28"/>
          <w:rFonts w:ascii="黑体" w:hAnsi="黑体" w:eastAsia="黑体"/>
          <w:b w:val="0"/>
        </w:rPr>
      </w:pPr>
      <w:bookmarkStart w:id="49" w:name="_Toc15377221"/>
      <w:bookmarkStart w:id="50" w:name="_Toc15396612"/>
      <w:r>
        <w:rPr>
          <w:rStyle w:val="28"/>
          <w:rFonts w:hint="eastAsia" w:ascii="黑体" w:hAnsi="黑体" w:eastAsia="黑体"/>
          <w:b w:val="0"/>
        </w:rPr>
        <w:t>十、其他重要事项的情况说明</w:t>
      </w:r>
      <w:bookmarkEnd w:id="49"/>
      <w:bookmarkEnd w:id="50"/>
    </w:p>
    <w:p w14:paraId="228355F1">
      <w:pPr>
        <w:spacing w:line="600" w:lineRule="exact"/>
        <w:ind w:firstLine="643" w:firstLineChars="200"/>
        <w:outlineLvl w:val="2"/>
        <w:rPr>
          <w:rFonts w:ascii="仿宋" w:hAnsi="仿宋" w:eastAsia="仿宋"/>
          <w:sz w:val="32"/>
          <w:szCs w:val="32"/>
        </w:rPr>
      </w:pPr>
      <w:bookmarkStart w:id="51" w:name="_Toc15377222"/>
      <w:r>
        <w:rPr>
          <w:rFonts w:hint="eastAsia" w:ascii="仿宋" w:hAnsi="仿宋" w:eastAsia="仿宋"/>
          <w:b/>
          <w:sz w:val="32"/>
          <w:szCs w:val="32"/>
        </w:rPr>
        <w:t>（一）机关运行经费支出情况</w:t>
      </w:r>
      <w:bookmarkEnd w:id="51"/>
    </w:p>
    <w:p w14:paraId="57DAA8DB">
      <w:pPr>
        <w:spacing w:line="600" w:lineRule="exact"/>
        <w:ind w:firstLine="640" w:firstLineChars="200"/>
        <w:rPr>
          <w:rFonts w:ascii="仿宋" w:hAnsi="仿宋" w:eastAsia="仿宋"/>
          <w:sz w:val="32"/>
          <w:szCs w:val="32"/>
        </w:rPr>
      </w:pPr>
      <w:r>
        <w:rPr>
          <w:rFonts w:hint="eastAsia" w:ascii="仿宋" w:hAnsi="仿宋" w:eastAsia="仿宋"/>
          <w:sz w:val="32"/>
          <w:szCs w:val="32"/>
        </w:rPr>
        <w:t>2022年，沐川县总工会机关运行经费支出20.11万元，比2021年增加0.53万元，增长2.7%。主要原因是交通补贴、工会经费、其他商品和服务支出相应增加。</w:t>
      </w:r>
    </w:p>
    <w:p w14:paraId="686A992E">
      <w:pPr>
        <w:autoSpaceDE w:val="0"/>
        <w:autoSpaceDN w:val="0"/>
        <w:adjustRightInd w:val="0"/>
        <w:spacing w:line="600" w:lineRule="exact"/>
        <w:ind w:firstLine="643" w:firstLineChars="200"/>
        <w:jc w:val="left"/>
        <w:outlineLvl w:val="2"/>
        <w:rPr>
          <w:rFonts w:ascii="仿宋" w:hAnsi="仿宋" w:eastAsia="仿宋"/>
          <w:b/>
          <w:sz w:val="32"/>
          <w:szCs w:val="32"/>
        </w:rPr>
      </w:pPr>
      <w:bookmarkStart w:id="52" w:name="_Toc15377223"/>
      <w:r>
        <w:rPr>
          <w:rFonts w:hint="eastAsia" w:ascii="仿宋" w:hAnsi="仿宋" w:eastAsia="仿宋"/>
          <w:b/>
          <w:sz w:val="32"/>
          <w:szCs w:val="32"/>
        </w:rPr>
        <w:t>（二）政府采购支出情况</w:t>
      </w:r>
      <w:bookmarkEnd w:id="52"/>
    </w:p>
    <w:p w14:paraId="377B441F">
      <w:pPr>
        <w:spacing w:line="600" w:lineRule="exact"/>
        <w:ind w:firstLine="640" w:firstLineChars="200"/>
        <w:rPr>
          <w:rFonts w:ascii="仿宋" w:hAnsi="仿宋" w:eastAsia="仿宋"/>
          <w:sz w:val="32"/>
          <w:szCs w:val="32"/>
        </w:rPr>
      </w:pPr>
      <w:r>
        <w:rPr>
          <w:rFonts w:hint="eastAsia" w:ascii="仿宋" w:hAnsi="仿宋" w:eastAsia="仿宋"/>
          <w:sz w:val="32"/>
          <w:szCs w:val="32"/>
        </w:rPr>
        <w:t>2022年，沐川县总工会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1B15DCF2">
      <w:pPr>
        <w:autoSpaceDE w:val="0"/>
        <w:autoSpaceDN w:val="0"/>
        <w:adjustRightInd w:val="0"/>
        <w:spacing w:line="600" w:lineRule="exact"/>
        <w:ind w:firstLine="643" w:firstLineChars="200"/>
        <w:jc w:val="left"/>
        <w:outlineLvl w:val="2"/>
        <w:rPr>
          <w:rFonts w:ascii="仿宋" w:hAnsi="仿宋" w:eastAsia="仿宋"/>
          <w:b/>
          <w:sz w:val="32"/>
          <w:szCs w:val="32"/>
        </w:rPr>
      </w:pPr>
      <w:bookmarkStart w:id="53" w:name="_Toc15377224"/>
      <w:r>
        <w:rPr>
          <w:rFonts w:hint="eastAsia" w:ascii="仿宋" w:hAnsi="仿宋" w:eastAsia="仿宋"/>
          <w:b/>
          <w:sz w:val="32"/>
          <w:szCs w:val="32"/>
        </w:rPr>
        <w:t>（三）国有资产占有使用情况</w:t>
      </w:r>
      <w:bookmarkEnd w:id="53"/>
    </w:p>
    <w:p w14:paraId="2BD0EF82">
      <w:pPr>
        <w:spacing w:line="600" w:lineRule="exact"/>
        <w:ind w:firstLine="640" w:firstLineChars="200"/>
        <w:rPr>
          <w:rFonts w:ascii="仿宋" w:hAnsi="仿宋" w:eastAsia="仿宋"/>
          <w:sz w:val="32"/>
          <w:szCs w:val="32"/>
        </w:rPr>
      </w:pPr>
      <w:r>
        <w:rPr>
          <w:rFonts w:hint="eastAsia" w:ascii="仿宋" w:hAnsi="仿宋" w:eastAsia="仿宋"/>
          <w:sz w:val="32"/>
          <w:szCs w:val="32"/>
        </w:rPr>
        <w:t>截至2022年12月31日，沐川县总工会共有车辆1辆，其中：其中：主要领导干部用车0辆、机要通信用车0辆、应急保障用车0辆、其他用车1辆。其中：其他用车主要是用于公务出行。单价100万元以上专用设备0台（套）。</w:t>
      </w:r>
    </w:p>
    <w:p w14:paraId="7084AF80">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753C1496">
      <w:pPr>
        <w:spacing w:line="600" w:lineRule="exact"/>
        <w:ind w:firstLine="640" w:firstLineChars="200"/>
        <w:rPr>
          <w:rFonts w:ascii="仿宋" w:hAnsi="仿宋" w:eastAsia="仿宋"/>
          <w:sz w:val="32"/>
          <w:szCs w:val="32"/>
        </w:rPr>
      </w:pPr>
      <w:r>
        <w:rPr>
          <w:rFonts w:hint="eastAsia" w:ascii="仿宋" w:hAnsi="仿宋" w:eastAsia="仿宋"/>
          <w:sz w:val="32"/>
          <w:szCs w:val="32"/>
        </w:rPr>
        <w:t>根据预算绩效管理要求，本部门在2022年度预算编制阶段，组织对困难职工帮扶、省劳模荣誉津贴县级配套、职工文体活动、政务运转等4个项目开展了预算事前绩效评估，对4个项目编制了绩效目标，预算执行过程中，选取4个项目开展绩效监控。</w:t>
      </w:r>
    </w:p>
    <w:p w14:paraId="417DA13E">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组织对2022年度一般公共预算全面开展绩效自评，形成沐川县总工会部门整体（含部门预算项目）绩效自评报告、职工文体活动等专项预算项目绩效自评报告，其中，沐川县总工会部门整体（含部门预算项目）绩效自评得分为100分；沐川县总工会专项预算项目绩效自评得分为100分。绩效自评报告详见附件（第四部分）。</w:t>
      </w:r>
    </w:p>
    <w:p w14:paraId="277A4907">
      <w:pPr>
        <w:spacing w:line="600" w:lineRule="exact"/>
        <w:ind w:firstLine="640" w:firstLineChars="200"/>
        <w:rPr>
          <w:rFonts w:ascii="仿宋" w:hAnsi="仿宋" w:eastAsia="仿宋"/>
          <w:sz w:val="32"/>
          <w:szCs w:val="32"/>
        </w:rPr>
      </w:pPr>
      <w:r>
        <w:rPr>
          <w:rFonts w:ascii="仿宋" w:hAnsi="仿宋" w:eastAsia="仿宋"/>
          <w:sz w:val="32"/>
          <w:szCs w:val="32"/>
        </w:rPr>
        <w:br w:type="page"/>
      </w:r>
    </w:p>
    <w:p w14:paraId="0E9810C7">
      <w:pPr>
        <w:pStyle w:val="26"/>
        <w:spacing w:line="600" w:lineRule="exact"/>
        <w:ind w:left="1800" w:firstLine="0" w:firstLineChars="0"/>
        <w:outlineLvl w:val="0"/>
        <w:rPr>
          <w:rStyle w:val="27"/>
          <w:rFonts w:ascii="黑体" w:hAnsi="黑体" w:eastAsia="黑体"/>
          <w:b w:val="0"/>
        </w:rPr>
      </w:pPr>
      <w:bookmarkStart w:id="54" w:name="_Toc15396613"/>
      <w:bookmarkStart w:id="55" w:name="_Toc15377225"/>
      <w:r>
        <w:rPr>
          <w:rFonts w:hint="eastAsia" w:ascii="黑体" w:hAnsi="黑体" w:eastAsia="黑体"/>
          <w:sz w:val="44"/>
          <w:szCs w:val="44"/>
        </w:rPr>
        <w:t>第三部分 名</w:t>
      </w:r>
      <w:r>
        <w:rPr>
          <w:rStyle w:val="27"/>
          <w:rFonts w:hint="eastAsia" w:ascii="黑体" w:hAnsi="黑体" w:eastAsia="黑体"/>
          <w:b w:val="0"/>
        </w:rPr>
        <w:t>词解释</w:t>
      </w:r>
      <w:bookmarkEnd w:id="54"/>
      <w:bookmarkEnd w:id="55"/>
    </w:p>
    <w:p w14:paraId="3EA5F2F4">
      <w:pPr>
        <w:spacing w:line="600" w:lineRule="exact"/>
        <w:jc w:val="left"/>
        <w:rPr>
          <w:rFonts w:ascii="宋体"/>
          <w:b/>
          <w:sz w:val="44"/>
          <w:szCs w:val="44"/>
        </w:rPr>
      </w:pPr>
    </w:p>
    <w:p w14:paraId="0C524F26">
      <w:pPr>
        <w:pStyle w:val="25"/>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1.</w:t>
      </w:r>
      <w:r>
        <w:rPr>
          <w:rFonts w:hint="eastAsia" w:hAnsi="仿宋" w:cs="Times New Roman"/>
          <w:color w:val="auto"/>
          <w:kern w:val="2"/>
          <w:sz w:val="32"/>
          <w:szCs w:val="32"/>
        </w:rPr>
        <w:t>财政拨款收入：指单位从同级财政部门取得的财政预算资金。</w:t>
      </w:r>
    </w:p>
    <w:p w14:paraId="14A71ABE">
      <w:pPr>
        <w:pStyle w:val="25"/>
        <w:spacing w:line="560" w:lineRule="exact"/>
        <w:ind w:firstLine="640" w:firstLineChars="200"/>
        <w:rPr>
          <w:rFonts w:hAnsi="仿宋" w:cs="Times New Roman"/>
          <w:color w:val="auto"/>
          <w:kern w:val="2"/>
          <w:sz w:val="32"/>
          <w:szCs w:val="32"/>
        </w:rPr>
      </w:pPr>
      <w:r>
        <w:rPr>
          <w:rFonts w:hint="eastAsia" w:hAnsi="仿宋" w:cs="Times New Roman"/>
          <w:color w:val="auto"/>
          <w:kern w:val="2"/>
          <w:sz w:val="32"/>
          <w:szCs w:val="32"/>
        </w:rPr>
        <w:t>2</w:t>
      </w:r>
      <w:r>
        <w:rPr>
          <w:rFonts w:hAnsi="仿宋" w:cs="Times New Roman"/>
          <w:color w:val="auto"/>
          <w:kern w:val="2"/>
          <w:sz w:val="32"/>
          <w:szCs w:val="32"/>
        </w:rPr>
        <w:t>.</w:t>
      </w:r>
      <w:r>
        <w:rPr>
          <w:rFonts w:hint="eastAsia" w:hAnsi="仿宋" w:cs="Times New Roman"/>
          <w:color w:val="auto"/>
          <w:kern w:val="2"/>
          <w:sz w:val="32"/>
          <w:szCs w:val="32"/>
        </w:rPr>
        <w:t>年初结转和结余：指以前年度尚未完成、结转到本年按有关规定继续使用的资金。</w:t>
      </w:r>
      <w:r>
        <w:rPr>
          <w:rFonts w:hAnsi="仿宋" w:cs="Times New Roman"/>
          <w:color w:val="auto"/>
          <w:kern w:val="2"/>
          <w:sz w:val="32"/>
          <w:szCs w:val="32"/>
        </w:rPr>
        <w:t xml:space="preserve"> </w:t>
      </w:r>
    </w:p>
    <w:p w14:paraId="6145F2BF">
      <w:pPr>
        <w:pStyle w:val="25"/>
        <w:spacing w:line="560" w:lineRule="exact"/>
        <w:ind w:firstLine="640" w:firstLineChars="200"/>
        <w:rPr>
          <w:rFonts w:hAnsi="仿宋" w:cs="Times New Roman"/>
          <w:color w:val="auto"/>
          <w:kern w:val="2"/>
          <w:sz w:val="32"/>
          <w:szCs w:val="32"/>
        </w:rPr>
      </w:pPr>
      <w:r>
        <w:rPr>
          <w:rFonts w:hint="eastAsia" w:hAnsi="仿宋" w:cs="Times New Roman"/>
          <w:color w:val="auto"/>
          <w:kern w:val="2"/>
          <w:sz w:val="32"/>
          <w:szCs w:val="32"/>
        </w:rPr>
        <w:t>3</w:t>
      </w:r>
      <w:r>
        <w:rPr>
          <w:rFonts w:hAnsi="仿宋" w:cs="Times New Roman"/>
          <w:color w:val="auto"/>
          <w:kern w:val="2"/>
          <w:sz w:val="32"/>
          <w:szCs w:val="32"/>
        </w:rPr>
        <w:t>.</w:t>
      </w:r>
      <w:r>
        <w:rPr>
          <w:rFonts w:hint="eastAsia" w:hAnsi="仿宋" w:cs="Times New Roman"/>
          <w:color w:val="auto"/>
          <w:kern w:val="2"/>
          <w:sz w:val="32"/>
          <w:szCs w:val="32"/>
        </w:rPr>
        <w:t>年末结转和结余：指单位按有关规定结转到下年或以后年度继续使用的资金。</w:t>
      </w:r>
    </w:p>
    <w:p w14:paraId="3808B61A">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一般公共服务（类）群众团体事务（款）行政运行（项）: 指行政单位的基本支出。</w:t>
      </w:r>
    </w:p>
    <w:p w14:paraId="74F4BB3E">
      <w:pPr>
        <w:spacing w:line="560" w:lineRule="exact"/>
        <w:ind w:firstLine="640" w:firstLineChars="200"/>
        <w:rPr>
          <w:rFonts w:ascii="仿宋" w:hAnsi="仿宋" w:eastAsia="仿宋"/>
          <w:sz w:val="32"/>
          <w:szCs w:val="32"/>
        </w:rPr>
      </w:pPr>
      <w:r>
        <w:rPr>
          <w:rFonts w:hint="eastAsia" w:ascii="仿宋" w:hAnsi="仿宋" w:eastAsia="仿宋"/>
          <w:sz w:val="32"/>
          <w:szCs w:val="32"/>
        </w:rPr>
        <w:t>5.一般公共服务（类）群众团体事务（款）一般行政管理事务（项）: 指行政单位未单独设置项级科目的其他项目支出。</w:t>
      </w:r>
    </w:p>
    <w:p w14:paraId="06EF023B">
      <w:pPr>
        <w:spacing w:line="560" w:lineRule="exact"/>
        <w:ind w:firstLine="640" w:firstLineChars="200"/>
        <w:rPr>
          <w:rFonts w:ascii="仿宋" w:hAnsi="仿宋" w:eastAsia="仿宋"/>
          <w:sz w:val="32"/>
          <w:szCs w:val="32"/>
        </w:rPr>
      </w:pPr>
      <w:r>
        <w:rPr>
          <w:rFonts w:hint="eastAsia" w:ascii="仿宋" w:hAnsi="仿宋" w:eastAsia="仿宋"/>
          <w:sz w:val="32"/>
          <w:szCs w:val="32"/>
        </w:rPr>
        <w:t>6. 一般公共服务（类）群众团体事务（款）工会事务（项）：反映财政对工会事务的补助支出。</w:t>
      </w:r>
    </w:p>
    <w:p w14:paraId="5D7C8E69">
      <w:pPr>
        <w:spacing w:line="560" w:lineRule="exact"/>
        <w:ind w:firstLine="640" w:firstLineChars="200"/>
        <w:rPr>
          <w:rFonts w:ascii="仿宋" w:hAnsi="仿宋" w:eastAsia="仿宋"/>
          <w:sz w:val="32"/>
          <w:szCs w:val="32"/>
        </w:rPr>
      </w:pPr>
      <w:r>
        <w:rPr>
          <w:rFonts w:hint="eastAsia" w:ascii="仿宋" w:hAnsi="仿宋" w:eastAsia="仿宋"/>
          <w:sz w:val="32"/>
          <w:szCs w:val="32"/>
        </w:rPr>
        <w:t>7.一般公共服务（类）群众团体事务（款）事业运行（项）：指事业单位的基本支出，不包括行政单位后勤服务中心、医务室等附属事业单位。</w:t>
      </w:r>
    </w:p>
    <w:p w14:paraId="7FC631DA">
      <w:pPr>
        <w:spacing w:line="560" w:lineRule="exact"/>
        <w:ind w:firstLine="640" w:firstLineChars="200"/>
        <w:rPr>
          <w:rFonts w:ascii="仿宋" w:hAnsi="仿宋" w:eastAsia="仿宋"/>
          <w:sz w:val="32"/>
          <w:szCs w:val="32"/>
        </w:rPr>
      </w:pPr>
      <w:r>
        <w:rPr>
          <w:rFonts w:hint="eastAsia" w:ascii="仿宋" w:hAnsi="仿宋" w:eastAsia="仿宋"/>
          <w:sz w:val="32"/>
          <w:szCs w:val="32"/>
        </w:rPr>
        <w:t>8.一般公共服务（类）群众团体事务（款）其他群团事务支出（项）：指其他用于群团事务方面的支出。</w:t>
      </w:r>
    </w:p>
    <w:p w14:paraId="0D9EE226">
      <w:pPr>
        <w:spacing w:line="560" w:lineRule="exact"/>
        <w:ind w:firstLine="640" w:firstLineChars="200"/>
        <w:rPr>
          <w:rFonts w:ascii="仿宋" w:hAnsi="仿宋" w:eastAsia="仿宋"/>
          <w:sz w:val="32"/>
          <w:szCs w:val="32"/>
        </w:rPr>
      </w:pPr>
      <w:r>
        <w:rPr>
          <w:rFonts w:hint="eastAsia" w:ascii="仿宋" w:hAnsi="仿宋" w:eastAsia="仿宋"/>
          <w:sz w:val="32"/>
          <w:szCs w:val="32"/>
        </w:rPr>
        <w:t>9.社会保障和就业（类）行政事业单位养老支出（款）机关事业单位基本养老保险缴费支出（项）: 反映机关事业单位实施养老保险制度由单位缴纳的基本养老保险费支出。</w:t>
      </w:r>
    </w:p>
    <w:p w14:paraId="6354D327">
      <w:pPr>
        <w:spacing w:line="560" w:lineRule="exact"/>
        <w:ind w:firstLine="640" w:firstLineChars="200"/>
        <w:rPr>
          <w:rFonts w:ascii="仿宋" w:hAnsi="仿宋" w:eastAsia="仿宋"/>
          <w:sz w:val="32"/>
          <w:szCs w:val="32"/>
        </w:rPr>
      </w:pPr>
      <w:r>
        <w:rPr>
          <w:rFonts w:hint="eastAsia" w:ascii="仿宋" w:hAnsi="仿宋" w:eastAsia="仿宋"/>
          <w:sz w:val="32"/>
          <w:szCs w:val="32"/>
        </w:rPr>
        <w:t>10.社会保障和就业（类）其他社会保障和就业（款）其他社会保障和就业支出（项）: 其他用于社会保障和就业方面的支出。</w:t>
      </w:r>
    </w:p>
    <w:p w14:paraId="34989426">
      <w:pPr>
        <w:spacing w:line="560" w:lineRule="exact"/>
        <w:ind w:firstLine="640" w:firstLineChars="200"/>
        <w:rPr>
          <w:rFonts w:ascii="仿宋" w:hAnsi="仿宋" w:eastAsia="仿宋"/>
          <w:sz w:val="32"/>
          <w:szCs w:val="32"/>
        </w:rPr>
      </w:pPr>
      <w:r>
        <w:rPr>
          <w:rFonts w:hint="eastAsia" w:ascii="仿宋" w:hAnsi="仿宋" w:eastAsia="仿宋"/>
          <w:sz w:val="32"/>
          <w:szCs w:val="32"/>
        </w:rPr>
        <w:t>11.卫生健康（类）行政事业单位医疗（款）行政单位医疗（项）:反映财政部门安排的行政单位基本医疗保险缴费经费。</w:t>
      </w:r>
    </w:p>
    <w:p w14:paraId="19B234C6">
      <w:pPr>
        <w:spacing w:line="560" w:lineRule="exact"/>
        <w:ind w:firstLine="640" w:firstLineChars="200"/>
        <w:rPr>
          <w:rFonts w:ascii="仿宋" w:hAnsi="仿宋" w:eastAsia="仿宋"/>
          <w:sz w:val="32"/>
          <w:szCs w:val="32"/>
        </w:rPr>
      </w:pPr>
      <w:r>
        <w:rPr>
          <w:rFonts w:hint="eastAsia" w:ascii="仿宋" w:hAnsi="仿宋" w:eastAsia="仿宋"/>
          <w:sz w:val="32"/>
          <w:szCs w:val="32"/>
        </w:rPr>
        <w:t>12.卫生健康（类）行政事业单位医疗（款）事业单位医疗（项）:反映财政部门安排的事业单位基本医疗保险缴费经费。</w:t>
      </w:r>
    </w:p>
    <w:p w14:paraId="36102D80">
      <w:pPr>
        <w:spacing w:line="560" w:lineRule="exact"/>
        <w:ind w:firstLine="640" w:firstLineChars="200"/>
        <w:rPr>
          <w:rFonts w:ascii="仿宋" w:hAnsi="仿宋" w:eastAsia="仿宋"/>
          <w:sz w:val="32"/>
          <w:szCs w:val="32"/>
        </w:rPr>
      </w:pPr>
      <w:r>
        <w:rPr>
          <w:rFonts w:hint="eastAsia" w:ascii="仿宋" w:hAnsi="仿宋" w:eastAsia="仿宋"/>
          <w:sz w:val="32"/>
          <w:szCs w:val="32"/>
        </w:rPr>
        <w:t>13.住房保障（类）住房改革支出（款）住房公积金（项）:指单位按规定的基本工资和津贴补贴以及规定的比例为职工缴纳的住房公积金。</w:t>
      </w:r>
    </w:p>
    <w:p w14:paraId="4F04C0E1">
      <w:pPr>
        <w:spacing w:line="560" w:lineRule="exact"/>
        <w:ind w:firstLine="640" w:firstLineChars="200"/>
        <w:rPr>
          <w:rFonts w:ascii="仿宋" w:hAnsi="仿宋" w:eastAsia="仿宋"/>
          <w:sz w:val="32"/>
          <w:szCs w:val="32"/>
        </w:rPr>
      </w:pPr>
      <w:r>
        <w:rPr>
          <w:rFonts w:hint="eastAsia" w:ascii="仿宋" w:hAnsi="仿宋" w:eastAsia="仿宋"/>
          <w:sz w:val="32"/>
          <w:szCs w:val="32"/>
        </w:rPr>
        <w:t>14.其他支出（类）其他支出（款）其他支出（项）:指其他不能划分到具体功能科目中的支出。</w:t>
      </w:r>
    </w:p>
    <w:p w14:paraId="749CB9D3">
      <w:pPr>
        <w:spacing w:line="560" w:lineRule="exact"/>
        <w:ind w:firstLine="640" w:firstLineChars="200"/>
        <w:rPr>
          <w:rFonts w:ascii="仿宋" w:hAnsi="仿宋" w:eastAsia="仿宋"/>
          <w:sz w:val="32"/>
          <w:szCs w:val="32"/>
        </w:rPr>
      </w:pPr>
      <w:r>
        <w:rPr>
          <w:rFonts w:hint="eastAsia" w:ascii="仿宋" w:hAnsi="仿宋" w:eastAsia="仿宋"/>
          <w:sz w:val="32"/>
          <w:szCs w:val="32"/>
        </w:rPr>
        <w:t>15</w:t>
      </w:r>
      <w:r>
        <w:rPr>
          <w:rFonts w:ascii="仿宋" w:hAnsi="仿宋" w:eastAsia="仿宋"/>
          <w:sz w:val="32"/>
          <w:szCs w:val="32"/>
        </w:rPr>
        <w:t>.</w:t>
      </w:r>
      <w:r>
        <w:rPr>
          <w:rFonts w:hint="eastAsia" w:ascii="仿宋" w:hAnsi="仿宋" w:eastAsia="仿宋"/>
          <w:sz w:val="32"/>
          <w:szCs w:val="32"/>
        </w:rPr>
        <w:t>基本支出：指为保障机构正常运转、完成日常工作任务而发生的人员支出和公用支出。</w:t>
      </w:r>
    </w:p>
    <w:p w14:paraId="35055C03">
      <w:pPr>
        <w:spacing w:line="560" w:lineRule="exact"/>
        <w:ind w:firstLine="640" w:firstLineChars="200"/>
        <w:rPr>
          <w:rFonts w:ascii="仿宋" w:hAnsi="仿宋" w:eastAsia="仿宋"/>
          <w:sz w:val="32"/>
          <w:szCs w:val="32"/>
        </w:rPr>
      </w:pPr>
      <w:r>
        <w:rPr>
          <w:rFonts w:hint="eastAsia" w:ascii="仿宋" w:hAnsi="仿宋" w:eastAsia="仿宋"/>
          <w:sz w:val="32"/>
          <w:szCs w:val="32"/>
        </w:rPr>
        <w:t>16</w:t>
      </w:r>
      <w:r>
        <w:rPr>
          <w:rFonts w:ascii="仿宋" w:hAnsi="仿宋" w:eastAsia="仿宋"/>
          <w:sz w:val="32"/>
          <w:szCs w:val="32"/>
        </w:rPr>
        <w:t>.</w:t>
      </w:r>
      <w:r>
        <w:rPr>
          <w:rFonts w:hint="eastAsia" w:ascii="仿宋" w:hAnsi="仿宋" w:eastAsia="仿宋"/>
          <w:sz w:val="32"/>
          <w:szCs w:val="32"/>
        </w:rPr>
        <w:t>项目支出：指在基本支出之外为完成特定行政任务和事业发展目标所发生的支出。</w:t>
      </w:r>
      <w:r>
        <w:rPr>
          <w:rFonts w:ascii="仿宋" w:hAnsi="仿宋" w:eastAsia="仿宋"/>
          <w:sz w:val="32"/>
          <w:szCs w:val="32"/>
        </w:rPr>
        <w:t xml:space="preserve"> </w:t>
      </w:r>
    </w:p>
    <w:p w14:paraId="08B5D080">
      <w:pPr>
        <w:pStyle w:val="25"/>
        <w:spacing w:line="560" w:lineRule="exact"/>
        <w:ind w:firstLine="640" w:firstLineChars="200"/>
        <w:rPr>
          <w:rFonts w:hAnsi="仿宋" w:cs="Times New Roman"/>
          <w:color w:val="auto"/>
          <w:kern w:val="2"/>
          <w:sz w:val="32"/>
          <w:szCs w:val="32"/>
        </w:rPr>
      </w:pPr>
      <w:r>
        <w:rPr>
          <w:rFonts w:hint="eastAsia" w:hAnsi="仿宋" w:cs="Times New Roman"/>
          <w:color w:val="auto"/>
          <w:kern w:val="2"/>
          <w:sz w:val="32"/>
          <w:szCs w:val="32"/>
        </w:rPr>
        <w:t>17</w:t>
      </w:r>
      <w:r>
        <w:rPr>
          <w:rFonts w:hAnsi="仿宋" w:cs="Times New Roman"/>
          <w:color w:val="auto"/>
          <w:kern w:val="2"/>
          <w:sz w:val="32"/>
          <w:szCs w:val="32"/>
        </w:rPr>
        <w:t>.</w:t>
      </w:r>
      <w:r>
        <w:rPr>
          <w:rFonts w:hint="eastAsia" w:hAnsi="仿宋" w:cs="Times New Roman"/>
          <w:color w:val="auto"/>
          <w:kern w:val="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CBC0CE2">
      <w:pPr>
        <w:pStyle w:val="25"/>
        <w:spacing w:line="560" w:lineRule="exact"/>
        <w:ind w:firstLine="640" w:firstLineChars="200"/>
        <w:rPr>
          <w:rFonts w:hAnsi="仿宋" w:cs="Times New Roman"/>
          <w:color w:val="auto"/>
          <w:kern w:val="2"/>
          <w:sz w:val="32"/>
          <w:szCs w:val="32"/>
        </w:rPr>
      </w:pPr>
      <w:r>
        <w:rPr>
          <w:rFonts w:hint="eastAsia" w:hAnsi="仿宋" w:cs="Times New Roman"/>
          <w:color w:val="auto"/>
          <w:kern w:val="2"/>
          <w:sz w:val="32"/>
          <w:szCs w:val="32"/>
        </w:rPr>
        <w:t>18</w:t>
      </w:r>
      <w:r>
        <w:rPr>
          <w:rFonts w:hAnsi="仿宋" w:cs="Times New Roman"/>
          <w:color w:val="auto"/>
          <w:kern w:val="2"/>
          <w:sz w:val="32"/>
          <w:szCs w:val="32"/>
        </w:rPr>
        <w:t>.</w:t>
      </w:r>
      <w:r>
        <w:rPr>
          <w:rFonts w:hint="eastAsia" w:hAnsi="仿宋" w:cs="Times New Roman"/>
          <w:color w:val="auto"/>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65474AE">
      <w:pPr>
        <w:spacing w:line="600" w:lineRule="exact"/>
        <w:jc w:val="center"/>
        <w:outlineLvl w:val="0"/>
        <w:rPr>
          <w:rStyle w:val="27"/>
          <w:rFonts w:ascii="黑体" w:hAnsi="黑体" w:eastAsia="黑体"/>
          <w:b w:val="0"/>
        </w:rPr>
      </w:pPr>
      <w:bookmarkStart w:id="56" w:name="_Toc15377226"/>
      <w:r>
        <w:rPr>
          <w:rFonts w:ascii="仿宋" w:hAnsi="仿宋" w:eastAsia="仿宋"/>
          <w:sz w:val="32"/>
          <w:szCs w:val="32"/>
        </w:rPr>
        <w:br w:type="page"/>
      </w:r>
      <w:bookmarkStart w:id="57" w:name="_Toc15396614"/>
      <w:r>
        <w:rPr>
          <w:rFonts w:hint="eastAsia" w:ascii="黑体" w:hAnsi="黑体" w:eastAsia="黑体"/>
          <w:sz w:val="44"/>
          <w:szCs w:val="44"/>
        </w:rPr>
        <w:t>第</w:t>
      </w:r>
      <w:r>
        <w:rPr>
          <w:rStyle w:val="27"/>
          <w:rFonts w:hint="eastAsia" w:ascii="黑体" w:hAnsi="黑体" w:eastAsia="黑体"/>
          <w:b w:val="0"/>
        </w:rPr>
        <w:t>四部分 附件</w:t>
      </w:r>
      <w:bookmarkEnd w:id="57"/>
    </w:p>
    <w:p w14:paraId="0ABFD828">
      <w:pPr>
        <w:spacing w:line="572" w:lineRule="exact"/>
        <w:jc w:val="left"/>
        <w:outlineLvl w:val="0"/>
        <w:rPr>
          <w:rFonts w:hint="eastAsia" w:ascii="黑体" w:hAnsi="黑体" w:eastAsia="黑体" w:cs="黑体"/>
          <w:sz w:val="32"/>
          <w:szCs w:val="32"/>
        </w:rPr>
      </w:pPr>
      <w:r>
        <w:rPr>
          <w:rFonts w:hint="eastAsia" w:ascii="黑体" w:hAnsi="黑体" w:eastAsia="黑体" w:cs="黑体"/>
          <w:sz w:val="32"/>
          <w:szCs w:val="32"/>
        </w:rPr>
        <w:t>附件1</w:t>
      </w:r>
    </w:p>
    <w:p w14:paraId="07A50161">
      <w:pPr>
        <w:spacing w:line="572" w:lineRule="exact"/>
        <w:jc w:val="left"/>
        <w:outlineLvl w:val="0"/>
        <w:rPr>
          <w:rFonts w:ascii="方正小标宋简体" w:hAnsi="方正小标宋简体" w:eastAsia="黑体" w:cs="方正小标宋简体"/>
          <w:sz w:val="44"/>
          <w:szCs w:val="44"/>
        </w:rPr>
      </w:pPr>
    </w:p>
    <w:p w14:paraId="7B46FEB5">
      <w:pPr>
        <w:spacing w:line="572"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沐川县总工会2022年部门整体绩效评价报告</w:t>
      </w:r>
    </w:p>
    <w:p w14:paraId="7B7EDAB0">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14:paraId="611C6C84">
      <w:pPr>
        <w:widowControl/>
        <w:numPr>
          <w:ilvl w:val="0"/>
          <w:numId w:val="3"/>
        </w:numPr>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lang w:val="zh-CN"/>
        </w:rPr>
        <w:t>部门基本情况</w:t>
      </w:r>
    </w:p>
    <w:p w14:paraId="329E137F">
      <w:pPr>
        <w:widowControl/>
        <w:adjustRightInd w:val="0"/>
        <w:snapToGrid w:val="0"/>
        <w:spacing w:line="600" w:lineRule="exact"/>
        <w:ind w:firstLine="643" w:firstLineChars="200"/>
        <w:contextualSpacing/>
        <w:jc w:val="left"/>
        <w:rPr>
          <w:rFonts w:ascii="楷体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（一）机构组成。</w:t>
      </w:r>
      <w:r>
        <w:rPr>
          <w:rFonts w:hint="eastAsia" w:ascii="仿宋" w:hAnsi="仿宋" w:eastAsia="仿宋"/>
          <w:sz w:val="32"/>
          <w:szCs w:val="32"/>
        </w:rPr>
        <w:t>沐川县总工会为县委群团工作部门，为一级预算单位；内设机构1个，综合办公室；1个直属事业单位，沐川县总工会困难职工帮扶中心。</w:t>
      </w:r>
    </w:p>
    <w:p w14:paraId="16C298CD">
      <w:pPr>
        <w:widowControl/>
        <w:spacing w:line="600" w:lineRule="exact"/>
        <w:ind w:firstLine="645"/>
        <w:rPr>
          <w:rFonts w:ascii="仿宋" w:hAnsi="仿宋" w:eastAsia="仿宋"/>
          <w:sz w:val="32"/>
          <w:szCs w:val="32"/>
        </w:rPr>
      </w:pPr>
      <w:r>
        <w:rPr>
          <w:rFonts w:hint="eastAsia" w:ascii="楷体_GB2312" w:hAnsi="楷体_GB2312" w:eastAsia="楷体_GB2312" w:cs="楷体_GB2312"/>
          <w:b/>
          <w:bCs/>
          <w:kern w:val="0"/>
          <w:sz w:val="32"/>
          <w:szCs w:val="32"/>
          <w:shd w:val="clear" w:color="auto" w:fill="FFFFFF"/>
          <w:lang w:val="zh-CN"/>
        </w:rPr>
        <w:t>（二）机构职能和人员概况。</w:t>
      </w:r>
      <w:r>
        <w:rPr>
          <w:rFonts w:hint="eastAsia" w:ascii="仿宋" w:hAnsi="仿宋" w:eastAsia="仿宋"/>
          <w:sz w:val="32"/>
          <w:szCs w:val="32"/>
        </w:rPr>
        <w:t>主要职能是负责全县工会组织建设、管理，维护职工合法权益，帮扶困难职工，参与社会治理，提升职工道德和文化素质，团结组织职工为社会经济发展发挥主力军作用。</w:t>
      </w:r>
    </w:p>
    <w:p w14:paraId="35A1543C">
      <w:pPr>
        <w:widowControl/>
        <w:spacing w:line="600" w:lineRule="exact"/>
        <w:ind w:firstLine="640" w:firstLineChars="200"/>
        <w:rPr>
          <w:rFonts w:ascii="仿宋" w:hAnsi="仿宋" w:eastAsia="仿宋"/>
          <w:sz w:val="32"/>
          <w:szCs w:val="32"/>
        </w:rPr>
      </w:pPr>
      <w:r>
        <w:rPr>
          <w:rFonts w:hint="eastAsia" w:ascii="仿宋" w:hAnsi="仿宋" w:eastAsia="仿宋"/>
          <w:sz w:val="32"/>
          <w:szCs w:val="32"/>
        </w:rPr>
        <w:t>1.维护职工的合法权益和民主权利。</w:t>
      </w:r>
    </w:p>
    <w:p w14:paraId="7C63B159">
      <w:pPr>
        <w:widowControl/>
        <w:spacing w:line="600" w:lineRule="exact"/>
        <w:ind w:firstLine="640" w:firstLineChars="200"/>
        <w:rPr>
          <w:rFonts w:ascii="仿宋" w:hAnsi="仿宋" w:eastAsia="仿宋"/>
          <w:sz w:val="32"/>
          <w:szCs w:val="32"/>
        </w:rPr>
      </w:pPr>
      <w:r>
        <w:rPr>
          <w:rFonts w:hint="eastAsia" w:ascii="仿宋" w:hAnsi="仿宋" w:eastAsia="仿宋"/>
          <w:sz w:val="32"/>
          <w:szCs w:val="32"/>
        </w:rPr>
        <w:t>2.动员和组织职工积极参与建设和改革，完成经济和社会发展任务。</w:t>
      </w:r>
    </w:p>
    <w:p w14:paraId="3ABD4E84">
      <w:pPr>
        <w:widowControl/>
        <w:spacing w:line="600" w:lineRule="exact"/>
        <w:ind w:firstLine="645"/>
        <w:rPr>
          <w:rFonts w:ascii="仿宋" w:hAnsi="仿宋" w:eastAsia="仿宋"/>
          <w:sz w:val="32"/>
          <w:szCs w:val="32"/>
        </w:rPr>
      </w:pPr>
      <w:r>
        <w:rPr>
          <w:rFonts w:hint="eastAsia" w:ascii="仿宋" w:hAnsi="仿宋" w:eastAsia="仿宋"/>
          <w:sz w:val="32"/>
          <w:szCs w:val="32"/>
        </w:rPr>
        <w:t>3.代表和组织职工参与行政和社会事务管理，参与企业、事业和机关的民主管理。</w:t>
      </w:r>
    </w:p>
    <w:p w14:paraId="34DC7420">
      <w:pPr>
        <w:widowControl/>
        <w:spacing w:line="600" w:lineRule="exact"/>
        <w:ind w:firstLine="645"/>
        <w:rPr>
          <w:rFonts w:ascii="仿宋" w:hAnsi="仿宋" w:eastAsia="仿宋"/>
          <w:sz w:val="32"/>
          <w:szCs w:val="32"/>
        </w:rPr>
      </w:pPr>
      <w:r>
        <w:rPr>
          <w:rFonts w:hint="eastAsia" w:ascii="仿宋" w:hAnsi="仿宋" w:eastAsia="仿宋"/>
          <w:sz w:val="32"/>
          <w:szCs w:val="32"/>
        </w:rPr>
        <w:t>4.教育职工不断提高思想道德素质和科学文化素质，建设有理想、有道德、有文化、有纪律的职工队伍。</w:t>
      </w:r>
    </w:p>
    <w:p w14:paraId="34AC66D1">
      <w:pPr>
        <w:widowControl/>
        <w:spacing w:line="600" w:lineRule="exact"/>
        <w:ind w:firstLine="645"/>
        <w:rPr>
          <w:rFonts w:ascii="仿宋" w:hAnsi="仿宋" w:eastAsia="仿宋"/>
          <w:sz w:val="32"/>
          <w:szCs w:val="32"/>
        </w:rPr>
      </w:pPr>
      <w:r>
        <w:rPr>
          <w:rFonts w:hint="eastAsia" w:ascii="仿宋" w:hAnsi="仿宋" w:eastAsia="仿宋"/>
          <w:sz w:val="32"/>
          <w:szCs w:val="32"/>
        </w:rPr>
        <w:t>5.开展下岗职工再就业和为困难职工送温暖活动。</w:t>
      </w:r>
    </w:p>
    <w:p w14:paraId="146A8630">
      <w:pPr>
        <w:widowControl/>
        <w:spacing w:line="600" w:lineRule="exact"/>
        <w:ind w:firstLine="645"/>
        <w:rPr>
          <w:rFonts w:ascii="仿宋" w:hAnsi="仿宋" w:eastAsia="仿宋"/>
          <w:sz w:val="32"/>
          <w:szCs w:val="32"/>
        </w:rPr>
      </w:pPr>
      <w:r>
        <w:rPr>
          <w:rFonts w:hint="eastAsia" w:ascii="仿宋" w:hAnsi="仿宋" w:eastAsia="仿宋"/>
          <w:sz w:val="32"/>
          <w:szCs w:val="32"/>
        </w:rPr>
        <w:t>6.开展女职工委员会工作，维护女职工特殊利益。</w:t>
      </w:r>
    </w:p>
    <w:p w14:paraId="3CA2327A">
      <w:pPr>
        <w:widowControl/>
        <w:spacing w:line="600" w:lineRule="exact"/>
        <w:ind w:firstLine="645"/>
        <w:jc w:val="left"/>
        <w:rPr>
          <w:rFonts w:hint="eastAsia" w:ascii="仿宋" w:hAnsi="仿宋" w:eastAsia="仿宋"/>
          <w:sz w:val="32"/>
          <w:szCs w:val="32"/>
        </w:rPr>
      </w:pPr>
      <w:r>
        <w:rPr>
          <w:rFonts w:hint="eastAsia" w:ascii="仿宋" w:hAnsi="仿宋" w:eastAsia="仿宋"/>
          <w:sz w:val="32"/>
          <w:szCs w:val="32"/>
        </w:rPr>
        <w:t>7.完成县委安排的其他工作。</w:t>
      </w:r>
    </w:p>
    <w:p w14:paraId="54B1E35F">
      <w:pPr>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沐川县总工会现有编制8人，其中参照公务员管理事业编制5人，事业编制</w:t>
      </w:r>
      <w:r>
        <w:rPr>
          <w:rFonts w:ascii="仿宋" w:hAnsi="仿宋" w:eastAsia="仿宋"/>
          <w:sz w:val="32"/>
          <w:szCs w:val="32"/>
        </w:rPr>
        <w:t>3</w:t>
      </w:r>
      <w:r>
        <w:rPr>
          <w:rFonts w:hint="eastAsia" w:ascii="仿宋" w:hAnsi="仿宋" w:eastAsia="仿宋"/>
          <w:sz w:val="32"/>
          <w:szCs w:val="32"/>
        </w:rPr>
        <w:t>人。</w:t>
      </w:r>
      <w:r>
        <w:rPr>
          <w:rFonts w:ascii="仿宋" w:hAnsi="仿宋" w:eastAsia="仿宋"/>
          <w:sz w:val="32"/>
          <w:szCs w:val="32"/>
        </w:rPr>
        <w:t>202</w:t>
      </w:r>
      <w:r>
        <w:rPr>
          <w:rFonts w:hint="eastAsia" w:ascii="仿宋" w:hAnsi="仿宋" w:eastAsia="仿宋"/>
          <w:sz w:val="32"/>
          <w:szCs w:val="32"/>
        </w:rPr>
        <w:t>2年底实有在职工作人员</w:t>
      </w:r>
      <w:r>
        <w:rPr>
          <w:rFonts w:ascii="仿宋" w:hAnsi="仿宋" w:eastAsia="仿宋"/>
          <w:sz w:val="32"/>
          <w:szCs w:val="32"/>
        </w:rPr>
        <w:t>1</w:t>
      </w:r>
      <w:r>
        <w:rPr>
          <w:rFonts w:hint="eastAsia" w:ascii="仿宋" w:hAnsi="仿宋" w:eastAsia="仿宋"/>
          <w:sz w:val="32"/>
          <w:szCs w:val="32"/>
        </w:rPr>
        <w:t>4人（其中：行政人员5人，事业人员</w:t>
      </w:r>
      <w:r>
        <w:rPr>
          <w:rFonts w:ascii="仿宋" w:hAnsi="仿宋" w:eastAsia="仿宋"/>
          <w:sz w:val="32"/>
          <w:szCs w:val="32"/>
        </w:rPr>
        <w:t>3</w:t>
      </w:r>
      <w:r>
        <w:rPr>
          <w:rFonts w:hint="eastAsia" w:ascii="仿宋" w:hAnsi="仿宋" w:eastAsia="仿宋"/>
          <w:sz w:val="32"/>
          <w:szCs w:val="32"/>
        </w:rPr>
        <w:t>人、临聘人员6人）。</w:t>
      </w:r>
    </w:p>
    <w:p w14:paraId="3020BC89">
      <w:pPr>
        <w:widowControl/>
        <w:adjustRightInd w:val="0"/>
        <w:snapToGrid w:val="0"/>
        <w:spacing w:line="560" w:lineRule="exact"/>
        <w:ind w:firstLine="643" w:firstLineChars="200"/>
        <w:contextualSpacing/>
        <w:jc w:val="left"/>
        <w:rPr>
          <w:rFonts w:hint="eastAsia"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（三）年度主要工作任务。</w:t>
      </w:r>
    </w:p>
    <w:p w14:paraId="3E42BD48">
      <w:pPr>
        <w:widowControl/>
        <w:adjustRightInd w:val="0"/>
        <w:snapToGrid w:val="0"/>
        <w:spacing w:line="560" w:lineRule="exact"/>
        <w:ind w:firstLine="640" w:firstLineChars="200"/>
        <w:contextualSpacing/>
        <w:jc w:val="left"/>
        <w:rPr>
          <w:rFonts w:hint="eastAsia" w:ascii="仿宋" w:hAnsi="仿宋" w:eastAsia="仿宋"/>
          <w:sz w:val="32"/>
          <w:szCs w:val="32"/>
        </w:rPr>
      </w:pPr>
      <w:r>
        <w:rPr>
          <w:rFonts w:hint="eastAsia" w:ascii="仿宋" w:hAnsi="仿宋" w:eastAsia="仿宋"/>
          <w:sz w:val="32"/>
          <w:szCs w:val="32"/>
        </w:rPr>
        <w:t>1.</w:t>
      </w:r>
      <w:r>
        <w:rPr>
          <w:rFonts w:ascii="仿宋" w:hAnsi="仿宋" w:eastAsia="仿宋"/>
          <w:sz w:val="32"/>
          <w:szCs w:val="32"/>
        </w:rPr>
        <w:t>强化职工思想引领</w:t>
      </w:r>
      <w:r>
        <w:rPr>
          <w:rFonts w:hint="eastAsia" w:ascii="仿宋" w:hAnsi="仿宋" w:eastAsia="仿宋"/>
          <w:sz w:val="32"/>
          <w:szCs w:val="32"/>
        </w:rPr>
        <w:t>。</w:t>
      </w:r>
      <w:r>
        <w:rPr>
          <w:rFonts w:ascii="仿宋" w:hAnsi="仿宋" w:eastAsia="仿宋"/>
          <w:sz w:val="32"/>
          <w:szCs w:val="32"/>
        </w:rPr>
        <w:t>开展“中国梦·劳动美—喜迎二十大 建功新时代”</w:t>
      </w:r>
      <w:r>
        <w:rPr>
          <w:rFonts w:hint="eastAsia" w:ascii="仿宋" w:hAnsi="仿宋" w:eastAsia="仿宋"/>
          <w:sz w:val="32"/>
          <w:szCs w:val="32"/>
        </w:rPr>
        <w:t>主题宣传教育活动。</w:t>
      </w:r>
    </w:p>
    <w:p w14:paraId="5C84448A">
      <w:pPr>
        <w:widowControl/>
        <w:adjustRightInd w:val="0"/>
        <w:snapToGrid w:val="0"/>
        <w:spacing w:line="560" w:lineRule="exact"/>
        <w:ind w:firstLine="640" w:firstLineChars="200"/>
        <w:contextualSpacing/>
        <w:jc w:val="left"/>
        <w:rPr>
          <w:rFonts w:hint="eastAsia" w:ascii="仿宋" w:hAnsi="仿宋" w:eastAsia="仿宋"/>
          <w:sz w:val="32"/>
          <w:szCs w:val="32"/>
        </w:rPr>
      </w:pPr>
      <w:r>
        <w:rPr>
          <w:rFonts w:hint="eastAsia" w:ascii="仿宋" w:hAnsi="仿宋" w:eastAsia="仿宋"/>
          <w:sz w:val="32"/>
          <w:szCs w:val="32"/>
        </w:rPr>
        <w:t>2.</w:t>
      </w:r>
      <w:r>
        <w:rPr>
          <w:rFonts w:ascii="仿宋" w:hAnsi="仿宋" w:eastAsia="仿宋"/>
          <w:sz w:val="32"/>
          <w:szCs w:val="32"/>
        </w:rPr>
        <w:t>推进新就业形态劳动者工作</w:t>
      </w:r>
      <w:r>
        <w:rPr>
          <w:rFonts w:hint="eastAsia" w:ascii="仿宋" w:hAnsi="仿宋" w:eastAsia="仿宋"/>
          <w:sz w:val="32"/>
          <w:szCs w:val="32"/>
        </w:rPr>
        <w:t>，夯实建会建家工作。</w:t>
      </w:r>
    </w:p>
    <w:p w14:paraId="1C8EAF76">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深化“关爱在身边 职工在行动”职工志愿服务。</w:t>
      </w:r>
    </w:p>
    <w:p w14:paraId="38EEB644">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做好东西协作扶贫车间项目</w:t>
      </w:r>
      <w:r>
        <w:rPr>
          <w:rFonts w:hint="eastAsia" w:ascii="仿宋" w:hAnsi="仿宋" w:eastAsia="仿宋"/>
          <w:sz w:val="32"/>
          <w:szCs w:val="32"/>
        </w:rPr>
        <w:t>，</w:t>
      </w:r>
      <w:r>
        <w:rPr>
          <w:rFonts w:ascii="仿宋" w:hAnsi="仿宋" w:eastAsia="仿宋"/>
          <w:sz w:val="32"/>
          <w:szCs w:val="32"/>
        </w:rPr>
        <w:t>解决群众就近灵活就业</w:t>
      </w:r>
      <w:r>
        <w:rPr>
          <w:rFonts w:hint="eastAsia" w:ascii="仿宋" w:hAnsi="仿宋" w:eastAsia="仿宋"/>
          <w:sz w:val="32"/>
          <w:szCs w:val="32"/>
        </w:rPr>
        <w:t>，助力农户增收。</w:t>
      </w:r>
    </w:p>
    <w:p w14:paraId="37B4DBC9">
      <w:pPr>
        <w:spacing w:line="560" w:lineRule="exact"/>
        <w:ind w:firstLine="643" w:firstLineChars="200"/>
        <w:rPr>
          <w:rFonts w:hint="eastAsia" w:ascii="仿宋" w:hAnsi="仿宋" w:eastAsia="仿宋"/>
          <w:sz w:val="32"/>
          <w:szCs w:val="32"/>
        </w:rPr>
      </w:pPr>
      <w:r>
        <w:rPr>
          <w:rFonts w:hint="eastAsia" w:ascii="仿宋" w:hAnsi="仿宋" w:eastAsia="仿宋"/>
          <w:b/>
          <w:bCs/>
          <w:sz w:val="32"/>
          <w:szCs w:val="32"/>
        </w:rPr>
        <w:t>5.</w:t>
      </w:r>
      <w:r>
        <w:rPr>
          <w:rFonts w:ascii="仿宋" w:hAnsi="仿宋" w:eastAsia="仿宋"/>
          <w:sz w:val="32"/>
          <w:szCs w:val="32"/>
        </w:rPr>
        <w:t>扎实开展“建功十四五·奋进新征程”主题劳动技能竞赛</w:t>
      </w:r>
      <w:r>
        <w:rPr>
          <w:rFonts w:hint="eastAsia" w:ascii="仿宋" w:hAnsi="仿宋" w:eastAsia="仿宋"/>
          <w:sz w:val="32"/>
          <w:szCs w:val="32"/>
        </w:rPr>
        <w:t>和</w:t>
      </w:r>
      <w:r>
        <w:rPr>
          <w:rFonts w:ascii="仿宋" w:hAnsi="仿宋" w:eastAsia="仿宋"/>
          <w:sz w:val="32"/>
          <w:szCs w:val="32"/>
        </w:rPr>
        <w:t>创新创业大赛。</w:t>
      </w:r>
    </w:p>
    <w:p w14:paraId="49E68155">
      <w:pPr>
        <w:spacing w:line="560" w:lineRule="exact"/>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全力落实“拼经济、搞建设、促发展”措施</w:t>
      </w:r>
      <w:r>
        <w:rPr>
          <w:rFonts w:hint="eastAsia" w:ascii="仿宋" w:hAnsi="仿宋" w:eastAsia="仿宋"/>
          <w:sz w:val="32"/>
          <w:szCs w:val="32"/>
        </w:rPr>
        <w:t>，</w:t>
      </w:r>
      <w:r>
        <w:rPr>
          <w:rFonts w:ascii="仿宋" w:hAnsi="仿宋" w:eastAsia="仿宋"/>
          <w:sz w:val="32"/>
          <w:szCs w:val="32"/>
        </w:rPr>
        <w:t>加大</w:t>
      </w:r>
      <w:r>
        <w:rPr>
          <w:rFonts w:hint="eastAsia" w:ascii="仿宋" w:hAnsi="仿宋" w:eastAsia="仿宋"/>
          <w:sz w:val="32"/>
          <w:szCs w:val="32"/>
        </w:rPr>
        <w:t>开展</w:t>
      </w:r>
      <w:r>
        <w:rPr>
          <w:rFonts w:ascii="仿宋" w:hAnsi="仿宋" w:eastAsia="仿宋"/>
          <w:sz w:val="32"/>
          <w:szCs w:val="32"/>
        </w:rPr>
        <w:t>职工普惠活动</w:t>
      </w:r>
      <w:r>
        <w:rPr>
          <w:rFonts w:hint="eastAsia" w:ascii="仿宋" w:hAnsi="仿宋" w:eastAsia="仿宋"/>
          <w:sz w:val="32"/>
          <w:szCs w:val="32"/>
        </w:rPr>
        <w:t>。</w:t>
      </w:r>
    </w:p>
    <w:p w14:paraId="268ACAD4">
      <w:pPr>
        <w:spacing w:line="560" w:lineRule="exact"/>
        <w:ind w:firstLine="640" w:firstLineChars="200"/>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推进新就业形态劳动者工作</w:t>
      </w:r>
      <w:r>
        <w:rPr>
          <w:rFonts w:hint="eastAsia" w:ascii="仿宋" w:hAnsi="仿宋" w:eastAsia="仿宋"/>
          <w:sz w:val="32"/>
          <w:szCs w:val="32"/>
        </w:rPr>
        <w:t>，</w:t>
      </w:r>
      <w:r>
        <w:rPr>
          <w:rFonts w:ascii="仿宋" w:hAnsi="仿宋" w:eastAsia="仿宋"/>
          <w:sz w:val="32"/>
          <w:szCs w:val="32"/>
        </w:rPr>
        <w:t>统筹推进户外劳动者服务站点建设。</w:t>
      </w:r>
    </w:p>
    <w:p w14:paraId="2E18EFC0">
      <w:pPr>
        <w:spacing w:line="560" w:lineRule="exact"/>
        <w:ind w:firstLine="640" w:firstLineChars="200"/>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切实做实困难职工帮扶工作。开展</w:t>
      </w:r>
      <w:r>
        <w:rPr>
          <w:rFonts w:hint="eastAsia" w:ascii="仿宋" w:hAnsi="仿宋" w:eastAsia="仿宋"/>
          <w:sz w:val="32"/>
          <w:szCs w:val="32"/>
        </w:rPr>
        <w:t>“四季送”</w:t>
      </w:r>
      <w:r>
        <w:rPr>
          <w:rFonts w:ascii="仿宋" w:hAnsi="仿宋" w:eastAsia="仿宋"/>
          <w:sz w:val="32"/>
          <w:szCs w:val="32"/>
        </w:rPr>
        <w:t>活动，大力宣传职工互助保障计划</w:t>
      </w:r>
      <w:r>
        <w:rPr>
          <w:rFonts w:hint="eastAsia" w:ascii="仿宋" w:hAnsi="仿宋" w:eastAsia="仿宋"/>
          <w:sz w:val="32"/>
          <w:szCs w:val="32"/>
        </w:rPr>
        <w:t>，</w:t>
      </w:r>
      <w:r>
        <w:rPr>
          <w:rFonts w:ascii="仿宋" w:hAnsi="仿宋" w:eastAsia="仿宋"/>
          <w:sz w:val="32"/>
          <w:szCs w:val="32"/>
        </w:rPr>
        <w:t>扎实开展工会干部赴基层蹲点工。</w:t>
      </w:r>
    </w:p>
    <w:p w14:paraId="31528E30">
      <w:pPr>
        <w:spacing w:line="560" w:lineRule="exact"/>
        <w:ind w:firstLine="640" w:firstLineChars="200"/>
        <w:rPr>
          <w:rFonts w:ascii="仿宋" w:hAnsi="仿宋" w:eastAsia="仿宋"/>
          <w:sz w:val="32"/>
          <w:szCs w:val="32"/>
        </w:rPr>
      </w:pPr>
      <w:r>
        <w:rPr>
          <w:rFonts w:hint="eastAsia" w:ascii="仿宋" w:hAnsi="仿宋" w:eastAsia="仿宋"/>
          <w:sz w:val="32"/>
          <w:szCs w:val="32"/>
        </w:rPr>
        <w:t>9.</w:t>
      </w:r>
      <w:r>
        <w:rPr>
          <w:rFonts w:ascii="仿宋" w:hAnsi="仿宋" w:eastAsia="仿宋"/>
          <w:sz w:val="32"/>
          <w:szCs w:val="32"/>
        </w:rPr>
        <w:t>大力推动构建和谐劳动关系。广泛宣传</w:t>
      </w:r>
      <w:r>
        <w:rPr>
          <w:rFonts w:hint="eastAsia" w:ascii="仿宋" w:hAnsi="仿宋" w:eastAsia="仿宋"/>
          <w:sz w:val="32"/>
          <w:szCs w:val="32"/>
        </w:rPr>
        <w:t>《中华人民共和国工会法》</w:t>
      </w:r>
      <w:r>
        <w:rPr>
          <w:rFonts w:ascii="仿宋" w:hAnsi="仿宋" w:eastAsia="仿宋"/>
          <w:sz w:val="32"/>
          <w:szCs w:val="32"/>
        </w:rPr>
        <w:t>，联合</w:t>
      </w:r>
      <w:r>
        <w:rPr>
          <w:rFonts w:hint="eastAsia" w:ascii="仿宋" w:hAnsi="仿宋" w:eastAsia="仿宋"/>
          <w:sz w:val="32"/>
          <w:szCs w:val="32"/>
        </w:rPr>
        <w:t>其他职能部门开展</w:t>
      </w:r>
      <w:r>
        <w:rPr>
          <w:rFonts w:ascii="仿宋" w:hAnsi="仿宋" w:eastAsia="仿宋"/>
          <w:sz w:val="32"/>
          <w:szCs w:val="32"/>
        </w:rPr>
        <w:t>安</w:t>
      </w:r>
      <w:r>
        <w:rPr>
          <w:rFonts w:hint="eastAsia" w:ascii="仿宋" w:hAnsi="仿宋" w:eastAsia="仿宋"/>
          <w:sz w:val="32"/>
          <w:szCs w:val="32"/>
          <w:lang w:eastAsia="zh-CN"/>
        </w:rPr>
        <w:t>全</w:t>
      </w:r>
      <w:r>
        <w:rPr>
          <w:rFonts w:ascii="仿宋" w:hAnsi="仿宋" w:eastAsia="仿宋"/>
          <w:sz w:val="32"/>
          <w:szCs w:val="32"/>
        </w:rPr>
        <w:t>生产工作监督检查</w:t>
      </w:r>
      <w:r>
        <w:rPr>
          <w:rFonts w:hint="eastAsia" w:ascii="仿宋" w:hAnsi="仿宋" w:eastAsia="仿宋"/>
          <w:sz w:val="32"/>
          <w:szCs w:val="32"/>
        </w:rPr>
        <w:t>，</w:t>
      </w:r>
      <w:r>
        <w:rPr>
          <w:rFonts w:ascii="仿宋" w:hAnsi="仿宋" w:eastAsia="仿宋"/>
          <w:sz w:val="32"/>
          <w:szCs w:val="32"/>
        </w:rPr>
        <w:t>慰问患尘肺病困难职工（农民工）</w:t>
      </w:r>
      <w:r>
        <w:rPr>
          <w:rFonts w:hint="eastAsia" w:ascii="仿宋" w:hAnsi="仿宋" w:eastAsia="仿宋"/>
          <w:sz w:val="32"/>
          <w:szCs w:val="32"/>
        </w:rPr>
        <w:t>，</w:t>
      </w:r>
      <w:r>
        <w:rPr>
          <w:rFonts w:ascii="仿宋" w:hAnsi="仿宋" w:eastAsia="仿宋"/>
          <w:sz w:val="32"/>
          <w:szCs w:val="32"/>
        </w:rPr>
        <w:t>组织开展2集体协商集中要约活动。</w:t>
      </w:r>
    </w:p>
    <w:p w14:paraId="66DFF7EE">
      <w:pPr>
        <w:spacing w:line="560" w:lineRule="exact"/>
        <w:ind w:firstLine="640" w:firstLineChars="200"/>
        <w:rPr>
          <w:rFonts w:ascii="仿宋" w:hAnsi="仿宋" w:eastAsia="仿宋"/>
          <w:sz w:val="32"/>
          <w:szCs w:val="32"/>
        </w:rPr>
      </w:pPr>
      <w:r>
        <w:rPr>
          <w:rFonts w:hint="eastAsia" w:ascii="仿宋" w:hAnsi="仿宋" w:eastAsia="仿宋"/>
          <w:sz w:val="32"/>
          <w:szCs w:val="32"/>
        </w:rPr>
        <w:t>10.</w:t>
      </w:r>
      <w:r>
        <w:rPr>
          <w:rFonts w:ascii="仿宋" w:hAnsi="仿宋" w:eastAsia="仿宋"/>
          <w:sz w:val="32"/>
          <w:szCs w:val="32"/>
        </w:rPr>
        <w:t>创新组建党建联盟。以群团组织党总支下属6个党支部为依托，组建“满园春晖党建联盟”</w:t>
      </w:r>
      <w:r>
        <w:rPr>
          <w:rFonts w:hint="eastAsia" w:ascii="仿宋" w:hAnsi="仿宋" w:eastAsia="仿宋"/>
          <w:sz w:val="32"/>
          <w:szCs w:val="32"/>
        </w:rPr>
        <w:t>；</w:t>
      </w:r>
      <w:r>
        <w:rPr>
          <w:rFonts w:ascii="仿宋" w:hAnsi="仿宋" w:eastAsia="仿宋"/>
          <w:sz w:val="32"/>
          <w:szCs w:val="32"/>
        </w:rPr>
        <w:t>通过联盟邮政、邮储电信、移动沐川分公司4个党支部，组建“沐源驿站党建联盟”</w:t>
      </w:r>
      <w:r>
        <w:rPr>
          <w:rFonts w:hint="eastAsia" w:ascii="仿宋" w:hAnsi="仿宋" w:eastAsia="仿宋"/>
          <w:sz w:val="32"/>
          <w:szCs w:val="32"/>
        </w:rPr>
        <w:t>。</w:t>
      </w:r>
    </w:p>
    <w:p w14:paraId="2891643C">
      <w:pPr>
        <w:spacing w:line="560" w:lineRule="exact"/>
        <w:ind w:firstLine="640" w:firstLineChars="200"/>
        <w:rPr>
          <w:rFonts w:ascii="仿宋" w:hAnsi="仿宋" w:eastAsia="仿宋"/>
          <w:sz w:val="32"/>
          <w:szCs w:val="32"/>
        </w:rPr>
      </w:pPr>
      <w:r>
        <w:rPr>
          <w:rFonts w:hint="eastAsia" w:ascii="仿宋" w:hAnsi="仿宋" w:eastAsia="仿宋"/>
          <w:sz w:val="32"/>
          <w:szCs w:val="32"/>
        </w:rPr>
        <w:t>11.</w:t>
      </w:r>
      <w:r>
        <w:rPr>
          <w:rFonts w:ascii="仿宋" w:hAnsi="仿宋" w:eastAsia="仿宋"/>
          <w:sz w:val="32"/>
          <w:szCs w:val="32"/>
        </w:rPr>
        <w:t>夯实基层组织基础。</w:t>
      </w:r>
      <w:r>
        <w:rPr>
          <w:rFonts w:hint="eastAsia" w:ascii="仿宋" w:hAnsi="仿宋" w:eastAsia="仿宋"/>
          <w:sz w:val="32"/>
          <w:szCs w:val="32"/>
        </w:rPr>
        <w:t>专项资金向</w:t>
      </w:r>
      <w:r>
        <w:rPr>
          <w:rFonts w:ascii="仿宋" w:hAnsi="仿宋" w:eastAsia="仿宋"/>
          <w:sz w:val="32"/>
          <w:szCs w:val="32"/>
        </w:rPr>
        <w:t>基层工会</w:t>
      </w:r>
      <w:r>
        <w:rPr>
          <w:rFonts w:hint="eastAsia" w:ascii="仿宋" w:hAnsi="仿宋" w:eastAsia="仿宋"/>
          <w:sz w:val="32"/>
          <w:szCs w:val="32"/>
        </w:rPr>
        <w:t>倾斜</w:t>
      </w:r>
      <w:r>
        <w:rPr>
          <w:rFonts w:ascii="仿宋" w:hAnsi="仿宋" w:eastAsia="仿宋"/>
          <w:sz w:val="32"/>
          <w:szCs w:val="32"/>
        </w:rPr>
        <w:t>，加强组织建设；主动发挥工会经审监督作用，审计基层工会组织5个。</w:t>
      </w:r>
    </w:p>
    <w:p w14:paraId="6EEA15D1">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二、部门资金收支情况</w:t>
      </w:r>
    </w:p>
    <w:p w14:paraId="1250BD4C">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（一）部门总体收支情况。</w:t>
      </w:r>
    </w:p>
    <w:p w14:paraId="0F26028D">
      <w:pPr>
        <w:pStyle w:val="26"/>
        <w:spacing w:line="600" w:lineRule="exact"/>
        <w:ind w:firstLine="643"/>
        <w:outlineLvl w:val="1"/>
        <w:rPr>
          <w:rFonts w:ascii="仿宋" w:hAnsi="仿宋" w:eastAsia="仿宋" w:cs="仿宋_GB2312"/>
          <w:color w:val="000000"/>
          <w:sz w:val="32"/>
          <w:lang w:val="zh-CN"/>
        </w:rPr>
      </w:pPr>
      <w:r>
        <w:rPr>
          <w:rFonts w:hint="eastAsia" w:ascii="仿宋" w:hAnsi="仿宋" w:eastAsia="仿宋" w:cs="仿宋_GB2312"/>
          <w:b/>
          <w:color w:val="000000"/>
          <w:sz w:val="32"/>
          <w:lang w:val="zh-CN"/>
        </w:rPr>
        <w:t>1.部门总体收入情况。</w:t>
      </w:r>
      <w:r>
        <w:rPr>
          <w:rFonts w:hint="eastAsia" w:ascii="仿宋" w:hAnsi="仿宋" w:eastAsia="仿宋" w:cs="仿宋_GB2312"/>
          <w:color w:val="000000"/>
          <w:sz w:val="32"/>
          <w:lang w:val="zh-CN"/>
        </w:rPr>
        <w:t>2022年本年收入合计287.29万元，其中：一般公共预算财政拨款收入287.29万元，占100%。</w:t>
      </w:r>
    </w:p>
    <w:p w14:paraId="11D1838F">
      <w:pPr>
        <w:pStyle w:val="26"/>
        <w:spacing w:line="600" w:lineRule="exact"/>
        <w:ind w:firstLine="643"/>
        <w:outlineLvl w:val="1"/>
        <w:rPr>
          <w:rFonts w:ascii="仿宋" w:hAnsi="仿宋" w:eastAsia="仿宋" w:cs="仿宋_GB2312"/>
          <w:color w:val="000000"/>
          <w:sz w:val="32"/>
          <w:lang w:val="zh-CN"/>
        </w:rPr>
      </w:pPr>
      <w:r>
        <w:rPr>
          <w:rFonts w:hint="eastAsia" w:ascii="仿宋" w:hAnsi="仿宋" w:eastAsia="仿宋" w:cs="仿宋_GB2312"/>
          <w:b/>
          <w:color w:val="000000"/>
          <w:sz w:val="32"/>
          <w:lang w:val="zh-CN"/>
        </w:rPr>
        <w:t>2.部门总体支出情况。</w:t>
      </w:r>
      <w:r>
        <w:rPr>
          <w:rFonts w:hint="eastAsia" w:ascii="仿宋" w:hAnsi="仿宋" w:eastAsia="仿宋" w:cs="仿宋_GB2312"/>
          <w:color w:val="000000"/>
          <w:sz w:val="32"/>
          <w:lang w:val="zh-CN"/>
        </w:rPr>
        <w:t>2022年本年支出合计287.29万元，其中：基本支出209.11万元，占72.8%；项目支出78.18万元，占27.2%。</w:t>
      </w:r>
    </w:p>
    <w:p w14:paraId="32D9B988">
      <w:pPr>
        <w:widowControl/>
        <w:adjustRightInd w:val="0"/>
        <w:snapToGrid w:val="0"/>
        <w:spacing w:line="560" w:lineRule="exact"/>
        <w:ind w:firstLine="643" w:firstLineChars="200"/>
        <w:contextualSpacing/>
        <w:jc w:val="left"/>
        <w:rPr>
          <w:rFonts w:ascii="仿宋" w:hAnsi="仿宋" w:eastAsia="仿宋" w:cs="仿宋_GB2312"/>
          <w:color w:val="000000"/>
          <w:sz w:val="32"/>
          <w:lang w:val="zh-CN"/>
        </w:rPr>
      </w:pPr>
      <w:r>
        <w:rPr>
          <w:rFonts w:hint="eastAsia" w:ascii="仿宋" w:hAnsi="仿宋" w:eastAsia="仿宋" w:cs="仿宋_GB2312"/>
          <w:b/>
          <w:color w:val="000000"/>
          <w:sz w:val="32"/>
          <w:lang w:val="zh-CN"/>
        </w:rPr>
        <w:t>3.部门总体结转结余情况。</w:t>
      </w:r>
      <w:r>
        <w:rPr>
          <w:rFonts w:hint="eastAsia" w:ascii="仿宋" w:hAnsi="仿宋" w:eastAsia="仿宋" w:cs="仿宋_GB2312"/>
          <w:color w:val="000000"/>
          <w:sz w:val="32"/>
          <w:lang w:val="zh-CN"/>
        </w:rPr>
        <w:t>2022年度年末结转和结余为0元。</w:t>
      </w:r>
    </w:p>
    <w:p w14:paraId="27B2EF00">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（二）部门财政拨款收支情况。</w:t>
      </w:r>
    </w:p>
    <w:p w14:paraId="686843FF">
      <w:pPr>
        <w:pStyle w:val="26"/>
        <w:spacing w:line="600" w:lineRule="exact"/>
        <w:ind w:firstLine="643"/>
        <w:outlineLvl w:val="1"/>
        <w:rPr>
          <w:rFonts w:ascii="仿宋" w:hAnsi="仿宋" w:eastAsia="仿宋" w:cs="仿宋_GB2312"/>
          <w:color w:val="000000"/>
          <w:sz w:val="32"/>
          <w:lang w:val="zh-CN"/>
        </w:rPr>
      </w:pPr>
      <w:r>
        <w:rPr>
          <w:rFonts w:hint="eastAsia" w:ascii="仿宋" w:hAnsi="仿宋" w:eastAsia="仿宋" w:cs="仿宋_GB2312"/>
          <w:b/>
          <w:color w:val="000000"/>
          <w:sz w:val="32"/>
          <w:lang w:val="zh-CN"/>
        </w:rPr>
        <w:t>1.部门财政拨款收入情况。</w:t>
      </w:r>
      <w:r>
        <w:rPr>
          <w:rFonts w:hint="eastAsia" w:ascii="仿宋" w:hAnsi="仿宋" w:eastAsia="仿宋" w:cs="仿宋_GB2312"/>
          <w:color w:val="000000"/>
          <w:sz w:val="32"/>
          <w:lang w:val="zh-CN"/>
        </w:rPr>
        <w:t>2022年财政拨款收入总计287.29万元。其中：一般公共预算财政拨款收入287.29万元，占100%。与2021年相比，财政拨款收入总计增加37.73万元，增长15.1%。</w:t>
      </w:r>
    </w:p>
    <w:p w14:paraId="0B3ED586">
      <w:pPr>
        <w:pStyle w:val="26"/>
        <w:spacing w:line="600" w:lineRule="exact"/>
        <w:ind w:firstLine="643"/>
        <w:outlineLvl w:val="1"/>
        <w:rPr>
          <w:rFonts w:ascii="仿宋" w:hAnsi="仿宋" w:eastAsia="仿宋" w:cs="仿宋_GB2312"/>
          <w:color w:val="000000"/>
          <w:sz w:val="32"/>
          <w:lang w:val="zh-CN"/>
        </w:rPr>
      </w:pPr>
      <w:r>
        <w:rPr>
          <w:rFonts w:hint="eastAsia" w:ascii="仿宋" w:hAnsi="仿宋" w:eastAsia="仿宋" w:cs="仿宋_GB2312"/>
          <w:b/>
          <w:color w:val="000000"/>
          <w:sz w:val="32"/>
          <w:lang w:val="zh-CN"/>
        </w:rPr>
        <w:t>2.部门财政拨款支出情况。</w:t>
      </w:r>
      <w:r>
        <w:rPr>
          <w:rFonts w:hint="eastAsia" w:ascii="仿宋" w:hAnsi="仿宋" w:eastAsia="仿宋" w:cs="仿宋_GB2312"/>
          <w:color w:val="000000"/>
          <w:sz w:val="32"/>
          <w:lang w:val="zh-CN"/>
        </w:rPr>
        <w:t>2022年财政拨款支出总计287.29万元。其中：一般公共预算财政拨款收入287.29万元，占100%。与2021年相比，财政拨款收入总计增加37.73万元，增长15.1%。</w:t>
      </w:r>
    </w:p>
    <w:p w14:paraId="04A5A86A">
      <w:pPr>
        <w:widowControl/>
        <w:adjustRightInd w:val="0"/>
        <w:snapToGrid w:val="0"/>
        <w:spacing w:line="560" w:lineRule="exact"/>
        <w:ind w:firstLine="643" w:firstLineChars="200"/>
        <w:contextualSpacing/>
        <w:jc w:val="left"/>
        <w:rPr>
          <w:rFonts w:ascii="仿宋" w:hAnsi="仿宋" w:eastAsia="仿宋" w:cs="仿宋_GB2312"/>
          <w:color w:val="000000"/>
          <w:sz w:val="32"/>
          <w:lang w:val="zh-CN"/>
        </w:rPr>
      </w:pPr>
      <w:r>
        <w:rPr>
          <w:rFonts w:hint="eastAsia" w:ascii="仿宋" w:hAnsi="仿宋" w:eastAsia="仿宋" w:cs="仿宋_GB2312"/>
          <w:b/>
          <w:color w:val="000000"/>
          <w:sz w:val="32"/>
          <w:lang w:val="zh-CN"/>
        </w:rPr>
        <w:t>3.部门财政拨款结转结余情况。</w:t>
      </w:r>
      <w:r>
        <w:rPr>
          <w:rFonts w:hint="eastAsia" w:ascii="仿宋" w:hAnsi="仿宋" w:eastAsia="仿宋" w:cs="仿宋_GB2312"/>
          <w:color w:val="000000"/>
          <w:sz w:val="32"/>
          <w:lang w:val="zh-CN"/>
        </w:rPr>
        <w:t>2022年度财政拨款年末结转和结余为0元。</w:t>
      </w:r>
    </w:p>
    <w:p w14:paraId="720FF2AC">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三、部门整体绩效分析</w:t>
      </w:r>
    </w:p>
    <w:p w14:paraId="2594707B">
      <w:pPr>
        <w:widowControl/>
        <w:adjustRightInd w:val="0"/>
        <w:snapToGrid w:val="0"/>
        <w:spacing w:line="560" w:lineRule="exact"/>
        <w:ind w:firstLine="643"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（一）部门预算项目绩效分析。</w:t>
      </w:r>
    </w:p>
    <w:p w14:paraId="32CE6EBF">
      <w:pPr>
        <w:widowControl/>
        <w:adjustRightInd w:val="0"/>
        <w:snapToGrid w:val="0"/>
        <w:spacing w:line="560" w:lineRule="exact"/>
        <w:ind w:firstLine="643" w:firstLineChars="200"/>
        <w:contextualSpacing/>
        <w:jc w:val="left"/>
        <w:rPr>
          <w:rFonts w:hint="eastAsia" w:ascii="仿宋" w:hAnsi="仿宋" w:eastAsia="仿宋" w:cs="仿宋_GB2312"/>
          <w:b/>
          <w:color w:val="000000"/>
          <w:sz w:val="32"/>
          <w:lang w:val="zh-CN"/>
        </w:rPr>
      </w:pPr>
      <w:r>
        <w:rPr>
          <w:rFonts w:hint="eastAsia" w:ascii="仿宋" w:hAnsi="仿宋" w:eastAsia="仿宋" w:cs="仿宋_GB2312"/>
          <w:b/>
          <w:color w:val="000000"/>
          <w:sz w:val="32"/>
          <w:lang w:val="zh-CN"/>
        </w:rPr>
        <w:t>1.人员类项目绩效分析</w:t>
      </w:r>
    </w:p>
    <w:p w14:paraId="022FC16C">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人员经费支出决算188.99万元，主要包括：基本工资、津贴补贴、奖金、绩效工资、机关事业单位基本养老保险缴费、职业年金缴费、职工基本医疗保险缴费、公务员医疗补助缴费、其他社会保障缴费、住房公积金、其他工资福利支出、奖励金、其他对个人和家庭的补助支出等。完成预算100%，决算数与预算数持平。</w:t>
      </w:r>
      <w:r>
        <w:rPr>
          <w:rFonts w:hint="eastAsia" w:ascii="仿宋" w:hAnsi="仿宋" w:eastAsia="仿宋" w:cs="仿宋_GB2312"/>
          <w:color w:val="000000"/>
          <w:sz w:val="32"/>
          <w:lang w:val="zh-CN"/>
        </w:rPr>
        <w:br w:type="textWrapping"/>
      </w:r>
      <w:r>
        <w:rPr>
          <w:rFonts w:hint="eastAsia" w:ascii="仿宋" w:hAnsi="仿宋" w:eastAsia="仿宋" w:cs="仿宋_GB2312"/>
          <w:color w:val="000000"/>
          <w:sz w:val="32"/>
          <w:lang w:val="zh-CN"/>
        </w:rPr>
        <w:t xml:space="preserve"> </w:t>
      </w:r>
      <w:r>
        <w:rPr>
          <w:rFonts w:hint="eastAsia" w:ascii="仿宋" w:hAnsi="仿宋" w:eastAsia="仿宋" w:cs="仿宋_GB2312"/>
          <w:b/>
          <w:color w:val="000000"/>
          <w:sz w:val="32"/>
          <w:lang w:val="zh-CN"/>
        </w:rPr>
        <w:t xml:space="preserve">   2.运转类项目绩效分析</w:t>
      </w:r>
    </w:p>
    <w:p w14:paraId="52B80BD2">
      <w:pPr>
        <w:spacing w:line="600" w:lineRule="exact"/>
        <w:ind w:firstLine="640" w:firstLineChars="200"/>
        <w:rPr>
          <w:rFonts w:ascii="仿宋" w:hAnsi="仿宋" w:eastAsia="仿宋" w:cs="仿宋_GB2312"/>
          <w:color w:val="000000"/>
          <w:sz w:val="32"/>
          <w:lang w:val="zh-CN"/>
        </w:rPr>
      </w:pPr>
      <w:r>
        <w:rPr>
          <w:rFonts w:hint="eastAsia" w:ascii="仿宋" w:hAnsi="仿宋" w:eastAsia="仿宋" w:cs="仿宋_GB2312"/>
          <w:color w:val="000000"/>
          <w:sz w:val="32"/>
          <w:lang w:val="zh-CN"/>
        </w:rPr>
        <w:t>政务运转工作经费支出决算为</w:t>
      </w:r>
      <w:r>
        <w:rPr>
          <w:rFonts w:ascii="仿宋" w:hAnsi="仿宋" w:eastAsia="仿宋" w:cs="仿宋_GB2312"/>
          <w:color w:val="000000"/>
          <w:sz w:val="32"/>
          <w:lang w:val="zh-CN"/>
        </w:rPr>
        <w:t>4.21</w:t>
      </w:r>
      <w:r>
        <w:rPr>
          <w:rFonts w:hint="eastAsia" w:ascii="仿宋" w:hAnsi="仿宋" w:eastAsia="仿宋" w:cs="仿宋_GB2312"/>
          <w:color w:val="000000"/>
          <w:sz w:val="32"/>
          <w:lang w:val="zh-CN"/>
        </w:rPr>
        <w:t>万元，完成预算100%，决算数与预算数持平。包括办公费、差旅费、印刷费、维修费、公务接待费等，充分保障单位正常运转的日常支出。</w:t>
      </w:r>
    </w:p>
    <w:p w14:paraId="4944AA30">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3.特定目标类项目绩效分析</w:t>
      </w:r>
    </w:p>
    <w:p w14:paraId="257BC569">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无。</w:t>
      </w:r>
    </w:p>
    <w:p w14:paraId="35F49CFC">
      <w:pPr>
        <w:widowControl/>
        <w:adjustRightInd w:val="0"/>
        <w:snapToGrid w:val="0"/>
        <w:spacing w:line="560" w:lineRule="exact"/>
        <w:ind w:firstLine="643"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（二）部门整体履职绩效分析。</w:t>
      </w:r>
    </w:p>
    <w:p w14:paraId="38A0A819">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围绕部门整体绩效目标完成情况和部门履职情况进行绩效分析。</w:t>
      </w:r>
    </w:p>
    <w:p w14:paraId="40100D15">
      <w:pPr>
        <w:pStyle w:val="26"/>
        <w:widowControl/>
        <w:numPr>
          <w:ilvl w:val="0"/>
          <w:numId w:val="4"/>
        </w:numPr>
        <w:adjustRightInd w:val="0"/>
        <w:snapToGrid w:val="0"/>
        <w:spacing w:line="560" w:lineRule="exact"/>
        <w:ind w:firstLineChars="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结果应用情况。</w:t>
      </w:r>
    </w:p>
    <w:p w14:paraId="5671A1CB">
      <w:pPr>
        <w:pStyle w:val="26"/>
        <w:widowControl/>
        <w:adjustRightInd w:val="0"/>
        <w:snapToGrid w:val="0"/>
        <w:spacing w:line="600" w:lineRule="exact"/>
        <w:ind w:firstLine="64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按照县财政局下达的预算指标，严格执行预算内开支，保障了单位正常运转。预决算编制均按照县财政局下达的相关文件要求进行，按时完成编制上报，同时预决算报表和说明均按要求政府门户网站公开。充分运用绩效评价结果，发挥绩效评价结果对合理安排预算的积极作用。将绩效评价结果作为下年安排支出资金的重要依据，为预算编制提供参考，促进财政资金的合理分配与有效使用。</w:t>
      </w:r>
    </w:p>
    <w:p w14:paraId="4F067C86">
      <w:pPr>
        <w:widowControl/>
        <w:numPr>
          <w:ilvl w:val="0"/>
          <w:numId w:val="5"/>
        </w:numPr>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自评质量。</w:t>
      </w:r>
    </w:p>
    <w:p w14:paraId="0DC7AFF0">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包括评价部门整体自评准确情况。</w:t>
      </w:r>
    </w:p>
    <w:p w14:paraId="3A7BB765">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14:paraId="4C0071ED">
      <w:pPr>
        <w:spacing w:line="600" w:lineRule="exact"/>
        <w:ind w:firstLine="640" w:firstLineChars="200"/>
        <w:rPr>
          <w:rFonts w:ascii="仿宋" w:hAnsi="仿宋" w:eastAsia="仿宋" w:cs="仿宋_GB2312"/>
          <w:color w:val="000000"/>
          <w:sz w:val="32"/>
          <w:lang w:val="zh-CN"/>
        </w:rPr>
      </w:pPr>
      <w:r>
        <w:rPr>
          <w:rFonts w:hint="eastAsia" w:ascii="仿宋" w:hAnsi="仿宋" w:eastAsia="仿宋" w:cs="仿宋_GB2312"/>
          <w:color w:val="000000"/>
          <w:sz w:val="32"/>
          <w:lang w:val="zh-CN"/>
        </w:rPr>
        <w:t>（一）评价结论。2022年，县总工会在县委、县政府和市总工会的领导下，依法履行工会职责，统筹推进各项工作，圆满完成各项工作目标任务，按照部门预算编制通知和有关要求，按时完成基础工作，按时提交部门预算草案；在财政部门批复日内向社会公开本部门的</w:t>
      </w:r>
      <w:r>
        <w:rPr>
          <w:rFonts w:ascii="仿宋" w:hAnsi="仿宋" w:eastAsia="仿宋" w:cs="仿宋_GB2312"/>
          <w:color w:val="000000"/>
          <w:sz w:val="32"/>
          <w:lang w:val="zh-CN"/>
        </w:rPr>
        <w:t>“三公”经费、机关运行经费的安排、使用情况；单位的财务制度健全，制度执行严格，会计核算</w:t>
      </w:r>
      <w:r>
        <w:rPr>
          <w:rFonts w:hint="eastAsia" w:ascii="仿宋" w:hAnsi="仿宋" w:eastAsia="仿宋" w:cs="仿宋_GB2312"/>
          <w:color w:val="000000"/>
          <w:sz w:val="32"/>
          <w:lang w:val="zh-CN"/>
        </w:rPr>
        <w:t>符合《工会会计制度》</w:t>
      </w:r>
      <w:r>
        <w:rPr>
          <w:rFonts w:ascii="仿宋" w:hAnsi="仿宋" w:eastAsia="仿宋" w:cs="仿宋_GB2312"/>
          <w:color w:val="000000"/>
          <w:sz w:val="32"/>
          <w:lang w:val="zh-CN"/>
        </w:rPr>
        <w:t>相关规定，</w:t>
      </w:r>
      <w:r>
        <w:rPr>
          <w:rFonts w:hint="eastAsia" w:ascii="仿宋" w:hAnsi="仿宋" w:eastAsia="仿宋" w:cs="仿宋_GB2312"/>
          <w:color w:val="000000"/>
          <w:sz w:val="32"/>
          <w:lang w:val="zh-CN"/>
        </w:rPr>
        <w:t>资金做到</w:t>
      </w:r>
      <w:r>
        <w:rPr>
          <w:rFonts w:ascii="仿宋" w:hAnsi="仿宋" w:eastAsia="仿宋" w:cs="仿宋_GB2312"/>
          <w:color w:val="000000"/>
          <w:sz w:val="32"/>
          <w:lang w:val="zh-CN"/>
        </w:rPr>
        <w:t>专款专用，开支标准合法</w:t>
      </w:r>
      <w:r>
        <w:rPr>
          <w:rFonts w:hint="eastAsia" w:ascii="仿宋" w:hAnsi="仿宋" w:eastAsia="仿宋" w:cs="仿宋_GB2312"/>
          <w:color w:val="000000"/>
          <w:sz w:val="32"/>
          <w:lang w:val="zh-CN"/>
        </w:rPr>
        <w:t>合规。</w:t>
      </w:r>
      <w:r>
        <w:rPr>
          <w:rFonts w:ascii="仿宋" w:hAnsi="仿宋" w:eastAsia="仿宋" w:cs="仿宋_GB2312"/>
          <w:color w:val="000000"/>
          <w:sz w:val="32"/>
          <w:lang w:val="zh-CN"/>
        </w:rPr>
        <w:t>根据县财政局下发的部门整体支出绩效评价指标体系确定的内容，我单位</w:t>
      </w:r>
      <w:r>
        <w:rPr>
          <w:rFonts w:hint="eastAsia" w:ascii="仿宋" w:hAnsi="仿宋" w:eastAsia="仿宋" w:cs="仿宋_GB2312"/>
          <w:color w:val="000000"/>
          <w:sz w:val="32"/>
          <w:lang w:val="zh-CN"/>
        </w:rPr>
        <w:t>2022</w:t>
      </w:r>
      <w:r>
        <w:rPr>
          <w:rFonts w:ascii="仿宋" w:hAnsi="仿宋" w:eastAsia="仿宋" w:cs="仿宋_GB2312"/>
          <w:color w:val="000000"/>
          <w:sz w:val="32"/>
          <w:lang w:val="zh-CN"/>
        </w:rPr>
        <w:t>年度财政资金支</w:t>
      </w:r>
      <w:r>
        <w:rPr>
          <w:rFonts w:hint="eastAsia" w:ascii="仿宋" w:hAnsi="仿宋" w:eastAsia="仿宋" w:cs="仿宋_GB2312"/>
          <w:color w:val="000000"/>
          <w:sz w:val="32"/>
          <w:lang w:val="zh-CN"/>
        </w:rPr>
        <w:t>出绩效良好，评价得100.00分。</w:t>
      </w:r>
    </w:p>
    <w:p w14:paraId="0E67D5BB">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（二）存在问题。无</w:t>
      </w:r>
    </w:p>
    <w:p w14:paraId="1AF5FEC5">
      <w:pPr>
        <w:widowControl/>
        <w:adjustRightInd w:val="0"/>
        <w:snapToGrid w:val="0"/>
        <w:spacing w:line="56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（三）改进建议。无</w:t>
      </w:r>
    </w:p>
    <w:p w14:paraId="722CD5B3">
      <w:pPr>
        <w:pStyle w:val="13"/>
        <w:spacing w:line="560" w:lineRule="exact"/>
        <w:ind w:left="0" w:leftChars="0" w:firstLine="640"/>
        <w:rPr>
          <w:rFonts w:hint="eastAsia" w:ascii="仿宋" w:hAnsi="仿宋" w:eastAsia="仿宋" w:cs="仿宋_GB2312"/>
          <w:color w:val="000000"/>
          <w:sz w:val="32"/>
          <w:szCs w:val="24"/>
          <w:lang w:val="zh-CN"/>
        </w:rPr>
      </w:pPr>
    </w:p>
    <w:p w14:paraId="13FDB8D7">
      <w:pPr>
        <w:pStyle w:val="13"/>
        <w:spacing w:line="560" w:lineRule="exact"/>
        <w:ind w:left="0" w:leftChars="0" w:firstLine="640"/>
        <w:rPr>
          <w:rFonts w:ascii="仿宋" w:hAnsi="仿宋" w:eastAsia="仿宋" w:cs="仿宋_GB2312"/>
          <w:color w:val="000000"/>
          <w:sz w:val="32"/>
          <w:szCs w:val="24"/>
          <w:lang w:val="zh-CN"/>
        </w:rPr>
      </w:pPr>
      <w:r>
        <w:rPr>
          <w:rFonts w:hint="eastAsia" w:ascii="仿宋" w:hAnsi="仿宋" w:eastAsia="仿宋" w:cs="仿宋_GB2312"/>
          <w:color w:val="000000"/>
          <w:sz w:val="32"/>
          <w:szCs w:val="24"/>
          <w:lang w:val="zh-CN"/>
        </w:rPr>
        <w:t>附表：部门预算项目支出绩效自评表（2022年度）</w:t>
      </w:r>
    </w:p>
    <w:p w14:paraId="1FCB360F">
      <w:pPr>
        <w:pStyle w:val="13"/>
        <w:spacing w:line="560" w:lineRule="exact"/>
        <w:ind w:left="0" w:leftChars="0" w:firstLine="0" w:firstLineChars="0"/>
        <w:rPr>
          <w:rFonts w:hint="eastAsia" w:ascii="仿宋" w:hAnsi="仿宋" w:eastAsia="仿宋" w:cs="仿宋_GB2312"/>
          <w:color w:val="000000"/>
          <w:sz w:val="32"/>
          <w:szCs w:val="24"/>
          <w:lang w:val="zh-CN"/>
        </w:rPr>
      </w:pPr>
    </w:p>
    <w:p w14:paraId="0C217FF8">
      <w:pPr>
        <w:rPr>
          <w:lang w:val="zh-CN"/>
        </w:rPr>
      </w:pPr>
    </w:p>
    <w:p w14:paraId="4CEA010F">
      <w:pPr>
        <w:pStyle w:val="13"/>
        <w:spacing w:line="560" w:lineRule="exact"/>
        <w:ind w:left="0" w:leftChars="0" w:firstLine="0" w:firstLineChars="0"/>
        <w:rPr>
          <w:rFonts w:ascii="仿宋" w:hAnsi="仿宋" w:eastAsia="仿宋" w:cs="仿宋_GB2312"/>
          <w:color w:val="000000"/>
          <w:sz w:val="32"/>
          <w:szCs w:val="24"/>
          <w:lang w:val="zh-CN"/>
        </w:rPr>
      </w:pPr>
    </w:p>
    <w:p w14:paraId="095391A9">
      <w:pPr>
        <w:pStyle w:val="5"/>
        <w:spacing w:before="93"/>
        <w:rPr>
          <w:rFonts w:hint="eastAsia" w:ascii="仿宋" w:hAnsi="仿宋" w:eastAsia="仿宋" w:cs="仿宋_GB2312"/>
          <w:color w:val="000000"/>
          <w:kern w:val="2"/>
          <w:sz w:val="32"/>
          <w:lang w:val="zh-CN"/>
        </w:rPr>
      </w:pPr>
    </w:p>
    <w:p w14:paraId="49796929">
      <w:pPr>
        <w:pStyle w:val="5"/>
        <w:spacing w:before="93"/>
        <w:rPr>
          <w:rFonts w:hint="eastAsia" w:ascii="仿宋" w:hAnsi="仿宋" w:eastAsia="仿宋" w:cs="仿宋_GB2312"/>
          <w:color w:val="000000"/>
          <w:kern w:val="2"/>
          <w:sz w:val="32"/>
          <w:lang w:val="zh-CN"/>
        </w:rPr>
      </w:pPr>
    </w:p>
    <w:p w14:paraId="4CF9E647">
      <w:pPr>
        <w:pStyle w:val="5"/>
        <w:spacing w:before="93"/>
        <w:rPr>
          <w:rFonts w:hint="eastAsia" w:ascii="仿宋" w:hAnsi="仿宋" w:eastAsia="仿宋" w:cs="仿宋_GB2312"/>
          <w:color w:val="000000"/>
          <w:kern w:val="2"/>
          <w:sz w:val="32"/>
          <w:lang w:val="zh-CN"/>
        </w:rPr>
      </w:pPr>
    </w:p>
    <w:p w14:paraId="34C86D36">
      <w:pPr>
        <w:pStyle w:val="5"/>
        <w:spacing w:before="93"/>
        <w:rPr>
          <w:rFonts w:ascii="仿宋" w:hAnsi="仿宋" w:eastAsia="仿宋" w:cs="仿宋_GB2312"/>
          <w:color w:val="000000"/>
          <w:kern w:val="2"/>
          <w:sz w:val="32"/>
          <w:lang w:val="zh-CN"/>
        </w:rPr>
      </w:pPr>
    </w:p>
    <w:p w14:paraId="70E08E04">
      <w:pPr>
        <w:pStyle w:val="5"/>
        <w:spacing w:before="93"/>
        <w:rPr>
          <w:rFonts w:ascii="仿宋" w:hAnsi="仿宋" w:eastAsia="仿宋" w:cs="仿宋_GB2312"/>
          <w:color w:val="000000"/>
          <w:kern w:val="2"/>
          <w:sz w:val="32"/>
          <w:lang w:val="zh-CN"/>
        </w:rPr>
      </w:pPr>
      <w:r>
        <w:rPr>
          <w:rFonts w:hint="eastAsia" w:ascii="仿宋" w:hAnsi="仿宋" w:eastAsia="仿宋" w:cs="仿宋_GB2312"/>
          <w:color w:val="000000"/>
          <w:kern w:val="2"/>
          <w:sz w:val="32"/>
          <w:lang w:val="zh-CN"/>
        </w:rPr>
        <w:t>附件2</w:t>
      </w:r>
    </w:p>
    <w:p w14:paraId="35F73218">
      <w:pPr>
        <w:spacing w:line="60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2022年专项资金预算项目绩效自评报告</w:t>
      </w:r>
    </w:p>
    <w:p w14:paraId="7B5C2487">
      <w:pPr>
        <w:spacing w:line="600" w:lineRule="exact"/>
        <w:ind w:firstLine="640"/>
        <w:jc w:val="center"/>
        <w:rPr>
          <w:rFonts w:ascii="宋体" w:hAnsi="宋体"/>
          <w:sz w:val="32"/>
          <w:szCs w:val="32"/>
          <w:lang w:val="zh-CN"/>
        </w:rPr>
      </w:pPr>
    </w:p>
    <w:p w14:paraId="41A58A6D">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F09F0FF">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2022年度，沐川县总工会本级财政预算项目4个，预算资金58.1万元。</w:t>
      </w:r>
    </w:p>
    <w:p w14:paraId="10F939C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14:paraId="61AFD745">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1.困难职工帮扶经费项目，预算45万元，实际下达45万元；</w:t>
      </w:r>
    </w:p>
    <w:p w14:paraId="0C5DF310">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2.职工活动经费项目，预算8万元，实际下达8万元；</w:t>
      </w:r>
    </w:p>
    <w:p w14:paraId="2492A345">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3.省劳模津贴县级配套资金项目，预算0.1万元，实际下达0.1万元；</w:t>
      </w:r>
    </w:p>
    <w:p w14:paraId="4D046455">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4.政务运转工作经费项目，预算5万元，实际下达4.21万元。</w:t>
      </w:r>
    </w:p>
    <w:p w14:paraId="04D7F31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14:paraId="4496A31D">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1.困难职工帮扶经费项目:开展形式多样的送温暖活动和包括生活救助、助学救助、医疗救助、法律援助、职业技能培训等方面的帮扶救助工作，进一步改善困难职工的生活状况，针对困难职工群众不同的愿望诉求给予相应帮扶。通过项目的实施，有力地促进了工会帮扶工作的开展，推动了帮扶工作制度化、标准化、规范化、常态化，提高了帮扶工作水平，使工会特色的帮扶工作得到规范，并迈上新的台阶。</w:t>
      </w:r>
    </w:p>
    <w:p w14:paraId="5C20DCC1">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2.职工活动经费项目：举形式多样的办职工文体活动，凝聚正能量，充分展现沐川职工风采。</w:t>
      </w:r>
    </w:p>
    <w:p w14:paraId="025B41AD">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3.省劳模津贴县级配套资金项目：以弘扬劳模精神为核心，充分发挥先进典型示范引领作用，落实劳模关爱相关政策，营造尊重劳模、学习劳模、关爱劳模的社会氛围。</w:t>
      </w:r>
    </w:p>
    <w:p w14:paraId="04D016BE">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4.政务运转工作经费项目：保障机关正常运转。</w:t>
      </w:r>
    </w:p>
    <w:p w14:paraId="5580796B">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（三）项目资金申报相符性。</w:t>
      </w:r>
    </w:p>
    <w:p w14:paraId="67C859E5">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项目申报内容与实际相符，申报目标合理可行。</w:t>
      </w:r>
    </w:p>
    <w:p w14:paraId="220D78C8">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14:paraId="4E73167F">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ab/>
      </w:r>
      <w:r>
        <w:rPr>
          <w:rFonts w:hint="eastAsia" w:ascii="楷体_GB2312" w:hAnsi="宋体" w:eastAsia="楷体_GB2312"/>
          <w:b/>
          <w:sz w:val="32"/>
          <w:szCs w:val="32"/>
          <w:lang w:val="zh-CN"/>
        </w:rPr>
        <w:t>（一）资金计划、到位及使用情况。</w:t>
      </w:r>
    </w:p>
    <w:p w14:paraId="7977366A">
      <w:pPr>
        <w:adjustRightInd w:val="0"/>
        <w:snapToGrid w:val="0"/>
        <w:spacing w:line="600" w:lineRule="exact"/>
        <w:ind w:firstLine="720"/>
        <w:rPr>
          <w:rFonts w:hint="eastAsia" w:ascii="仿宋" w:hAnsi="仿宋" w:eastAsia="仿宋" w:cs="仿宋_GB2312"/>
          <w:color w:val="000000"/>
          <w:sz w:val="32"/>
          <w:lang w:val="zh-CN"/>
        </w:rPr>
      </w:pPr>
      <w:r>
        <w:rPr>
          <w:rFonts w:hint="eastAsia" w:ascii="楷体_GB2312" w:hAnsi="宋体" w:eastAsia="楷体_GB2312"/>
          <w:sz w:val="32"/>
          <w:szCs w:val="32"/>
          <w:lang w:val="zh-CN"/>
        </w:rPr>
        <w:t>1．资金计划及到位。</w:t>
      </w:r>
      <w:r>
        <w:rPr>
          <w:rFonts w:hint="eastAsia" w:ascii="仿宋" w:hAnsi="仿宋" w:eastAsia="仿宋" w:cs="仿宋_GB2312"/>
          <w:color w:val="000000"/>
          <w:sz w:val="32"/>
          <w:lang w:val="zh-CN"/>
        </w:rPr>
        <w:t>2022年度，沐川县总工会本级财政预算项目4个，预算资金58.1万元，实际下达使用57.31万元，执行率98.64%。</w:t>
      </w:r>
    </w:p>
    <w:p w14:paraId="4F2C8A1F">
      <w:pPr>
        <w:adjustRightInd w:val="0"/>
        <w:snapToGrid w:val="0"/>
        <w:spacing w:line="60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2．资金使用。</w:t>
      </w:r>
    </w:p>
    <w:p w14:paraId="4EADF125">
      <w:pPr>
        <w:widowControl/>
        <w:adjustRightInd w:val="0"/>
        <w:snapToGrid w:val="0"/>
        <w:spacing w:line="60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1）困难职工帮扶资金支出45万元。一是开展冬送温暖活动，统筹帮扶资金20万元，对职工（农民工）进行了集中慰问；二是开展夏送清凉活动，为全县2000余名企业高温一线职工（农民工）、环卫工人等送去价值6万元的防暑降温物资；三是开展金秋助学活动，向110名困难职工（农民工）子女发放助学金11万元；四是开展职业病农民工关爱活动。筹资1.48万元，为37名患尘肺病农民工购买基本医疗保险；五是开展困难职工帮扶工作，实施生活救助、医疗救助，助学救助，共发放专项补助资金6.52万元。</w:t>
      </w:r>
    </w:p>
    <w:p w14:paraId="47384FD8">
      <w:pPr>
        <w:widowControl/>
        <w:adjustRightInd w:val="0"/>
        <w:snapToGrid w:val="0"/>
        <w:spacing w:line="60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2.省部级困难劳模帮扶资金0.1万元。用于兑现落实1名省劳模荣誉津贴，通过相关政策的兑现，使广大劳动模范真切地感受到了县委、县政府的温暖，激励他们在全社会发挥了很好的引领示范作用，为促进我县经济社会又好又快发展做出贡献。</w:t>
      </w:r>
    </w:p>
    <w:p w14:paraId="09FC0959">
      <w:pPr>
        <w:widowControl/>
        <w:adjustRightInd w:val="0"/>
        <w:snapToGrid w:val="0"/>
        <w:spacing w:line="60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3.职工活动经费8万元。组织职工参加了全市以“中国梦·劳动美—永远跟党走 奋进新征程”为主题的职工合唱比赛和职工篮球赛，引导职工听党话、跟党走。</w:t>
      </w:r>
    </w:p>
    <w:p w14:paraId="7CB42D27">
      <w:pPr>
        <w:widowControl/>
        <w:adjustRightInd w:val="0"/>
        <w:snapToGrid w:val="0"/>
        <w:spacing w:line="600" w:lineRule="exact"/>
        <w:ind w:firstLine="640" w:firstLineChars="200"/>
        <w:contextualSpacing/>
        <w:jc w:val="left"/>
        <w:rPr>
          <w:rFonts w:ascii="仿宋" w:hAnsi="仿宋" w:eastAsia="仿宋" w:cs="仿宋_GB2312"/>
          <w:color w:val="000000"/>
          <w:sz w:val="32"/>
          <w:lang w:val="zh-CN"/>
        </w:rPr>
      </w:pPr>
      <w:r>
        <w:rPr>
          <w:rFonts w:hint="eastAsia" w:ascii="仿宋" w:hAnsi="仿宋" w:eastAsia="仿宋" w:cs="仿宋_GB2312"/>
          <w:color w:val="000000"/>
          <w:sz w:val="32"/>
          <w:lang w:val="zh-CN"/>
        </w:rPr>
        <w:t>4.政务运转工作经费 4.21万元，是用于保障单位正常运转的日常支出，包括办公设备购置、差旅费、培训费等。</w:t>
      </w:r>
    </w:p>
    <w:p w14:paraId="27CEB5B2">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419E07CE">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我会对部门专项支出的预算执行高度重视，项目财务管理方面：一是大力提倡勤俭节约；二是坚持重大开支集体研究；三是严肃财经纪律，严格执行财务管理制度；四是严谨审批程序。这些措施，较好地保证了财务开支和资金使用的合法合规、安全有效。</w:t>
      </w:r>
    </w:p>
    <w:p w14:paraId="1845B35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204396EC">
      <w:pPr>
        <w:adjustRightInd w:val="0"/>
        <w:snapToGrid w:val="0"/>
        <w:spacing w:line="600" w:lineRule="exact"/>
        <w:ind w:firstLine="720"/>
        <w:rPr>
          <w:rFonts w:ascii="仿宋" w:hAnsi="仿宋" w:eastAsia="仿宋" w:cs="仿宋_GB2312"/>
          <w:color w:val="000000"/>
          <w:sz w:val="32"/>
          <w:lang w:val="zh-CN"/>
        </w:rPr>
      </w:pPr>
      <w:r>
        <w:rPr>
          <w:rFonts w:hint="eastAsia" w:ascii="仿宋" w:hAnsi="仿宋" w:eastAsia="仿宋" w:cs="仿宋_GB2312"/>
          <w:color w:val="000000"/>
          <w:sz w:val="32"/>
          <w:lang w:val="zh-CN"/>
        </w:rPr>
        <w:t>项目经费坚持专款专用，实行申请审批报账制度，每一笔专项资金的支出都做到了账目清晰，账实相符，未出现专项资金挪作他用的现象，也不存在与工作经费相互挤占的现象，为了规范专项资金的管理与使用，我会制定了《财务管理制度》，明确了报账程序，由会计初审，经审委主任复核，主要领导签批，重大开支集体决定。</w:t>
      </w:r>
    </w:p>
    <w:p w14:paraId="43A6B2A5">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三、项目绩效情况</w:t>
      </w:r>
      <w:r>
        <w:rPr>
          <w:rFonts w:hint="eastAsia" w:ascii="仿宋_GB2312" w:hAnsi="宋体" w:eastAsia="仿宋_GB2312"/>
          <w:sz w:val="32"/>
          <w:szCs w:val="32"/>
          <w:lang w:val="zh-CN"/>
        </w:rPr>
        <w:tab/>
      </w:r>
    </w:p>
    <w:p w14:paraId="755306AB">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0EF69293">
      <w:pPr>
        <w:spacing w:line="60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w:t>
      </w:r>
      <w:r>
        <w:rPr>
          <w:rFonts w:hint="eastAsia" w:ascii="仿宋" w:hAnsi="仿宋" w:eastAsia="仿宋" w:cs="仿宋_GB2312"/>
          <w:sz w:val="32"/>
          <w:szCs w:val="32"/>
        </w:rPr>
        <w:t>1</w:t>
      </w:r>
      <w:r>
        <w:rPr>
          <w:rFonts w:hint="eastAsia" w:ascii="仿宋" w:hAnsi="仿宋" w:eastAsia="仿宋" w:cs="仿宋_GB2312"/>
          <w:sz w:val="32"/>
          <w:szCs w:val="32"/>
          <w:lang w:val="zh-CN"/>
        </w:rPr>
        <w:t>）项目的实施进度：已全部实施完毕。</w:t>
      </w:r>
    </w:p>
    <w:p w14:paraId="3795D57D">
      <w:pPr>
        <w:spacing w:line="60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（2）项目完成质量：已全部验收合格。</w:t>
      </w:r>
    </w:p>
    <w:p w14:paraId="387DEBFE">
      <w:pPr>
        <w:spacing w:line="60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w:t>
      </w:r>
      <w:r>
        <w:rPr>
          <w:rFonts w:hint="eastAsia" w:ascii="仿宋" w:hAnsi="仿宋" w:eastAsia="仿宋" w:cs="仿宋_GB2312"/>
          <w:sz w:val="32"/>
          <w:szCs w:val="32"/>
        </w:rPr>
        <w:t>3</w:t>
      </w:r>
      <w:r>
        <w:rPr>
          <w:rFonts w:hint="eastAsia" w:ascii="仿宋" w:hAnsi="仿宋" w:eastAsia="仿宋" w:cs="仿宋_GB2312"/>
          <w:sz w:val="32"/>
          <w:szCs w:val="32"/>
          <w:lang w:val="zh-CN"/>
        </w:rPr>
        <w:t>）资金到位情况：资金依法依规给付，无截留挤兑挪用情况、无超标准开支情况。</w:t>
      </w:r>
    </w:p>
    <w:p w14:paraId="2E91C1A4">
      <w:pPr>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14:paraId="5CC81D28">
      <w:pPr>
        <w:spacing w:line="60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1.数量指标完成情况：按照工会部门职能职责，按时完成工作目标任务，完成率</w:t>
      </w:r>
      <w:r>
        <w:rPr>
          <w:rFonts w:hint="eastAsia" w:ascii="仿宋" w:hAnsi="仿宋" w:eastAsia="仿宋" w:cs="仿宋_GB2312"/>
          <w:sz w:val="32"/>
          <w:szCs w:val="32"/>
        </w:rPr>
        <w:t>100%</w:t>
      </w:r>
      <w:r>
        <w:rPr>
          <w:rFonts w:hint="eastAsia" w:ascii="仿宋" w:hAnsi="仿宋" w:eastAsia="仿宋" w:cs="仿宋_GB2312"/>
          <w:sz w:val="32"/>
          <w:szCs w:val="32"/>
          <w:lang w:val="zh-CN"/>
        </w:rPr>
        <w:t>。</w:t>
      </w:r>
    </w:p>
    <w:p w14:paraId="509D0B3A">
      <w:pPr>
        <w:spacing w:line="60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lang w:val="zh-CN"/>
        </w:rPr>
        <w:t>2.时效指标完成情况：每一项项目的开展，在规定的时间内完成。</w:t>
      </w:r>
    </w:p>
    <w:p w14:paraId="174BE528">
      <w:pPr>
        <w:spacing w:line="600" w:lineRule="exact"/>
        <w:ind w:firstLine="640" w:firstLineChars="200"/>
        <w:rPr>
          <w:rFonts w:ascii="仿宋" w:hAnsi="仿宋" w:eastAsia="仿宋" w:cs="仿宋_GB2312"/>
          <w:sz w:val="32"/>
          <w:szCs w:val="32"/>
          <w:lang w:val="zh-CN"/>
        </w:rPr>
      </w:pPr>
      <w:r>
        <w:rPr>
          <w:rFonts w:hint="eastAsia" w:ascii="仿宋" w:hAnsi="仿宋" w:eastAsia="仿宋" w:cs="仿宋_GB2312"/>
          <w:sz w:val="32"/>
          <w:szCs w:val="32"/>
        </w:rPr>
        <w:t>3.</w:t>
      </w:r>
      <w:r>
        <w:rPr>
          <w:rFonts w:hint="eastAsia" w:ascii="仿宋" w:hAnsi="仿宋" w:eastAsia="仿宋" w:cs="仿宋_GB2312"/>
          <w:sz w:val="32"/>
          <w:szCs w:val="32"/>
          <w:lang w:val="zh-CN"/>
        </w:rPr>
        <w:t>服务对象满意度指标完成情况：服务对象满意度达到100%。</w:t>
      </w:r>
    </w:p>
    <w:p w14:paraId="39A6C6B0">
      <w:pPr>
        <w:numPr>
          <w:ilvl w:val="0"/>
          <w:numId w:val="6"/>
        </w:numPr>
        <w:spacing w:line="600" w:lineRule="exact"/>
        <w:ind w:firstLine="640" w:firstLineChars="200"/>
        <w:rPr>
          <w:rFonts w:ascii="黑体" w:hAnsi="宋体" w:eastAsia="黑体"/>
          <w:sz w:val="32"/>
          <w:szCs w:val="32"/>
        </w:rPr>
      </w:pPr>
      <w:r>
        <w:rPr>
          <w:rFonts w:hint="eastAsia" w:ascii="黑体" w:hAnsi="宋体" w:eastAsia="黑体"/>
          <w:sz w:val="32"/>
          <w:szCs w:val="32"/>
        </w:rPr>
        <w:t>四、问题及建议</w:t>
      </w:r>
    </w:p>
    <w:p w14:paraId="74F040B6">
      <w:pPr>
        <w:numPr>
          <w:ilvl w:val="0"/>
          <w:numId w:val="7"/>
        </w:num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存在的问题。</w:t>
      </w:r>
      <w:r>
        <w:rPr>
          <w:rFonts w:hint="eastAsia" w:ascii="仿宋" w:hAnsi="仿宋" w:eastAsia="仿宋" w:cs="仿宋_GB2312"/>
          <w:sz w:val="32"/>
          <w:szCs w:val="32"/>
          <w:lang w:val="zh-CN"/>
        </w:rPr>
        <w:t>无</w:t>
      </w:r>
    </w:p>
    <w:p w14:paraId="2FBC8644">
      <w:pPr>
        <w:numPr>
          <w:ilvl w:val="0"/>
          <w:numId w:val="7"/>
        </w:num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相关建议。</w:t>
      </w:r>
    </w:p>
    <w:p w14:paraId="2AF129D4">
      <w:pPr>
        <w:spacing w:line="600" w:lineRule="exact"/>
        <w:ind w:firstLine="640" w:firstLineChars="200"/>
        <w:rPr>
          <w:rFonts w:ascii="仿宋" w:hAnsi="仿宋" w:eastAsia="仿宋" w:cs="仿宋_GB2312"/>
          <w:color w:val="000000"/>
          <w:sz w:val="32"/>
          <w:lang w:val="zh-CN"/>
        </w:rPr>
      </w:pPr>
      <w:r>
        <w:rPr>
          <w:rFonts w:hint="eastAsia" w:ascii="仿宋" w:hAnsi="仿宋" w:eastAsia="仿宋" w:cs="仿宋_GB2312"/>
          <w:color w:val="000000"/>
          <w:sz w:val="32"/>
          <w:lang w:val="zh-CN"/>
        </w:rPr>
        <w:t>1.加大财政投入，加大帮扶力度，进一步发挥帮扶工作应有作用。</w:t>
      </w:r>
    </w:p>
    <w:p w14:paraId="0EC72167">
      <w:pPr>
        <w:spacing w:line="600" w:lineRule="exact"/>
        <w:ind w:firstLine="640" w:firstLineChars="200"/>
        <w:rPr>
          <w:rFonts w:ascii="仿宋" w:hAnsi="仿宋" w:eastAsia="仿宋" w:cs="仿宋_GB2312"/>
          <w:color w:val="000000"/>
          <w:sz w:val="32"/>
          <w:lang w:val="zh-CN"/>
        </w:rPr>
      </w:pPr>
      <w:r>
        <w:rPr>
          <w:rFonts w:hint="eastAsia" w:ascii="仿宋" w:hAnsi="仿宋" w:eastAsia="仿宋" w:cs="仿宋_GB2312"/>
          <w:color w:val="000000"/>
          <w:sz w:val="32"/>
          <w:lang w:val="zh-CN"/>
        </w:rPr>
        <w:t>2.拓宽筹资渠道，充分利用好社会资源，多渠道筹集帮扶资金，形成社会帮扶合力。</w:t>
      </w:r>
    </w:p>
    <w:p w14:paraId="329C044B">
      <w:pPr>
        <w:spacing w:line="600" w:lineRule="exact"/>
        <w:ind w:firstLine="640" w:firstLineChars="200"/>
        <w:rPr>
          <w:rFonts w:ascii="仿宋" w:hAnsi="仿宋" w:eastAsia="仿宋" w:cs="仿宋_GB2312"/>
          <w:color w:val="000000"/>
          <w:sz w:val="32"/>
          <w:lang w:val="zh-CN"/>
        </w:rPr>
      </w:pPr>
      <w:r>
        <w:rPr>
          <w:rFonts w:hint="eastAsia" w:ascii="仿宋" w:hAnsi="仿宋" w:eastAsia="仿宋" w:cs="仿宋_GB2312"/>
          <w:color w:val="000000"/>
          <w:sz w:val="32"/>
          <w:lang w:val="zh-CN"/>
        </w:rPr>
        <w:t>3.严格帮扶程序，开展精准帮扶，坚决杜绝人情帮扶、关系帮扶。</w:t>
      </w:r>
    </w:p>
    <w:p w14:paraId="11572867">
      <w:pPr>
        <w:spacing w:line="600" w:lineRule="exact"/>
        <w:ind w:firstLine="640" w:firstLineChars="200"/>
        <w:rPr>
          <w:rFonts w:ascii="仿宋" w:hAnsi="仿宋" w:eastAsia="仿宋" w:cs="仿宋_GB2312"/>
          <w:color w:val="000000"/>
          <w:sz w:val="32"/>
          <w:lang w:val="zh-CN"/>
        </w:rPr>
      </w:pPr>
      <w:r>
        <w:rPr>
          <w:rFonts w:hint="eastAsia" w:ascii="仿宋" w:hAnsi="仿宋" w:eastAsia="仿宋" w:cs="仿宋_GB2312"/>
          <w:color w:val="000000"/>
          <w:sz w:val="32"/>
          <w:lang w:val="zh-CN"/>
        </w:rPr>
        <w:t>4.完善</w:t>
      </w:r>
      <w:r>
        <w:rPr>
          <w:rFonts w:ascii="仿宋" w:hAnsi="仿宋" w:eastAsia="仿宋" w:cs="仿宋_GB2312"/>
          <w:color w:val="000000"/>
          <w:sz w:val="32"/>
          <w:lang w:val="zh-CN"/>
        </w:rPr>
        <w:t>内部控制制度</w:t>
      </w:r>
      <w:r>
        <w:rPr>
          <w:rFonts w:hint="eastAsia" w:ascii="仿宋" w:hAnsi="仿宋" w:eastAsia="仿宋" w:cs="仿宋_GB2312"/>
          <w:color w:val="000000"/>
          <w:sz w:val="32"/>
          <w:lang w:val="zh-CN"/>
        </w:rPr>
        <w:t>，</w:t>
      </w:r>
      <w:r>
        <w:rPr>
          <w:rFonts w:ascii="仿宋" w:hAnsi="仿宋" w:eastAsia="仿宋" w:cs="仿宋_GB2312"/>
          <w:color w:val="000000"/>
          <w:sz w:val="32"/>
          <w:lang w:val="zh-CN"/>
        </w:rPr>
        <w:t xml:space="preserve">创新管理手段，规范财务核算，有效降低行政成本，提高财政资金使用效率。实现财政预算资金的规范、高效、安全和廉洁使用。 </w:t>
      </w:r>
    </w:p>
    <w:p w14:paraId="2C17F35D">
      <w:pPr>
        <w:pStyle w:val="13"/>
        <w:spacing w:line="560" w:lineRule="exact"/>
        <w:ind w:left="0" w:leftChars="0" w:firstLine="640"/>
        <w:rPr>
          <w:rFonts w:hint="eastAsia" w:ascii="仿宋" w:hAnsi="仿宋" w:eastAsia="仿宋" w:cs="仿宋_GB2312"/>
          <w:color w:val="000000"/>
          <w:sz w:val="32"/>
          <w:szCs w:val="24"/>
          <w:lang w:val="zh-CN"/>
        </w:rPr>
      </w:pPr>
    </w:p>
    <w:p w14:paraId="011C97FB">
      <w:pPr>
        <w:pStyle w:val="13"/>
        <w:spacing w:line="560" w:lineRule="exact"/>
        <w:ind w:left="0" w:leftChars="0" w:firstLine="640"/>
        <w:rPr>
          <w:rFonts w:ascii="仿宋" w:hAnsi="仿宋" w:eastAsia="仿宋" w:cs="仿宋_GB2312"/>
          <w:color w:val="000000"/>
          <w:sz w:val="32"/>
          <w:szCs w:val="24"/>
          <w:lang w:val="zh-CN"/>
        </w:rPr>
      </w:pPr>
      <w:r>
        <w:rPr>
          <w:rFonts w:hint="eastAsia" w:ascii="仿宋" w:hAnsi="仿宋" w:eastAsia="仿宋" w:cs="仿宋_GB2312"/>
          <w:color w:val="000000"/>
          <w:sz w:val="32"/>
          <w:szCs w:val="24"/>
          <w:lang w:val="zh-CN"/>
        </w:rPr>
        <w:t>附表：部门预算项目支出绩效自评表（2022年度）</w:t>
      </w:r>
    </w:p>
    <w:p w14:paraId="18367B35">
      <w:pPr>
        <w:pStyle w:val="33"/>
        <w:spacing w:line="578" w:lineRule="exact"/>
        <w:ind w:firstLine="640"/>
        <w:jc w:val="center"/>
        <w:rPr>
          <w:rFonts w:ascii="宋体" w:hAnsi="宋体"/>
          <w:color w:val="auto"/>
          <w:kern w:val="2"/>
          <w:sz w:val="32"/>
          <w:szCs w:val="32"/>
        </w:rPr>
      </w:pPr>
    </w:p>
    <w:p w14:paraId="54659C48">
      <w:pPr>
        <w:widowControl/>
        <w:jc w:val="center"/>
        <w:rPr>
          <w:rFonts w:ascii="黑体" w:hAnsi="黑体" w:eastAsia="黑体" w:cs="宋体"/>
          <w:b/>
          <w:bCs/>
          <w:kern w:val="0"/>
          <w:sz w:val="28"/>
          <w:szCs w:val="28"/>
        </w:rPr>
        <w:sectPr>
          <w:headerReference r:id="rId3" w:type="default"/>
          <w:footerReference r:id="rId4" w:type="default"/>
          <w:pgSz w:w="11906" w:h="16838"/>
          <w:pgMar w:top="1440" w:right="1588" w:bottom="1134" w:left="1588" w:header="851" w:footer="567" w:gutter="0"/>
          <w:pgNumType w:fmt="numberInDash" w:start="1"/>
          <w:cols w:space="425" w:num="1"/>
          <w:titlePg/>
          <w:docGrid w:type="lines" w:linePitch="312" w:charSpace="0"/>
        </w:sectPr>
      </w:pPr>
      <w:bookmarkStart w:id="58" w:name="_Toc15396618"/>
    </w:p>
    <w:tbl>
      <w:tblPr>
        <w:tblStyle w:val="14"/>
        <w:tblW w:w="14332" w:type="dxa"/>
        <w:tblInd w:w="93" w:type="dxa"/>
        <w:tblLayout w:type="fixed"/>
        <w:tblCellMar>
          <w:top w:w="0" w:type="dxa"/>
          <w:left w:w="108" w:type="dxa"/>
          <w:bottom w:w="0" w:type="dxa"/>
          <w:right w:w="108" w:type="dxa"/>
        </w:tblCellMar>
      </w:tblPr>
      <w:tblGrid>
        <w:gridCol w:w="1430"/>
        <w:gridCol w:w="1420"/>
        <w:gridCol w:w="709"/>
        <w:gridCol w:w="1418"/>
        <w:gridCol w:w="1275"/>
        <w:gridCol w:w="1843"/>
        <w:gridCol w:w="2977"/>
        <w:gridCol w:w="940"/>
        <w:gridCol w:w="1240"/>
        <w:gridCol w:w="1080"/>
      </w:tblGrid>
      <w:tr w14:paraId="1F80B6C7">
        <w:tblPrEx>
          <w:tblCellMar>
            <w:top w:w="0" w:type="dxa"/>
            <w:left w:w="108" w:type="dxa"/>
            <w:bottom w:w="0" w:type="dxa"/>
            <w:right w:w="108" w:type="dxa"/>
          </w:tblCellMar>
        </w:tblPrEx>
        <w:trPr>
          <w:trHeight w:val="375" w:hRule="atLeast"/>
        </w:trPr>
        <w:tc>
          <w:tcPr>
            <w:tcW w:w="14332"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14:paraId="1A096219">
            <w:pPr>
              <w:widowControl/>
              <w:jc w:val="center"/>
              <w:rPr>
                <w:rFonts w:ascii="黑体" w:hAnsi="黑体" w:eastAsia="黑体" w:cs="宋体"/>
                <w:b/>
                <w:bCs/>
                <w:kern w:val="0"/>
                <w:sz w:val="28"/>
                <w:szCs w:val="28"/>
              </w:rPr>
            </w:pPr>
            <w:r>
              <w:rPr>
                <w:rFonts w:hint="eastAsia" w:ascii="黑体" w:hAnsi="黑体" w:eastAsia="黑体" w:cs="宋体"/>
                <w:b/>
                <w:bCs/>
                <w:kern w:val="0"/>
                <w:sz w:val="28"/>
                <w:szCs w:val="28"/>
              </w:rPr>
              <w:t>项目支出绩效表</w:t>
            </w:r>
          </w:p>
        </w:tc>
      </w:tr>
      <w:tr w14:paraId="21C8C150">
        <w:tblPrEx>
          <w:tblCellMar>
            <w:top w:w="0" w:type="dxa"/>
            <w:left w:w="108" w:type="dxa"/>
            <w:bottom w:w="0" w:type="dxa"/>
            <w:right w:w="108" w:type="dxa"/>
          </w:tblCellMar>
        </w:tblPrEx>
        <w:trPr>
          <w:trHeight w:val="255" w:hRule="atLeast"/>
        </w:trPr>
        <w:tc>
          <w:tcPr>
            <w:tcW w:w="1430" w:type="dxa"/>
            <w:tcBorders>
              <w:top w:val="nil"/>
              <w:left w:val="single" w:color="FFFFFF" w:sz="4" w:space="0"/>
              <w:bottom w:val="nil"/>
              <w:right w:val="single" w:color="FFFFFF" w:sz="4" w:space="0"/>
            </w:tcBorders>
            <w:shd w:val="clear" w:color="auto" w:fill="auto"/>
            <w:noWrap/>
            <w:vAlign w:val="center"/>
          </w:tcPr>
          <w:p w14:paraId="6EA4CD30">
            <w:pPr>
              <w:widowControl/>
              <w:jc w:val="left"/>
              <w:rPr>
                <w:rFonts w:ascii="宋体" w:hAnsi="宋体" w:cs="宋体"/>
                <w:kern w:val="0"/>
                <w:sz w:val="20"/>
                <w:szCs w:val="20"/>
              </w:rPr>
            </w:pPr>
            <w:r>
              <w:rPr>
                <w:rFonts w:hint="eastAsia" w:ascii="宋体" w:hAnsi="宋体" w:cs="宋体"/>
                <w:kern w:val="0"/>
                <w:sz w:val="20"/>
                <w:szCs w:val="20"/>
              </w:rPr>
              <w:t>预算年度2022</w:t>
            </w:r>
          </w:p>
        </w:tc>
        <w:tc>
          <w:tcPr>
            <w:tcW w:w="1420" w:type="dxa"/>
            <w:tcBorders>
              <w:top w:val="nil"/>
              <w:left w:val="nil"/>
              <w:bottom w:val="nil"/>
              <w:right w:val="single" w:color="FFFFFF" w:sz="4" w:space="0"/>
            </w:tcBorders>
            <w:shd w:val="clear" w:color="auto" w:fill="auto"/>
            <w:noWrap/>
            <w:vAlign w:val="center"/>
          </w:tcPr>
          <w:p w14:paraId="1AFAEE14">
            <w:pPr>
              <w:widowControl/>
              <w:jc w:val="center"/>
              <w:rPr>
                <w:rFonts w:ascii="宋体" w:hAnsi="宋体" w:cs="宋体"/>
                <w:kern w:val="0"/>
                <w:sz w:val="20"/>
                <w:szCs w:val="20"/>
              </w:rPr>
            </w:pPr>
            <w:r>
              <w:rPr>
                <w:rFonts w:hint="eastAsia" w:ascii="宋体" w:hAnsi="宋体" w:cs="宋体"/>
                <w:kern w:val="0"/>
                <w:sz w:val="20"/>
                <w:szCs w:val="20"/>
              </w:rPr>
              <w:t>　</w:t>
            </w:r>
          </w:p>
        </w:tc>
        <w:tc>
          <w:tcPr>
            <w:tcW w:w="709" w:type="dxa"/>
            <w:tcBorders>
              <w:top w:val="nil"/>
              <w:left w:val="nil"/>
              <w:bottom w:val="nil"/>
              <w:right w:val="single" w:color="FFFFFF" w:sz="4" w:space="0"/>
            </w:tcBorders>
            <w:shd w:val="clear" w:color="auto" w:fill="auto"/>
            <w:vAlign w:val="center"/>
          </w:tcPr>
          <w:p w14:paraId="34008912">
            <w:pPr>
              <w:widowControl/>
              <w:jc w:val="left"/>
              <w:rPr>
                <w:kern w:val="0"/>
                <w:sz w:val="20"/>
                <w:szCs w:val="20"/>
              </w:rPr>
            </w:pPr>
            <w:r>
              <w:rPr>
                <w:kern w:val="0"/>
                <w:sz w:val="20"/>
                <w:szCs w:val="20"/>
              </w:rPr>
              <w:t>　</w:t>
            </w:r>
          </w:p>
        </w:tc>
        <w:tc>
          <w:tcPr>
            <w:tcW w:w="1418" w:type="dxa"/>
            <w:tcBorders>
              <w:top w:val="nil"/>
              <w:left w:val="nil"/>
              <w:bottom w:val="nil"/>
              <w:right w:val="single" w:color="FFFFFF" w:sz="4" w:space="0"/>
            </w:tcBorders>
            <w:shd w:val="clear" w:color="auto" w:fill="auto"/>
            <w:vAlign w:val="center"/>
          </w:tcPr>
          <w:p w14:paraId="3851C28C">
            <w:pPr>
              <w:widowControl/>
              <w:jc w:val="left"/>
              <w:rPr>
                <w:kern w:val="0"/>
                <w:sz w:val="20"/>
                <w:szCs w:val="20"/>
              </w:rPr>
            </w:pPr>
            <w:r>
              <w:rPr>
                <w:kern w:val="0"/>
                <w:sz w:val="20"/>
                <w:szCs w:val="20"/>
              </w:rPr>
              <w:t>　</w:t>
            </w:r>
          </w:p>
        </w:tc>
        <w:tc>
          <w:tcPr>
            <w:tcW w:w="1275" w:type="dxa"/>
            <w:tcBorders>
              <w:top w:val="nil"/>
              <w:left w:val="nil"/>
              <w:bottom w:val="nil"/>
              <w:right w:val="single" w:color="FFFFFF" w:sz="4" w:space="0"/>
            </w:tcBorders>
            <w:shd w:val="clear" w:color="auto" w:fill="auto"/>
            <w:vAlign w:val="center"/>
          </w:tcPr>
          <w:p w14:paraId="1C145603">
            <w:pPr>
              <w:widowControl/>
              <w:jc w:val="left"/>
              <w:rPr>
                <w:kern w:val="0"/>
                <w:sz w:val="20"/>
                <w:szCs w:val="20"/>
              </w:rPr>
            </w:pPr>
            <w:r>
              <w:rPr>
                <w:kern w:val="0"/>
                <w:sz w:val="20"/>
                <w:szCs w:val="20"/>
              </w:rPr>
              <w:t>　</w:t>
            </w:r>
          </w:p>
        </w:tc>
        <w:tc>
          <w:tcPr>
            <w:tcW w:w="1843" w:type="dxa"/>
            <w:tcBorders>
              <w:top w:val="nil"/>
              <w:left w:val="nil"/>
              <w:bottom w:val="nil"/>
              <w:right w:val="single" w:color="FFFFFF" w:sz="4" w:space="0"/>
            </w:tcBorders>
            <w:shd w:val="clear" w:color="auto" w:fill="auto"/>
            <w:vAlign w:val="center"/>
          </w:tcPr>
          <w:p w14:paraId="7B80D20C">
            <w:pPr>
              <w:widowControl/>
              <w:jc w:val="left"/>
              <w:rPr>
                <w:kern w:val="0"/>
                <w:sz w:val="20"/>
                <w:szCs w:val="20"/>
              </w:rPr>
            </w:pPr>
            <w:r>
              <w:rPr>
                <w:kern w:val="0"/>
                <w:sz w:val="20"/>
                <w:szCs w:val="20"/>
              </w:rPr>
              <w:t>　</w:t>
            </w:r>
          </w:p>
        </w:tc>
        <w:tc>
          <w:tcPr>
            <w:tcW w:w="2977" w:type="dxa"/>
            <w:tcBorders>
              <w:top w:val="nil"/>
              <w:left w:val="nil"/>
              <w:bottom w:val="nil"/>
              <w:right w:val="single" w:color="FFFFFF" w:sz="4" w:space="0"/>
            </w:tcBorders>
            <w:shd w:val="clear" w:color="auto" w:fill="auto"/>
            <w:vAlign w:val="center"/>
          </w:tcPr>
          <w:p w14:paraId="2D954643">
            <w:pPr>
              <w:widowControl/>
              <w:jc w:val="left"/>
              <w:rPr>
                <w:kern w:val="0"/>
                <w:sz w:val="20"/>
                <w:szCs w:val="20"/>
              </w:rPr>
            </w:pPr>
            <w:r>
              <w:rPr>
                <w:kern w:val="0"/>
                <w:sz w:val="20"/>
                <w:szCs w:val="20"/>
              </w:rPr>
              <w:t>　</w:t>
            </w:r>
          </w:p>
        </w:tc>
        <w:tc>
          <w:tcPr>
            <w:tcW w:w="940" w:type="dxa"/>
            <w:tcBorders>
              <w:top w:val="nil"/>
              <w:left w:val="nil"/>
              <w:bottom w:val="nil"/>
              <w:right w:val="single" w:color="FFFFFF" w:sz="4" w:space="0"/>
            </w:tcBorders>
            <w:shd w:val="clear" w:color="auto" w:fill="auto"/>
            <w:vAlign w:val="center"/>
          </w:tcPr>
          <w:p w14:paraId="529BA8EA">
            <w:pPr>
              <w:widowControl/>
              <w:jc w:val="left"/>
              <w:rPr>
                <w:kern w:val="0"/>
                <w:sz w:val="20"/>
                <w:szCs w:val="20"/>
              </w:rPr>
            </w:pPr>
            <w:r>
              <w:rPr>
                <w:kern w:val="0"/>
                <w:sz w:val="20"/>
                <w:szCs w:val="20"/>
              </w:rPr>
              <w:t>　</w:t>
            </w:r>
          </w:p>
        </w:tc>
        <w:tc>
          <w:tcPr>
            <w:tcW w:w="1240" w:type="dxa"/>
            <w:tcBorders>
              <w:top w:val="nil"/>
              <w:left w:val="nil"/>
              <w:bottom w:val="nil"/>
              <w:right w:val="single" w:color="FFFFFF" w:sz="4" w:space="0"/>
            </w:tcBorders>
            <w:shd w:val="clear" w:color="auto" w:fill="auto"/>
            <w:vAlign w:val="center"/>
          </w:tcPr>
          <w:p w14:paraId="384AD975">
            <w:pPr>
              <w:widowControl/>
              <w:jc w:val="left"/>
              <w:rPr>
                <w:kern w:val="0"/>
                <w:sz w:val="20"/>
                <w:szCs w:val="20"/>
              </w:rPr>
            </w:pPr>
            <w:r>
              <w:rPr>
                <w:kern w:val="0"/>
                <w:sz w:val="20"/>
                <w:szCs w:val="20"/>
              </w:rPr>
              <w:t>　</w:t>
            </w:r>
          </w:p>
        </w:tc>
        <w:tc>
          <w:tcPr>
            <w:tcW w:w="1080" w:type="dxa"/>
            <w:tcBorders>
              <w:top w:val="nil"/>
              <w:left w:val="nil"/>
              <w:bottom w:val="nil"/>
              <w:right w:val="single" w:color="FFFFFF" w:sz="4" w:space="0"/>
            </w:tcBorders>
            <w:shd w:val="clear" w:color="auto" w:fill="auto"/>
            <w:vAlign w:val="center"/>
          </w:tcPr>
          <w:p w14:paraId="020912A0">
            <w:pPr>
              <w:widowControl/>
              <w:jc w:val="left"/>
              <w:rPr>
                <w:kern w:val="0"/>
                <w:sz w:val="20"/>
                <w:szCs w:val="20"/>
              </w:rPr>
            </w:pPr>
            <w:r>
              <w:rPr>
                <w:kern w:val="0"/>
                <w:sz w:val="20"/>
                <w:szCs w:val="20"/>
              </w:rPr>
              <w:t>　</w:t>
            </w:r>
          </w:p>
        </w:tc>
      </w:tr>
      <w:tr w14:paraId="469D6977">
        <w:tblPrEx>
          <w:tblCellMar>
            <w:top w:w="0" w:type="dxa"/>
            <w:left w:w="108" w:type="dxa"/>
            <w:bottom w:w="0" w:type="dxa"/>
            <w:right w:w="108" w:type="dxa"/>
          </w:tblCellMar>
        </w:tblPrEx>
        <w:trPr>
          <w:trHeight w:val="312" w:hRule="atLeast"/>
        </w:trPr>
        <w:tc>
          <w:tcPr>
            <w:tcW w:w="143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317BB7">
            <w:pPr>
              <w:widowControl/>
              <w:jc w:val="center"/>
              <w:rPr>
                <w:rFonts w:ascii="宋体" w:hAnsi="宋体" w:cs="宋体"/>
                <w:b/>
                <w:bCs/>
                <w:kern w:val="0"/>
                <w:sz w:val="20"/>
                <w:szCs w:val="20"/>
              </w:rPr>
            </w:pPr>
            <w:r>
              <w:rPr>
                <w:rFonts w:hint="eastAsia" w:ascii="宋体" w:hAnsi="宋体" w:cs="宋体"/>
                <w:b/>
                <w:bCs/>
                <w:kern w:val="0"/>
                <w:sz w:val="20"/>
                <w:szCs w:val="20"/>
              </w:rPr>
              <w:t>单位名称</w:t>
            </w:r>
          </w:p>
        </w:tc>
        <w:tc>
          <w:tcPr>
            <w:tcW w:w="142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EC5FBB">
            <w:pPr>
              <w:widowControl/>
              <w:jc w:val="center"/>
              <w:rPr>
                <w:rFonts w:ascii="宋体" w:hAnsi="宋体" w:cs="宋体"/>
                <w:b/>
                <w:bCs/>
                <w:kern w:val="0"/>
                <w:sz w:val="20"/>
                <w:szCs w:val="20"/>
              </w:rPr>
            </w:pPr>
            <w:r>
              <w:rPr>
                <w:rFonts w:hint="eastAsia" w:ascii="宋体" w:hAnsi="宋体" w:cs="宋体"/>
                <w:b/>
                <w:bCs/>
                <w:kern w:val="0"/>
                <w:sz w:val="20"/>
                <w:szCs w:val="20"/>
              </w:rPr>
              <w:t>项目名称</w:t>
            </w:r>
          </w:p>
        </w:tc>
        <w:tc>
          <w:tcPr>
            <w:tcW w:w="709"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2077A908">
            <w:pPr>
              <w:widowControl/>
              <w:jc w:val="center"/>
              <w:rPr>
                <w:rFonts w:ascii="宋体" w:hAnsi="宋体" w:cs="宋体"/>
                <w:b/>
                <w:bCs/>
                <w:kern w:val="0"/>
                <w:sz w:val="20"/>
                <w:szCs w:val="20"/>
              </w:rPr>
            </w:pPr>
            <w:r>
              <w:rPr>
                <w:rFonts w:hint="eastAsia" w:ascii="宋体" w:hAnsi="宋体" w:cs="宋体"/>
                <w:b/>
                <w:bCs/>
                <w:kern w:val="0"/>
                <w:sz w:val="20"/>
                <w:szCs w:val="20"/>
              </w:rPr>
              <w:t>项目资金</w:t>
            </w:r>
          </w:p>
        </w:tc>
        <w:tc>
          <w:tcPr>
            <w:tcW w:w="1418"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E40603">
            <w:pPr>
              <w:widowControl/>
              <w:jc w:val="center"/>
              <w:rPr>
                <w:rFonts w:ascii="宋体" w:hAnsi="宋体" w:cs="宋体"/>
                <w:b/>
                <w:bCs/>
                <w:kern w:val="0"/>
                <w:sz w:val="20"/>
                <w:szCs w:val="20"/>
              </w:rPr>
            </w:pPr>
            <w:r>
              <w:rPr>
                <w:rFonts w:hint="eastAsia" w:ascii="宋体" w:hAnsi="宋体" w:cs="宋体"/>
                <w:b/>
                <w:bCs/>
                <w:kern w:val="0"/>
                <w:sz w:val="20"/>
                <w:szCs w:val="20"/>
              </w:rPr>
              <w:t>绩效目标</w:t>
            </w:r>
          </w:p>
        </w:tc>
        <w:tc>
          <w:tcPr>
            <w:tcW w:w="127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AA9322">
            <w:pPr>
              <w:widowControl/>
              <w:jc w:val="center"/>
              <w:rPr>
                <w:rFonts w:ascii="宋体" w:hAnsi="宋体" w:cs="宋体"/>
                <w:b/>
                <w:bCs/>
                <w:kern w:val="0"/>
                <w:sz w:val="20"/>
                <w:szCs w:val="20"/>
              </w:rPr>
            </w:pPr>
            <w:r>
              <w:rPr>
                <w:rFonts w:hint="eastAsia" w:ascii="宋体" w:hAnsi="宋体" w:cs="宋体"/>
                <w:b/>
                <w:bCs/>
                <w:kern w:val="0"/>
                <w:sz w:val="20"/>
                <w:szCs w:val="20"/>
              </w:rPr>
              <w:t>一级指标</w:t>
            </w:r>
          </w:p>
        </w:tc>
        <w:tc>
          <w:tcPr>
            <w:tcW w:w="1843"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43F85D">
            <w:pPr>
              <w:widowControl/>
              <w:jc w:val="center"/>
              <w:rPr>
                <w:rFonts w:ascii="宋体" w:hAnsi="宋体" w:cs="宋体"/>
                <w:b/>
                <w:bCs/>
                <w:kern w:val="0"/>
                <w:sz w:val="20"/>
                <w:szCs w:val="20"/>
              </w:rPr>
            </w:pPr>
            <w:r>
              <w:rPr>
                <w:rFonts w:hint="eastAsia" w:ascii="宋体" w:hAnsi="宋体" w:cs="宋体"/>
                <w:b/>
                <w:bCs/>
                <w:kern w:val="0"/>
                <w:sz w:val="20"/>
                <w:szCs w:val="20"/>
              </w:rPr>
              <w:t>二级指标</w:t>
            </w:r>
          </w:p>
        </w:tc>
        <w:tc>
          <w:tcPr>
            <w:tcW w:w="297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F494CA">
            <w:pPr>
              <w:widowControl/>
              <w:jc w:val="center"/>
              <w:rPr>
                <w:rFonts w:ascii="宋体" w:hAnsi="宋体" w:cs="宋体"/>
                <w:b/>
                <w:bCs/>
                <w:kern w:val="0"/>
                <w:sz w:val="20"/>
                <w:szCs w:val="20"/>
              </w:rPr>
            </w:pPr>
            <w:r>
              <w:rPr>
                <w:rFonts w:hint="eastAsia" w:ascii="宋体" w:hAnsi="宋体" w:cs="宋体"/>
                <w:b/>
                <w:bCs/>
                <w:kern w:val="0"/>
                <w:sz w:val="20"/>
                <w:szCs w:val="20"/>
              </w:rPr>
              <w:t>三级指标</w:t>
            </w:r>
          </w:p>
        </w:tc>
        <w:tc>
          <w:tcPr>
            <w:tcW w:w="940"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4E311E9C">
            <w:pPr>
              <w:widowControl/>
              <w:jc w:val="center"/>
              <w:rPr>
                <w:rFonts w:ascii="宋体" w:hAnsi="宋体" w:cs="宋体"/>
                <w:b/>
                <w:bCs/>
                <w:kern w:val="0"/>
                <w:sz w:val="20"/>
                <w:szCs w:val="20"/>
              </w:rPr>
            </w:pPr>
            <w:r>
              <w:rPr>
                <w:rFonts w:hint="eastAsia" w:ascii="宋体" w:hAnsi="宋体" w:cs="宋体"/>
                <w:b/>
                <w:bCs/>
                <w:kern w:val="0"/>
                <w:sz w:val="20"/>
                <w:szCs w:val="20"/>
              </w:rPr>
              <w:t>绩效指标性质</w:t>
            </w:r>
          </w:p>
        </w:tc>
        <w:tc>
          <w:tcPr>
            <w:tcW w:w="124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08C197">
            <w:pPr>
              <w:widowControl/>
              <w:jc w:val="center"/>
              <w:rPr>
                <w:rFonts w:ascii="宋体" w:hAnsi="宋体" w:cs="宋体"/>
                <w:b/>
                <w:bCs/>
                <w:kern w:val="0"/>
                <w:sz w:val="20"/>
                <w:szCs w:val="20"/>
              </w:rPr>
            </w:pPr>
            <w:r>
              <w:rPr>
                <w:rFonts w:hint="eastAsia" w:ascii="宋体" w:hAnsi="宋体" w:cs="宋体"/>
                <w:b/>
                <w:bCs/>
                <w:kern w:val="0"/>
                <w:sz w:val="20"/>
                <w:szCs w:val="20"/>
              </w:rPr>
              <w:t>绩效指标值</w:t>
            </w:r>
          </w:p>
        </w:tc>
        <w:tc>
          <w:tcPr>
            <w:tcW w:w="1080"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14:paraId="7144C4B1">
            <w:pPr>
              <w:widowControl/>
              <w:jc w:val="center"/>
              <w:rPr>
                <w:rFonts w:ascii="宋体" w:hAnsi="宋体" w:cs="宋体"/>
                <w:b/>
                <w:bCs/>
                <w:kern w:val="0"/>
                <w:sz w:val="20"/>
                <w:szCs w:val="20"/>
              </w:rPr>
            </w:pPr>
            <w:r>
              <w:rPr>
                <w:rFonts w:hint="eastAsia" w:ascii="宋体" w:hAnsi="宋体" w:cs="宋体"/>
                <w:b/>
                <w:bCs/>
                <w:kern w:val="0"/>
                <w:sz w:val="20"/>
                <w:szCs w:val="20"/>
              </w:rPr>
              <w:t>绩效度量单位</w:t>
            </w:r>
          </w:p>
        </w:tc>
      </w:tr>
      <w:tr w14:paraId="4D374F59">
        <w:tblPrEx>
          <w:tblCellMar>
            <w:top w:w="0" w:type="dxa"/>
            <w:left w:w="108" w:type="dxa"/>
            <w:bottom w:w="0" w:type="dxa"/>
            <w:right w:w="108" w:type="dxa"/>
          </w:tblCellMar>
        </w:tblPrEx>
        <w:trPr>
          <w:trHeight w:val="312" w:hRule="atLeast"/>
        </w:trPr>
        <w:tc>
          <w:tcPr>
            <w:tcW w:w="1430" w:type="dxa"/>
            <w:vMerge w:val="continue"/>
            <w:tcBorders>
              <w:top w:val="single" w:color="C0C0C0" w:sz="4" w:space="0"/>
              <w:left w:val="single" w:color="C0C0C0" w:sz="4" w:space="0"/>
              <w:bottom w:val="single" w:color="C0C0C0" w:sz="4" w:space="0"/>
              <w:right w:val="single" w:color="C0C0C0" w:sz="4" w:space="0"/>
            </w:tcBorders>
            <w:vAlign w:val="center"/>
          </w:tcPr>
          <w:p w14:paraId="0663B203">
            <w:pPr>
              <w:widowControl/>
              <w:jc w:val="left"/>
              <w:rPr>
                <w:rFonts w:ascii="宋体" w:hAnsi="宋体" w:cs="宋体"/>
                <w:b/>
                <w:bCs/>
                <w:kern w:val="0"/>
                <w:sz w:val="20"/>
                <w:szCs w:val="20"/>
              </w:rPr>
            </w:pPr>
          </w:p>
        </w:tc>
        <w:tc>
          <w:tcPr>
            <w:tcW w:w="1420" w:type="dxa"/>
            <w:vMerge w:val="continue"/>
            <w:tcBorders>
              <w:top w:val="single" w:color="C0C0C0" w:sz="4" w:space="0"/>
              <w:left w:val="single" w:color="C0C0C0" w:sz="4" w:space="0"/>
              <w:bottom w:val="single" w:color="C0C0C0" w:sz="4" w:space="0"/>
              <w:right w:val="single" w:color="C0C0C0" w:sz="4" w:space="0"/>
            </w:tcBorders>
            <w:vAlign w:val="center"/>
          </w:tcPr>
          <w:p w14:paraId="2FFF1E96">
            <w:pPr>
              <w:widowControl/>
              <w:jc w:val="left"/>
              <w:rPr>
                <w:rFonts w:ascii="宋体" w:hAnsi="宋体" w:cs="宋体"/>
                <w:b/>
                <w:bCs/>
                <w:kern w:val="0"/>
                <w:sz w:val="20"/>
                <w:szCs w:val="20"/>
              </w:rPr>
            </w:pPr>
          </w:p>
        </w:tc>
        <w:tc>
          <w:tcPr>
            <w:tcW w:w="709" w:type="dxa"/>
            <w:vMerge w:val="continue"/>
            <w:tcBorders>
              <w:top w:val="single" w:color="C0C0C0" w:sz="4" w:space="0"/>
              <w:left w:val="single" w:color="C0C0C0" w:sz="4" w:space="0"/>
              <w:bottom w:val="single" w:color="C0C0C0" w:sz="4" w:space="0"/>
              <w:right w:val="single" w:color="C0C0C0" w:sz="4" w:space="0"/>
            </w:tcBorders>
            <w:vAlign w:val="center"/>
          </w:tcPr>
          <w:p w14:paraId="34EF4D92">
            <w:pPr>
              <w:widowControl/>
              <w:jc w:val="left"/>
              <w:rPr>
                <w:rFonts w:ascii="宋体" w:hAnsi="宋体" w:cs="宋体"/>
                <w:b/>
                <w:bCs/>
                <w:kern w:val="0"/>
                <w:sz w:val="20"/>
                <w:szCs w:val="20"/>
              </w:rPr>
            </w:pPr>
          </w:p>
        </w:tc>
        <w:tc>
          <w:tcPr>
            <w:tcW w:w="1418" w:type="dxa"/>
            <w:vMerge w:val="continue"/>
            <w:tcBorders>
              <w:top w:val="single" w:color="C0C0C0" w:sz="4" w:space="0"/>
              <w:left w:val="single" w:color="C0C0C0" w:sz="4" w:space="0"/>
              <w:bottom w:val="single" w:color="C0C0C0" w:sz="4" w:space="0"/>
              <w:right w:val="single" w:color="C0C0C0" w:sz="4" w:space="0"/>
            </w:tcBorders>
            <w:vAlign w:val="center"/>
          </w:tcPr>
          <w:p w14:paraId="17C5A87B">
            <w:pPr>
              <w:widowControl/>
              <w:jc w:val="left"/>
              <w:rPr>
                <w:rFonts w:ascii="宋体" w:hAnsi="宋体" w:cs="宋体"/>
                <w:b/>
                <w:bCs/>
                <w:kern w:val="0"/>
                <w:sz w:val="20"/>
                <w:szCs w:val="20"/>
              </w:rPr>
            </w:pPr>
          </w:p>
        </w:tc>
        <w:tc>
          <w:tcPr>
            <w:tcW w:w="1275" w:type="dxa"/>
            <w:vMerge w:val="continue"/>
            <w:tcBorders>
              <w:top w:val="single" w:color="C0C0C0" w:sz="4" w:space="0"/>
              <w:left w:val="single" w:color="C0C0C0" w:sz="4" w:space="0"/>
              <w:bottom w:val="single" w:color="C0C0C0" w:sz="4" w:space="0"/>
              <w:right w:val="single" w:color="C0C0C0" w:sz="4" w:space="0"/>
            </w:tcBorders>
            <w:vAlign w:val="center"/>
          </w:tcPr>
          <w:p w14:paraId="7CEC075D">
            <w:pPr>
              <w:widowControl/>
              <w:jc w:val="left"/>
              <w:rPr>
                <w:rFonts w:ascii="宋体" w:hAnsi="宋体" w:cs="宋体"/>
                <w:b/>
                <w:bCs/>
                <w:kern w:val="0"/>
                <w:sz w:val="20"/>
                <w:szCs w:val="20"/>
              </w:rPr>
            </w:pPr>
          </w:p>
        </w:tc>
        <w:tc>
          <w:tcPr>
            <w:tcW w:w="1843" w:type="dxa"/>
            <w:vMerge w:val="continue"/>
            <w:tcBorders>
              <w:top w:val="single" w:color="C0C0C0" w:sz="4" w:space="0"/>
              <w:left w:val="single" w:color="C0C0C0" w:sz="4" w:space="0"/>
              <w:bottom w:val="single" w:color="C0C0C0" w:sz="4" w:space="0"/>
              <w:right w:val="single" w:color="C0C0C0" w:sz="4" w:space="0"/>
            </w:tcBorders>
            <w:vAlign w:val="center"/>
          </w:tcPr>
          <w:p w14:paraId="542B86F1">
            <w:pPr>
              <w:widowControl/>
              <w:jc w:val="left"/>
              <w:rPr>
                <w:rFonts w:ascii="宋体" w:hAnsi="宋体" w:cs="宋体"/>
                <w:b/>
                <w:bCs/>
                <w:kern w:val="0"/>
                <w:sz w:val="20"/>
                <w:szCs w:val="20"/>
              </w:rPr>
            </w:pPr>
          </w:p>
        </w:tc>
        <w:tc>
          <w:tcPr>
            <w:tcW w:w="2977" w:type="dxa"/>
            <w:vMerge w:val="continue"/>
            <w:tcBorders>
              <w:top w:val="single" w:color="C0C0C0" w:sz="4" w:space="0"/>
              <w:left w:val="single" w:color="C0C0C0" w:sz="4" w:space="0"/>
              <w:bottom w:val="single" w:color="C0C0C0" w:sz="4" w:space="0"/>
              <w:right w:val="single" w:color="C0C0C0" w:sz="4" w:space="0"/>
            </w:tcBorders>
            <w:vAlign w:val="center"/>
          </w:tcPr>
          <w:p w14:paraId="3BCE91A7">
            <w:pPr>
              <w:widowControl/>
              <w:jc w:val="left"/>
              <w:rPr>
                <w:rFonts w:ascii="宋体" w:hAnsi="宋体" w:cs="宋体"/>
                <w:b/>
                <w:bCs/>
                <w:kern w:val="0"/>
                <w:sz w:val="20"/>
                <w:szCs w:val="20"/>
              </w:rPr>
            </w:pPr>
          </w:p>
        </w:tc>
        <w:tc>
          <w:tcPr>
            <w:tcW w:w="940" w:type="dxa"/>
            <w:vMerge w:val="continue"/>
            <w:tcBorders>
              <w:top w:val="single" w:color="C0C0C0" w:sz="4" w:space="0"/>
              <w:left w:val="single" w:color="C0C0C0" w:sz="4" w:space="0"/>
              <w:bottom w:val="single" w:color="C0C0C0" w:sz="4" w:space="0"/>
              <w:right w:val="single" w:color="C0C0C0" w:sz="4" w:space="0"/>
            </w:tcBorders>
            <w:vAlign w:val="center"/>
          </w:tcPr>
          <w:p w14:paraId="146FFED6">
            <w:pPr>
              <w:widowControl/>
              <w:jc w:val="left"/>
              <w:rPr>
                <w:rFonts w:ascii="宋体" w:hAnsi="宋体" w:cs="宋体"/>
                <w:b/>
                <w:bCs/>
                <w:kern w:val="0"/>
                <w:sz w:val="20"/>
                <w:szCs w:val="20"/>
              </w:rPr>
            </w:pPr>
          </w:p>
        </w:tc>
        <w:tc>
          <w:tcPr>
            <w:tcW w:w="1240" w:type="dxa"/>
            <w:vMerge w:val="continue"/>
            <w:tcBorders>
              <w:top w:val="single" w:color="C0C0C0" w:sz="4" w:space="0"/>
              <w:left w:val="single" w:color="C0C0C0" w:sz="4" w:space="0"/>
              <w:bottom w:val="single" w:color="C0C0C0" w:sz="4" w:space="0"/>
              <w:right w:val="single" w:color="C0C0C0" w:sz="4" w:space="0"/>
            </w:tcBorders>
            <w:vAlign w:val="center"/>
          </w:tcPr>
          <w:p w14:paraId="17848E76">
            <w:pPr>
              <w:widowControl/>
              <w:jc w:val="left"/>
              <w:rPr>
                <w:rFonts w:ascii="宋体" w:hAnsi="宋体" w:cs="宋体"/>
                <w:b/>
                <w:bCs/>
                <w:kern w:val="0"/>
                <w:sz w:val="20"/>
                <w:szCs w:val="20"/>
              </w:rPr>
            </w:pPr>
          </w:p>
        </w:tc>
        <w:tc>
          <w:tcPr>
            <w:tcW w:w="1080" w:type="dxa"/>
            <w:vMerge w:val="continue"/>
            <w:tcBorders>
              <w:top w:val="single" w:color="C0C0C0" w:sz="4" w:space="0"/>
              <w:left w:val="single" w:color="C0C0C0" w:sz="4" w:space="0"/>
              <w:bottom w:val="single" w:color="C0C0C0" w:sz="4" w:space="0"/>
              <w:right w:val="single" w:color="C0C0C0" w:sz="4" w:space="0"/>
            </w:tcBorders>
            <w:vAlign w:val="center"/>
          </w:tcPr>
          <w:p w14:paraId="461F6287">
            <w:pPr>
              <w:widowControl/>
              <w:jc w:val="left"/>
              <w:rPr>
                <w:rFonts w:ascii="宋体" w:hAnsi="宋体" w:cs="宋体"/>
                <w:b/>
                <w:bCs/>
                <w:kern w:val="0"/>
                <w:sz w:val="20"/>
                <w:szCs w:val="20"/>
              </w:rPr>
            </w:pPr>
          </w:p>
        </w:tc>
      </w:tr>
      <w:tr w14:paraId="13224A2E">
        <w:tblPrEx>
          <w:tblCellMar>
            <w:top w:w="0" w:type="dxa"/>
            <w:left w:w="108" w:type="dxa"/>
            <w:bottom w:w="0" w:type="dxa"/>
            <w:right w:w="108" w:type="dxa"/>
          </w:tblCellMar>
        </w:tblPrEx>
        <w:trPr>
          <w:trHeight w:val="540" w:hRule="atLeast"/>
        </w:trPr>
        <w:tc>
          <w:tcPr>
            <w:tcW w:w="1430" w:type="dxa"/>
            <w:vMerge w:val="restart"/>
            <w:tcBorders>
              <w:top w:val="nil"/>
              <w:left w:val="single" w:color="C0C0C0" w:sz="4" w:space="0"/>
              <w:bottom w:val="single" w:color="C0C0C0" w:sz="4" w:space="0"/>
              <w:right w:val="single" w:color="C0C0C0" w:sz="4" w:space="0"/>
            </w:tcBorders>
            <w:shd w:val="clear" w:color="auto" w:fill="auto"/>
            <w:noWrap/>
            <w:vAlign w:val="center"/>
          </w:tcPr>
          <w:p w14:paraId="4CA99BE4">
            <w:pPr>
              <w:widowControl/>
              <w:jc w:val="left"/>
              <w:rPr>
                <w:rFonts w:ascii="宋体" w:hAnsi="宋体" w:cs="宋体"/>
                <w:kern w:val="0"/>
                <w:sz w:val="22"/>
                <w:szCs w:val="22"/>
              </w:rPr>
            </w:pPr>
            <w:r>
              <w:rPr>
                <w:rFonts w:hint="eastAsia" w:ascii="宋体" w:hAnsi="宋体" w:cs="宋体"/>
                <w:kern w:val="0"/>
                <w:sz w:val="22"/>
                <w:szCs w:val="22"/>
              </w:rPr>
              <w:t>111001-工会</w:t>
            </w:r>
          </w:p>
        </w:tc>
        <w:tc>
          <w:tcPr>
            <w:tcW w:w="1420" w:type="dxa"/>
            <w:vMerge w:val="restart"/>
            <w:tcBorders>
              <w:top w:val="nil"/>
              <w:left w:val="single" w:color="C0C0C0" w:sz="4" w:space="0"/>
              <w:bottom w:val="single" w:color="C0C0C0" w:sz="4" w:space="0"/>
              <w:right w:val="single" w:color="C0C0C0" w:sz="4" w:space="0"/>
            </w:tcBorders>
            <w:shd w:val="clear" w:color="auto" w:fill="auto"/>
            <w:vAlign w:val="center"/>
          </w:tcPr>
          <w:p w14:paraId="37CB2247">
            <w:pPr>
              <w:widowControl/>
              <w:jc w:val="left"/>
              <w:rPr>
                <w:rFonts w:ascii="宋体" w:hAnsi="宋体" w:cs="宋体"/>
                <w:kern w:val="0"/>
                <w:sz w:val="22"/>
                <w:szCs w:val="22"/>
              </w:rPr>
            </w:pPr>
            <w:r>
              <w:rPr>
                <w:rFonts w:hint="eastAsia" w:ascii="宋体" w:hAnsi="宋体" w:cs="宋体"/>
                <w:kern w:val="0"/>
                <w:sz w:val="22"/>
                <w:szCs w:val="22"/>
              </w:rPr>
              <w:t>51112922T000004920094-省劳模津贴县级配套资金</w:t>
            </w:r>
          </w:p>
        </w:tc>
        <w:tc>
          <w:tcPr>
            <w:tcW w:w="709" w:type="dxa"/>
            <w:vMerge w:val="restart"/>
            <w:tcBorders>
              <w:top w:val="nil"/>
              <w:left w:val="single" w:color="C0C0C0" w:sz="4" w:space="0"/>
              <w:bottom w:val="single" w:color="C0C0C0" w:sz="4" w:space="0"/>
              <w:right w:val="single" w:color="C0C0C0" w:sz="4" w:space="0"/>
            </w:tcBorders>
            <w:shd w:val="clear" w:color="auto" w:fill="auto"/>
            <w:noWrap/>
            <w:vAlign w:val="center"/>
          </w:tcPr>
          <w:p w14:paraId="068093D1">
            <w:pPr>
              <w:widowControl/>
              <w:jc w:val="right"/>
              <w:rPr>
                <w:rFonts w:ascii="宋体" w:hAnsi="宋体" w:cs="宋体"/>
                <w:kern w:val="0"/>
                <w:sz w:val="22"/>
                <w:szCs w:val="22"/>
              </w:rPr>
            </w:pPr>
            <w:r>
              <w:rPr>
                <w:rFonts w:hint="eastAsia" w:ascii="宋体" w:hAnsi="宋体" w:cs="宋体"/>
                <w:kern w:val="0"/>
                <w:sz w:val="22"/>
                <w:szCs w:val="22"/>
              </w:rPr>
              <w:t>0.10</w:t>
            </w:r>
          </w:p>
        </w:tc>
        <w:tc>
          <w:tcPr>
            <w:tcW w:w="1418" w:type="dxa"/>
            <w:vMerge w:val="restart"/>
            <w:tcBorders>
              <w:top w:val="nil"/>
              <w:left w:val="single" w:color="C0C0C0" w:sz="4" w:space="0"/>
              <w:bottom w:val="single" w:color="C0C0C0" w:sz="4" w:space="0"/>
              <w:right w:val="single" w:color="C0C0C0" w:sz="4" w:space="0"/>
            </w:tcBorders>
            <w:shd w:val="clear" w:color="auto" w:fill="auto"/>
            <w:vAlign w:val="center"/>
          </w:tcPr>
          <w:p w14:paraId="6B77D6B7">
            <w:pPr>
              <w:widowControl/>
              <w:jc w:val="left"/>
              <w:rPr>
                <w:rFonts w:ascii="宋体" w:hAnsi="宋体" w:cs="宋体"/>
                <w:kern w:val="0"/>
                <w:sz w:val="22"/>
                <w:szCs w:val="22"/>
              </w:rPr>
            </w:pPr>
            <w:r>
              <w:rPr>
                <w:rFonts w:hint="eastAsia" w:ascii="宋体" w:hAnsi="宋体" w:cs="宋体"/>
                <w:kern w:val="0"/>
                <w:sz w:val="22"/>
                <w:szCs w:val="22"/>
              </w:rPr>
              <w:t>发放省劳模荣誉津贴</w:t>
            </w:r>
          </w:p>
        </w:tc>
        <w:tc>
          <w:tcPr>
            <w:tcW w:w="1275" w:type="dxa"/>
            <w:vMerge w:val="restart"/>
            <w:tcBorders>
              <w:top w:val="nil"/>
              <w:left w:val="single" w:color="C0C0C0" w:sz="4" w:space="0"/>
              <w:bottom w:val="single" w:color="C0C0C0" w:sz="4" w:space="0"/>
              <w:right w:val="single" w:color="C0C0C0" w:sz="4" w:space="0"/>
            </w:tcBorders>
            <w:shd w:val="clear" w:color="auto" w:fill="auto"/>
            <w:noWrap/>
            <w:vAlign w:val="center"/>
          </w:tcPr>
          <w:p w14:paraId="4CFA60DA">
            <w:pPr>
              <w:widowControl/>
              <w:jc w:val="left"/>
              <w:rPr>
                <w:rFonts w:ascii="宋体" w:hAnsi="宋体" w:cs="宋体"/>
                <w:kern w:val="0"/>
                <w:sz w:val="22"/>
                <w:szCs w:val="22"/>
              </w:rPr>
            </w:pPr>
            <w:r>
              <w:rPr>
                <w:rFonts w:hint="eastAsia" w:ascii="宋体" w:hAnsi="宋体" w:cs="宋体"/>
                <w:kern w:val="0"/>
                <w:sz w:val="22"/>
                <w:szCs w:val="22"/>
              </w:rPr>
              <w:t>产出指标</w:t>
            </w:r>
          </w:p>
        </w:tc>
        <w:tc>
          <w:tcPr>
            <w:tcW w:w="1843" w:type="dxa"/>
            <w:tcBorders>
              <w:top w:val="nil"/>
              <w:left w:val="nil"/>
              <w:bottom w:val="single" w:color="C0C0C0" w:sz="4" w:space="0"/>
              <w:right w:val="single" w:color="C0C0C0" w:sz="4" w:space="0"/>
            </w:tcBorders>
            <w:shd w:val="clear" w:color="auto" w:fill="auto"/>
            <w:noWrap/>
            <w:vAlign w:val="center"/>
          </w:tcPr>
          <w:p w14:paraId="443C6168">
            <w:pPr>
              <w:widowControl/>
              <w:jc w:val="left"/>
              <w:rPr>
                <w:rFonts w:ascii="宋体" w:hAnsi="宋体" w:cs="宋体"/>
                <w:kern w:val="0"/>
                <w:sz w:val="22"/>
                <w:szCs w:val="22"/>
              </w:rPr>
            </w:pPr>
            <w:r>
              <w:rPr>
                <w:rFonts w:hint="eastAsia" w:ascii="宋体" w:hAnsi="宋体" w:cs="宋体"/>
                <w:kern w:val="0"/>
                <w:sz w:val="22"/>
                <w:szCs w:val="22"/>
              </w:rPr>
              <w:t>数量指标</w:t>
            </w:r>
          </w:p>
        </w:tc>
        <w:tc>
          <w:tcPr>
            <w:tcW w:w="2977" w:type="dxa"/>
            <w:tcBorders>
              <w:top w:val="nil"/>
              <w:left w:val="nil"/>
              <w:bottom w:val="single" w:color="C0C0C0" w:sz="4" w:space="0"/>
              <w:right w:val="single" w:color="C0C0C0" w:sz="4" w:space="0"/>
            </w:tcBorders>
            <w:shd w:val="clear" w:color="auto" w:fill="auto"/>
            <w:vAlign w:val="center"/>
          </w:tcPr>
          <w:p w14:paraId="195614C6">
            <w:pPr>
              <w:widowControl/>
              <w:jc w:val="left"/>
              <w:rPr>
                <w:rFonts w:ascii="宋体" w:hAnsi="宋体" w:cs="宋体"/>
                <w:kern w:val="0"/>
                <w:sz w:val="22"/>
                <w:szCs w:val="22"/>
              </w:rPr>
            </w:pPr>
            <w:r>
              <w:rPr>
                <w:rFonts w:hint="eastAsia" w:ascii="宋体" w:hAnsi="宋体" w:cs="宋体"/>
                <w:kern w:val="0"/>
                <w:sz w:val="22"/>
                <w:szCs w:val="22"/>
              </w:rPr>
              <w:t>享受省劳模荣誉津贴对象1人</w:t>
            </w:r>
          </w:p>
        </w:tc>
        <w:tc>
          <w:tcPr>
            <w:tcW w:w="940" w:type="dxa"/>
            <w:tcBorders>
              <w:top w:val="nil"/>
              <w:left w:val="nil"/>
              <w:bottom w:val="single" w:color="C0C0C0" w:sz="4" w:space="0"/>
              <w:right w:val="single" w:color="C0C0C0" w:sz="4" w:space="0"/>
            </w:tcBorders>
            <w:shd w:val="clear" w:color="auto" w:fill="auto"/>
            <w:noWrap/>
            <w:vAlign w:val="center"/>
          </w:tcPr>
          <w:p w14:paraId="11E7A2B3">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72CB9520">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31B723B6">
            <w:pPr>
              <w:widowControl/>
              <w:jc w:val="left"/>
              <w:rPr>
                <w:rFonts w:ascii="宋体" w:hAnsi="宋体" w:cs="宋体"/>
                <w:kern w:val="0"/>
                <w:sz w:val="22"/>
                <w:szCs w:val="22"/>
              </w:rPr>
            </w:pPr>
            <w:r>
              <w:rPr>
                <w:rFonts w:hint="eastAsia" w:ascii="宋体" w:hAnsi="宋体" w:cs="宋体"/>
                <w:kern w:val="0"/>
                <w:sz w:val="22"/>
                <w:szCs w:val="22"/>
              </w:rPr>
              <w:t>人数</w:t>
            </w:r>
          </w:p>
        </w:tc>
      </w:tr>
      <w:tr w14:paraId="068B0E0C">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4F744EAB">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7ED50779">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14D7D96B">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43F3AC52">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19471AF2">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66FC8C17">
            <w:pPr>
              <w:widowControl/>
              <w:jc w:val="left"/>
              <w:rPr>
                <w:rFonts w:ascii="宋体" w:hAnsi="宋体" w:cs="宋体"/>
                <w:kern w:val="0"/>
                <w:sz w:val="22"/>
                <w:szCs w:val="22"/>
              </w:rPr>
            </w:pPr>
            <w:r>
              <w:rPr>
                <w:rFonts w:hint="eastAsia" w:ascii="宋体" w:hAnsi="宋体" w:cs="宋体"/>
                <w:kern w:val="0"/>
                <w:sz w:val="22"/>
                <w:szCs w:val="22"/>
              </w:rPr>
              <w:t>质量指标</w:t>
            </w:r>
          </w:p>
        </w:tc>
        <w:tc>
          <w:tcPr>
            <w:tcW w:w="2977" w:type="dxa"/>
            <w:tcBorders>
              <w:top w:val="nil"/>
              <w:left w:val="nil"/>
              <w:bottom w:val="single" w:color="C0C0C0" w:sz="4" w:space="0"/>
              <w:right w:val="single" w:color="C0C0C0" w:sz="4" w:space="0"/>
            </w:tcBorders>
            <w:shd w:val="clear" w:color="auto" w:fill="auto"/>
            <w:vAlign w:val="center"/>
          </w:tcPr>
          <w:p w14:paraId="09E00C8A">
            <w:pPr>
              <w:widowControl/>
              <w:jc w:val="left"/>
              <w:rPr>
                <w:rFonts w:ascii="宋体" w:hAnsi="宋体" w:cs="宋体"/>
                <w:kern w:val="0"/>
                <w:sz w:val="22"/>
                <w:szCs w:val="22"/>
              </w:rPr>
            </w:pPr>
            <w:r>
              <w:rPr>
                <w:rFonts w:hint="eastAsia" w:ascii="宋体" w:hAnsi="宋体" w:cs="宋体"/>
                <w:kern w:val="0"/>
                <w:sz w:val="22"/>
                <w:szCs w:val="22"/>
              </w:rPr>
              <w:t>按时按标准兑现</w:t>
            </w:r>
          </w:p>
        </w:tc>
        <w:tc>
          <w:tcPr>
            <w:tcW w:w="940" w:type="dxa"/>
            <w:tcBorders>
              <w:top w:val="nil"/>
              <w:left w:val="nil"/>
              <w:bottom w:val="single" w:color="C0C0C0" w:sz="4" w:space="0"/>
              <w:right w:val="single" w:color="C0C0C0" w:sz="4" w:space="0"/>
            </w:tcBorders>
            <w:shd w:val="clear" w:color="auto" w:fill="auto"/>
            <w:noWrap/>
            <w:vAlign w:val="center"/>
          </w:tcPr>
          <w:p w14:paraId="6C4F63AD">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068B9AC3">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7B4FD0B6">
            <w:pPr>
              <w:widowControl/>
              <w:jc w:val="left"/>
              <w:rPr>
                <w:rFonts w:ascii="宋体" w:hAnsi="宋体" w:cs="宋体"/>
                <w:kern w:val="0"/>
                <w:sz w:val="22"/>
                <w:szCs w:val="22"/>
              </w:rPr>
            </w:pPr>
            <w:r>
              <w:rPr>
                <w:rFonts w:hint="eastAsia" w:ascii="宋体" w:hAnsi="宋体" w:cs="宋体"/>
                <w:kern w:val="0"/>
                <w:sz w:val="22"/>
                <w:szCs w:val="22"/>
              </w:rPr>
              <w:t>　</w:t>
            </w:r>
          </w:p>
        </w:tc>
      </w:tr>
      <w:tr w14:paraId="710F5ADE">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7EA00C59">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4FF72ED8">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71C3CA61">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450D5701">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14F34B3D">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65E1FB03">
            <w:pPr>
              <w:widowControl/>
              <w:jc w:val="left"/>
              <w:rPr>
                <w:rFonts w:ascii="宋体" w:hAnsi="宋体" w:cs="宋体"/>
                <w:kern w:val="0"/>
                <w:sz w:val="22"/>
                <w:szCs w:val="22"/>
              </w:rPr>
            </w:pPr>
            <w:r>
              <w:rPr>
                <w:rFonts w:hint="eastAsia" w:ascii="宋体" w:hAnsi="宋体" w:cs="宋体"/>
                <w:kern w:val="0"/>
                <w:sz w:val="22"/>
                <w:szCs w:val="22"/>
              </w:rPr>
              <w:t>时效指标</w:t>
            </w:r>
          </w:p>
        </w:tc>
        <w:tc>
          <w:tcPr>
            <w:tcW w:w="2977" w:type="dxa"/>
            <w:tcBorders>
              <w:top w:val="nil"/>
              <w:left w:val="nil"/>
              <w:bottom w:val="single" w:color="C0C0C0" w:sz="4" w:space="0"/>
              <w:right w:val="single" w:color="C0C0C0" w:sz="4" w:space="0"/>
            </w:tcBorders>
            <w:shd w:val="clear" w:color="auto" w:fill="auto"/>
            <w:vAlign w:val="center"/>
          </w:tcPr>
          <w:p w14:paraId="49200DDC">
            <w:pPr>
              <w:widowControl/>
              <w:jc w:val="left"/>
              <w:rPr>
                <w:rFonts w:ascii="宋体" w:hAnsi="宋体" w:cs="宋体"/>
                <w:kern w:val="0"/>
                <w:sz w:val="22"/>
                <w:szCs w:val="22"/>
              </w:rPr>
            </w:pPr>
            <w:r>
              <w:rPr>
                <w:rFonts w:hint="eastAsia" w:ascii="宋体" w:hAnsi="宋体" w:cs="宋体"/>
                <w:kern w:val="0"/>
                <w:sz w:val="22"/>
                <w:szCs w:val="22"/>
              </w:rPr>
              <w:t>2022年12月31日前完成</w:t>
            </w:r>
          </w:p>
        </w:tc>
        <w:tc>
          <w:tcPr>
            <w:tcW w:w="940" w:type="dxa"/>
            <w:tcBorders>
              <w:top w:val="nil"/>
              <w:left w:val="nil"/>
              <w:bottom w:val="single" w:color="C0C0C0" w:sz="4" w:space="0"/>
              <w:right w:val="single" w:color="C0C0C0" w:sz="4" w:space="0"/>
            </w:tcBorders>
            <w:shd w:val="clear" w:color="auto" w:fill="auto"/>
            <w:noWrap/>
            <w:vAlign w:val="center"/>
          </w:tcPr>
          <w:p w14:paraId="39612F8D">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6A39D6E6">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12B84B89">
            <w:pPr>
              <w:widowControl/>
              <w:jc w:val="left"/>
              <w:rPr>
                <w:rFonts w:ascii="宋体" w:hAnsi="宋体" w:cs="宋体"/>
                <w:kern w:val="0"/>
                <w:sz w:val="22"/>
                <w:szCs w:val="22"/>
              </w:rPr>
            </w:pPr>
            <w:r>
              <w:rPr>
                <w:rFonts w:hint="eastAsia" w:ascii="宋体" w:hAnsi="宋体" w:cs="宋体"/>
                <w:kern w:val="0"/>
                <w:sz w:val="22"/>
                <w:szCs w:val="22"/>
              </w:rPr>
              <w:t>年</w:t>
            </w:r>
          </w:p>
        </w:tc>
      </w:tr>
      <w:tr w14:paraId="01BB5B40">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718E8132">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7D692E60">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4C43108D">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1C2AA679">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0A3CC4EA">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5F32DA25">
            <w:pPr>
              <w:widowControl/>
              <w:jc w:val="left"/>
              <w:rPr>
                <w:rFonts w:ascii="宋体" w:hAnsi="宋体" w:cs="宋体"/>
                <w:kern w:val="0"/>
                <w:sz w:val="22"/>
                <w:szCs w:val="22"/>
              </w:rPr>
            </w:pPr>
            <w:r>
              <w:rPr>
                <w:rFonts w:hint="eastAsia" w:ascii="宋体" w:hAnsi="宋体" w:cs="宋体"/>
                <w:kern w:val="0"/>
                <w:sz w:val="22"/>
                <w:szCs w:val="22"/>
              </w:rPr>
              <w:t>成本指标</w:t>
            </w:r>
          </w:p>
        </w:tc>
        <w:tc>
          <w:tcPr>
            <w:tcW w:w="2977" w:type="dxa"/>
            <w:tcBorders>
              <w:top w:val="nil"/>
              <w:left w:val="nil"/>
              <w:bottom w:val="single" w:color="C0C0C0" w:sz="4" w:space="0"/>
              <w:right w:val="single" w:color="C0C0C0" w:sz="4" w:space="0"/>
            </w:tcBorders>
            <w:shd w:val="clear" w:color="auto" w:fill="auto"/>
            <w:vAlign w:val="center"/>
          </w:tcPr>
          <w:p w14:paraId="404FFD1B">
            <w:pPr>
              <w:widowControl/>
              <w:jc w:val="left"/>
              <w:rPr>
                <w:rFonts w:ascii="宋体" w:hAnsi="宋体" w:cs="宋体"/>
                <w:kern w:val="0"/>
                <w:sz w:val="22"/>
                <w:szCs w:val="22"/>
              </w:rPr>
            </w:pPr>
            <w:r>
              <w:rPr>
                <w:rFonts w:hint="eastAsia" w:ascii="宋体" w:hAnsi="宋体" w:cs="宋体"/>
                <w:kern w:val="0"/>
                <w:sz w:val="22"/>
                <w:szCs w:val="22"/>
              </w:rPr>
              <w:t>80元/月</w:t>
            </w:r>
          </w:p>
        </w:tc>
        <w:tc>
          <w:tcPr>
            <w:tcW w:w="940" w:type="dxa"/>
            <w:tcBorders>
              <w:top w:val="nil"/>
              <w:left w:val="nil"/>
              <w:bottom w:val="single" w:color="C0C0C0" w:sz="4" w:space="0"/>
              <w:right w:val="single" w:color="C0C0C0" w:sz="4" w:space="0"/>
            </w:tcBorders>
            <w:shd w:val="clear" w:color="auto" w:fill="auto"/>
            <w:noWrap/>
            <w:vAlign w:val="center"/>
          </w:tcPr>
          <w:p w14:paraId="25A32472">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055EC854">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4905BE96">
            <w:pPr>
              <w:widowControl/>
              <w:jc w:val="left"/>
              <w:rPr>
                <w:rFonts w:ascii="宋体" w:hAnsi="宋体" w:cs="宋体"/>
                <w:kern w:val="0"/>
                <w:sz w:val="22"/>
                <w:szCs w:val="22"/>
              </w:rPr>
            </w:pPr>
            <w:r>
              <w:rPr>
                <w:rFonts w:hint="eastAsia" w:ascii="宋体" w:hAnsi="宋体" w:cs="宋体"/>
                <w:kern w:val="0"/>
                <w:sz w:val="22"/>
                <w:szCs w:val="22"/>
              </w:rPr>
              <w:t>元/月</w:t>
            </w:r>
          </w:p>
        </w:tc>
      </w:tr>
      <w:tr w14:paraId="031D4A8B">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279F2EE8">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5A481662">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45A6B7B3">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2D7FB34B">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6209E6D9">
            <w:pPr>
              <w:widowControl/>
              <w:jc w:val="left"/>
              <w:rPr>
                <w:rFonts w:ascii="宋体" w:hAnsi="宋体" w:cs="宋体"/>
                <w:kern w:val="0"/>
                <w:sz w:val="22"/>
                <w:szCs w:val="22"/>
              </w:rPr>
            </w:pPr>
            <w:r>
              <w:rPr>
                <w:rFonts w:hint="eastAsia" w:ascii="宋体" w:hAnsi="宋体" w:cs="宋体"/>
                <w:kern w:val="0"/>
                <w:sz w:val="22"/>
                <w:szCs w:val="22"/>
              </w:rPr>
              <w:t>效益指标</w:t>
            </w:r>
          </w:p>
        </w:tc>
        <w:tc>
          <w:tcPr>
            <w:tcW w:w="1843" w:type="dxa"/>
            <w:tcBorders>
              <w:top w:val="nil"/>
              <w:left w:val="nil"/>
              <w:bottom w:val="single" w:color="C0C0C0" w:sz="4" w:space="0"/>
              <w:right w:val="single" w:color="C0C0C0" w:sz="4" w:space="0"/>
            </w:tcBorders>
            <w:shd w:val="clear" w:color="auto" w:fill="auto"/>
            <w:noWrap/>
            <w:vAlign w:val="center"/>
          </w:tcPr>
          <w:p w14:paraId="430818CF">
            <w:pPr>
              <w:widowControl/>
              <w:jc w:val="left"/>
              <w:rPr>
                <w:rFonts w:ascii="宋体" w:hAnsi="宋体" w:cs="宋体"/>
                <w:kern w:val="0"/>
                <w:sz w:val="22"/>
                <w:szCs w:val="22"/>
              </w:rPr>
            </w:pPr>
            <w:r>
              <w:rPr>
                <w:rFonts w:hint="eastAsia" w:ascii="宋体" w:hAnsi="宋体" w:cs="宋体"/>
                <w:kern w:val="0"/>
                <w:sz w:val="22"/>
                <w:szCs w:val="22"/>
              </w:rPr>
              <w:t>社会效益指标</w:t>
            </w:r>
          </w:p>
        </w:tc>
        <w:tc>
          <w:tcPr>
            <w:tcW w:w="2977" w:type="dxa"/>
            <w:tcBorders>
              <w:top w:val="nil"/>
              <w:left w:val="nil"/>
              <w:bottom w:val="single" w:color="C0C0C0" w:sz="4" w:space="0"/>
              <w:right w:val="single" w:color="C0C0C0" w:sz="4" w:space="0"/>
            </w:tcBorders>
            <w:shd w:val="clear" w:color="auto" w:fill="auto"/>
            <w:vAlign w:val="center"/>
          </w:tcPr>
          <w:p w14:paraId="3C34A43E">
            <w:pPr>
              <w:widowControl/>
              <w:jc w:val="left"/>
              <w:rPr>
                <w:rFonts w:ascii="宋体" w:hAnsi="宋体" w:cs="宋体"/>
                <w:kern w:val="0"/>
                <w:sz w:val="22"/>
                <w:szCs w:val="22"/>
              </w:rPr>
            </w:pPr>
            <w:r>
              <w:rPr>
                <w:rFonts w:hint="eastAsia" w:ascii="宋体" w:hAnsi="宋体" w:cs="宋体"/>
                <w:kern w:val="0"/>
                <w:sz w:val="22"/>
                <w:szCs w:val="22"/>
              </w:rPr>
              <w:t>体现党和政府对劳模的关心关爱，大力弘扬劳模精神。</w:t>
            </w:r>
          </w:p>
        </w:tc>
        <w:tc>
          <w:tcPr>
            <w:tcW w:w="940" w:type="dxa"/>
            <w:tcBorders>
              <w:top w:val="nil"/>
              <w:left w:val="nil"/>
              <w:bottom w:val="single" w:color="C0C0C0" w:sz="4" w:space="0"/>
              <w:right w:val="single" w:color="C0C0C0" w:sz="4" w:space="0"/>
            </w:tcBorders>
            <w:shd w:val="clear" w:color="auto" w:fill="auto"/>
            <w:noWrap/>
            <w:vAlign w:val="center"/>
          </w:tcPr>
          <w:p w14:paraId="5EF95F53">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7655C0F6">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70413F5D">
            <w:pPr>
              <w:widowControl/>
              <w:jc w:val="left"/>
              <w:rPr>
                <w:rFonts w:ascii="宋体" w:hAnsi="宋体" w:cs="宋体"/>
                <w:kern w:val="0"/>
                <w:sz w:val="22"/>
                <w:szCs w:val="22"/>
              </w:rPr>
            </w:pPr>
            <w:r>
              <w:rPr>
                <w:rFonts w:hint="eastAsia" w:ascii="宋体" w:hAnsi="宋体" w:cs="宋体"/>
                <w:kern w:val="0"/>
                <w:sz w:val="22"/>
                <w:szCs w:val="22"/>
              </w:rPr>
              <w:t>元/人年</w:t>
            </w:r>
          </w:p>
        </w:tc>
      </w:tr>
      <w:tr w14:paraId="7892E515">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341629EA">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21050E42">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42ABAF36">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334724D0">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0947E149">
            <w:pPr>
              <w:widowControl/>
              <w:jc w:val="left"/>
              <w:rPr>
                <w:rFonts w:ascii="宋体" w:hAnsi="宋体" w:cs="宋体"/>
                <w:kern w:val="0"/>
                <w:sz w:val="22"/>
                <w:szCs w:val="22"/>
              </w:rPr>
            </w:pPr>
            <w:r>
              <w:rPr>
                <w:rFonts w:hint="eastAsia" w:ascii="宋体" w:hAnsi="宋体" w:cs="宋体"/>
                <w:kern w:val="0"/>
                <w:sz w:val="22"/>
                <w:szCs w:val="22"/>
              </w:rPr>
              <w:t>满意度指标</w:t>
            </w:r>
          </w:p>
        </w:tc>
        <w:tc>
          <w:tcPr>
            <w:tcW w:w="1843" w:type="dxa"/>
            <w:tcBorders>
              <w:top w:val="nil"/>
              <w:left w:val="nil"/>
              <w:bottom w:val="single" w:color="C0C0C0" w:sz="4" w:space="0"/>
              <w:right w:val="single" w:color="C0C0C0" w:sz="4" w:space="0"/>
            </w:tcBorders>
            <w:shd w:val="clear" w:color="auto" w:fill="auto"/>
            <w:noWrap/>
            <w:vAlign w:val="center"/>
          </w:tcPr>
          <w:p w14:paraId="76B164C8">
            <w:pPr>
              <w:widowControl/>
              <w:jc w:val="left"/>
              <w:rPr>
                <w:rFonts w:ascii="宋体" w:hAnsi="宋体" w:cs="宋体"/>
                <w:kern w:val="0"/>
                <w:sz w:val="22"/>
                <w:szCs w:val="22"/>
              </w:rPr>
            </w:pPr>
            <w:r>
              <w:rPr>
                <w:rFonts w:hint="eastAsia" w:ascii="宋体" w:hAnsi="宋体" w:cs="宋体"/>
                <w:kern w:val="0"/>
                <w:sz w:val="22"/>
                <w:szCs w:val="22"/>
              </w:rPr>
              <w:t>服务对象满意度指标</w:t>
            </w:r>
          </w:p>
        </w:tc>
        <w:tc>
          <w:tcPr>
            <w:tcW w:w="2977" w:type="dxa"/>
            <w:tcBorders>
              <w:top w:val="nil"/>
              <w:left w:val="nil"/>
              <w:bottom w:val="single" w:color="C0C0C0" w:sz="4" w:space="0"/>
              <w:right w:val="single" w:color="C0C0C0" w:sz="4" w:space="0"/>
            </w:tcBorders>
            <w:shd w:val="clear" w:color="auto" w:fill="auto"/>
            <w:vAlign w:val="center"/>
          </w:tcPr>
          <w:p w14:paraId="196E27E2">
            <w:pPr>
              <w:widowControl/>
              <w:jc w:val="left"/>
              <w:rPr>
                <w:rFonts w:ascii="宋体" w:hAnsi="宋体" w:cs="宋体"/>
                <w:kern w:val="0"/>
                <w:sz w:val="22"/>
                <w:szCs w:val="22"/>
              </w:rPr>
            </w:pPr>
            <w:r>
              <w:rPr>
                <w:rFonts w:hint="eastAsia" w:ascii="宋体" w:hAnsi="宋体" w:cs="宋体"/>
                <w:kern w:val="0"/>
                <w:sz w:val="22"/>
                <w:szCs w:val="22"/>
              </w:rPr>
              <w:t>98</w:t>
            </w:r>
          </w:p>
        </w:tc>
        <w:tc>
          <w:tcPr>
            <w:tcW w:w="940" w:type="dxa"/>
            <w:tcBorders>
              <w:top w:val="nil"/>
              <w:left w:val="nil"/>
              <w:bottom w:val="single" w:color="C0C0C0" w:sz="4" w:space="0"/>
              <w:right w:val="single" w:color="C0C0C0" w:sz="4" w:space="0"/>
            </w:tcBorders>
            <w:shd w:val="clear" w:color="auto" w:fill="auto"/>
            <w:noWrap/>
            <w:vAlign w:val="center"/>
          </w:tcPr>
          <w:p w14:paraId="7259FDB7">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2B0B1910">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3C03B2FE">
            <w:pPr>
              <w:widowControl/>
              <w:jc w:val="left"/>
              <w:rPr>
                <w:rFonts w:ascii="宋体" w:hAnsi="宋体" w:cs="宋体"/>
                <w:kern w:val="0"/>
                <w:sz w:val="22"/>
                <w:szCs w:val="22"/>
              </w:rPr>
            </w:pPr>
            <w:r>
              <w:rPr>
                <w:rFonts w:hint="eastAsia" w:ascii="宋体" w:hAnsi="宋体" w:cs="宋体"/>
                <w:kern w:val="0"/>
                <w:sz w:val="22"/>
                <w:szCs w:val="22"/>
              </w:rPr>
              <w:t>%</w:t>
            </w:r>
          </w:p>
        </w:tc>
      </w:tr>
      <w:tr w14:paraId="2740878A">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4E116372">
            <w:pPr>
              <w:widowControl/>
              <w:jc w:val="left"/>
              <w:rPr>
                <w:rFonts w:ascii="宋体" w:hAnsi="宋体" w:cs="宋体"/>
                <w:kern w:val="0"/>
                <w:sz w:val="22"/>
                <w:szCs w:val="22"/>
              </w:rPr>
            </w:pPr>
          </w:p>
        </w:tc>
        <w:tc>
          <w:tcPr>
            <w:tcW w:w="1420" w:type="dxa"/>
            <w:vMerge w:val="restart"/>
            <w:tcBorders>
              <w:top w:val="nil"/>
              <w:left w:val="single" w:color="C0C0C0" w:sz="4" w:space="0"/>
              <w:bottom w:val="single" w:color="C0C0C0" w:sz="4" w:space="0"/>
              <w:right w:val="single" w:color="C0C0C0" w:sz="4" w:space="0"/>
            </w:tcBorders>
            <w:shd w:val="clear" w:color="auto" w:fill="auto"/>
            <w:vAlign w:val="center"/>
          </w:tcPr>
          <w:p w14:paraId="1DBFAA8A">
            <w:pPr>
              <w:widowControl/>
              <w:jc w:val="left"/>
              <w:rPr>
                <w:rFonts w:ascii="宋体" w:hAnsi="宋体" w:cs="宋体"/>
                <w:kern w:val="0"/>
                <w:sz w:val="22"/>
                <w:szCs w:val="22"/>
              </w:rPr>
            </w:pPr>
            <w:r>
              <w:rPr>
                <w:rFonts w:hint="eastAsia" w:ascii="宋体" w:hAnsi="宋体" w:cs="宋体"/>
                <w:kern w:val="0"/>
                <w:sz w:val="22"/>
                <w:szCs w:val="22"/>
              </w:rPr>
              <w:t>51112922T000004920104-困难职工帮扶经费</w:t>
            </w:r>
          </w:p>
        </w:tc>
        <w:tc>
          <w:tcPr>
            <w:tcW w:w="709" w:type="dxa"/>
            <w:vMerge w:val="restart"/>
            <w:tcBorders>
              <w:top w:val="nil"/>
              <w:left w:val="single" w:color="C0C0C0" w:sz="4" w:space="0"/>
              <w:bottom w:val="single" w:color="C0C0C0" w:sz="4" w:space="0"/>
              <w:right w:val="single" w:color="C0C0C0" w:sz="4" w:space="0"/>
            </w:tcBorders>
            <w:shd w:val="clear" w:color="auto" w:fill="auto"/>
            <w:noWrap/>
            <w:vAlign w:val="center"/>
          </w:tcPr>
          <w:p w14:paraId="613342FD">
            <w:pPr>
              <w:widowControl/>
              <w:jc w:val="right"/>
              <w:rPr>
                <w:rFonts w:ascii="宋体" w:hAnsi="宋体" w:cs="宋体"/>
                <w:kern w:val="0"/>
                <w:sz w:val="22"/>
                <w:szCs w:val="22"/>
              </w:rPr>
            </w:pPr>
            <w:r>
              <w:rPr>
                <w:rFonts w:hint="eastAsia" w:ascii="宋体" w:hAnsi="宋体" w:cs="宋体"/>
                <w:kern w:val="0"/>
                <w:sz w:val="22"/>
                <w:szCs w:val="22"/>
              </w:rPr>
              <w:t>45.00</w:t>
            </w:r>
          </w:p>
        </w:tc>
        <w:tc>
          <w:tcPr>
            <w:tcW w:w="1418" w:type="dxa"/>
            <w:vMerge w:val="restart"/>
            <w:tcBorders>
              <w:top w:val="nil"/>
              <w:left w:val="single" w:color="C0C0C0" w:sz="4" w:space="0"/>
              <w:bottom w:val="single" w:color="C0C0C0" w:sz="4" w:space="0"/>
              <w:right w:val="single" w:color="C0C0C0" w:sz="4" w:space="0"/>
            </w:tcBorders>
            <w:shd w:val="clear" w:color="auto" w:fill="auto"/>
            <w:vAlign w:val="center"/>
          </w:tcPr>
          <w:p w14:paraId="49B517E3">
            <w:pPr>
              <w:widowControl/>
              <w:jc w:val="left"/>
              <w:rPr>
                <w:rFonts w:ascii="宋体" w:hAnsi="宋体" w:cs="宋体"/>
                <w:kern w:val="0"/>
                <w:sz w:val="22"/>
                <w:szCs w:val="22"/>
              </w:rPr>
            </w:pPr>
            <w:r>
              <w:rPr>
                <w:rFonts w:hint="eastAsia" w:ascii="宋体" w:hAnsi="宋体" w:cs="宋体"/>
                <w:kern w:val="0"/>
                <w:sz w:val="22"/>
                <w:szCs w:val="22"/>
              </w:rPr>
              <w:t>开展工会“四季送”活动以及开展困难职工帮扶。</w:t>
            </w:r>
          </w:p>
        </w:tc>
        <w:tc>
          <w:tcPr>
            <w:tcW w:w="1275" w:type="dxa"/>
            <w:vMerge w:val="restart"/>
            <w:tcBorders>
              <w:top w:val="nil"/>
              <w:left w:val="single" w:color="C0C0C0" w:sz="4" w:space="0"/>
              <w:bottom w:val="single" w:color="C0C0C0" w:sz="4" w:space="0"/>
              <w:right w:val="single" w:color="C0C0C0" w:sz="4" w:space="0"/>
            </w:tcBorders>
            <w:shd w:val="clear" w:color="auto" w:fill="auto"/>
            <w:noWrap/>
            <w:vAlign w:val="center"/>
          </w:tcPr>
          <w:p w14:paraId="2C490B7A">
            <w:pPr>
              <w:widowControl/>
              <w:jc w:val="left"/>
              <w:rPr>
                <w:rFonts w:ascii="宋体" w:hAnsi="宋体" w:cs="宋体"/>
                <w:kern w:val="0"/>
                <w:sz w:val="22"/>
                <w:szCs w:val="22"/>
              </w:rPr>
            </w:pPr>
            <w:r>
              <w:rPr>
                <w:rFonts w:hint="eastAsia" w:ascii="宋体" w:hAnsi="宋体" w:cs="宋体"/>
                <w:kern w:val="0"/>
                <w:sz w:val="22"/>
                <w:szCs w:val="22"/>
              </w:rPr>
              <w:t>产出指标</w:t>
            </w:r>
          </w:p>
        </w:tc>
        <w:tc>
          <w:tcPr>
            <w:tcW w:w="1843" w:type="dxa"/>
            <w:tcBorders>
              <w:top w:val="nil"/>
              <w:left w:val="nil"/>
              <w:bottom w:val="single" w:color="C0C0C0" w:sz="4" w:space="0"/>
              <w:right w:val="single" w:color="C0C0C0" w:sz="4" w:space="0"/>
            </w:tcBorders>
            <w:shd w:val="clear" w:color="auto" w:fill="auto"/>
            <w:noWrap/>
            <w:vAlign w:val="center"/>
          </w:tcPr>
          <w:p w14:paraId="2E985009">
            <w:pPr>
              <w:widowControl/>
              <w:jc w:val="left"/>
              <w:rPr>
                <w:rFonts w:ascii="宋体" w:hAnsi="宋体" w:cs="宋体"/>
                <w:kern w:val="0"/>
                <w:sz w:val="22"/>
                <w:szCs w:val="22"/>
              </w:rPr>
            </w:pPr>
            <w:r>
              <w:rPr>
                <w:rFonts w:hint="eastAsia" w:ascii="宋体" w:hAnsi="宋体" w:cs="宋体"/>
                <w:kern w:val="0"/>
                <w:sz w:val="22"/>
                <w:szCs w:val="22"/>
              </w:rPr>
              <w:t>数量指标</w:t>
            </w:r>
          </w:p>
        </w:tc>
        <w:tc>
          <w:tcPr>
            <w:tcW w:w="2977" w:type="dxa"/>
            <w:tcBorders>
              <w:top w:val="nil"/>
              <w:left w:val="nil"/>
              <w:bottom w:val="single" w:color="C0C0C0" w:sz="4" w:space="0"/>
              <w:right w:val="single" w:color="C0C0C0" w:sz="4" w:space="0"/>
            </w:tcBorders>
            <w:shd w:val="clear" w:color="auto" w:fill="auto"/>
            <w:vAlign w:val="center"/>
          </w:tcPr>
          <w:p w14:paraId="6E37A6E4">
            <w:pPr>
              <w:widowControl/>
              <w:jc w:val="left"/>
              <w:rPr>
                <w:rFonts w:ascii="宋体" w:hAnsi="宋体" w:cs="宋体"/>
                <w:kern w:val="0"/>
                <w:sz w:val="22"/>
                <w:szCs w:val="22"/>
              </w:rPr>
            </w:pPr>
            <w:r>
              <w:rPr>
                <w:rFonts w:hint="eastAsia" w:ascii="宋体" w:hAnsi="宋体" w:cs="宋体"/>
                <w:kern w:val="0"/>
                <w:sz w:val="22"/>
                <w:szCs w:val="22"/>
              </w:rPr>
              <w:t>开展“四季送”活动各1次，开展困难职工日常救助</w:t>
            </w:r>
          </w:p>
        </w:tc>
        <w:tc>
          <w:tcPr>
            <w:tcW w:w="940" w:type="dxa"/>
            <w:tcBorders>
              <w:top w:val="nil"/>
              <w:left w:val="nil"/>
              <w:bottom w:val="single" w:color="C0C0C0" w:sz="4" w:space="0"/>
              <w:right w:val="single" w:color="C0C0C0" w:sz="4" w:space="0"/>
            </w:tcBorders>
            <w:shd w:val="clear" w:color="auto" w:fill="auto"/>
            <w:noWrap/>
            <w:vAlign w:val="center"/>
          </w:tcPr>
          <w:p w14:paraId="3F5F2E20">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25C2D2F9">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63F9D90C">
            <w:pPr>
              <w:widowControl/>
              <w:jc w:val="left"/>
              <w:rPr>
                <w:rFonts w:ascii="宋体" w:hAnsi="宋体" w:cs="宋体"/>
                <w:kern w:val="0"/>
                <w:sz w:val="22"/>
                <w:szCs w:val="22"/>
              </w:rPr>
            </w:pPr>
            <w:r>
              <w:rPr>
                <w:rFonts w:hint="eastAsia" w:ascii="宋体" w:hAnsi="宋体" w:cs="宋体"/>
                <w:kern w:val="0"/>
                <w:sz w:val="22"/>
                <w:szCs w:val="22"/>
              </w:rPr>
              <w:t>次/年</w:t>
            </w:r>
          </w:p>
        </w:tc>
      </w:tr>
      <w:tr w14:paraId="260E73C1">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52B9AC4D">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736E4FEC">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7E425C77">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3E904F57">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35190D00">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61D29966">
            <w:pPr>
              <w:widowControl/>
              <w:jc w:val="left"/>
              <w:rPr>
                <w:rFonts w:ascii="宋体" w:hAnsi="宋体" w:cs="宋体"/>
                <w:kern w:val="0"/>
                <w:sz w:val="22"/>
                <w:szCs w:val="22"/>
              </w:rPr>
            </w:pPr>
            <w:r>
              <w:rPr>
                <w:rFonts w:hint="eastAsia" w:ascii="宋体" w:hAnsi="宋体" w:cs="宋体"/>
                <w:kern w:val="0"/>
                <w:sz w:val="22"/>
                <w:szCs w:val="22"/>
              </w:rPr>
              <w:t>时效指标</w:t>
            </w:r>
          </w:p>
        </w:tc>
        <w:tc>
          <w:tcPr>
            <w:tcW w:w="2977" w:type="dxa"/>
            <w:tcBorders>
              <w:top w:val="nil"/>
              <w:left w:val="nil"/>
              <w:bottom w:val="single" w:color="C0C0C0" w:sz="4" w:space="0"/>
              <w:right w:val="single" w:color="C0C0C0" w:sz="4" w:space="0"/>
            </w:tcBorders>
            <w:shd w:val="clear" w:color="auto" w:fill="auto"/>
            <w:vAlign w:val="center"/>
          </w:tcPr>
          <w:p w14:paraId="63D2E316">
            <w:pPr>
              <w:widowControl/>
              <w:jc w:val="left"/>
              <w:rPr>
                <w:rFonts w:ascii="宋体" w:hAnsi="宋体" w:cs="宋体"/>
                <w:kern w:val="0"/>
                <w:sz w:val="22"/>
                <w:szCs w:val="22"/>
              </w:rPr>
            </w:pPr>
            <w:r>
              <w:rPr>
                <w:rFonts w:hint="eastAsia" w:ascii="宋体" w:hAnsi="宋体" w:cs="宋体"/>
                <w:kern w:val="0"/>
                <w:sz w:val="22"/>
                <w:szCs w:val="22"/>
              </w:rPr>
              <w:t>2022年12月31日前完成</w:t>
            </w:r>
          </w:p>
        </w:tc>
        <w:tc>
          <w:tcPr>
            <w:tcW w:w="940" w:type="dxa"/>
            <w:tcBorders>
              <w:top w:val="nil"/>
              <w:left w:val="nil"/>
              <w:bottom w:val="single" w:color="C0C0C0" w:sz="4" w:space="0"/>
              <w:right w:val="single" w:color="C0C0C0" w:sz="4" w:space="0"/>
            </w:tcBorders>
            <w:shd w:val="clear" w:color="auto" w:fill="auto"/>
            <w:noWrap/>
            <w:vAlign w:val="center"/>
          </w:tcPr>
          <w:p w14:paraId="00FA6F1B">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6E25BD36">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7618013E">
            <w:pPr>
              <w:widowControl/>
              <w:jc w:val="left"/>
              <w:rPr>
                <w:rFonts w:ascii="宋体" w:hAnsi="宋体" w:cs="宋体"/>
                <w:kern w:val="0"/>
                <w:sz w:val="22"/>
                <w:szCs w:val="22"/>
              </w:rPr>
            </w:pPr>
            <w:r>
              <w:rPr>
                <w:rFonts w:hint="eastAsia" w:ascii="宋体" w:hAnsi="宋体" w:cs="宋体"/>
                <w:kern w:val="0"/>
                <w:sz w:val="22"/>
                <w:szCs w:val="22"/>
              </w:rPr>
              <w:t>年</w:t>
            </w:r>
          </w:p>
        </w:tc>
      </w:tr>
      <w:tr w14:paraId="2E036F8F">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6AA48EAE">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49F91850">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1539BA4A">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4AE2FB19">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08981DAC">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2F3A335A">
            <w:pPr>
              <w:widowControl/>
              <w:jc w:val="left"/>
              <w:rPr>
                <w:rFonts w:ascii="宋体" w:hAnsi="宋体" w:cs="宋体"/>
                <w:kern w:val="0"/>
                <w:sz w:val="22"/>
                <w:szCs w:val="22"/>
              </w:rPr>
            </w:pPr>
            <w:r>
              <w:rPr>
                <w:rFonts w:hint="eastAsia" w:ascii="宋体" w:hAnsi="宋体" w:cs="宋体"/>
                <w:kern w:val="0"/>
                <w:sz w:val="22"/>
                <w:szCs w:val="22"/>
              </w:rPr>
              <w:t>成本指标</w:t>
            </w:r>
          </w:p>
        </w:tc>
        <w:tc>
          <w:tcPr>
            <w:tcW w:w="2977" w:type="dxa"/>
            <w:tcBorders>
              <w:top w:val="nil"/>
              <w:left w:val="nil"/>
              <w:bottom w:val="single" w:color="C0C0C0" w:sz="4" w:space="0"/>
              <w:right w:val="single" w:color="C0C0C0" w:sz="4" w:space="0"/>
            </w:tcBorders>
            <w:shd w:val="clear" w:color="auto" w:fill="auto"/>
            <w:vAlign w:val="center"/>
          </w:tcPr>
          <w:p w14:paraId="48FE5B64">
            <w:pPr>
              <w:widowControl/>
              <w:jc w:val="left"/>
              <w:rPr>
                <w:rFonts w:ascii="宋体" w:hAnsi="宋体" w:cs="宋体"/>
                <w:kern w:val="0"/>
                <w:sz w:val="22"/>
                <w:szCs w:val="22"/>
              </w:rPr>
            </w:pPr>
            <w:r>
              <w:rPr>
                <w:rFonts w:hint="eastAsia" w:ascii="宋体" w:hAnsi="宋体" w:cs="宋体"/>
                <w:kern w:val="0"/>
                <w:sz w:val="22"/>
                <w:szCs w:val="22"/>
              </w:rPr>
              <w:t>49.31万</w:t>
            </w:r>
          </w:p>
        </w:tc>
        <w:tc>
          <w:tcPr>
            <w:tcW w:w="940" w:type="dxa"/>
            <w:tcBorders>
              <w:top w:val="nil"/>
              <w:left w:val="nil"/>
              <w:bottom w:val="single" w:color="C0C0C0" w:sz="4" w:space="0"/>
              <w:right w:val="single" w:color="C0C0C0" w:sz="4" w:space="0"/>
            </w:tcBorders>
            <w:shd w:val="clear" w:color="auto" w:fill="auto"/>
            <w:noWrap/>
            <w:vAlign w:val="center"/>
          </w:tcPr>
          <w:p w14:paraId="2AD3E143">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3D165BF4">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03FEEA8D">
            <w:pPr>
              <w:widowControl/>
              <w:jc w:val="left"/>
              <w:rPr>
                <w:rFonts w:ascii="宋体" w:hAnsi="宋体" w:cs="宋体"/>
                <w:kern w:val="0"/>
                <w:sz w:val="22"/>
                <w:szCs w:val="22"/>
              </w:rPr>
            </w:pPr>
            <w:r>
              <w:rPr>
                <w:rFonts w:hint="eastAsia" w:ascii="宋体" w:hAnsi="宋体" w:cs="宋体"/>
                <w:kern w:val="0"/>
                <w:sz w:val="22"/>
                <w:szCs w:val="22"/>
              </w:rPr>
              <w:t>元/年</w:t>
            </w:r>
          </w:p>
        </w:tc>
      </w:tr>
      <w:tr w14:paraId="371940CB">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4AC538D0">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0760EE7C">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56311799">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6B8581C1">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33DFE9C0">
            <w:pPr>
              <w:widowControl/>
              <w:jc w:val="left"/>
              <w:rPr>
                <w:rFonts w:ascii="宋体" w:hAnsi="宋体" w:cs="宋体"/>
                <w:kern w:val="0"/>
                <w:sz w:val="22"/>
                <w:szCs w:val="22"/>
              </w:rPr>
            </w:pPr>
            <w:r>
              <w:rPr>
                <w:rFonts w:hint="eastAsia" w:ascii="宋体" w:hAnsi="宋体" w:cs="宋体"/>
                <w:kern w:val="0"/>
                <w:sz w:val="22"/>
                <w:szCs w:val="22"/>
              </w:rPr>
              <w:t>效益指标</w:t>
            </w:r>
          </w:p>
        </w:tc>
        <w:tc>
          <w:tcPr>
            <w:tcW w:w="1843" w:type="dxa"/>
            <w:tcBorders>
              <w:top w:val="nil"/>
              <w:left w:val="nil"/>
              <w:bottom w:val="single" w:color="C0C0C0" w:sz="4" w:space="0"/>
              <w:right w:val="single" w:color="C0C0C0" w:sz="4" w:space="0"/>
            </w:tcBorders>
            <w:shd w:val="clear" w:color="auto" w:fill="auto"/>
            <w:noWrap/>
            <w:vAlign w:val="center"/>
          </w:tcPr>
          <w:p w14:paraId="6DE18378">
            <w:pPr>
              <w:widowControl/>
              <w:jc w:val="left"/>
              <w:rPr>
                <w:rFonts w:ascii="宋体" w:hAnsi="宋体" w:cs="宋体"/>
                <w:kern w:val="0"/>
                <w:sz w:val="22"/>
                <w:szCs w:val="22"/>
              </w:rPr>
            </w:pPr>
            <w:r>
              <w:rPr>
                <w:rFonts w:hint="eastAsia" w:ascii="宋体" w:hAnsi="宋体" w:cs="宋体"/>
                <w:kern w:val="0"/>
                <w:sz w:val="22"/>
                <w:szCs w:val="22"/>
              </w:rPr>
              <w:t>经济效益指标</w:t>
            </w:r>
          </w:p>
        </w:tc>
        <w:tc>
          <w:tcPr>
            <w:tcW w:w="2977" w:type="dxa"/>
            <w:tcBorders>
              <w:top w:val="nil"/>
              <w:left w:val="nil"/>
              <w:bottom w:val="single" w:color="C0C0C0" w:sz="4" w:space="0"/>
              <w:right w:val="single" w:color="C0C0C0" w:sz="4" w:space="0"/>
            </w:tcBorders>
            <w:shd w:val="clear" w:color="auto" w:fill="auto"/>
            <w:vAlign w:val="center"/>
          </w:tcPr>
          <w:p w14:paraId="593070C9">
            <w:pPr>
              <w:widowControl/>
              <w:jc w:val="left"/>
              <w:rPr>
                <w:rFonts w:ascii="宋体" w:hAnsi="宋体" w:cs="宋体"/>
                <w:kern w:val="0"/>
                <w:sz w:val="22"/>
                <w:szCs w:val="22"/>
              </w:rPr>
            </w:pPr>
            <w:r>
              <w:rPr>
                <w:rFonts w:hint="eastAsia" w:ascii="宋体" w:hAnsi="宋体" w:cs="宋体"/>
                <w:kern w:val="0"/>
                <w:sz w:val="22"/>
                <w:szCs w:val="22"/>
              </w:rPr>
              <w:t>改善困难职工家庭状况，使其感受到党和政府的温暖。</w:t>
            </w:r>
          </w:p>
        </w:tc>
        <w:tc>
          <w:tcPr>
            <w:tcW w:w="940" w:type="dxa"/>
            <w:tcBorders>
              <w:top w:val="nil"/>
              <w:left w:val="nil"/>
              <w:bottom w:val="single" w:color="C0C0C0" w:sz="4" w:space="0"/>
              <w:right w:val="single" w:color="C0C0C0" w:sz="4" w:space="0"/>
            </w:tcBorders>
            <w:shd w:val="clear" w:color="auto" w:fill="auto"/>
            <w:noWrap/>
            <w:vAlign w:val="center"/>
          </w:tcPr>
          <w:p w14:paraId="02E5675F">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3F4E256C">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0693EC83">
            <w:pPr>
              <w:widowControl/>
              <w:jc w:val="left"/>
              <w:rPr>
                <w:rFonts w:ascii="宋体" w:hAnsi="宋体" w:cs="宋体"/>
                <w:kern w:val="0"/>
                <w:sz w:val="22"/>
                <w:szCs w:val="22"/>
              </w:rPr>
            </w:pPr>
            <w:r>
              <w:rPr>
                <w:rFonts w:hint="eastAsia" w:ascii="宋体" w:hAnsi="宋体" w:cs="宋体"/>
                <w:kern w:val="0"/>
                <w:sz w:val="22"/>
                <w:szCs w:val="22"/>
              </w:rPr>
              <w:t>年</w:t>
            </w:r>
          </w:p>
        </w:tc>
      </w:tr>
      <w:tr w14:paraId="7B3C13ED">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1D0D860C">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2A6BA120">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78CC01F0">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66BD9996">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0843E9B4">
            <w:pPr>
              <w:widowControl/>
              <w:jc w:val="left"/>
              <w:rPr>
                <w:rFonts w:ascii="宋体" w:hAnsi="宋体" w:cs="宋体"/>
                <w:kern w:val="0"/>
                <w:sz w:val="22"/>
                <w:szCs w:val="22"/>
              </w:rPr>
            </w:pPr>
            <w:r>
              <w:rPr>
                <w:rFonts w:hint="eastAsia" w:ascii="宋体" w:hAnsi="宋体" w:cs="宋体"/>
                <w:kern w:val="0"/>
                <w:sz w:val="22"/>
                <w:szCs w:val="22"/>
              </w:rPr>
              <w:t>满意度指标</w:t>
            </w:r>
          </w:p>
        </w:tc>
        <w:tc>
          <w:tcPr>
            <w:tcW w:w="1843" w:type="dxa"/>
            <w:tcBorders>
              <w:top w:val="nil"/>
              <w:left w:val="nil"/>
              <w:bottom w:val="single" w:color="C0C0C0" w:sz="4" w:space="0"/>
              <w:right w:val="single" w:color="C0C0C0" w:sz="4" w:space="0"/>
            </w:tcBorders>
            <w:shd w:val="clear" w:color="auto" w:fill="auto"/>
            <w:noWrap/>
            <w:vAlign w:val="center"/>
          </w:tcPr>
          <w:p w14:paraId="78732641">
            <w:pPr>
              <w:widowControl/>
              <w:jc w:val="left"/>
              <w:rPr>
                <w:rFonts w:ascii="宋体" w:hAnsi="宋体" w:cs="宋体"/>
                <w:kern w:val="0"/>
                <w:sz w:val="22"/>
                <w:szCs w:val="22"/>
              </w:rPr>
            </w:pPr>
            <w:r>
              <w:rPr>
                <w:rFonts w:hint="eastAsia" w:ascii="宋体" w:hAnsi="宋体" w:cs="宋体"/>
                <w:kern w:val="0"/>
                <w:sz w:val="22"/>
                <w:szCs w:val="22"/>
              </w:rPr>
              <w:t>帮扶对象满意度指标</w:t>
            </w:r>
          </w:p>
        </w:tc>
        <w:tc>
          <w:tcPr>
            <w:tcW w:w="2977" w:type="dxa"/>
            <w:tcBorders>
              <w:top w:val="nil"/>
              <w:left w:val="nil"/>
              <w:bottom w:val="single" w:color="C0C0C0" w:sz="4" w:space="0"/>
              <w:right w:val="single" w:color="C0C0C0" w:sz="4" w:space="0"/>
            </w:tcBorders>
            <w:shd w:val="clear" w:color="auto" w:fill="auto"/>
            <w:vAlign w:val="center"/>
          </w:tcPr>
          <w:p w14:paraId="185E575D">
            <w:pPr>
              <w:widowControl/>
              <w:jc w:val="left"/>
              <w:rPr>
                <w:rFonts w:ascii="宋体" w:hAnsi="宋体" w:cs="宋体"/>
                <w:kern w:val="0"/>
                <w:sz w:val="22"/>
                <w:szCs w:val="22"/>
              </w:rPr>
            </w:pPr>
            <w:r>
              <w:rPr>
                <w:rFonts w:hint="eastAsia" w:ascii="宋体" w:hAnsi="宋体" w:cs="宋体"/>
                <w:kern w:val="0"/>
                <w:sz w:val="22"/>
                <w:szCs w:val="22"/>
              </w:rPr>
              <w:t>98</w:t>
            </w:r>
          </w:p>
        </w:tc>
        <w:tc>
          <w:tcPr>
            <w:tcW w:w="940" w:type="dxa"/>
            <w:tcBorders>
              <w:top w:val="nil"/>
              <w:left w:val="nil"/>
              <w:bottom w:val="single" w:color="C0C0C0" w:sz="4" w:space="0"/>
              <w:right w:val="single" w:color="C0C0C0" w:sz="4" w:space="0"/>
            </w:tcBorders>
            <w:shd w:val="clear" w:color="auto" w:fill="auto"/>
            <w:noWrap/>
            <w:vAlign w:val="center"/>
          </w:tcPr>
          <w:p w14:paraId="57180443">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75D492E3">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15B07F93">
            <w:pPr>
              <w:widowControl/>
              <w:jc w:val="left"/>
              <w:rPr>
                <w:rFonts w:ascii="宋体" w:hAnsi="宋体" w:cs="宋体"/>
                <w:kern w:val="0"/>
                <w:sz w:val="22"/>
                <w:szCs w:val="22"/>
              </w:rPr>
            </w:pPr>
            <w:r>
              <w:rPr>
                <w:rFonts w:hint="eastAsia" w:ascii="宋体" w:hAnsi="宋体" w:cs="宋体"/>
                <w:kern w:val="0"/>
                <w:sz w:val="22"/>
                <w:szCs w:val="22"/>
              </w:rPr>
              <w:t>%</w:t>
            </w:r>
          </w:p>
        </w:tc>
      </w:tr>
      <w:tr w14:paraId="778382ED">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2E33DED8">
            <w:pPr>
              <w:widowControl/>
              <w:jc w:val="left"/>
              <w:rPr>
                <w:rFonts w:ascii="宋体" w:hAnsi="宋体" w:cs="宋体"/>
                <w:kern w:val="0"/>
                <w:sz w:val="22"/>
                <w:szCs w:val="22"/>
              </w:rPr>
            </w:pPr>
          </w:p>
        </w:tc>
        <w:tc>
          <w:tcPr>
            <w:tcW w:w="1420" w:type="dxa"/>
            <w:vMerge w:val="restart"/>
            <w:tcBorders>
              <w:top w:val="nil"/>
              <w:left w:val="single" w:color="C0C0C0" w:sz="4" w:space="0"/>
              <w:bottom w:val="single" w:color="C0C0C0" w:sz="4" w:space="0"/>
              <w:right w:val="single" w:color="C0C0C0" w:sz="4" w:space="0"/>
            </w:tcBorders>
            <w:shd w:val="clear" w:color="auto" w:fill="auto"/>
            <w:vAlign w:val="center"/>
          </w:tcPr>
          <w:p w14:paraId="4EC0EB33">
            <w:pPr>
              <w:widowControl/>
              <w:jc w:val="left"/>
              <w:rPr>
                <w:rFonts w:ascii="宋体" w:hAnsi="宋体" w:cs="宋体"/>
                <w:kern w:val="0"/>
                <w:sz w:val="22"/>
                <w:szCs w:val="22"/>
              </w:rPr>
            </w:pPr>
            <w:r>
              <w:rPr>
                <w:rFonts w:hint="eastAsia" w:ascii="宋体" w:hAnsi="宋体" w:cs="宋体"/>
                <w:kern w:val="0"/>
                <w:sz w:val="22"/>
                <w:szCs w:val="22"/>
              </w:rPr>
              <w:t>51112922T000004921167-政务运转工作经费</w:t>
            </w:r>
          </w:p>
        </w:tc>
        <w:tc>
          <w:tcPr>
            <w:tcW w:w="709" w:type="dxa"/>
            <w:vMerge w:val="restart"/>
            <w:tcBorders>
              <w:top w:val="nil"/>
              <w:left w:val="single" w:color="C0C0C0" w:sz="4" w:space="0"/>
              <w:bottom w:val="single" w:color="C0C0C0" w:sz="4" w:space="0"/>
              <w:right w:val="single" w:color="C0C0C0" w:sz="4" w:space="0"/>
            </w:tcBorders>
            <w:shd w:val="clear" w:color="auto" w:fill="auto"/>
            <w:noWrap/>
            <w:vAlign w:val="center"/>
          </w:tcPr>
          <w:p w14:paraId="4B39C469">
            <w:pPr>
              <w:widowControl/>
              <w:jc w:val="right"/>
              <w:rPr>
                <w:rFonts w:ascii="宋体" w:hAnsi="宋体" w:cs="宋体"/>
                <w:kern w:val="0"/>
                <w:sz w:val="22"/>
                <w:szCs w:val="22"/>
              </w:rPr>
            </w:pPr>
            <w:r>
              <w:rPr>
                <w:rFonts w:hint="eastAsia" w:ascii="宋体" w:hAnsi="宋体" w:cs="宋体"/>
                <w:kern w:val="0"/>
                <w:sz w:val="22"/>
                <w:szCs w:val="22"/>
              </w:rPr>
              <w:t>5.00</w:t>
            </w:r>
          </w:p>
        </w:tc>
        <w:tc>
          <w:tcPr>
            <w:tcW w:w="1418" w:type="dxa"/>
            <w:vMerge w:val="restart"/>
            <w:tcBorders>
              <w:top w:val="nil"/>
              <w:left w:val="single" w:color="C0C0C0" w:sz="4" w:space="0"/>
              <w:bottom w:val="single" w:color="C0C0C0" w:sz="4" w:space="0"/>
              <w:right w:val="single" w:color="C0C0C0" w:sz="4" w:space="0"/>
            </w:tcBorders>
            <w:shd w:val="clear" w:color="auto" w:fill="auto"/>
            <w:vAlign w:val="center"/>
          </w:tcPr>
          <w:p w14:paraId="37724CC4">
            <w:pPr>
              <w:widowControl/>
              <w:jc w:val="left"/>
              <w:rPr>
                <w:rFonts w:ascii="宋体" w:hAnsi="宋体" w:cs="宋体"/>
                <w:kern w:val="0"/>
                <w:sz w:val="22"/>
                <w:szCs w:val="22"/>
              </w:rPr>
            </w:pPr>
            <w:r>
              <w:rPr>
                <w:rFonts w:hint="eastAsia" w:ascii="宋体" w:hAnsi="宋体" w:cs="宋体"/>
                <w:kern w:val="0"/>
                <w:sz w:val="22"/>
                <w:szCs w:val="22"/>
              </w:rPr>
              <w:t>保障总工会机关及其下属事业单位日常办公产生的相关运行费用。</w:t>
            </w:r>
          </w:p>
        </w:tc>
        <w:tc>
          <w:tcPr>
            <w:tcW w:w="1275" w:type="dxa"/>
            <w:vMerge w:val="restart"/>
            <w:tcBorders>
              <w:top w:val="nil"/>
              <w:left w:val="single" w:color="C0C0C0" w:sz="4" w:space="0"/>
              <w:bottom w:val="single" w:color="C0C0C0" w:sz="4" w:space="0"/>
              <w:right w:val="single" w:color="C0C0C0" w:sz="4" w:space="0"/>
            </w:tcBorders>
            <w:shd w:val="clear" w:color="auto" w:fill="auto"/>
            <w:noWrap/>
            <w:vAlign w:val="center"/>
          </w:tcPr>
          <w:p w14:paraId="5FA2E0BD">
            <w:pPr>
              <w:widowControl/>
              <w:jc w:val="left"/>
              <w:rPr>
                <w:rFonts w:ascii="宋体" w:hAnsi="宋体" w:cs="宋体"/>
                <w:kern w:val="0"/>
                <w:sz w:val="22"/>
                <w:szCs w:val="22"/>
              </w:rPr>
            </w:pPr>
            <w:r>
              <w:rPr>
                <w:rFonts w:hint="eastAsia" w:ascii="宋体" w:hAnsi="宋体" w:cs="宋体"/>
                <w:kern w:val="0"/>
                <w:sz w:val="22"/>
                <w:szCs w:val="22"/>
              </w:rPr>
              <w:t>产出指标</w:t>
            </w:r>
          </w:p>
        </w:tc>
        <w:tc>
          <w:tcPr>
            <w:tcW w:w="1843" w:type="dxa"/>
            <w:tcBorders>
              <w:top w:val="nil"/>
              <w:left w:val="nil"/>
              <w:bottom w:val="single" w:color="C0C0C0" w:sz="4" w:space="0"/>
              <w:right w:val="single" w:color="C0C0C0" w:sz="4" w:space="0"/>
            </w:tcBorders>
            <w:shd w:val="clear" w:color="auto" w:fill="auto"/>
            <w:noWrap/>
            <w:vAlign w:val="center"/>
          </w:tcPr>
          <w:p w14:paraId="711E7D10">
            <w:pPr>
              <w:widowControl/>
              <w:jc w:val="left"/>
              <w:rPr>
                <w:rFonts w:ascii="宋体" w:hAnsi="宋体" w:cs="宋体"/>
                <w:kern w:val="0"/>
                <w:sz w:val="22"/>
                <w:szCs w:val="22"/>
              </w:rPr>
            </w:pPr>
            <w:r>
              <w:rPr>
                <w:rFonts w:hint="eastAsia" w:ascii="宋体" w:hAnsi="宋体" w:cs="宋体"/>
                <w:kern w:val="0"/>
                <w:sz w:val="22"/>
                <w:szCs w:val="22"/>
              </w:rPr>
              <w:t>质量指标</w:t>
            </w:r>
          </w:p>
        </w:tc>
        <w:tc>
          <w:tcPr>
            <w:tcW w:w="2977" w:type="dxa"/>
            <w:tcBorders>
              <w:top w:val="nil"/>
              <w:left w:val="nil"/>
              <w:bottom w:val="single" w:color="C0C0C0" w:sz="4" w:space="0"/>
              <w:right w:val="single" w:color="C0C0C0" w:sz="4" w:space="0"/>
            </w:tcBorders>
            <w:shd w:val="clear" w:color="auto" w:fill="auto"/>
            <w:vAlign w:val="center"/>
          </w:tcPr>
          <w:p w14:paraId="1F32C388">
            <w:pPr>
              <w:widowControl/>
              <w:jc w:val="left"/>
              <w:rPr>
                <w:rFonts w:ascii="宋体" w:hAnsi="宋体" w:cs="宋体"/>
                <w:kern w:val="0"/>
                <w:sz w:val="22"/>
                <w:szCs w:val="22"/>
              </w:rPr>
            </w:pPr>
            <w:r>
              <w:rPr>
                <w:rFonts w:hint="eastAsia" w:ascii="宋体" w:hAnsi="宋体" w:cs="宋体"/>
                <w:kern w:val="0"/>
                <w:sz w:val="22"/>
                <w:szCs w:val="22"/>
              </w:rPr>
              <w:t>圆满完成2022年各项工作目标任务</w:t>
            </w:r>
          </w:p>
        </w:tc>
        <w:tc>
          <w:tcPr>
            <w:tcW w:w="940" w:type="dxa"/>
            <w:tcBorders>
              <w:top w:val="nil"/>
              <w:left w:val="nil"/>
              <w:bottom w:val="single" w:color="C0C0C0" w:sz="4" w:space="0"/>
              <w:right w:val="single" w:color="C0C0C0" w:sz="4" w:space="0"/>
            </w:tcBorders>
            <w:shd w:val="clear" w:color="auto" w:fill="auto"/>
            <w:noWrap/>
            <w:vAlign w:val="center"/>
          </w:tcPr>
          <w:p w14:paraId="4704281A">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6857CBF8">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2753059A">
            <w:pPr>
              <w:widowControl/>
              <w:jc w:val="left"/>
              <w:rPr>
                <w:rFonts w:ascii="宋体" w:hAnsi="宋体" w:cs="宋体"/>
                <w:kern w:val="0"/>
                <w:sz w:val="22"/>
                <w:szCs w:val="22"/>
              </w:rPr>
            </w:pPr>
            <w:r>
              <w:rPr>
                <w:rFonts w:hint="eastAsia" w:ascii="宋体" w:hAnsi="宋体" w:cs="宋体"/>
                <w:kern w:val="0"/>
                <w:sz w:val="22"/>
                <w:szCs w:val="22"/>
              </w:rPr>
              <w:t>年</w:t>
            </w:r>
          </w:p>
        </w:tc>
      </w:tr>
      <w:tr w14:paraId="1EEA7411">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38AC0164">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40AF517C">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2B3BD5DB">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57B8D02B">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08057161">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52E721C3">
            <w:pPr>
              <w:widowControl/>
              <w:jc w:val="left"/>
              <w:rPr>
                <w:rFonts w:ascii="宋体" w:hAnsi="宋体" w:cs="宋体"/>
                <w:kern w:val="0"/>
                <w:sz w:val="22"/>
                <w:szCs w:val="22"/>
              </w:rPr>
            </w:pPr>
            <w:r>
              <w:rPr>
                <w:rFonts w:hint="eastAsia" w:ascii="宋体" w:hAnsi="宋体" w:cs="宋体"/>
                <w:kern w:val="0"/>
                <w:sz w:val="22"/>
                <w:szCs w:val="22"/>
              </w:rPr>
              <w:t>时效指标</w:t>
            </w:r>
          </w:p>
        </w:tc>
        <w:tc>
          <w:tcPr>
            <w:tcW w:w="2977" w:type="dxa"/>
            <w:tcBorders>
              <w:top w:val="nil"/>
              <w:left w:val="nil"/>
              <w:bottom w:val="single" w:color="C0C0C0" w:sz="4" w:space="0"/>
              <w:right w:val="single" w:color="C0C0C0" w:sz="4" w:space="0"/>
            </w:tcBorders>
            <w:shd w:val="clear" w:color="auto" w:fill="auto"/>
            <w:vAlign w:val="center"/>
          </w:tcPr>
          <w:p w14:paraId="2B73722C">
            <w:pPr>
              <w:widowControl/>
              <w:jc w:val="left"/>
              <w:rPr>
                <w:rFonts w:ascii="宋体" w:hAnsi="宋体" w:cs="宋体"/>
                <w:kern w:val="0"/>
                <w:sz w:val="22"/>
                <w:szCs w:val="22"/>
              </w:rPr>
            </w:pPr>
            <w:r>
              <w:rPr>
                <w:rFonts w:hint="eastAsia" w:ascii="宋体" w:hAnsi="宋体" w:cs="宋体"/>
                <w:kern w:val="0"/>
                <w:sz w:val="22"/>
                <w:szCs w:val="22"/>
              </w:rPr>
              <w:t>2022年12月31日前</w:t>
            </w:r>
          </w:p>
        </w:tc>
        <w:tc>
          <w:tcPr>
            <w:tcW w:w="940" w:type="dxa"/>
            <w:tcBorders>
              <w:top w:val="nil"/>
              <w:left w:val="nil"/>
              <w:bottom w:val="single" w:color="C0C0C0" w:sz="4" w:space="0"/>
              <w:right w:val="single" w:color="C0C0C0" w:sz="4" w:space="0"/>
            </w:tcBorders>
            <w:shd w:val="clear" w:color="auto" w:fill="auto"/>
            <w:noWrap/>
            <w:vAlign w:val="center"/>
          </w:tcPr>
          <w:p w14:paraId="740607E3">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49012944">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14B831E0">
            <w:pPr>
              <w:widowControl/>
              <w:jc w:val="left"/>
              <w:rPr>
                <w:rFonts w:ascii="宋体" w:hAnsi="宋体" w:cs="宋体"/>
                <w:kern w:val="0"/>
                <w:sz w:val="22"/>
                <w:szCs w:val="22"/>
              </w:rPr>
            </w:pPr>
            <w:r>
              <w:rPr>
                <w:rFonts w:hint="eastAsia" w:ascii="宋体" w:hAnsi="宋体" w:cs="宋体"/>
                <w:kern w:val="0"/>
                <w:sz w:val="22"/>
                <w:szCs w:val="22"/>
              </w:rPr>
              <w:t>年</w:t>
            </w:r>
          </w:p>
        </w:tc>
      </w:tr>
      <w:tr w14:paraId="1B199556">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01EC9327">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2DB40630">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31A56E18">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72EA0EE9">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059E56B1">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43C4BDAC">
            <w:pPr>
              <w:widowControl/>
              <w:jc w:val="left"/>
              <w:rPr>
                <w:rFonts w:ascii="宋体" w:hAnsi="宋体" w:cs="宋体"/>
                <w:kern w:val="0"/>
                <w:sz w:val="22"/>
                <w:szCs w:val="22"/>
              </w:rPr>
            </w:pPr>
            <w:r>
              <w:rPr>
                <w:rFonts w:hint="eastAsia" w:ascii="宋体" w:hAnsi="宋体" w:cs="宋体"/>
                <w:kern w:val="0"/>
                <w:sz w:val="22"/>
                <w:szCs w:val="22"/>
              </w:rPr>
              <w:t>成本指标</w:t>
            </w:r>
          </w:p>
        </w:tc>
        <w:tc>
          <w:tcPr>
            <w:tcW w:w="2977" w:type="dxa"/>
            <w:tcBorders>
              <w:top w:val="nil"/>
              <w:left w:val="nil"/>
              <w:bottom w:val="single" w:color="C0C0C0" w:sz="4" w:space="0"/>
              <w:right w:val="single" w:color="C0C0C0" w:sz="4" w:space="0"/>
            </w:tcBorders>
            <w:shd w:val="clear" w:color="auto" w:fill="auto"/>
            <w:vAlign w:val="center"/>
          </w:tcPr>
          <w:p w14:paraId="739F1427">
            <w:pPr>
              <w:widowControl/>
              <w:jc w:val="left"/>
              <w:rPr>
                <w:rFonts w:ascii="宋体" w:hAnsi="宋体" w:cs="宋体"/>
                <w:kern w:val="0"/>
                <w:sz w:val="22"/>
                <w:szCs w:val="22"/>
              </w:rPr>
            </w:pPr>
            <w:r>
              <w:rPr>
                <w:rFonts w:hint="eastAsia" w:ascii="宋体" w:hAnsi="宋体" w:cs="宋体"/>
                <w:kern w:val="0"/>
                <w:sz w:val="22"/>
                <w:szCs w:val="22"/>
              </w:rPr>
              <w:t>保障总工会机关及其下属事业单位日常办公产生的相关运行费用。</w:t>
            </w:r>
          </w:p>
        </w:tc>
        <w:tc>
          <w:tcPr>
            <w:tcW w:w="940" w:type="dxa"/>
            <w:tcBorders>
              <w:top w:val="nil"/>
              <w:left w:val="nil"/>
              <w:bottom w:val="single" w:color="C0C0C0" w:sz="4" w:space="0"/>
              <w:right w:val="single" w:color="C0C0C0" w:sz="4" w:space="0"/>
            </w:tcBorders>
            <w:shd w:val="clear" w:color="auto" w:fill="auto"/>
            <w:noWrap/>
            <w:vAlign w:val="center"/>
          </w:tcPr>
          <w:p w14:paraId="6A225D15">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770E8BC0">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38444CAB">
            <w:pPr>
              <w:widowControl/>
              <w:jc w:val="left"/>
              <w:rPr>
                <w:rFonts w:ascii="宋体" w:hAnsi="宋体" w:cs="宋体"/>
                <w:kern w:val="0"/>
                <w:sz w:val="22"/>
                <w:szCs w:val="22"/>
              </w:rPr>
            </w:pPr>
            <w:r>
              <w:rPr>
                <w:rFonts w:hint="eastAsia" w:ascii="宋体" w:hAnsi="宋体" w:cs="宋体"/>
                <w:kern w:val="0"/>
                <w:sz w:val="22"/>
                <w:szCs w:val="22"/>
              </w:rPr>
              <w:t>元/年</w:t>
            </w:r>
          </w:p>
        </w:tc>
      </w:tr>
      <w:tr w14:paraId="765B01A0">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7DF37525">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4BB2298F">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75623DC2">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15C6470C">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0EABD710">
            <w:pPr>
              <w:widowControl/>
              <w:jc w:val="left"/>
              <w:rPr>
                <w:rFonts w:ascii="宋体" w:hAnsi="宋体" w:cs="宋体"/>
                <w:kern w:val="0"/>
                <w:sz w:val="22"/>
                <w:szCs w:val="22"/>
              </w:rPr>
            </w:pPr>
            <w:r>
              <w:rPr>
                <w:rFonts w:hint="eastAsia" w:ascii="宋体" w:hAnsi="宋体" w:cs="宋体"/>
                <w:kern w:val="0"/>
                <w:sz w:val="22"/>
                <w:szCs w:val="22"/>
              </w:rPr>
              <w:t>效益指标</w:t>
            </w:r>
          </w:p>
        </w:tc>
        <w:tc>
          <w:tcPr>
            <w:tcW w:w="1843" w:type="dxa"/>
            <w:tcBorders>
              <w:top w:val="nil"/>
              <w:left w:val="nil"/>
              <w:bottom w:val="single" w:color="C0C0C0" w:sz="4" w:space="0"/>
              <w:right w:val="single" w:color="C0C0C0" w:sz="4" w:space="0"/>
            </w:tcBorders>
            <w:shd w:val="clear" w:color="auto" w:fill="auto"/>
            <w:noWrap/>
            <w:vAlign w:val="center"/>
          </w:tcPr>
          <w:p w14:paraId="48E4D47D">
            <w:pPr>
              <w:widowControl/>
              <w:jc w:val="left"/>
              <w:rPr>
                <w:rFonts w:ascii="宋体" w:hAnsi="宋体" w:cs="宋体"/>
                <w:kern w:val="0"/>
                <w:sz w:val="22"/>
                <w:szCs w:val="22"/>
              </w:rPr>
            </w:pPr>
            <w:r>
              <w:rPr>
                <w:rFonts w:hint="eastAsia" w:ascii="宋体" w:hAnsi="宋体" w:cs="宋体"/>
                <w:kern w:val="0"/>
                <w:sz w:val="22"/>
                <w:szCs w:val="22"/>
              </w:rPr>
              <w:t>社会效益指标</w:t>
            </w:r>
          </w:p>
        </w:tc>
        <w:tc>
          <w:tcPr>
            <w:tcW w:w="2977" w:type="dxa"/>
            <w:tcBorders>
              <w:top w:val="nil"/>
              <w:left w:val="nil"/>
              <w:bottom w:val="single" w:color="C0C0C0" w:sz="4" w:space="0"/>
              <w:right w:val="single" w:color="C0C0C0" w:sz="4" w:space="0"/>
            </w:tcBorders>
            <w:shd w:val="clear" w:color="auto" w:fill="auto"/>
            <w:vAlign w:val="center"/>
          </w:tcPr>
          <w:p w14:paraId="38B2008E">
            <w:pPr>
              <w:widowControl/>
              <w:jc w:val="left"/>
              <w:rPr>
                <w:rFonts w:ascii="宋体" w:hAnsi="宋体" w:cs="宋体"/>
                <w:kern w:val="0"/>
                <w:sz w:val="22"/>
                <w:szCs w:val="22"/>
              </w:rPr>
            </w:pPr>
            <w:r>
              <w:rPr>
                <w:rFonts w:hint="eastAsia" w:ascii="宋体" w:hAnsi="宋体" w:cs="宋体"/>
                <w:kern w:val="0"/>
                <w:sz w:val="22"/>
                <w:szCs w:val="22"/>
              </w:rPr>
              <w:t>围绕中心，服务大局、充分发挥工会职能职责，为全县经济社会发展再建新功。</w:t>
            </w:r>
          </w:p>
        </w:tc>
        <w:tc>
          <w:tcPr>
            <w:tcW w:w="940" w:type="dxa"/>
            <w:tcBorders>
              <w:top w:val="nil"/>
              <w:left w:val="nil"/>
              <w:bottom w:val="single" w:color="C0C0C0" w:sz="4" w:space="0"/>
              <w:right w:val="single" w:color="C0C0C0" w:sz="4" w:space="0"/>
            </w:tcBorders>
            <w:shd w:val="clear" w:color="auto" w:fill="auto"/>
            <w:noWrap/>
            <w:vAlign w:val="center"/>
          </w:tcPr>
          <w:p w14:paraId="2FCCFAD5">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4BFD59D7">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5A224743">
            <w:pPr>
              <w:widowControl/>
              <w:jc w:val="left"/>
              <w:rPr>
                <w:rFonts w:ascii="宋体" w:hAnsi="宋体" w:cs="宋体"/>
                <w:kern w:val="0"/>
                <w:sz w:val="22"/>
                <w:szCs w:val="22"/>
              </w:rPr>
            </w:pPr>
            <w:r>
              <w:rPr>
                <w:rFonts w:hint="eastAsia" w:ascii="宋体" w:hAnsi="宋体" w:cs="宋体"/>
                <w:kern w:val="0"/>
                <w:sz w:val="22"/>
                <w:szCs w:val="22"/>
              </w:rPr>
              <w:t>年</w:t>
            </w:r>
          </w:p>
        </w:tc>
      </w:tr>
      <w:tr w14:paraId="33C18A3D">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54F09EE2">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25456DDC">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516D5984">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71A0F21E">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01EEF93A">
            <w:pPr>
              <w:widowControl/>
              <w:jc w:val="left"/>
              <w:rPr>
                <w:rFonts w:ascii="宋体" w:hAnsi="宋体" w:cs="宋体"/>
                <w:kern w:val="0"/>
                <w:sz w:val="22"/>
                <w:szCs w:val="22"/>
              </w:rPr>
            </w:pPr>
            <w:r>
              <w:rPr>
                <w:rFonts w:hint="eastAsia" w:ascii="宋体" w:hAnsi="宋体" w:cs="宋体"/>
                <w:kern w:val="0"/>
                <w:sz w:val="22"/>
                <w:szCs w:val="22"/>
              </w:rPr>
              <w:t>满意度指标</w:t>
            </w:r>
          </w:p>
        </w:tc>
        <w:tc>
          <w:tcPr>
            <w:tcW w:w="1843" w:type="dxa"/>
            <w:tcBorders>
              <w:top w:val="nil"/>
              <w:left w:val="nil"/>
              <w:bottom w:val="single" w:color="C0C0C0" w:sz="4" w:space="0"/>
              <w:right w:val="single" w:color="C0C0C0" w:sz="4" w:space="0"/>
            </w:tcBorders>
            <w:shd w:val="clear" w:color="auto" w:fill="auto"/>
            <w:noWrap/>
            <w:vAlign w:val="center"/>
          </w:tcPr>
          <w:p w14:paraId="4B845E44">
            <w:pPr>
              <w:widowControl/>
              <w:jc w:val="left"/>
              <w:rPr>
                <w:rFonts w:ascii="宋体" w:hAnsi="宋体" w:cs="宋体"/>
                <w:kern w:val="0"/>
                <w:sz w:val="22"/>
                <w:szCs w:val="22"/>
              </w:rPr>
            </w:pPr>
            <w:r>
              <w:rPr>
                <w:rFonts w:hint="eastAsia" w:ascii="宋体" w:hAnsi="宋体" w:cs="宋体"/>
                <w:kern w:val="0"/>
                <w:sz w:val="22"/>
                <w:szCs w:val="22"/>
              </w:rPr>
              <w:t>服务对象满意度指标</w:t>
            </w:r>
          </w:p>
        </w:tc>
        <w:tc>
          <w:tcPr>
            <w:tcW w:w="2977" w:type="dxa"/>
            <w:tcBorders>
              <w:top w:val="nil"/>
              <w:left w:val="nil"/>
              <w:bottom w:val="single" w:color="C0C0C0" w:sz="4" w:space="0"/>
              <w:right w:val="single" w:color="C0C0C0" w:sz="4" w:space="0"/>
            </w:tcBorders>
            <w:shd w:val="clear" w:color="auto" w:fill="auto"/>
            <w:vAlign w:val="center"/>
          </w:tcPr>
          <w:p w14:paraId="438AD7D1">
            <w:pPr>
              <w:widowControl/>
              <w:ind w:right="1675" w:rightChars="798"/>
              <w:jc w:val="left"/>
              <w:rPr>
                <w:rFonts w:ascii="宋体" w:hAnsi="宋体" w:cs="宋体"/>
                <w:kern w:val="0"/>
                <w:sz w:val="22"/>
                <w:szCs w:val="22"/>
              </w:rPr>
            </w:pPr>
            <w:r>
              <w:rPr>
                <w:rFonts w:hint="eastAsia" w:ascii="宋体" w:hAnsi="宋体" w:cs="宋体"/>
                <w:kern w:val="0"/>
                <w:sz w:val="22"/>
                <w:szCs w:val="22"/>
              </w:rPr>
              <w:t>工作满意度</w:t>
            </w:r>
          </w:p>
        </w:tc>
        <w:tc>
          <w:tcPr>
            <w:tcW w:w="940" w:type="dxa"/>
            <w:tcBorders>
              <w:top w:val="nil"/>
              <w:left w:val="nil"/>
              <w:bottom w:val="single" w:color="C0C0C0" w:sz="4" w:space="0"/>
              <w:right w:val="single" w:color="C0C0C0" w:sz="4" w:space="0"/>
            </w:tcBorders>
            <w:shd w:val="clear" w:color="auto" w:fill="auto"/>
            <w:noWrap/>
            <w:vAlign w:val="center"/>
          </w:tcPr>
          <w:p w14:paraId="50FADA73">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3D1EC13B">
            <w:pPr>
              <w:widowControl/>
              <w:jc w:val="right"/>
              <w:rPr>
                <w:rFonts w:ascii="宋体" w:hAnsi="宋体" w:cs="宋体"/>
                <w:kern w:val="0"/>
                <w:sz w:val="22"/>
                <w:szCs w:val="22"/>
              </w:rPr>
            </w:pPr>
            <w:r>
              <w:rPr>
                <w:rFonts w:hint="eastAsia" w:ascii="宋体" w:hAnsi="宋体" w:cs="宋体"/>
                <w:kern w:val="0"/>
                <w:sz w:val="22"/>
                <w:szCs w:val="22"/>
              </w:rPr>
              <w:t>98</w:t>
            </w:r>
          </w:p>
        </w:tc>
        <w:tc>
          <w:tcPr>
            <w:tcW w:w="1080" w:type="dxa"/>
            <w:tcBorders>
              <w:top w:val="nil"/>
              <w:left w:val="nil"/>
              <w:bottom w:val="single" w:color="C0C0C0" w:sz="4" w:space="0"/>
              <w:right w:val="single" w:color="C0C0C0" w:sz="4" w:space="0"/>
            </w:tcBorders>
            <w:shd w:val="clear" w:color="auto" w:fill="auto"/>
            <w:noWrap/>
            <w:vAlign w:val="center"/>
          </w:tcPr>
          <w:p w14:paraId="35D6ED94">
            <w:pPr>
              <w:widowControl/>
              <w:jc w:val="left"/>
              <w:rPr>
                <w:rFonts w:ascii="宋体" w:hAnsi="宋体" w:cs="宋体"/>
                <w:kern w:val="0"/>
                <w:sz w:val="22"/>
                <w:szCs w:val="22"/>
              </w:rPr>
            </w:pPr>
            <w:r>
              <w:rPr>
                <w:rFonts w:hint="eastAsia" w:ascii="宋体" w:hAnsi="宋体" w:cs="宋体"/>
                <w:kern w:val="0"/>
                <w:sz w:val="22"/>
                <w:szCs w:val="22"/>
              </w:rPr>
              <w:t>%</w:t>
            </w:r>
          </w:p>
        </w:tc>
      </w:tr>
      <w:tr w14:paraId="24BBF41C">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3E360E74">
            <w:pPr>
              <w:widowControl/>
              <w:jc w:val="left"/>
              <w:rPr>
                <w:rFonts w:ascii="宋体" w:hAnsi="宋体" w:cs="宋体"/>
                <w:kern w:val="0"/>
                <w:sz w:val="22"/>
                <w:szCs w:val="22"/>
              </w:rPr>
            </w:pPr>
          </w:p>
        </w:tc>
        <w:tc>
          <w:tcPr>
            <w:tcW w:w="1420" w:type="dxa"/>
            <w:vMerge w:val="restart"/>
            <w:tcBorders>
              <w:top w:val="nil"/>
              <w:left w:val="single" w:color="C0C0C0" w:sz="4" w:space="0"/>
              <w:bottom w:val="single" w:color="C0C0C0" w:sz="4" w:space="0"/>
              <w:right w:val="single" w:color="C0C0C0" w:sz="4" w:space="0"/>
            </w:tcBorders>
            <w:shd w:val="clear" w:color="auto" w:fill="auto"/>
            <w:vAlign w:val="center"/>
          </w:tcPr>
          <w:p w14:paraId="7042706C">
            <w:pPr>
              <w:widowControl/>
              <w:jc w:val="left"/>
              <w:rPr>
                <w:rFonts w:ascii="宋体" w:hAnsi="宋体" w:cs="宋体"/>
                <w:kern w:val="0"/>
                <w:sz w:val="22"/>
                <w:szCs w:val="22"/>
              </w:rPr>
            </w:pPr>
            <w:r>
              <w:rPr>
                <w:rFonts w:hint="eastAsia" w:ascii="宋体" w:hAnsi="宋体" w:cs="宋体"/>
                <w:kern w:val="0"/>
                <w:sz w:val="22"/>
                <w:szCs w:val="22"/>
              </w:rPr>
              <w:t>51112922T000004921223-职工活动经费</w:t>
            </w:r>
          </w:p>
        </w:tc>
        <w:tc>
          <w:tcPr>
            <w:tcW w:w="709" w:type="dxa"/>
            <w:vMerge w:val="restart"/>
            <w:tcBorders>
              <w:top w:val="nil"/>
              <w:left w:val="single" w:color="C0C0C0" w:sz="4" w:space="0"/>
              <w:bottom w:val="single" w:color="C0C0C0" w:sz="4" w:space="0"/>
              <w:right w:val="single" w:color="C0C0C0" w:sz="4" w:space="0"/>
            </w:tcBorders>
            <w:shd w:val="clear" w:color="auto" w:fill="auto"/>
            <w:noWrap/>
            <w:vAlign w:val="center"/>
          </w:tcPr>
          <w:p w14:paraId="515F812D">
            <w:pPr>
              <w:widowControl/>
              <w:jc w:val="right"/>
              <w:rPr>
                <w:rFonts w:ascii="宋体" w:hAnsi="宋体" w:cs="宋体"/>
                <w:kern w:val="0"/>
                <w:sz w:val="22"/>
                <w:szCs w:val="22"/>
              </w:rPr>
            </w:pPr>
            <w:r>
              <w:rPr>
                <w:rFonts w:hint="eastAsia" w:ascii="宋体" w:hAnsi="宋体" w:cs="宋体"/>
                <w:kern w:val="0"/>
                <w:sz w:val="22"/>
                <w:szCs w:val="22"/>
              </w:rPr>
              <w:t>8.00</w:t>
            </w:r>
          </w:p>
        </w:tc>
        <w:tc>
          <w:tcPr>
            <w:tcW w:w="1418" w:type="dxa"/>
            <w:vMerge w:val="restart"/>
            <w:tcBorders>
              <w:top w:val="nil"/>
              <w:left w:val="single" w:color="C0C0C0" w:sz="4" w:space="0"/>
              <w:bottom w:val="single" w:color="C0C0C0" w:sz="4" w:space="0"/>
              <w:right w:val="single" w:color="C0C0C0" w:sz="4" w:space="0"/>
            </w:tcBorders>
            <w:shd w:val="clear" w:color="auto" w:fill="auto"/>
            <w:vAlign w:val="center"/>
          </w:tcPr>
          <w:p w14:paraId="21383734">
            <w:pPr>
              <w:widowControl/>
              <w:jc w:val="left"/>
              <w:rPr>
                <w:rFonts w:ascii="宋体" w:hAnsi="宋体" w:cs="宋体"/>
                <w:kern w:val="0"/>
                <w:sz w:val="22"/>
                <w:szCs w:val="22"/>
              </w:rPr>
            </w:pPr>
            <w:r>
              <w:rPr>
                <w:rFonts w:hint="eastAsia" w:ascii="宋体" w:hAnsi="宋体" w:cs="宋体"/>
                <w:kern w:val="0"/>
                <w:sz w:val="22"/>
                <w:szCs w:val="22"/>
              </w:rPr>
              <w:t>组织全县职工开展文化体育活动</w:t>
            </w:r>
          </w:p>
        </w:tc>
        <w:tc>
          <w:tcPr>
            <w:tcW w:w="1275" w:type="dxa"/>
            <w:vMerge w:val="restart"/>
            <w:tcBorders>
              <w:top w:val="nil"/>
              <w:left w:val="single" w:color="C0C0C0" w:sz="4" w:space="0"/>
              <w:bottom w:val="single" w:color="C0C0C0" w:sz="4" w:space="0"/>
              <w:right w:val="single" w:color="C0C0C0" w:sz="4" w:space="0"/>
            </w:tcBorders>
            <w:shd w:val="clear" w:color="auto" w:fill="auto"/>
            <w:noWrap/>
            <w:vAlign w:val="center"/>
          </w:tcPr>
          <w:p w14:paraId="49BF28A2">
            <w:pPr>
              <w:widowControl/>
              <w:jc w:val="left"/>
              <w:rPr>
                <w:rFonts w:ascii="宋体" w:hAnsi="宋体" w:cs="宋体"/>
                <w:kern w:val="0"/>
                <w:sz w:val="22"/>
                <w:szCs w:val="22"/>
              </w:rPr>
            </w:pPr>
            <w:r>
              <w:rPr>
                <w:rFonts w:hint="eastAsia" w:ascii="宋体" w:hAnsi="宋体" w:cs="宋体"/>
                <w:kern w:val="0"/>
                <w:sz w:val="22"/>
                <w:szCs w:val="22"/>
              </w:rPr>
              <w:t>产出指标</w:t>
            </w:r>
          </w:p>
        </w:tc>
        <w:tc>
          <w:tcPr>
            <w:tcW w:w="1843" w:type="dxa"/>
            <w:tcBorders>
              <w:top w:val="nil"/>
              <w:left w:val="nil"/>
              <w:bottom w:val="single" w:color="C0C0C0" w:sz="4" w:space="0"/>
              <w:right w:val="single" w:color="C0C0C0" w:sz="4" w:space="0"/>
            </w:tcBorders>
            <w:shd w:val="clear" w:color="auto" w:fill="auto"/>
            <w:noWrap/>
            <w:vAlign w:val="center"/>
          </w:tcPr>
          <w:p w14:paraId="18C56B90">
            <w:pPr>
              <w:widowControl/>
              <w:jc w:val="left"/>
              <w:rPr>
                <w:rFonts w:ascii="宋体" w:hAnsi="宋体" w:cs="宋体"/>
                <w:kern w:val="0"/>
                <w:sz w:val="22"/>
                <w:szCs w:val="22"/>
              </w:rPr>
            </w:pPr>
            <w:r>
              <w:rPr>
                <w:rFonts w:hint="eastAsia" w:ascii="宋体" w:hAnsi="宋体" w:cs="宋体"/>
                <w:kern w:val="0"/>
                <w:sz w:val="22"/>
                <w:szCs w:val="22"/>
              </w:rPr>
              <w:t>数量指标</w:t>
            </w:r>
          </w:p>
        </w:tc>
        <w:tc>
          <w:tcPr>
            <w:tcW w:w="2977" w:type="dxa"/>
            <w:tcBorders>
              <w:top w:val="nil"/>
              <w:left w:val="nil"/>
              <w:bottom w:val="single" w:color="C0C0C0" w:sz="4" w:space="0"/>
              <w:right w:val="single" w:color="C0C0C0" w:sz="4" w:space="0"/>
            </w:tcBorders>
            <w:shd w:val="clear" w:color="auto" w:fill="auto"/>
            <w:vAlign w:val="center"/>
          </w:tcPr>
          <w:p w14:paraId="1CA27E78">
            <w:pPr>
              <w:widowControl/>
              <w:jc w:val="left"/>
              <w:rPr>
                <w:rFonts w:ascii="宋体" w:hAnsi="宋体" w:cs="宋体"/>
                <w:kern w:val="0"/>
                <w:sz w:val="22"/>
                <w:szCs w:val="22"/>
              </w:rPr>
            </w:pPr>
            <w:r>
              <w:rPr>
                <w:rFonts w:hint="eastAsia" w:ascii="宋体" w:hAnsi="宋体" w:cs="宋体"/>
                <w:kern w:val="0"/>
                <w:sz w:val="22"/>
                <w:szCs w:val="22"/>
              </w:rPr>
              <w:t>全年组织职工志愿服务活动、职工文体活动不少于3次</w:t>
            </w:r>
          </w:p>
        </w:tc>
        <w:tc>
          <w:tcPr>
            <w:tcW w:w="940" w:type="dxa"/>
            <w:tcBorders>
              <w:top w:val="nil"/>
              <w:left w:val="nil"/>
              <w:bottom w:val="single" w:color="C0C0C0" w:sz="4" w:space="0"/>
              <w:right w:val="single" w:color="C0C0C0" w:sz="4" w:space="0"/>
            </w:tcBorders>
            <w:shd w:val="clear" w:color="auto" w:fill="auto"/>
            <w:noWrap/>
            <w:vAlign w:val="center"/>
          </w:tcPr>
          <w:p w14:paraId="08BC017F">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55B6D38A">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7529A53F">
            <w:pPr>
              <w:widowControl/>
              <w:jc w:val="left"/>
              <w:rPr>
                <w:rFonts w:ascii="宋体" w:hAnsi="宋体" w:cs="宋体"/>
                <w:kern w:val="0"/>
                <w:sz w:val="22"/>
                <w:szCs w:val="22"/>
              </w:rPr>
            </w:pPr>
            <w:r>
              <w:rPr>
                <w:rFonts w:hint="eastAsia" w:ascii="宋体" w:hAnsi="宋体" w:cs="宋体"/>
                <w:kern w:val="0"/>
                <w:sz w:val="22"/>
                <w:szCs w:val="22"/>
              </w:rPr>
              <w:t>次/年</w:t>
            </w:r>
          </w:p>
        </w:tc>
      </w:tr>
      <w:tr w14:paraId="7A954C8E">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3D6CA993">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3EDA9913">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7BEA7F4F">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63C05DC5">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5F8F5257">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5080AAC2">
            <w:pPr>
              <w:widowControl/>
              <w:jc w:val="left"/>
              <w:rPr>
                <w:rFonts w:ascii="宋体" w:hAnsi="宋体" w:cs="宋体"/>
                <w:kern w:val="0"/>
                <w:sz w:val="22"/>
                <w:szCs w:val="22"/>
              </w:rPr>
            </w:pPr>
            <w:r>
              <w:rPr>
                <w:rFonts w:hint="eastAsia" w:ascii="宋体" w:hAnsi="宋体" w:cs="宋体"/>
                <w:kern w:val="0"/>
                <w:sz w:val="22"/>
                <w:szCs w:val="22"/>
              </w:rPr>
              <w:t>质量指标</w:t>
            </w:r>
          </w:p>
        </w:tc>
        <w:tc>
          <w:tcPr>
            <w:tcW w:w="2977" w:type="dxa"/>
            <w:tcBorders>
              <w:top w:val="nil"/>
              <w:left w:val="nil"/>
              <w:bottom w:val="single" w:color="C0C0C0" w:sz="4" w:space="0"/>
              <w:right w:val="single" w:color="C0C0C0" w:sz="4" w:space="0"/>
            </w:tcBorders>
            <w:shd w:val="clear" w:color="auto" w:fill="auto"/>
            <w:vAlign w:val="center"/>
          </w:tcPr>
          <w:p w14:paraId="340FFB03">
            <w:pPr>
              <w:widowControl/>
              <w:jc w:val="left"/>
              <w:rPr>
                <w:rFonts w:ascii="宋体" w:hAnsi="宋体" w:cs="宋体"/>
                <w:kern w:val="0"/>
                <w:sz w:val="22"/>
                <w:szCs w:val="22"/>
              </w:rPr>
            </w:pPr>
            <w:r>
              <w:rPr>
                <w:rFonts w:hint="eastAsia" w:ascii="宋体" w:hAnsi="宋体" w:cs="宋体"/>
                <w:kern w:val="0"/>
                <w:sz w:val="22"/>
                <w:szCs w:val="22"/>
              </w:rPr>
              <w:t>活动形式丰富多彩、职工参与度高。</w:t>
            </w:r>
          </w:p>
        </w:tc>
        <w:tc>
          <w:tcPr>
            <w:tcW w:w="940" w:type="dxa"/>
            <w:tcBorders>
              <w:top w:val="nil"/>
              <w:left w:val="nil"/>
              <w:bottom w:val="single" w:color="C0C0C0" w:sz="4" w:space="0"/>
              <w:right w:val="single" w:color="C0C0C0" w:sz="4" w:space="0"/>
            </w:tcBorders>
            <w:shd w:val="clear" w:color="auto" w:fill="auto"/>
            <w:noWrap/>
            <w:vAlign w:val="center"/>
          </w:tcPr>
          <w:p w14:paraId="41DA01C2">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12CF2514">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0FA663E1">
            <w:pPr>
              <w:widowControl/>
              <w:jc w:val="left"/>
              <w:rPr>
                <w:rFonts w:ascii="宋体" w:hAnsi="宋体" w:cs="宋体"/>
                <w:kern w:val="0"/>
                <w:sz w:val="22"/>
                <w:szCs w:val="22"/>
              </w:rPr>
            </w:pPr>
            <w:r>
              <w:rPr>
                <w:rFonts w:hint="eastAsia" w:ascii="宋体" w:hAnsi="宋体" w:cs="宋体"/>
                <w:kern w:val="0"/>
                <w:sz w:val="22"/>
                <w:szCs w:val="22"/>
              </w:rPr>
              <w:t>年</w:t>
            </w:r>
          </w:p>
        </w:tc>
      </w:tr>
      <w:tr w14:paraId="7AED971B">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68D3A404">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74D024E4">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713DD018">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7BC51079">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7241EE20">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1DFBEAAA">
            <w:pPr>
              <w:widowControl/>
              <w:jc w:val="left"/>
              <w:rPr>
                <w:rFonts w:ascii="宋体" w:hAnsi="宋体" w:cs="宋体"/>
                <w:kern w:val="0"/>
                <w:sz w:val="22"/>
                <w:szCs w:val="22"/>
              </w:rPr>
            </w:pPr>
            <w:r>
              <w:rPr>
                <w:rFonts w:hint="eastAsia" w:ascii="宋体" w:hAnsi="宋体" w:cs="宋体"/>
                <w:kern w:val="0"/>
                <w:sz w:val="22"/>
                <w:szCs w:val="22"/>
              </w:rPr>
              <w:t>时效指标</w:t>
            </w:r>
          </w:p>
        </w:tc>
        <w:tc>
          <w:tcPr>
            <w:tcW w:w="2977" w:type="dxa"/>
            <w:tcBorders>
              <w:top w:val="nil"/>
              <w:left w:val="nil"/>
              <w:bottom w:val="single" w:color="C0C0C0" w:sz="4" w:space="0"/>
              <w:right w:val="single" w:color="C0C0C0" w:sz="4" w:space="0"/>
            </w:tcBorders>
            <w:shd w:val="clear" w:color="auto" w:fill="auto"/>
            <w:vAlign w:val="center"/>
          </w:tcPr>
          <w:p w14:paraId="5E04F276">
            <w:pPr>
              <w:widowControl/>
              <w:jc w:val="left"/>
              <w:rPr>
                <w:rFonts w:ascii="宋体" w:hAnsi="宋体" w:cs="宋体"/>
                <w:kern w:val="0"/>
                <w:sz w:val="22"/>
                <w:szCs w:val="22"/>
              </w:rPr>
            </w:pPr>
            <w:r>
              <w:rPr>
                <w:rFonts w:hint="eastAsia" w:ascii="宋体" w:hAnsi="宋体" w:cs="宋体"/>
                <w:kern w:val="0"/>
                <w:sz w:val="22"/>
                <w:szCs w:val="22"/>
              </w:rPr>
              <w:t>2022年12月31日前完成</w:t>
            </w:r>
          </w:p>
        </w:tc>
        <w:tc>
          <w:tcPr>
            <w:tcW w:w="940" w:type="dxa"/>
            <w:tcBorders>
              <w:top w:val="nil"/>
              <w:left w:val="nil"/>
              <w:bottom w:val="single" w:color="C0C0C0" w:sz="4" w:space="0"/>
              <w:right w:val="single" w:color="C0C0C0" w:sz="4" w:space="0"/>
            </w:tcBorders>
            <w:shd w:val="clear" w:color="auto" w:fill="auto"/>
            <w:noWrap/>
            <w:vAlign w:val="center"/>
          </w:tcPr>
          <w:p w14:paraId="2E4122A2">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068D64EB">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7B3D7DA0">
            <w:pPr>
              <w:widowControl/>
              <w:jc w:val="left"/>
              <w:rPr>
                <w:rFonts w:ascii="宋体" w:hAnsi="宋体" w:cs="宋体"/>
                <w:kern w:val="0"/>
                <w:sz w:val="22"/>
                <w:szCs w:val="22"/>
              </w:rPr>
            </w:pPr>
            <w:r>
              <w:rPr>
                <w:rFonts w:hint="eastAsia" w:ascii="宋体" w:hAnsi="宋体" w:cs="宋体"/>
                <w:kern w:val="0"/>
                <w:sz w:val="22"/>
                <w:szCs w:val="22"/>
              </w:rPr>
              <w:t>年</w:t>
            </w:r>
          </w:p>
        </w:tc>
      </w:tr>
      <w:tr w14:paraId="320D4CBC">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05589E5A">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1843C10B">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6B6ED6AF">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69E32698">
            <w:pPr>
              <w:widowControl/>
              <w:jc w:val="left"/>
              <w:rPr>
                <w:rFonts w:ascii="宋体" w:hAnsi="宋体" w:cs="宋体"/>
                <w:kern w:val="0"/>
                <w:sz w:val="22"/>
                <w:szCs w:val="22"/>
              </w:rPr>
            </w:pPr>
          </w:p>
        </w:tc>
        <w:tc>
          <w:tcPr>
            <w:tcW w:w="1275" w:type="dxa"/>
            <w:vMerge w:val="restart"/>
            <w:tcBorders>
              <w:top w:val="nil"/>
              <w:left w:val="single" w:color="C0C0C0" w:sz="4" w:space="0"/>
              <w:bottom w:val="single" w:color="C0C0C0" w:sz="4" w:space="0"/>
              <w:right w:val="single" w:color="C0C0C0" w:sz="4" w:space="0"/>
            </w:tcBorders>
            <w:shd w:val="clear" w:color="auto" w:fill="auto"/>
            <w:noWrap/>
            <w:vAlign w:val="center"/>
          </w:tcPr>
          <w:p w14:paraId="32BE1E09">
            <w:pPr>
              <w:widowControl/>
              <w:jc w:val="left"/>
              <w:rPr>
                <w:rFonts w:ascii="宋体" w:hAnsi="宋体" w:cs="宋体"/>
                <w:kern w:val="0"/>
                <w:sz w:val="22"/>
                <w:szCs w:val="22"/>
              </w:rPr>
            </w:pPr>
            <w:r>
              <w:rPr>
                <w:rFonts w:hint="eastAsia" w:ascii="宋体" w:hAnsi="宋体" w:cs="宋体"/>
                <w:kern w:val="0"/>
                <w:sz w:val="22"/>
                <w:szCs w:val="22"/>
              </w:rPr>
              <w:t>效益指标</w:t>
            </w:r>
          </w:p>
        </w:tc>
        <w:tc>
          <w:tcPr>
            <w:tcW w:w="1843" w:type="dxa"/>
            <w:tcBorders>
              <w:top w:val="nil"/>
              <w:left w:val="nil"/>
              <w:bottom w:val="single" w:color="C0C0C0" w:sz="4" w:space="0"/>
              <w:right w:val="single" w:color="C0C0C0" w:sz="4" w:space="0"/>
            </w:tcBorders>
            <w:shd w:val="clear" w:color="auto" w:fill="auto"/>
            <w:noWrap/>
            <w:vAlign w:val="center"/>
          </w:tcPr>
          <w:p w14:paraId="0DD28659">
            <w:pPr>
              <w:widowControl/>
              <w:jc w:val="left"/>
              <w:rPr>
                <w:rFonts w:ascii="宋体" w:hAnsi="宋体" w:cs="宋体"/>
                <w:kern w:val="0"/>
                <w:sz w:val="22"/>
                <w:szCs w:val="22"/>
              </w:rPr>
            </w:pPr>
            <w:r>
              <w:rPr>
                <w:rFonts w:hint="eastAsia" w:ascii="宋体" w:hAnsi="宋体" w:cs="宋体"/>
                <w:kern w:val="0"/>
                <w:sz w:val="22"/>
                <w:szCs w:val="22"/>
              </w:rPr>
              <w:t>经济效益指标</w:t>
            </w:r>
          </w:p>
        </w:tc>
        <w:tc>
          <w:tcPr>
            <w:tcW w:w="2977" w:type="dxa"/>
            <w:tcBorders>
              <w:top w:val="nil"/>
              <w:left w:val="nil"/>
              <w:bottom w:val="single" w:color="C0C0C0" w:sz="4" w:space="0"/>
              <w:right w:val="single" w:color="C0C0C0" w:sz="4" w:space="0"/>
            </w:tcBorders>
            <w:shd w:val="clear" w:color="auto" w:fill="auto"/>
            <w:vAlign w:val="center"/>
          </w:tcPr>
          <w:p w14:paraId="22E47C4A">
            <w:pPr>
              <w:widowControl/>
              <w:jc w:val="left"/>
              <w:rPr>
                <w:rFonts w:ascii="宋体" w:hAnsi="宋体" w:cs="宋体"/>
                <w:kern w:val="0"/>
                <w:sz w:val="22"/>
                <w:szCs w:val="22"/>
              </w:rPr>
            </w:pPr>
            <w:r>
              <w:rPr>
                <w:rFonts w:hint="eastAsia" w:ascii="宋体" w:hAnsi="宋体" w:cs="宋体"/>
                <w:kern w:val="0"/>
                <w:sz w:val="22"/>
                <w:szCs w:val="22"/>
              </w:rPr>
              <w:t>以文体活动凝聚职工，以劳动竞赛激励职工，以宣传先进引导职工。</w:t>
            </w:r>
          </w:p>
        </w:tc>
        <w:tc>
          <w:tcPr>
            <w:tcW w:w="940" w:type="dxa"/>
            <w:tcBorders>
              <w:top w:val="nil"/>
              <w:left w:val="nil"/>
              <w:bottom w:val="single" w:color="C0C0C0" w:sz="4" w:space="0"/>
              <w:right w:val="single" w:color="C0C0C0" w:sz="4" w:space="0"/>
            </w:tcBorders>
            <w:shd w:val="clear" w:color="auto" w:fill="auto"/>
            <w:noWrap/>
            <w:vAlign w:val="center"/>
          </w:tcPr>
          <w:p w14:paraId="44351B06">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7811A680">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18CB3FF9">
            <w:pPr>
              <w:widowControl/>
              <w:jc w:val="left"/>
              <w:rPr>
                <w:rFonts w:ascii="宋体" w:hAnsi="宋体" w:cs="宋体"/>
                <w:kern w:val="0"/>
                <w:sz w:val="22"/>
                <w:szCs w:val="22"/>
              </w:rPr>
            </w:pPr>
            <w:r>
              <w:rPr>
                <w:rFonts w:hint="eastAsia" w:ascii="宋体" w:hAnsi="宋体" w:cs="宋体"/>
                <w:kern w:val="0"/>
                <w:sz w:val="22"/>
                <w:szCs w:val="22"/>
              </w:rPr>
              <w:t>年</w:t>
            </w:r>
          </w:p>
        </w:tc>
      </w:tr>
      <w:tr w14:paraId="0534F07E">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6D9418EA">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57159C7D">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2AB52F60">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7CC59436">
            <w:pPr>
              <w:widowControl/>
              <w:jc w:val="left"/>
              <w:rPr>
                <w:rFonts w:ascii="宋体" w:hAnsi="宋体" w:cs="宋体"/>
                <w:kern w:val="0"/>
                <w:sz w:val="22"/>
                <w:szCs w:val="22"/>
              </w:rPr>
            </w:pPr>
          </w:p>
        </w:tc>
        <w:tc>
          <w:tcPr>
            <w:tcW w:w="1275" w:type="dxa"/>
            <w:vMerge w:val="continue"/>
            <w:tcBorders>
              <w:top w:val="nil"/>
              <w:left w:val="single" w:color="C0C0C0" w:sz="4" w:space="0"/>
              <w:bottom w:val="single" w:color="C0C0C0" w:sz="4" w:space="0"/>
              <w:right w:val="single" w:color="C0C0C0" w:sz="4" w:space="0"/>
            </w:tcBorders>
            <w:vAlign w:val="center"/>
          </w:tcPr>
          <w:p w14:paraId="11A423BA">
            <w:pPr>
              <w:widowControl/>
              <w:jc w:val="left"/>
              <w:rPr>
                <w:rFonts w:ascii="宋体" w:hAnsi="宋体" w:cs="宋体"/>
                <w:kern w:val="0"/>
                <w:sz w:val="22"/>
                <w:szCs w:val="22"/>
              </w:rPr>
            </w:pPr>
          </w:p>
        </w:tc>
        <w:tc>
          <w:tcPr>
            <w:tcW w:w="1843" w:type="dxa"/>
            <w:tcBorders>
              <w:top w:val="nil"/>
              <w:left w:val="nil"/>
              <w:bottom w:val="single" w:color="C0C0C0" w:sz="4" w:space="0"/>
              <w:right w:val="single" w:color="C0C0C0" w:sz="4" w:space="0"/>
            </w:tcBorders>
            <w:shd w:val="clear" w:color="auto" w:fill="auto"/>
            <w:noWrap/>
            <w:vAlign w:val="center"/>
          </w:tcPr>
          <w:p w14:paraId="444EC6CB">
            <w:pPr>
              <w:widowControl/>
              <w:jc w:val="left"/>
              <w:rPr>
                <w:rFonts w:ascii="宋体" w:hAnsi="宋体" w:cs="宋体"/>
                <w:kern w:val="0"/>
                <w:sz w:val="22"/>
                <w:szCs w:val="22"/>
              </w:rPr>
            </w:pPr>
            <w:r>
              <w:rPr>
                <w:rFonts w:hint="eastAsia" w:ascii="宋体" w:hAnsi="宋体" w:cs="宋体"/>
                <w:kern w:val="0"/>
                <w:sz w:val="22"/>
                <w:szCs w:val="22"/>
              </w:rPr>
              <w:t>社会效益指标</w:t>
            </w:r>
          </w:p>
        </w:tc>
        <w:tc>
          <w:tcPr>
            <w:tcW w:w="2977" w:type="dxa"/>
            <w:tcBorders>
              <w:top w:val="nil"/>
              <w:left w:val="nil"/>
              <w:bottom w:val="single" w:color="C0C0C0" w:sz="4" w:space="0"/>
              <w:right w:val="single" w:color="C0C0C0" w:sz="4" w:space="0"/>
            </w:tcBorders>
            <w:shd w:val="clear" w:color="auto" w:fill="auto"/>
            <w:vAlign w:val="center"/>
          </w:tcPr>
          <w:p w14:paraId="269356A3">
            <w:pPr>
              <w:widowControl/>
              <w:jc w:val="left"/>
              <w:rPr>
                <w:rFonts w:ascii="宋体" w:hAnsi="宋体" w:cs="宋体"/>
                <w:kern w:val="0"/>
                <w:sz w:val="22"/>
                <w:szCs w:val="22"/>
              </w:rPr>
            </w:pPr>
            <w:r>
              <w:rPr>
                <w:rFonts w:hint="eastAsia" w:ascii="宋体" w:hAnsi="宋体" w:cs="宋体"/>
                <w:kern w:val="0"/>
                <w:sz w:val="22"/>
                <w:szCs w:val="22"/>
              </w:rPr>
              <w:t>通过举办职工文体活动等，传递正能量，重发展示沐川职工队伍风采。</w:t>
            </w:r>
          </w:p>
        </w:tc>
        <w:tc>
          <w:tcPr>
            <w:tcW w:w="940" w:type="dxa"/>
            <w:tcBorders>
              <w:top w:val="nil"/>
              <w:left w:val="nil"/>
              <w:bottom w:val="single" w:color="C0C0C0" w:sz="4" w:space="0"/>
              <w:right w:val="single" w:color="C0C0C0" w:sz="4" w:space="0"/>
            </w:tcBorders>
            <w:shd w:val="clear" w:color="auto" w:fill="auto"/>
            <w:noWrap/>
            <w:vAlign w:val="center"/>
          </w:tcPr>
          <w:p w14:paraId="02C85B53">
            <w:pPr>
              <w:widowControl/>
              <w:jc w:val="left"/>
              <w:rPr>
                <w:rFonts w:ascii="宋体" w:hAnsi="宋体" w:cs="宋体"/>
                <w:kern w:val="0"/>
                <w:sz w:val="22"/>
                <w:szCs w:val="22"/>
              </w:rPr>
            </w:pPr>
            <w:r>
              <w:rPr>
                <w:rFonts w:hint="eastAsia" w:ascii="宋体" w:hAnsi="宋体" w:cs="宋体"/>
                <w:kern w:val="0"/>
                <w:sz w:val="22"/>
                <w:szCs w:val="22"/>
              </w:rPr>
              <w:t>定性</w:t>
            </w:r>
          </w:p>
        </w:tc>
        <w:tc>
          <w:tcPr>
            <w:tcW w:w="1240" w:type="dxa"/>
            <w:tcBorders>
              <w:top w:val="nil"/>
              <w:left w:val="nil"/>
              <w:bottom w:val="single" w:color="C0C0C0" w:sz="4" w:space="0"/>
              <w:right w:val="single" w:color="C0C0C0" w:sz="4" w:space="0"/>
            </w:tcBorders>
            <w:shd w:val="clear" w:color="auto" w:fill="auto"/>
            <w:noWrap/>
            <w:vAlign w:val="center"/>
          </w:tcPr>
          <w:p w14:paraId="420C0BF7">
            <w:pPr>
              <w:widowControl/>
              <w:jc w:val="right"/>
              <w:rPr>
                <w:rFonts w:ascii="宋体" w:hAnsi="宋体" w:cs="宋体"/>
                <w:kern w:val="0"/>
                <w:sz w:val="22"/>
                <w:szCs w:val="22"/>
              </w:rPr>
            </w:pPr>
            <w:r>
              <w:rPr>
                <w:rFonts w:hint="eastAsia" w:ascii="宋体" w:hAnsi="宋体" w:cs="宋体"/>
                <w:kern w:val="0"/>
                <w:sz w:val="22"/>
                <w:szCs w:val="22"/>
              </w:rPr>
              <w:t>优良中低差</w:t>
            </w:r>
          </w:p>
        </w:tc>
        <w:tc>
          <w:tcPr>
            <w:tcW w:w="1080" w:type="dxa"/>
            <w:tcBorders>
              <w:top w:val="nil"/>
              <w:left w:val="nil"/>
              <w:bottom w:val="single" w:color="C0C0C0" w:sz="4" w:space="0"/>
              <w:right w:val="single" w:color="C0C0C0" w:sz="4" w:space="0"/>
            </w:tcBorders>
            <w:shd w:val="clear" w:color="auto" w:fill="auto"/>
            <w:noWrap/>
            <w:vAlign w:val="center"/>
          </w:tcPr>
          <w:p w14:paraId="53B8BB93">
            <w:pPr>
              <w:widowControl/>
              <w:jc w:val="left"/>
              <w:rPr>
                <w:rFonts w:ascii="宋体" w:hAnsi="宋体" w:cs="宋体"/>
                <w:kern w:val="0"/>
                <w:sz w:val="22"/>
                <w:szCs w:val="22"/>
              </w:rPr>
            </w:pPr>
            <w:r>
              <w:rPr>
                <w:rFonts w:hint="eastAsia" w:ascii="宋体" w:hAnsi="宋体" w:cs="宋体"/>
                <w:kern w:val="0"/>
                <w:sz w:val="22"/>
                <w:szCs w:val="22"/>
              </w:rPr>
              <w:t>年</w:t>
            </w:r>
          </w:p>
        </w:tc>
      </w:tr>
      <w:tr w14:paraId="6BBCEFC9">
        <w:tblPrEx>
          <w:tblCellMar>
            <w:top w:w="0" w:type="dxa"/>
            <w:left w:w="108" w:type="dxa"/>
            <w:bottom w:w="0" w:type="dxa"/>
            <w:right w:w="108" w:type="dxa"/>
          </w:tblCellMar>
        </w:tblPrEx>
        <w:trPr>
          <w:trHeight w:val="540" w:hRule="atLeast"/>
        </w:trPr>
        <w:tc>
          <w:tcPr>
            <w:tcW w:w="1430" w:type="dxa"/>
            <w:vMerge w:val="continue"/>
            <w:tcBorders>
              <w:top w:val="nil"/>
              <w:left w:val="single" w:color="C0C0C0" w:sz="4" w:space="0"/>
              <w:bottom w:val="single" w:color="C0C0C0" w:sz="4" w:space="0"/>
              <w:right w:val="single" w:color="C0C0C0" w:sz="4" w:space="0"/>
            </w:tcBorders>
            <w:vAlign w:val="center"/>
          </w:tcPr>
          <w:p w14:paraId="40B0E758">
            <w:pPr>
              <w:widowControl/>
              <w:jc w:val="left"/>
              <w:rPr>
                <w:rFonts w:ascii="宋体" w:hAnsi="宋体" w:cs="宋体"/>
                <w:kern w:val="0"/>
                <w:sz w:val="22"/>
                <w:szCs w:val="22"/>
              </w:rPr>
            </w:pPr>
          </w:p>
        </w:tc>
        <w:tc>
          <w:tcPr>
            <w:tcW w:w="1420" w:type="dxa"/>
            <w:vMerge w:val="continue"/>
            <w:tcBorders>
              <w:top w:val="nil"/>
              <w:left w:val="single" w:color="C0C0C0" w:sz="4" w:space="0"/>
              <w:bottom w:val="single" w:color="C0C0C0" w:sz="4" w:space="0"/>
              <w:right w:val="single" w:color="C0C0C0" w:sz="4" w:space="0"/>
            </w:tcBorders>
            <w:vAlign w:val="center"/>
          </w:tcPr>
          <w:p w14:paraId="67C706BF">
            <w:pPr>
              <w:widowControl/>
              <w:jc w:val="left"/>
              <w:rPr>
                <w:rFonts w:ascii="宋体" w:hAnsi="宋体" w:cs="宋体"/>
                <w:kern w:val="0"/>
                <w:sz w:val="22"/>
                <w:szCs w:val="22"/>
              </w:rPr>
            </w:pPr>
          </w:p>
        </w:tc>
        <w:tc>
          <w:tcPr>
            <w:tcW w:w="709" w:type="dxa"/>
            <w:vMerge w:val="continue"/>
            <w:tcBorders>
              <w:top w:val="nil"/>
              <w:left w:val="single" w:color="C0C0C0" w:sz="4" w:space="0"/>
              <w:bottom w:val="single" w:color="C0C0C0" w:sz="4" w:space="0"/>
              <w:right w:val="single" w:color="C0C0C0" w:sz="4" w:space="0"/>
            </w:tcBorders>
            <w:vAlign w:val="center"/>
          </w:tcPr>
          <w:p w14:paraId="340669AC">
            <w:pPr>
              <w:widowControl/>
              <w:jc w:val="left"/>
              <w:rPr>
                <w:rFonts w:ascii="宋体" w:hAnsi="宋体" w:cs="宋体"/>
                <w:kern w:val="0"/>
                <w:sz w:val="22"/>
                <w:szCs w:val="22"/>
              </w:rPr>
            </w:pPr>
          </w:p>
        </w:tc>
        <w:tc>
          <w:tcPr>
            <w:tcW w:w="1418" w:type="dxa"/>
            <w:vMerge w:val="continue"/>
            <w:tcBorders>
              <w:top w:val="nil"/>
              <w:left w:val="single" w:color="C0C0C0" w:sz="4" w:space="0"/>
              <w:bottom w:val="single" w:color="C0C0C0" w:sz="4" w:space="0"/>
              <w:right w:val="single" w:color="C0C0C0" w:sz="4" w:space="0"/>
            </w:tcBorders>
            <w:vAlign w:val="center"/>
          </w:tcPr>
          <w:p w14:paraId="71820C32">
            <w:pPr>
              <w:widowControl/>
              <w:jc w:val="left"/>
              <w:rPr>
                <w:rFonts w:ascii="宋体" w:hAnsi="宋体" w:cs="宋体"/>
                <w:kern w:val="0"/>
                <w:sz w:val="22"/>
                <w:szCs w:val="22"/>
              </w:rPr>
            </w:pPr>
          </w:p>
        </w:tc>
        <w:tc>
          <w:tcPr>
            <w:tcW w:w="1275" w:type="dxa"/>
            <w:tcBorders>
              <w:top w:val="nil"/>
              <w:left w:val="nil"/>
              <w:bottom w:val="single" w:color="C0C0C0" w:sz="4" w:space="0"/>
              <w:right w:val="single" w:color="C0C0C0" w:sz="4" w:space="0"/>
            </w:tcBorders>
            <w:shd w:val="clear" w:color="auto" w:fill="auto"/>
            <w:noWrap/>
            <w:vAlign w:val="center"/>
          </w:tcPr>
          <w:p w14:paraId="75E3D5BD">
            <w:pPr>
              <w:widowControl/>
              <w:jc w:val="left"/>
              <w:rPr>
                <w:rFonts w:ascii="宋体" w:hAnsi="宋体" w:cs="宋体"/>
                <w:kern w:val="0"/>
                <w:sz w:val="22"/>
                <w:szCs w:val="22"/>
              </w:rPr>
            </w:pPr>
            <w:r>
              <w:rPr>
                <w:rFonts w:hint="eastAsia" w:ascii="宋体" w:hAnsi="宋体" w:cs="宋体"/>
                <w:kern w:val="0"/>
                <w:sz w:val="22"/>
                <w:szCs w:val="22"/>
              </w:rPr>
              <w:t>满意度指标</w:t>
            </w:r>
          </w:p>
        </w:tc>
        <w:tc>
          <w:tcPr>
            <w:tcW w:w="1843" w:type="dxa"/>
            <w:tcBorders>
              <w:top w:val="nil"/>
              <w:left w:val="nil"/>
              <w:bottom w:val="single" w:color="C0C0C0" w:sz="4" w:space="0"/>
              <w:right w:val="single" w:color="C0C0C0" w:sz="4" w:space="0"/>
            </w:tcBorders>
            <w:shd w:val="clear" w:color="auto" w:fill="auto"/>
            <w:noWrap/>
            <w:vAlign w:val="center"/>
          </w:tcPr>
          <w:p w14:paraId="0DE4784C">
            <w:pPr>
              <w:widowControl/>
              <w:jc w:val="left"/>
              <w:rPr>
                <w:rFonts w:ascii="宋体" w:hAnsi="宋体" w:cs="宋体"/>
                <w:kern w:val="0"/>
                <w:sz w:val="22"/>
                <w:szCs w:val="22"/>
              </w:rPr>
            </w:pPr>
            <w:r>
              <w:rPr>
                <w:rFonts w:hint="eastAsia" w:ascii="宋体" w:hAnsi="宋体" w:cs="宋体"/>
                <w:kern w:val="0"/>
                <w:sz w:val="22"/>
                <w:szCs w:val="22"/>
              </w:rPr>
              <w:t>服务对象满意度指标</w:t>
            </w:r>
          </w:p>
        </w:tc>
        <w:tc>
          <w:tcPr>
            <w:tcW w:w="2977" w:type="dxa"/>
            <w:tcBorders>
              <w:top w:val="nil"/>
              <w:left w:val="nil"/>
              <w:bottom w:val="single" w:color="C0C0C0" w:sz="4" w:space="0"/>
              <w:right w:val="single" w:color="C0C0C0" w:sz="4" w:space="0"/>
            </w:tcBorders>
            <w:shd w:val="clear" w:color="auto" w:fill="auto"/>
            <w:vAlign w:val="center"/>
          </w:tcPr>
          <w:p w14:paraId="5A2767F8">
            <w:pPr>
              <w:widowControl/>
              <w:jc w:val="left"/>
              <w:rPr>
                <w:rFonts w:ascii="宋体" w:hAnsi="宋体" w:cs="宋体"/>
                <w:kern w:val="0"/>
                <w:sz w:val="22"/>
                <w:szCs w:val="22"/>
              </w:rPr>
            </w:pPr>
            <w:r>
              <w:rPr>
                <w:rFonts w:hint="eastAsia" w:ascii="宋体" w:hAnsi="宋体" w:cs="宋体"/>
                <w:kern w:val="0"/>
                <w:sz w:val="22"/>
                <w:szCs w:val="22"/>
              </w:rPr>
              <w:t>98</w:t>
            </w:r>
          </w:p>
        </w:tc>
        <w:tc>
          <w:tcPr>
            <w:tcW w:w="940" w:type="dxa"/>
            <w:tcBorders>
              <w:top w:val="nil"/>
              <w:left w:val="nil"/>
              <w:bottom w:val="single" w:color="C0C0C0" w:sz="4" w:space="0"/>
              <w:right w:val="single" w:color="C0C0C0" w:sz="4" w:space="0"/>
            </w:tcBorders>
            <w:shd w:val="clear" w:color="auto" w:fill="auto"/>
            <w:noWrap/>
            <w:vAlign w:val="center"/>
          </w:tcPr>
          <w:p w14:paraId="711A88C9">
            <w:pPr>
              <w:widowControl/>
              <w:jc w:val="left"/>
              <w:rPr>
                <w:rFonts w:ascii="宋体" w:hAnsi="宋体" w:cs="宋体"/>
                <w:kern w:val="0"/>
                <w:sz w:val="22"/>
                <w:szCs w:val="22"/>
              </w:rPr>
            </w:pPr>
            <w:r>
              <w:rPr>
                <w:rFonts w:hint="eastAsia" w:ascii="宋体" w:hAnsi="宋体" w:cs="宋体"/>
                <w:kern w:val="0"/>
                <w:sz w:val="22"/>
                <w:szCs w:val="22"/>
              </w:rPr>
              <w:t>≥</w:t>
            </w:r>
          </w:p>
        </w:tc>
        <w:tc>
          <w:tcPr>
            <w:tcW w:w="1240" w:type="dxa"/>
            <w:tcBorders>
              <w:top w:val="nil"/>
              <w:left w:val="nil"/>
              <w:bottom w:val="single" w:color="C0C0C0" w:sz="4" w:space="0"/>
              <w:right w:val="single" w:color="C0C0C0" w:sz="4" w:space="0"/>
            </w:tcBorders>
            <w:shd w:val="clear" w:color="auto" w:fill="auto"/>
            <w:noWrap/>
            <w:vAlign w:val="center"/>
          </w:tcPr>
          <w:p w14:paraId="4D3A2B7A">
            <w:pPr>
              <w:widowControl/>
              <w:jc w:val="right"/>
              <w:rPr>
                <w:rFonts w:ascii="宋体" w:hAnsi="宋体" w:cs="宋体"/>
                <w:kern w:val="0"/>
                <w:sz w:val="22"/>
                <w:szCs w:val="22"/>
              </w:rPr>
            </w:pPr>
            <w:r>
              <w:rPr>
                <w:rFonts w:hint="eastAsia" w:ascii="宋体" w:hAnsi="宋体" w:cs="宋体"/>
                <w:kern w:val="0"/>
                <w:sz w:val="22"/>
                <w:szCs w:val="22"/>
              </w:rPr>
              <w:t>100</w:t>
            </w:r>
          </w:p>
        </w:tc>
        <w:tc>
          <w:tcPr>
            <w:tcW w:w="1080" w:type="dxa"/>
            <w:tcBorders>
              <w:top w:val="nil"/>
              <w:left w:val="nil"/>
              <w:bottom w:val="single" w:color="C0C0C0" w:sz="4" w:space="0"/>
              <w:right w:val="single" w:color="C0C0C0" w:sz="4" w:space="0"/>
            </w:tcBorders>
            <w:shd w:val="clear" w:color="auto" w:fill="auto"/>
            <w:noWrap/>
            <w:vAlign w:val="center"/>
          </w:tcPr>
          <w:p w14:paraId="12CB7CEC">
            <w:pPr>
              <w:widowControl/>
              <w:jc w:val="left"/>
              <w:rPr>
                <w:rFonts w:ascii="宋体" w:hAnsi="宋体" w:cs="宋体"/>
                <w:kern w:val="0"/>
                <w:sz w:val="22"/>
                <w:szCs w:val="22"/>
              </w:rPr>
            </w:pPr>
            <w:r>
              <w:rPr>
                <w:rFonts w:hint="eastAsia" w:ascii="宋体" w:hAnsi="宋体" w:cs="宋体"/>
                <w:kern w:val="0"/>
                <w:sz w:val="22"/>
                <w:szCs w:val="22"/>
              </w:rPr>
              <w:t>%</w:t>
            </w:r>
          </w:p>
        </w:tc>
      </w:tr>
    </w:tbl>
    <w:p w14:paraId="075A323D">
      <w:pPr>
        <w:spacing w:line="600" w:lineRule="exact"/>
        <w:outlineLvl w:val="0"/>
        <w:rPr>
          <w:rFonts w:ascii="黑体" w:hAnsi="黑体" w:eastAsia="黑体"/>
          <w:sz w:val="44"/>
          <w:szCs w:val="44"/>
        </w:rPr>
        <w:sectPr>
          <w:pgSz w:w="16838" w:h="11906" w:orient="landscape"/>
          <w:pgMar w:top="1588" w:right="1440" w:bottom="1588" w:left="1134" w:header="851" w:footer="567" w:gutter="0"/>
          <w:pgNumType w:start="1"/>
          <w:cols w:space="425" w:num="1"/>
          <w:titlePg/>
          <w:docGrid w:type="linesAndChars" w:linePitch="312" w:charSpace="0"/>
        </w:sectPr>
      </w:pPr>
    </w:p>
    <w:p w14:paraId="7F3391C9">
      <w:pPr>
        <w:spacing w:line="600" w:lineRule="exact"/>
        <w:jc w:val="center"/>
        <w:outlineLvl w:val="0"/>
        <w:rPr>
          <w:rFonts w:ascii="仿宋" w:hAnsi="仿宋" w:eastAsia="仿宋"/>
        </w:rPr>
      </w:pPr>
      <w:r>
        <w:rPr>
          <w:rFonts w:hint="eastAsia" w:ascii="黑体" w:hAnsi="黑体" w:eastAsia="黑体"/>
          <w:sz w:val="44"/>
          <w:szCs w:val="44"/>
        </w:rPr>
        <w:t>第</w:t>
      </w:r>
      <w:r>
        <w:rPr>
          <w:rStyle w:val="27"/>
          <w:rFonts w:hint="eastAsia" w:ascii="黑体" w:hAnsi="黑体" w:eastAsia="黑体"/>
          <w:b w:val="0"/>
        </w:rPr>
        <w:t>五部分 附表</w:t>
      </w:r>
      <w:bookmarkEnd w:id="56"/>
      <w:bookmarkEnd w:id="58"/>
      <w:bookmarkStart w:id="59" w:name="_Toc15396619"/>
    </w:p>
    <w:p w14:paraId="2DC1117E">
      <w:pPr>
        <w:pStyle w:val="3"/>
        <w:rPr>
          <w:rFonts w:ascii="仿宋" w:hAnsi="仿宋" w:eastAsia="仿宋"/>
        </w:rPr>
      </w:pPr>
      <w:r>
        <w:rPr>
          <w:rFonts w:hint="eastAsia" w:ascii="仿宋" w:hAnsi="仿宋" w:eastAsia="仿宋"/>
          <w:b w:val="0"/>
        </w:rPr>
        <w:t>一、收</w:t>
      </w:r>
      <w:r>
        <w:rPr>
          <w:rStyle w:val="28"/>
          <w:rFonts w:hint="eastAsia" w:ascii="仿宋" w:hAnsi="仿宋" w:eastAsia="仿宋"/>
          <w:b w:val="0"/>
          <w:bCs w:val="0"/>
        </w:rPr>
        <w:t>入支出决算总表</w:t>
      </w:r>
      <w:bookmarkEnd w:id="59"/>
    </w:p>
    <w:p w14:paraId="5BDEBF96">
      <w:pPr>
        <w:pStyle w:val="3"/>
        <w:rPr>
          <w:rFonts w:ascii="仿宋" w:hAnsi="仿宋" w:eastAsia="仿宋"/>
        </w:rPr>
      </w:pPr>
      <w:bookmarkStart w:id="60" w:name="_Toc15396620"/>
      <w:r>
        <w:rPr>
          <w:rFonts w:hint="eastAsia" w:ascii="仿宋" w:hAnsi="仿宋" w:eastAsia="仿宋"/>
          <w:b w:val="0"/>
        </w:rPr>
        <w:t>二、收</w:t>
      </w:r>
      <w:r>
        <w:rPr>
          <w:rStyle w:val="28"/>
          <w:rFonts w:hint="eastAsia" w:ascii="仿宋" w:hAnsi="仿宋" w:eastAsia="仿宋"/>
          <w:b w:val="0"/>
          <w:bCs w:val="0"/>
        </w:rPr>
        <w:t>入决算表</w:t>
      </w:r>
      <w:bookmarkEnd w:id="60"/>
    </w:p>
    <w:p w14:paraId="375AEBB7">
      <w:pPr>
        <w:pStyle w:val="3"/>
        <w:rPr>
          <w:rFonts w:ascii="仿宋" w:hAnsi="仿宋" w:eastAsia="仿宋"/>
        </w:rPr>
      </w:pPr>
      <w:bookmarkStart w:id="61" w:name="_Toc15396621"/>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61"/>
    </w:p>
    <w:p w14:paraId="32530929">
      <w:pPr>
        <w:pStyle w:val="3"/>
        <w:rPr>
          <w:rFonts w:ascii="仿宋" w:hAnsi="仿宋" w:eastAsia="仿宋"/>
          <w:b w:val="0"/>
        </w:rPr>
      </w:pPr>
      <w:bookmarkStart w:id="62" w:name="_Toc15396622"/>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62"/>
    </w:p>
    <w:p w14:paraId="0D152DAB">
      <w:pPr>
        <w:pStyle w:val="3"/>
        <w:rPr>
          <w:rStyle w:val="28"/>
          <w:rFonts w:ascii="仿宋" w:hAnsi="仿宋" w:eastAsia="仿宋"/>
          <w:b w:val="0"/>
          <w:bCs w:val="0"/>
        </w:rPr>
      </w:pPr>
      <w:bookmarkStart w:id="63"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63"/>
      <w:bookmarkStart w:id="64" w:name="_Toc15396624"/>
    </w:p>
    <w:p w14:paraId="711AFEF2">
      <w:pPr>
        <w:pStyle w:val="3"/>
        <w:rPr>
          <w:rFonts w:ascii="仿宋" w:hAnsi="仿宋" w:eastAsia="仿宋"/>
        </w:rPr>
      </w:pPr>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64"/>
    </w:p>
    <w:p w14:paraId="3AC2DEC1">
      <w:pPr>
        <w:pStyle w:val="3"/>
        <w:rPr>
          <w:rFonts w:ascii="仿宋" w:hAnsi="仿宋" w:eastAsia="仿宋"/>
        </w:rPr>
      </w:pPr>
      <w:bookmarkStart w:id="65" w:name="_Toc15396625"/>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65"/>
    </w:p>
    <w:p w14:paraId="22DD8F96">
      <w:pPr>
        <w:pStyle w:val="3"/>
        <w:rPr>
          <w:rFonts w:ascii="仿宋" w:hAnsi="仿宋" w:eastAsia="仿宋"/>
        </w:rPr>
      </w:pPr>
      <w:bookmarkStart w:id="66" w:name="_Toc1539662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66"/>
    </w:p>
    <w:p w14:paraId="1A9B0863">
      <w:pPr>
        <w:pStyle w:val="3"/>
        <w:rPr>
          <w:rFonts w:ascii="仿宋" w:hAnsi="仿宋" w:eastAsia="仿宋"/>
        </w:rPr>
      </w:pPr>
      <w:bookmarkStart w:id="67" w:name="_Toc15396627"/>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67"/>
    </w:p>
    <w:p w14:paraId="2A9AA333">
      <w:pPr>
        <w:pStyle w:val="3"/>
        <w:rPr>
          <w:rFonts w:ascii="仿宋" w:hAnsi="仿宋" w:eastAsia="仿宋"/>
        </w:rPr>
      </w:pPr>
      <w:bookmarkStart w:id="68" w:name="_Toc15396628"/>
      <w:r>
        <w:rPr>
          <w:rStyle w:val="28"/>
          <w:rFonts w:hint="eastAsia" w:ascii="仿宋" w:hAnsi="仿宋" w:eastAsia="仿宋"/>
          <w:b w:val="0"/>
          <w:bCs w:val="0"/>
        </w:rPr>
        <w:t>十、</w:t>
      </w:r>
      <w:bookmarkEnd w:id="68"/>
      <w:r>
        <w:rPr>
          <w:rFonts w:hint="eastAsia" w:ascii="仿宋" w:hAnsi="仿宋" w:eastAsia="仿宋"/>
          <w:b w:val="0"/>
        </w:rPr>
        <w:t>政</w:t>
      </w:r>
      <w:r>
        <w:rPr>
          <w:rStyle w:val="28"/>
          <w:rFonts w:hint="eastAsia" w:ascii="仿宋" w:hAnsi="仿宋" w:eastAsia="仿宋"/>
          <w:b w:val="0"/>
          <w:bCs w:val="0"/>
        </w:rPr>
        <w:t>府性基金预算财政拨款收入支出决算表</w:t>
      </w:r>
    </w:p>
    <w:p w14:paraId="08F5F3F1">
      <w:pPr>
        <w:pStyle w:val="3"/>
        <w:rPr>
          <w:rFonts w:ascii="仿宋" w:hAnsi="仿宋" w:eastAsia="仿宋"/>
        </w:rPr>
      </w:pPr>
      <w:bookmarkStart w:id="69" w:name="_Toc15396629"/>
      <w:r>
        <w:rPr>
          <w:rStyle w:val="28"/>
          <w:rFonts w:hint="eastAsia" w:ascii="仿宋" w:hAnsi="仿宋" w:eastAsia="仿宋"/>
          <w:b w:val="0"/>
          <w:bCs w:val="0"/>
        </w:rPr>
        <w:t>十一、</w:t>
      </w:r>
      <w:bookmarkEnd w:id="69"/>
      <w:r>
        <w:rPr>
          <w:rFonts w:hint="eastAsia" w:ascii="仿宋" w:hAnsi="仿宋" w:eastAsia="仿宋"/>
          <w:b w:val="0"/>
        </w:rPr>
        <w:t>国</w:t>
      </w:r>
      <w:r>
        <w:rPr>
          <w:rStyle w:val="28"/>
          <w:rFonts w:hint="eastAsia" w:ascii="仿宋" w:hAnsi="仿宋" w:eastAsia="仿宋"/>
          <w:b w:val="0"/>
          <w:bCs w:val="0"/>
        </w:rPr>
        <w:t>有资本经营预算财政拨款收入支出决算表</w:t>
      </w:r>
    </w:p>
    <w:p w14:paraId="3E1D8FBE">
      <w:pPr>
        <w:pStyle w:val="3"/>
        <w:rPr>
          <w:rFonts w:ascii="仿宋" w:hAnsi="仿宋" w:eastAsia="仿宋"/>
        </w:rPr>
      </w:pPr>
      <w:bookmarkStart w:id="70" w:name="_Toc15396630"/>
      <w:r>
        <w:rPr>
          <w:rStyle w:val="28"/>
          <w:rFonts w:hint="eastAsia" w:ascii="仿宋" w:hAnsi="仿宋" w:eastAsia="仿宋"/>
          <w:b w:val="0"/>
          <w:bCs w:val="0"/>
        </w:rPr>
        <w:t>十二、</w:t>
      </w:r>
      <w:bookmarkEnd w:id="70"/>
      <w:r>
        <w:rPr>
          <w:rStyle w:val="28"/>
          <w:rFonts w:hint="eastAsia" w:ascii="仿宋" w:hAnsi="仿宋" w:eastAsia="仿宋"/>
          <w:b w:val="0"/>
          <w:bCs w:val="0"/>
        </w:rPr>
        <w:t>国有资本经营预算财政拨款支出决算表</w:t>
      </w:r>
    </w:p>
    <w:p w14:paraId="133C6067">
      <w:pPr>
        <w:pStyle w:val="3"/>
        <w:rPr>
          <w:rFonts w:eastAsia="仿宋"/>
        </w:rPr>
      </w:pPr>
      <w:bookmarkStart w:id="71" w:name="_Toc15396631"/>
      <w:r>
        <w:rPr>
          <w:rStyle w:val="28"/>
          <w:rFonts w:hint="eastAsia" w:ascii="仿宋" w:hAnsi="仿宋" w:eastAsia="仿宋"/>
          <w:b w:val="0"/>
          <w:bCs w:val="0"/>
        </w:rPr>
        <w:t>十三、</w:t>
      </w:r>
      <w:bookmarkEnd w:id="71"/>
      <w:r>
        <w:rPr>
          <w:rStyle w:val="28"/>
          <w:rFonts w:hint="eastAsia" w:ascii="仿宋" w:hAnsi="仿宋" w:eastAsia="仿宋"/>
          <w:b w:val="0"/>
          <w:bCs w:val="0"/>
        </w:rPr>
        <w:t>财政拨款“三公”经费支出决算表</w:t>
      </w:r>
    </w:p>
    <w:sectPr>
      <w:pgSz w:w="11906" w:h="16838"/>
      <w:pgMar w:top="1440" w:right="1588" w:bottom="1134" w:left="1588" w:header="851" w:footer="567"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532837"/>
    </w:sdtPr>
    <w:sdtContent>
      <w:p w14:paraId="3AA48B84">
        <w:pPr>
          <w:pStyle w:val="9"/>
          <w:jc w:val="center"/>
        </w:pPr>
        <w:r>
          <w:fldChar w:fldCharType="begin"/>
        </w:r>
        <w:r>
          <w:instrText xml:space="preserve">PAGE   \* MERGEFORMAT</w:instrText>
        </w:r>
        <w:r>
          <w:fldChar w:fldCharType="separate"/>
        </w:r>
        <w:r>
          <w:rPr>
            <w:lang w:val="zh-CN"/>
          </w:rPr>
          <w:t>-</w:t>
        </w:r>
        <w:r>
          <w:t xml:space="preserve"> 2 -</w:t>
        </w:r>
        <w:r>
          <w:fldChar w:fldCharType="end"/>
        </w:r>
      </w:p>
    </w:sdtContent>
  </w:sdt>
  <w:p w14:paraId="5200B8D3">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C3F2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BEF323"/>
    <w:multiLevelType w:val="singleLevel"/>
    <w:tmpl w:val="DEBEF323"/>
    <w:lvl w:ilvl="0" w:tentative="0">
      <w:start w:val="4"/>
      <w:numFmt w:val="chineseCounting"/>
      <w:suff w:val="nothing"/>
      <w:lvlText w:val="（%1）"/>
      <w:lvlJc w:val="left"/>
      <w:rPr>
        <w:rFonts w:hint="eastAsia"/>
      </w:rPr>
    </w:lvl>
  </w:abstractNum>
  <w:abstractNum w:abstractNumId="1">
    <w:nsid w:val="F7EBFE61"/>
    <w:multiLevelType w:val="singleLevel"/>
    <w:tmpl w:val="F7EBFE61"/>
    <w:lvl w:ilvl="0" w:tentative="0">
      <w:start w:val="1"/>
      <w:numFmt w:val="chineseCounting"/>
      <w:suff w:val="nothing"/>
      <w:lvlText w:val="（%1）"/>
      <w:lvlJc w:val="left"/>
      <w:rPr>
        <w:rFonts w:hint="eastAsia"/>
      </w:rPr>
    </w:lvl>
  </w:abstractNum>
  <w:abstractNum w:abstractNumId="2">
    <w:nsid w:val="FFF674BC"/>
    <w:multiLevelType w:val="singleLevel"/>
    <w:tmpl w:val="FFF674BC"/>
    <w:lvl w:ilvl="0" w:tentative="0">
      <w:start w:val="1"/>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D36D9FC"/>
    <w:multiLevelType w:val="singleLevel"/>
    <w:tmpl w:val="2D36D9FC"/>
    <w:lvl w:ilvl="0" w:tentative="0">
      <w:start w:val="3"/>
      <w:numFmt w:val="decimal"/>
      <w:lvlText w:val="%1."/>
      <w:lvlJc w:val="left"/>
      <w:pPr>
        <w:tabs>
          <w:tab w:val="left" w:pos="312"/>
        </w:tabs>
      </w:pPr>
    </w:lvl>
  </w:abstractNum>
  <w:abstractNum w:abstractNumId="5">
    <w:nsid w:val="494EBE97"/>
    <w:multiLevelType w:val="singleLevel"/>
    <w:tmpl w:val="494EBE97"/>
    <w:lvl w:ilvl="0" w:tentative="0">
      <w:start w:val="3"/>
      <w:numFmt w:val="decimal"/>
      <w:lvlText w:val="%1."/>
      <w:lvlJc w:val="left"/>
      <w:pPr>
        <w:tabs>
          <w:tab w:val="left" w:pos="312"/>
        </w:tabs>
      </w:pPr>
    </w:lvl>
  </w:abstractNum>
  <w:abstractNum w:abstractNumId="6">
    <w:nsid w:val="4B1F2EB1"/>
    <w:multiLevelType w:val="multilevel"/>
    <w:tmpl w:val="4B1F2EB1"/>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5"/>
  </w:num>
  <w:num w:numId="3">
    <w:abstractNumId w:val="2"/>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lMjYwYzFlNTUzYjJhYjEwOTgzYzA5NjNkODk1NGYifQ=="/>
  </w:docVars>
  <w:rsids>
    <w:rsidRoot w:val="00172A27"/>
    <w:rsid w:val="000222C6"/>
    <w:rsid w:val="0002549F"/>
    <w:rsid w:val="000405C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1F52"/>
    <w:rsid w:val="000D5782"/>
    <w:rsid w:val="000E6613"/>
    <w:rsid w:val="000E7119"/>
    <w:rsid w:val="00114E9B"/>
    <w:rsid w:val="0014183F"/>
    <w:rsid w:val="00142216"/>
    <w:rsid w:val="00144D6A"/>
    <w:rsid w:val="0014729F"/>
    <w:rsid w:val="00157BAB"/>
    <w:rsid w:val="001654D1"/>
    <w:rsid w:val="00172A27"/>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0536"/>
    <w:rsid w:val="002F0B6C"/>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9749B"/>
    <w:rsid w:val="004A711F"/>
    <w:rsid w:val="004B199D"/>
    <w:rsid w:val="004B4690"/>
    <w:rsid w:val="004E0A2D"/>
    <w:rsid w:val="004E206B"/>
    <w:rsid w:val="004E6DF7"/>
    <w:rsid w:val="004F0FBD"/>
    <w:rsid w:val="00505A47"/>
    <w:rsid w:val="00512FDA"/>
    <w:rsid w:val="0051557B"/>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1113"/>
    <w:rsid w:val="00605688"/>
    <w:rsid w:val="006070AF"/>
    <w:rsid w:val="00607E6C"/>
    <w:rsid w:val="006101B1"/>
    <w:rsid w:val="00614E44"/>
    <w:rsid w:val="0062270A"/>
    <w:rsid w:val="00622830"/>
    <w:rsid w:val="00623DA0"/>
    <w:rsid w:val="00630AEF"/>
    <w:rsid w:val="006325F8"/>
    <w:rsid w:val="00633463"/>
    <w:rsid w:val="00634C9A"/>
    <w:rsid w:val="006440E4"/>
    <w:rsid w:val="006523C5"/>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2BEA"/>
    <w:rsid w:val="00767B7E"/>
    <w:rsid w:val="00773CD0"/>
    <w:rsid w:val="007770C3"/>
    <w:rsid w:val="00784D24"/>
    <w:rsid w:val="00785FBA"/>
    <w:rsid w:val="00786E4A"/>
    <w:rsid w:val="007875EB"/>
    <w:rsid w:val="0079426B"/>
    <w:rsid w:val="007D1682"/>
    <w:rsid w:val="007D312A"/>
    <w:rsid w:val="007D3F19"/>
    <w:rsid w:val="007E23B0"/>
    <w:rsid w:val="007E23E5"/>
    <w:rsid w:val="007F1991"/>
    <w:rsid w:val="007F2C2F"/>
    <w:rsid w:val="007F4003"/>
    <w:rsid w:val="007F55FC"/>
    <w:rsid w:val="007F5665"/>
    <w:rsid w:val="00800112"/>
    <w:rsid w:val="00813348"/>
    <w:rsid w:val="008253BB"/>
    <w:rsid w:val="008324D6"/>
    <w:rsid w:val="0083706E"/>
    <w:rsid w:val="008408F6"/>
    <w:rsid w:val="008423A5"/>
    <w:rsid w:val="00850625"/>
    <w:rsid w:val="00853718"/>
    <w:rsid w:val="00855221"/>
    <w:rsid w:val="00860645"/>
    <w:rsid w:val="00871F71"/>
    <w:rsid w:val="00872FD8"/>
    <w:rsid w:val="00883828"/>
    <w:rsid w:val="00885AF4"/>
    <w:rsid w:val="008939CD"/>
    <w:rsid w:val="008B768C"/>
    <w:rsid w:val="008C4DB1"/>
    <w:rsid w:val="008C4EAF"/>
    <w:rsid w:val="008C5176"/>
    <w:rsid w:val="008C7FD0"/>
    <w:rsid w:val="008E1DE7"/>
    <w:rsid w:val="008E707C"/>
    <w:rsid w:val="00900B08"/>
    <w:rsid w:val="00902155"/>
    <w:rsid w:val="00902FA3"/>
    <w:rsid w:val="00911CAB"/>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1FC1"/>
    <w:rsid w:val="00A237D8"/>
    <w:rsid w:val="00A268C4"/>
    <w:rsid w:val="00A307CD"/>
    <w:rsid w:val="00A331C8"/>
    <w:rsid w:val="00A40A00"/>
    <w:rsid w:val="00A4142F"/>
    <w:rsid w:val="00A422EB"/>
    <w:rsid w:val="00A45BB7"/>
    <w:rsid w:val="00A56DF2"/>
    <w:rsid w:val="00A56E6E"/>
    <w:rsid w:val="00A67AB5"/>
    <w:rsid w:val="00A733B2"/>
    <w:rsid w:val="00A741C2"/>
    <w:rsid w:val="00A7577E"/>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CF56C8"/>
    <w:rsid w:val="00D00095"/>
    <w:rsid w:val="00D114F0"/>
    <w:rsid w:val="00D20620"/>
    <w:rsid w:val="00D254F7"/>
    <w:rsid w:val="00D26091"/>
    <w:rsid w:val="00D2685C"/>
    <w:rsid w:val="00D34E7C"/>
    <w:rsid w:val="00D35489"/>
    <w:rsid w:val="00D36AFE"/>
    <w:rsid w:val="00D51276"/>
    <w:rsid w:val="00D7035F"/>
    <w:rsid w:val="00D93E83"/>
    <w:rsid w:val="00DA634F"/>
    <w:rsid w:val="00DA65AC"/>
    <w:rsid w:val="00DB1913"/>
    <w:rsid w:val="00DC410D"/>
    <w:rsid w:val="00DC5A81"/>
    <w:rsid w:val="00DC68CA"/>
    <w:rsid w:val="00DC7CBA"/>
    <w:rsid w:val="00DD32B5"/>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87147"/>
    <w:rsid w:val="00EA010F"/>
    <w:rsid w:val="00EB48EB"/>
    <w:rsid w:val="00ED1B63"/>
    <w:rsid w:val="00ED3C1F"/>
    <w:rsid w:val="00ED4085"/>
    <w:rsid w:val="00ED420E"/>
    <w:rsid w:val="00ED6FBE"/>
    <w:rsid w:val="00EE2F57"/>
    <w:rsid w:val="00EF4C34"/>
    <w:rsid w:val="00EF5FC0"/>
    <w:rsid w:val="00EF77C6"/>
    <w:rsid w:val="00F05438"/>
    <w:rsid w:val="00F1361C"/>
    <w:rsid w:val="00F156F0"/>
    <w:rsid w:val="00F160C7"/>
    <w:rsid w:val="00F2408F"/>
    <w:rsid w:val="00F240E9"/>
    <w:rsid w:val="00F36D8F"/>
    <w:rsid w:val="00F417B1"/>
    <w:rsid w:val="00F45853"/>
    <w:rsid w:val="00F45A4B"/>
    <w:rsid w:val="00F602DF"/>
    <w:rsid w:val="00F611AA"/>
    <w:rsid w:val="00F6779A"/>
    <w:rsid w:val="00F754A1"/>
    <w:rsid w:val="00F81FD9"/>
    <w:rsid w:val="00F841AA"/>
    <w:rsid w:val="00F84A94"/>
    <w:rsid w:val="00F85B74"/>
    <w:rsid w:val="00F87E96"/>
    <w:rsid w:val="00FA23E8"/>
    <w:rsid w:val="00FD3CC1"/>
    <w:rsid w:val="00FF1E02"/>
    <w:rsid w:val="00FF30B4"/>
    <w:rsid w:val="015975B8"/>
    <w:rsid w:val="02143E91"/>
    <w:rsid w:val="066E0107"/>
    <w:rsid w:val="06C47BEC"/>
    <w:rsid w:val="07996F6E"/>
    <w:rsid w:val="07D9369A"/>
    <w:rsid w:val="0A2032A3"/>
    <w:rsid w:val="0C231268"/>
    <w:rsid w:val="0F256C33"/>
    <w:rsid w:val="0F98263C"/>
    <w:rsid w:val="101860EC"/>
    <w:rsid w:val="10C055FF"/>
    <w:rsid w:val="118107EC"/>
    <w:rsid w:val="11E626AA"/>
    <w:rsid w:val="11FF2579"/>
    <w:rsid w:val="13D50BC4"/>
    <w:rsid w:val="151424BA"/>
    <w:rsid w:val="16376D53"/>
    <w:rsid w:val="16BB723D"/>
    <w:rsid w:val="1A5C7163"/>
    <w:rsid w:val="1B40281D"/>
    <w:rsid w:val="1BE8440E"/>
    <w:rsid w:val="1D155CEE"/>
    <w:rsid w:val="1D62181B"/>
    <w:rsid w:val="1FF35744"/>
    <w:rsid w:val="23860B96"/>
    <w:rsid w:val="240371BF"/>
    <w:rsid w:val="246B4C91"/>
    <w:rsid w:val="27C76682"/>
    <w:rsid w:val="28805DA6"/>
    <w:rsid w:val="29FD04D3"/>
    <w:rsid w:val="2C8A61B5"/>
    <w:rsid w:val="2DF04E50"/>
    <w:rsid w:val="2F040D46"/>
    <w:rsid w:val="319F7F4E"/>
    <w:rsid w:val="3304709D"/>
    <w:rsid w:val="33296648"/>
    <w:rsid w:val="36AA5135"/>
    <w:rsid w:val="376D39B2"/>
    <w:rsid w:val="37E16F03"/>
    <w:rsid w:val="385E093C"/>
    <w:rsid w:val="38D469F0"/>
    <w:rsid w:val="38EF585B"/>
    <w:rsid w:val="3D98207C"/>
    <w:rsid w:val="3E78745D"/>
    <w:rsid w:val="40DA219D"/>
    <w:rsid w:val="44E268DA"/>
    <w:rsid w:val="4A61284F"/>
    <w:rsid w:val="4A627F82"/>
    <w:rsid w:val="4B0E749A"/>
    <w:rsid w:val="4B4F25DA"/>
    <w:rsid w:val="4BE068DB"/>
    <w:rsid w:val="4D577224"/>
    <w:rsid w:val="4EAB630A"/>
    <w:rsid w:val="4ECE2238"/>
    <w:rsid w:val="4EFB6A8D"/>
    <w:rsid w:val="537E6D0A"/>
    <w:rsid w:val="556121CE"/>
    <w:rsid w:val="55785732"/>
    <w:rsid w:val="590036EF"/>
    <w:rsid w:val="59E20F76"/>
    <w:rsid w:val="5AF92295"/>
    <w:rsid w:val="5BCF7529"/>
    <w:rsid w:val="5C891F78"/>
    <w:rsid w:val="5CD71FC4"/>
    <w:rsid w:val="5F24793A"/>
    <w:rsid w:val="6147473A"/>
    <w:rsid w:val="63052733"/>
    <w:rsid w:val="65E725C6"/>
    <w:rsid w:val="6A7D337F"/>
    <w:rsid w:val="6C4A05C8"/>
    <w:rsid w:val="6E7E3605"/>
    <w:rsid w:val="6F5F696E"/>
    <w:rsid w:val="6FF5CC65"/>
    <w:rsid w:val="715C0E4B"/>
    <w:rsid w:val="715E0A8A"/>
    <w:rsid w:val="717646D0"/>
    <w:rsid w:val="72734D90"/>
    <w:rsid w:val="73AD73D5"/>
    <w:rsid w:val="73B6EB34"/>
    <w:rsid w:val="744731E5"/>
    <w:rsid w:val="76E3355F"/>
    <w:rsid w:val="778769C8"/>
    <w:rsid w:val="7831249F"/>
    <w:rsid w:val="79EE5BA4"/>
    <w:rsid w:val="7A894339"/>
    <w:rsid w:val="7C4815FC"/>
    <w:rsid w:val="7C6863EA"/>
    <w:rsid w:val="7EA61CC2"/>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next w:val="1"/>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31</Pages>
  <Words>10741</Words>
  <Characters>11582</Characters>
  <Lines>13</Lines>
  <Paragraphs>26</Paragraphs>
  <TotalTime>286</TotalTime>
  <ScaleCrop>false</ScaleCrop>
  <LinksUpToDate>false</LinksUpToDate>
  <CharactersWithSpaces>11672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2023-10-07T14:24:00Z</cp:lastPrinted>
  <dcterms:modified xsi:type="dcterms:W3CDTF">2024-12-19T07:39:40Z</dcterms:modified>
  <dc:title>四川省***</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6F6A9CA5C9DB4FBFB8F111838E430268_13</vt:lpwstr>
  </property>
</Properties>
</file>