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7"/>
        <w:gridCol w:w="895"/>
        <w:gridCol w:w="520"/>
        <w:gridCol w:w="621"/>
        <w:gridCol w:w="931"/>
        <w:gridCol w:w="825"/>
        <w:gridCol w:w="777"/>
        <w:gridCol w:w="797"/>
        <w:gridCol w:w="175"/>
        <w:gridCol w:w="725"/>
        <w:gridCol w:w="1078"/>
        <w:gridCol w:w="1388"/>
      </w:tblGrid>
      <w:tr w:rsidR="00215569" w:rsidTr="00A6616D">
        <w:trPr>
          <w:trHeight w:val="20"/>
          <w:jc w:val="center"/>
        </w:trPr>
        <w:tc>
          <w:tcPr>
            <w:tcW w:w="947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569" w:rsidRDefault="00215569" w:rsidP="00215569">
            <w:pPr>
              <w:spacing w:line="400" w:lineRule="exact"/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="黑体" w:eastAsia="黑体" w:hAnsi="黑体" w:cs="黑体" w:hint="eastAsia"/>
                <w:color w:val="000000"/>
                <w:szCs w:val="32"/>
              </w:rPr>
              <w:t>沐川县杨村乡人民政府部门整体支出绩效目标自评表</w:t>
            </w:r>
          </w:p>
        </w:tc>
      </w:tr>
      <w:tr w:rsidR="00215569" w:rsidTr="00306DDE">
        <w:trPr>
          <w:trHeight w:val="250"/>
          <w:jc w:val="center"/>
        </w:trPr>
        <w:tc>
          <w:tcPr>
            <w:tcW w:w="947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（</w:t>
            </w:r>
            <w:r>
              <w:rPr>
                <w:rFonts w:ascii="Times New Roman" w:eastAsia="宋体" w:hAnsi="Times New Roman" w:cs="Times New Roman"/>
                <w:color w:val="000000"/>
              </w:rPr>
              <w:t>2022</w:t>
            </w:r>
            <w:r>
              <w:rPr>
                <w:rFonts w:ascii="Times New Roman" w:eastAsia="宋体" w:hAnsi="Times New Roman" w:cs="Times New Roman"/>
                <w:color w:val="000000"/>
              </w:rPr>
              <w:t>年度）</w:t>
            </w:r>
          </w:p>
        </w:tc>
      </w:tr>
      <w:tr w:rsidR="00215569" w:rsidTr="00A6616D">
        <w:trPr>
          <w:trHeight w:val="20"/>
          <w:jc w:val="center"/>
        </w:trPr>
        <w:tc>
          <w:tcPr>
            <w:tcW w:w="2162" w:type="dxa"/>
            <w:gridSpan w:val="3"/>
            <w:tcBorders>
              <w:top w:val="single" w:sz="4" w:space="0" w:color="auto"/>
            </w:tcBorders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部门名称</w:t>
            </w:r>
          </w:p>
        </w:tc>
        <w:tc>
          <w:tcPr>
            <w:tcW w:w="7317" w:type="dxa"/>
            <w:gridSpan w:val="9"/>
            <w:tcBorders>
              <w:top w:val="single" w:sz="4" w:space="0" w:color="auto"/>
            </w:tcBorders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 w:rsidRPr="00215569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沐川县杨村乡人民政府</w:t>
            </w: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 w:val="restart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年度主要任务</w:t>
            </w:r>
          </w:p>
        </w:tc>
        <w:tc>
          <w:tcPr>
            <w:tcW w:w="1415" w:type="dxa"/>
            <w:gridSpan w:val="2"/>
            <w:vMerge w:val="restart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任务名称</w:t>
            </w:r>
          </w:p>
        </w:tc>
        <w:tc>
          <w:tcPr>
            <w:tcW w:w="1552" w:type="dxa"/>
            <w:gridSpan w:val="2"/>
            <w:vMerge w:val="restart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主要内容</w:t>
            </w:r>
          </w:p>
        </w:tc>
        <w:tc>
          <w:tcPr>
            <w:tcW w:w="1602" w:type="dxa"/>
            <w:gridSpan w:val="2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预算金额（万元）</w:t>
            </w:r>
          </w:p>
        </w:tc>
        <w:tc>
          <w:tcPr>
            <w:tcW w:w="4163" w:type="dxa"/>
            <w:gridSpan w:val="5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实际执行（万元）</w:t>
            </w:r>
          </w:p>
        </w:tc>
      </w:tr>
      <w:tr w:rsidR="00215569" w:rsidTr="00306DDE">
        <w:trPr>
          <w:trHeight w:val="40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552" w:type="dxa"/>
            <w:gridSpan w:val="2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25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总额</w:t>
            </w:r>
          </w:p>
        </w:tc>
        <w:tc>
          <w:tcPr>
            <w:tcW w:w="777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财政拨款</w:t>
            </w:r>
          </w:p>
        </w:tc>
        <w:tc>
          <w:tcPr>
            <w:tcW w:w="797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其他资金</w:t>
            </w:r>
          </w:p>
        </w:tc>
        <w:tc>
          <w:tcPr>
            <w:tcW w:w="900" w:type="dxa"/>
            <w:gridSpan w:val="2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总额</w:t>
            </w:r>
          </w:p>
        </w:tc>
        <w:tc>
          <w:tcPr>
            <w:tcW w:w="1078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财政拨款</w:t>
            </w:r>
          </w:p>
        </w:tc>
        <w:tc>
          <w:tcPr>
            <w:tcW w:w="1388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其他资金</w:t>
            </w:r>
          </w:p>
        </w:tc>
      </w:tr>
      <w:tr w:rsidR="00215569" w:rsidTr="00306DDE">
        <w:trPr>
          <w:trHeight w:val="808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保障机关正常运行、保障各类人员经费</w:t>
            </w:r>
          </w:p>
        </w:tc>
        <w:tc>
          <w:tcPr>
            <w:tcW w:w="1552" w:type="dxa"/>
            <w:gridSpan w:val="2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基本支出经费</w:t>
            </w:r>
          </w:p>
        </w:tc>
        <w:tc>
          <w:tcPr>
            <w:tcW w:w="825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 w:rsidRPr="00215569">
              <w:rPr>
                <w:rFonts w:ascii="Times New Roman" w:eastAsia="宋体" w:hAnsi="Times New Roman" w:cs="Times New Roman"/>
                <w:sz w:val="16"/>
                <w:szCs w:val="16"/>
              </w:rPr>
              <w:t>401.17</w:t>
            </w:r>
          </w:p>
        </w:tc>
        <w:tc>
          <w:tcPr>
            <w:tcW w:w="777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 w:rsidRPr="00215569">
              <w:rPr>
                <w:rFonts w:ascii="Times New Roman" w:eastAsia="宋体" w:hAnsi="Times New Roman" w:cs="Times New Roman"/>
                <w:sz w:val="16"/>
                <w:szCs w:val="16"/>
              </w:rPr>
              <w:t>401.17</w:t>
            </w:r>
          </w:p>
        </w:tc>
        <w:tc>
          <w:tcPr>
            <w:tcW w:w="797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 w:rsidRPr="00215569">
              <w:rPr>
                <w:rFonts w:ascii="Times New Roman" w:eastAsia="宋体" w:hAnsi="Times New Roman" w:cs="Times New Roman"/>
                <w:sz w:val="16"/>
                <w:szCs w:val="16"/>
              </w:rPr>
              <w:t>606.7</w:t>
            </w:r>
          </w:p>
        </w:tc>
        <w:tc>
          <w:tcPr>
            <w:tcW w:w="1078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 w:rsidRPr="00215569">
              <w:rPr>
                <w:rFonts w:ascii="Times New Roman" w:eastAsia="宋体" w:hAnsi="Times New Roman" w:cs="Times New Roman"/>
                <w:sz w:val="16"/>
                <w:szCs w:val="16"/>
              </w:rPr>
              <w:t>606.7</w:t>
            </w:r>
          </w:p>
        </w:tc>
        <w:tc>
          <w:tcPr>
            <w:tcW w:w="1388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</w:tr>
      <w:tr w:rsidR="00215569" w:rsidTr="00306DDE">
        <w:trPr>
          <w:trHeight w:val="808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保障各项目顺利完成，促进我乡经济社会发展</w:t>
            </w:r>
          </w:p>
        </w:tc>
        <w:tc>
          <w:tcPr>
            <w:tcW w:w="1552" w:type="dxa"/>
            <w:gridSpan w:val="2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项目支出经费</w:t>
            </w:r>
          </w:p>
        </w:tc>
        <w:tc>
          <w:tcPr>
            <w:tcW w:w="825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 w:rsidRPr="00215569">
              <w:rPr>
                <w:rFonts w:ascii="Times New Roman" w:eastAsia="宋体" w:hAnsi="Times New Roman" w:cs="Times New Roman"/>
                <w:sz w:val="16"/>
                <w:szCs w:val="16"/>
              </w:rPr>
              <w:t>404.21</w:t>
            </w:r>
          </w:p>
        </w:tc>
        <w:tc>
          <w:tcPr>
            <w:tcW w:w="777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 w:rsidRPr="00215569">
              <w:rPr>
                <w:rFonts w:ascii="Times New Roman" w:eastAsia="宋体" w:hAnsi="Times New Roman" w:cs="Times New Roman"/>
                <w:sz w:val="16"/>
                <w:szCs w:val="16"/>
              </w:rPr>
              <w:t>404.21</w:t>
            </w:r>
          </w:p>
        </w:tc>
        <w:tc>
          <w:tcPr>
            <w:tcW w:w="797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 w:rsidRPr="00215569">
              <w:rPr>
                <w:rFonts w:ascii="Times New Roman" w:eastAsia="宋体" w:hAnsi="Times New Roman" w:cs="Times New Roman"/>
                <w:sz w:val="16"/>
                <w:szCs w:val="16"/>
              </w:rPr>
              <w:t>433.91</w:t>
            </w:r>
          </w:p>
        </w:tc>
        <w:tc>
          <w:tcPr>
            <w:tcW w:w="1078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 w:rsidRPr="00215569">
              <w:rPr>
                <w:rFonts w:ascii="Times New Roman" w:eastAsia="宋体" w:hAnsi="Times New Roman" w:cs="Times New Roman"/>
                <w:sz w:val="16"/>
                <w:szCs w:val="16"/>
              </w:rPr>
              <w:t>433.91</w:t>
            </w:r>
          </w:p>
        </w:tc>
        <w:tc>
          <w:tcPr>
            <w:tcW w:w="1388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任务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2" w:type="dxa"/>
            <w:gridSpan w:val="2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25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7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078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88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</w:tr>
      <w:tr w:rsidR="00215569" w:rsidTr="00306DDE">
        <w:trPr>
          <w:trHeight w:val="205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……</w:t>
            </w:r>
          </w:p>
        </w:tc>
        <w:tc>
          <w:tcPr>
            <w:tcW w:w="1552" w:type="dxa"/>
            <w:gridSpan w:val="2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25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7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078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88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967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金额合计</w:t>
            </w:r>
          </w:p>
        </w:tc>
        <w:tc>
          <w:tcPr>
            <w:tcW w:w="825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 w:rsidRPr="00215569">
              <w:rPr>
                <w:rFonts w:ascii="Times New Roman" w:eastAsia="宋体" w:hAnsi="Times New Roman" w:cs="Times New Roman"/>
                <w:sz w:val="16"/>
                <w:szCs w:val="16"/>
              </w:rPr>
              <w:t>805.38</w:t>
            </w:r>
          </w:p>
        </w:tc>
        <w:tc>
          <w:tcPr>
            <w:tcW w:w="777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 w:rsidRPr="00215569">
              <w:rPr>
                <w:rFonts w:ascii="Times New Roman" w:eastAsia="宋体" w:hAnsi="Times New Roman" w:cs="Times New Roman"/>
                <w:sz w:val="16"/>
                <w:szCs w:val="16"/>
              </w:rPr>
              <w:t>805.38</w:t>
            </w:r>
          </w:p>
        </w:tc>
        <w:tc>
          <w:tcPr>
            <w:tcW w:w="797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 w:rsidRPr="00215569">
              <w:rPr>
                <w:rFonts w:ascii="Times New Roman" w:eastAsia="宋体" w:hAnsi="Times New Roman" w:cs="Times New Roman"/>
                <w:sz w:val="16"/>
                <w:szCs w:val="16"/>
              </w:rPr>
              <w:t>1040.60</w:t>
            </w:r>
          </w:p>
        </w:tc>
        <w:tc>
          <w:tcPr>
            <w:tcW w:w="1078" w:type="dxa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 w:rsidRPr="00215569">
              <w:rPr>
                <w:rFonts w:ascii="Times New Roman" w:eastAsia="宋体" w:hAnsi="Times New Roman" w:cs="Times New Roman"/>
                <w:sz w:val="16"/>
                <w:szCs w:val="16"/>
              </w:rPr>
              <w:t>1040.60</w:t>
            </w:r>
          </w:p>
        </w:tc>
        <w:tc>
          <w:tcPr>
            <w:tcW w:w="1388" w:type="dxa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</w:tr>
      <w:tr w:rsidR="00215569" w:rsidTr="00306DDE">
        <w:trPr>
          <w:trHeight w:val="247"/>
          <w:jc w:val="center"/>
        </w:trPr>
        <w:tc>
          <w:tcPr>
            <w:tcW w:w="747" w:type="dxa"/>
            <w:vMerge w:val="restart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年度总体目标</w:t>
            </w:r>
          </w:p>
        </w:tc>
        <w:tc>
          <w:tcPr>
            <w:tcW w:w="3792" w:type="dxa"/>
            <w:gridSpan w:val="5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预期目标</w:t>
            </w:r>
          </w:p>
        </w:tc>
        <w:tc>
          <w:tcPr>
            <w:tcW w:w="4940" w:type="dxa"/>
            <w:gridSpan w:val="6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实际完成目标</w:t>
            </w:r>
          </w:p>
        </w:tc>
      </w:tr>
      <w:tr w:rsidR="00215569" w:rsidTr="00306DDE">
        <w:trPr>
          <w:trHeight w:val="212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792" w:type="dxa"/>
            <w:gridSpan w:val="5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 w:rsidRPr="00215569">
              <w:rPr>
                <w:rFonts w:ascii="Times New Roman" w:eastAsia="宋体" w:hAnsi="Times New Roman" w:cs="Times New Roman"/>
                <w:sz w:val="16"/>
                <w:szCs w:val="16"/>
              </w:rPr>
              <w:t>805.38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万元</w:t>
            </w:r>
          </w:p>
        </w:tc>
        <w:tc>
          <w:tcPr>
            <w:tcW w:w="4940" w:type="dxa"/>
            <w:gridSpan w:val="6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 w:rsidRPr="00215569">
              <w:rPr>
                <w:rFonts w:ascii="Times New Roman" w:eastAsia="宋体" w:hAnsi="Times New Roman" w:cs="Times New Roman"/>
                <w:sz w:val="16"/>
                <w:szCs w:val="16"/>
              </w:rPr>
              <w:t>1040.60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万元</w:t>
            </w: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 w:val="restart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年度绩效指标</w:t>
            </w:r>
          </w:p>
        </w:tc>
        <w:tc>
          <w:tcPr>
            <w:tcW w:w="895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一级指标</w:t>
            </w:r>
          </w:p>
        </w:tc>
        <w:tc>
          <w:tcPr>
            <w:tcW w:w="1141" w:type="dxa"/>
            <w:gridSpan w:val="2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二级指标</w:t>
            </w: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三级指标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  <w:t>预期指标值（包含数字及文字描述）</w:t>
            </w:r>
          </w:p>
        </w:tc>
        <w:tc>
          <w:tcPr>
            <w:tcW w:w="3191" w:type="dxa"/>
            <w:gridSpan w:val="3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  <w:t>实际完成指标值（包含数字及文字描述）</w:t>
            </w: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 w:val="restart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完成指标</w:t>
            </w:r>
          </w:p>
        </w:tc>
        <w:tc>
          <w:tcPr>
            <w:tcW w:w="1141" w:type="dxa"/>
            <w:gridSpan w:val="2"/>
            <w:vMerge w:val="restart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数量指标</w:t>
            </w: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指标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：</w:t>
            </w:r>
            <w:r>
              <w:rPr>
                <w:rFonts w:eastAsia="宋体" w:cs="Times New Roman" w:hint="eastAsia"/>
                <w:sz w:val="16"/>
                <w:szCs w:val="16"/>
              </w:rPr>
              <w:t>申请率和支付率均达到</w:t>
            </w:r>
            <w:r>
              <w:rPr>
                <w:rFonts w:eastAsia="宋体" w:cs="Times New Roman" w:hint="eastAsia"/>
                <w:sz w:val="16"/>
                <w:szCs w:val="16"/>
              </w:rPr>
              <w:t>98%</w:t>
            </w:r>
            <w:r>
              <w:rPr>
                <w:rFonts w:eastAsia="宋体" w:cs="Times New Roman" w:hint="eastAsia"/>
                <w:sz w:val="16"/>
                <w:szCs w:val="16"/>
              </w:rPr>
              <w:t>以上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eastAsia="宋体" w:cs="Times New Roman" w:hint="eastAsia"/>
                <w:sz w:val="16"/>
                <w:szCs w:val="16"/>
              </w:rPr>
              <w:t>每月按实完成计划申请和资金支付，确保每月计划申请率达到</w:t>
            </w:r>
            <w:r>
              <w:rPr>
                <w:rFonts w:eastAsia="宋体" w:cs="Times New Roman" w:hint="eastAsia"/>
                <w:sz w:val="16"/>
                <w:szCs w:val="16"/>
              </w:rPr>
              <w:t>98%</w:t>
            </w:r>
            <w:r>
              <w:rPr>
                <w:rFonts w:eastAsia="宋体" w:cs="Times New Roman" w:hint="eastAsia"/>
                <w:sz w:val="16"/>
                <w:szCs w:val="16"/>
              </w:rPr>
              <w:t>，资金支付率到底</w:t>
            </w:r>
            <w:r>
              <w:rPr>
                <w:rFonts w:eastAsia="宋体" w:cs="Times New Roman" w:hint="eastAsia"/>
                <w:sz w:val="16"/>
                <w:szCs w:val="16"/>
              </w:rPr>
              <w:t>98%</w:t>
            </w: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宋体" w:cs="Times New Roman" w:hint="eastAsia"/>
                <w:color w:val="000000"/>
                <w:sz w:val="16"/>
                <w:szCs w:val="16"/>
              </w:rPr>
              <w:t>每月及时完成资金计划申请和支付，保障了年底计划申请率达到</w:t>
            </w:r>
            <w:r>
              <w:rPr>
                <w:rFonts w:eastAsia="宋体" w:cs="Times New Roman" w:hint="eastAsia"/>
                <w:color w:val="000000"/>
                <w:sz w:val="16"/>
                <w:szCs w:val="16"/>
              </w:rPr>
              <w:t>100%</w:t>
            </w:r>
            <w:r>
              <w:rPr>
                <w:rFonts w:eastAsia="宋体" w:cs="Times New Roman" w:hint="eastAsia"/>
                <w:color w:val="000000"/>
                <w:sz w:val="16"/>
                <w:szCs w:val="16"/>
              </w:rPr>
              <w:t>，资金支付率达到</w:t>
            </w:r>
            <w:r>
              <w:rPr>
                <w:rFonts w:eastAsia="宋体" w:cs="Times New Roman" w:hint="eastAsia"/>
                <w:color w:val="000000"/>
                <w:sz w:val="16"/>
                <w:szCs w:val="16"/>
              </w:rPr>
              <w:t>100%</w:t>
            </w: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指标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：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……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restart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质量指标</w:t>
            </w: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指标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：</w:t>
            </w:r>
            <w:r>
              <w:rPr>
                <w:rFonts w:eastAsia="宋体" w:cs="Times New Roman" w:hint="eastAsia"/>
                <w:sz w:val="16"/>
                <w:szCs w:val="16"/>
              </w:rPr>
              <w:t>质量达到</w:t>
            </w:r>
            <w:r>
              <w:rPr>
                <w:rFonts w:eastAsia="宋体" w:cs="Times New Roman" w:hint="eastAsia"/>
                <w:sz w:val="16"/>
                <w:szCs w:val="16"/>
              </w:rPr>
              <w:t>95%</w:t>
            </w:r>
            <w:r>
              <w:rPr>
                <w:rFonts w:eastAsia="宋体" w:cs="Times New Roman" w:hint="eastAsia"/>
                <w:sz w:val="16"/>
                <w:szCs w:val="16"/>
              </w:rPr>
              <w:t>以上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eastAsia="宋体" w:cs="Times New Roman" w:hint="eastAsia"/>
                <w:sz w:val="16"/>
                <w:szCs w:val="16"/>
              </w:rPr>
              <w:t>保障机关正常运行、各项工作顺利开展，质量达到</w:t>
            </w:r>
            <w:r>
              <w:rPr>
                <w:rFonts w:eastAsia="宋体" w:cs="Times New Roman" w:hint="eastAsia"/>
                <w:sz w:val="16"/>
                <w:szCs w:val="16"/>
              </w:rPr>
              <w:t>95%</w:t>
            </w:r>
            <w:r>
              <w:rPr>
                <w:rFonts w:eastAsia="宋体" w:cs="Times New Roman" w:hint="eastAsia"/>
                <w:sz w:val="16"/>
                <w:szCs w:val="16"/>
              </w:rPr>
              <w:t>以上</w:t>
            </w: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宋体" w:cs="Times New Roman" w:hint="eastAsia"/>
                <w:sz w:val="16"/>
                <w:szCs w:val="16"/>
              </w:rPr>
              <w:t>保障了机关正常运行、各项工作顺利开展，质量达到</w:t>
            </w:r>
            <w:r>
              <w:rPr>
                <w:rFonts w:eastAsia="宋体" w:cs="Times New Roman" w:hint="eastAsia"/>
                <w:sz w:val="16"/>
                <w:szCs w:val="16"/>
              </w:rPr>
              <w:t>100%</w:t>
            </w: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指标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：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……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restart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时效指标</w:t>
            </w: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指标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：</w:t>
            </w:r>
            <w:r>
              <w:rPr>
                <w:rFonts w:eastAsia="宋体" w:cs="Times New Roman" w:hint="eastAsia"/>
                <w:sz w:val="16"/>
                <w:szCs w:val="16"/>
              </w:rPr>
              <w:t>及时率达到</w:t>
            </w:r>
            <w:r>
              <w:rPr>
                <w:rFonts w:eastAsia="宋体" w:cs="Times New Roman" w:hint="eastAsia"/>
                <w:sz w:val="16"/>
                <w:szCs w:val="16"/>
              </w:rPr>
              <w:t>95%</w:t>
            </w:r>
            <w:r>
              <w:rPr>
                <w:rFonts w:eastAsia="宋体" w:cs="Times New Roman" w:hint="eastAsia"/>
                <w:sz w:val="16"/>
                <w:szCs w:val="16"/>
              </w:rPr>
              <w:t>以上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eastAsia="宋体" w:cs="Times New Roman" w:hint="eastAsia"/>
                <w:sz w:val="16"/>
                <w:szCs w:val="16"/>
              </w:rPr>
              <w:t>确保每月各类经费及时划拨，及时率达</w:t>
            </w:r>
            <w:r>
              <w:rPr>
                <w:rFonts w:eastAsia="宋体" w:cs="Times New Roman" w:hint="eastAsia"/>
                <w:sz w:val="16"/>
                <w:szCs w:val="16"/>
              </w:rPr>
              <w:t>100%</w:t>
            </w: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宋体" w:cs="Times New Roman" w:hint="eastAsia"/>
                <w:color w:val="000000"/>
                <w:sz w:val="16"/>
                <w:szCs w:val="16"/>
              </w:rPr>
              <w:t>保障了各类经费及时划拨，及时率达到</w:t>
            </w:r>
            <w:r>
              <w:rPr>
                <w:rFonts w:eastAsia="宋体" w:cs="Times New Roman" w:hint="eastAsia"/>
                <w:color w:val="000000"/>
                <w:sz w:val="16"/>
                <w:szCs w:val="16"/>
              </w:rPr>
              <w:t>100%</w:t>
            </w: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指标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：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……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restart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成本指标</w:t>
            </w: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指标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：</w:t>
            </w:r>
            <w:r>
              <w:rPr>
                <w:rFonts w:eastAsia="宋体" w:cs="Times New Roman" w:hint="eastAsia"/>
                <w:sz w:val="16"/>
                <w:szCs w:val="16"/>
              </w:rPr>
              <w:t>厉行节约，尽量用最少的钱办更多的事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eastAsia="宋体" w:cs="Times New Roman" w:hint="eastAsia"/>
                <w:sz w:val="16"/>
                <w:szCs w:val="16"/>
              </w:rPr>
              <w:t>严格进行绩效监控，厉行节约</w:t>
            </w: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宋体" w:cs="Times New Roman" w:hint="eastAsia"/>
                <w:color w:val="000000"/>
                <w:sz w:val="16"/>
                <w:szCs w:val="16"/>
              </w:rPr>
              <w:t>绩效目标完成情况达</w:t>
            </w:r>
            <w:r>
              <w:rPr>
                <w:rFonts w:eastAsia="宋体" w:cs="Times New Roman" w:hint="eastAsia"/>
                <w:color w:val="000000"/>
                <w:sz w:val="16"/>
                <w:szCs w:val="16"/>
              </w:rPr>
              <w:t>99%</w:t>
            </w:r>
            <w:r>
              <w:rPr>
                <w:rFonts w:eastAsia="宋体" w:cs="Times New Roman" w:hint="eastAsia"/>
                <w:color w:val="000000"/>
                <w:sz w:val="16"/>
                <w:szCs w:val="16"/>
              </w:rPr>
              <w:t>以上</w:t>
            </w: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指标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：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……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……</w:t>
            </w: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 w:val="restart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效益指标</w:t>
            </w:r>
          </w:p>
        </w:tc>
        <w:tc>
          <w:tcPr>
            <w:tcW w:w="1141" w:type="dxa"/>
            <w:gridSpan w:val="2"/>
            <w:vMerge w:val="restart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经济效益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指标</w:t>
            </w: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指标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：</w:t>
            </w:r>
            <w:r>
              <w:rPr>
                <w:rFonts w:eastAsia="宋体" w:cs="Times New Roman" w:hint="eastAsia"/>
                <w:sz w:val="16"/>
                <w:szCs w:val="16"/>
              </w:rPr>
              <w:t>集体经济收入增加、群众收入增加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eastAsia="宋体" w:cs="Times New Roman" w:hint="eastAsia"/>
                <w:sz w:val="16"/>
                <w:szCs w:val="16"/>
              </w:rPr>
              <w:t>促进我乡经济发展，经济效益明显提高</w:t>
            </w: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宋体" w:cs="Times New Roman" w:hint="eastAsia"/>
                <w:color w:val="000000"/>
                <w:sz w:val="16"/>
                <w:szCs w:val="16"/>
              </w:rPr>
              <w:t>确保了经济发展各项工作顺利完成，提高了我乡投资等环境质量，吸引投资业主</w:t>
            </w:r>
            <w:r>
              <w:rPr>
                <w:rFonts w:eastAsia="宋体" w:cs="Times New Roman" w:hint="eastAsia"/>
                <w:color w:val="000000"/>
                <w:sz w:val="16"/>
                <w:szCs w:val="16"/>
              </w:rPr>
              <w:t>30</w:t>
            </w:r>
            <w:r>
              <w:rPr>
                <w:rFonts w:eastAsia="宋体" w:cs="Times New Roman" w:hint="eastAsia"/>
                <w:color w:val="000000"/>
                <w:sz w:val="16"/>
                <w:szCs w:val="16"/>
              </w:rPr>
              <w:t>余个，为村集体经济创收约</w:t>
            </w:r>
            <w:r>
              <w:rPr>
                <w:rFonts w:eastAsia="宋体" w:cs="Times New Roman" w:hint="eastAsia"/>
                <w:color w:val="000000"/>
                <w:sz w:val="16"/>
                <w:szCs w:val="16"/>
              </w:rPr>
              <w:t>75</w:t>
            </w:r>
            <w:r>
              <w:rPr>
                <w:rFonts w:eastAsia="宋体" w:cs="Times New Roman" w:hint="eastAsia"/>
                <w:color w:val="000000"/>
                <w:sz w:val="16"/>
                <w:szCs w:val="16"/>
              </w:rPr>
              <w:t>余万元，群众人均收入明显增加</w:t>
            </w: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指标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：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……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restart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社会效益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指标</w:t>
            </w: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指标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：</w:t>
            </w:r>
            <w:r>
              <w:rPr>
                <w:rFonts w:eastAsia="宋体" w:cs="Times New Roman" w:hint="eastAsia"/>
                <w:sz w:val="16"/>
                <w:szCs w:val="16"/>
              </w:rPr>
              <w:t>社会更加和谐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eastAsia="宋体" w:cs="Times New Roman" w:hint="eastAsia"/>
                <w:sz w:val="16"/>
                <w:szCs w:val="16"/>
              </w:rPr>
              <w:t>促进社会和谐，矛盾纠纷明显减少</w:t>
            </w: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宋体" w:cs="Times New Roman" w:hint="eastAsia"/>
                <w:color w:val="000000"/>
                <w:sz w:val="16"/>
                <w:szCs w:val="16"/>
              </w:rPr>
              <w:t>促进了社会和谐，矛盾纠纷较上年降低了</w:t>
            </w:r>
            <w:r>
              <w:rPr>
                <w:rFonts w:eastAsia="宋体" w:cs="Times New Roman" w:hint="eastAsia"/>
                <w:color w:val="000000"/>
                <w:sz w:val="16"/>
                <w:szCs w:val="16"/>
              </w:rPr>
              <w:t>30%</w:t>
            </w: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指标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：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……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restart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生态效益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指标</w:t>
            </w: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指标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：</w:t>
            </w:r>
            <w:r>
              <w:rPr>
                <w:rFonts w:eastAsia="宋体" w:cs="Times New Roman" w:hint="eastAsia"/>
                <w:sz w:val="16"/>
                <w:szCs w:val="16"/>
              </w:rPr>
              <w:t>生态环境明显改善，指标值达到“优”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eastAsia="宋体" w:cs="Times New Roman" w:hint="eastAsia"/>
                <w:sz w:val="16"/>
                <w:szCs w:val="16"/>
              </w:rPr>
              <w:t>改善生态环境，提高人居环境质量</w:t>
            </w: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宋体" w:cs="Times New Roman" w:hint="eastAsia"/>
                <w:color w:val="000000"/>
                <w:sz w:val="16"/>
                <w:szCs w:val="16"/>
              </w:rPr>
              <w:t>保障了垃圾清运和保洁经费，开展了“五清行动”工作，人居环境质量明显改善。指标值达“优”</w:t>
            </w: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指标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：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15569" w:rsidTr="00306DDE">
        <w:trPr>
          <w:trHeight w:val="7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……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restart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可持续影响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指标</w:t>
            </w: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指标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：</w:t>
            </w:r>
            <w:r>
              <w:rPr>
                <w:rFonts w:eastAsia="宋体" w:cs="Times New Roman" w:hint="eastAsia"/>
                <w:sz w:val="16"/>
                <w:szCs w:val="16"/>
              </w:rPr>
              <w:t>指标值达到“优”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eastAsia="宋体" w:cs="Times New Roman" w:hint="eastAsia"/>
                <w:sz w:val="16"/>
                <w:szCs w:val="16"/>
              </w:rPr>
              <w:t>保障乡村振兴工作顺利进行，优化各类环境，为投资业主提供可持续发展环境</w:t>
            </w: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宋体" w:cs="Times New Roman" w:hint="eastAsia"/>
                <w:color w:val="000000"/>
                <w:sz w:val="16"/>
                <w:szCs w:val="16"/>
              </w:rPr>
              <w:t>各类环境得到优化，为我乡可持续发展提供了有力帮助，指标值达“优”</w:t>
            </w: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指标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：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……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……</w:t>
            </w: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 w:val="restart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满意度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指标</w:t>
            </w:r>
          </w:p>
        </w:tc>
        <w:tc>
          <w:tcPr>
            <w:tcW w:w="1141" w:type="dxa"/>
            <w:gridSpan w:val="2"/>
            <w:vMerge w:val="restart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满意度指标</w:t>
            </w: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指标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：</w:t>
            </w:r>
            <w:r>
              <w:rPr>
                <w:rFonts w:eastAsia="宋体" w:cs="Times New Roman" w:hint="eastAsia"/>
                <w:sz w:val="16"/>
                <w:szCs w:val="16"/>
              </w:rPr>
              <w:t>服务对象</w:t>
            </w:r>
            <w:r>
              <w:rPr>
                <w:rFonts w:eastAsia="宋体" w:cs="Times New Roman" w:hint="eastAsia"/>
                <w:sz w:val="16"/>
                <w:szCs w:val="16"/>
              </w:rPr>
              <w:lastRenderedPageBreak/>
              <w:t>满意度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eastAsia="宋体" w:cs="Times New Roman" w:hint="eastAsia"/>
                <w:sz w:val="16"/>
                <w:szCs w:val="16"/>
              </w:rPr>
              <w:lastRenderedPageBreak/>
              <w:t>群众满意度达</w:t>
            </w:r>
            <w:r>
              <w:rPr>
                <w:rFonts w:eastAsia="宋体" w:cs="Times New Roman" w:hint="eastAsia"/>
                <w:sz w:val="16"/>
                <w:szCs w:val="16"/>
              </w:rPr>
              <w:t>98%</w:t>
            </w:r>
            <w:r>
              <w:rPr>
                <w:rFonts w:eastAsia="宋体" w:cs="Times New Roman" w:hint="eastAsia"/>
                <w:sz w:val="16"/>
                <w:szCs w:val="16"/>
              </w:rPr>
              <w:t>以上</w:t>
            </w: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宋体" w:cs="Times New Roman" w:hint="eastAsia"/>
                <w:color w:val="000000"/>
                <w:sz w:val="16"/>
                <w:szCs w:val="16"/>
              </w:rPr>
              <w:t>群众满意度达</w:t>
            </w:r>
            <w:r>
              <w:rPr>
                <w:rFonts w:eastAsia="宋体" w:cs="Times New Roman" w:hint="eastAsia"/>
                <w:color w:val="000000"/>
                <w:sz w:val="16"/>
                <w:szCs w:val="16"/>
              </w:rPr>
              <w:t>99%</w:t>
            </w: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指标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：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……</w:t>
            </w: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15569" w:rsidTr="00A6616D">
        <w:trPr>
          <w:trHeight w:val="20"/>
          <w:jc w:val="center"/>
        </w:trPr>
        <w:tc>
          <w:tcPr>
            <w:tcW w:w="747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vMerge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……</w:t>
            </w:r>
          </w:p>
        </w:tc>
        <w:tc>
          <w:tcPr>
            <w:tcW w:w="931" w:type="dxa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574" w:type="dxa"/>
            <w:gridSpan w:val="4"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 w:rsidR="00215569" w:rsidRDefault="00215569" w:rsidP="00A6616D">
            <w:pPr>
              <w:spacing w:line="260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215569" w:rsidRDefault="00215569" w:rsidP="00215569"/>
    <w:p w:rsidR="00215569" w:rsidRDefault="00215569" w:rsidP="00215569">
      <w:pPr>
        <w:pStyle w:val="HTML"/>
        <w:rPr>
          <w:rFonts w:ascii="Times New Roman" w:hAnsi="Times New Roman" w:cs="Times New Roman"/>
        </w:rPr>
      </w:pPr>
    </w:p>
    <w:p w:rsidR="00215569" w:rsidRDefault="00215569" w:rsidP="00215569">
      <w:pPr>
        <w:pStyle w:val="HTML"/>
        <w:rPr>
          <w:rFonts w:ascii="Times New Roman" w:hAnsi="Times New Roman" w:cs="Times New Roman"/>
        </w:rPr>
      </w:pPr>
    </w:p>
    <w:p w:rsidR="00215569" w:rsidRDefault="00215569" w:rsidP="00215569">
      <w:pPr>
        <w:pStyle w:val="HTML"/>
        <w:rPr>
          <w:rFonts w:ascii="Times New Roman" w:hAnsi="Times New Roman" w:cs="Times New Roman"/>
        </w:rPr>
      </w:pPr>
    </w:p>
    <w:p w:rsidR="00215569" w:rsidRDefault="00215569" w:rsidP="00215569">
      <w:pPr>
        <w:pStyle w:val="HTML"/>
        <w:rPr>
          <w:rFonts w:ascii="Times New Roman" w:hAnsi="Times New Roman" w:cs="Times New Roman"/>
        </w:rPr>
      </w:pPr>
    </w:p>
    <w:p w:rsidR="00215569" w:rsidRDefault="00215569" w:rsidP="00215569">
      <w:pPr>
        <w:pStyle w:val="HTML"/>
        <w:rPr>
          <w:rFonts w:ascii="Times New Roman" w:hAnsi="Times New Roman" w:cs="Times New Roman"/>
        </w:rPr>
      </w:pPr>
    </w:p>
    <w:p w:rsidR="00215569" w:rsidRDefault="00215569" w:rsidP="00215569">
      <w:pPr>
        <w:pStyle w:val="HTML"/>
        <w:rPr>
          <w:rFonts w:ascii="Times New Roman" w:hAnsi="Times New Roman" w:cs="Times New Roman"/>
        </w:rPr>
      </w:pPr>
    </w:p>
    <w:p w:rsidR="00215569" w:rsidRDefault="00215569" w:rsidP="00215569">
      <w:pPr>
        <w:pStyle w:val="HTML"/>
        <w:rPr>
          <w:rFonts w:ascii="Times New Roman" w:hAnsi="Times New Roman" w:cs="Times New Roman"/>
        </w:rPr>
      </w:pPr>
    </w:p>
    <w:p w:rsidR="00215569" w:rsidRDefault="00215569" w:rsidP="00215569">
      <w:pPr>
        <w:pStyle w:val="HTML"/>
        <w:rPr>
          <w:rFonts w:ascii="Times New Roman" w:hAnsi="Times New Roman" w:cs="Times New Roman"/>
        </w:rPr>
      </w:pPr>
    </w:p>
    <w:p w:rsidR="00215569" w:rsidRDefault="00215569" w:rsidP="00215569">
      <w:pPr>
        <w:pStyle w:val="HTML"/>
        <w:rPr>
          <w:rFonts w:ascii="Times New Roman" w:hAnsi="Times New Roman" w:cs="Times New Roman"/>
        </w:rPr>
      </w:pPr>
    </w:p>
    <w:p w:rsidR="00215569" w:rsidRDefault="00215569" w:rsidP="00215569">
      <w:pPr>
        <w:pStyle w:val="HTML"/>
        <w:rPr>
          <w:rFonts w:ascii="Times New Roman" w:hAnsi="Times New Roman" w:cs="Times New Roman"/>
        </w:rPr>
      </w:pPr>
    </w:p>
    <w:p w:rsidR="00215569" w:rsidRDefault="00215569" w:rsidP="00215569">
      <w:pPr>
        <w:pStyle w:val="HTML"/>
        <w:rPr>
          <w:rFonts w:ascii="Times New Roman" w:hAnsi="Times New Roman" w:cs="Times New Roman"/>
        </w:rPr>
      </w:pPr>
    </w:p>
    <w:p w:rsidR="00215569" w:rsidRDefault="00215569" w:rsidP="00215569">
      <w:pPr>
        <w:pStyle w:val="HTML"/>
        <w:rPr>
          <w:rFonts w:ascii="Times New Roman" w:hAnsi="Times New Roman" w:cs="Times New Roman"/>
        </w:rPr>
      </w:pPr>
    </w:p>
    <w:p w:rsidR="00215569" w:rsidRDefault="00215569" w:rsidP="00215569">
      <w:pPr>
        <w:pStyle w:val="HTML"/>
        <w:rPr>
          <w:rFonts w:ascii="Times New Roman" w:hAnsi="Times New Roman" w:cs="Times New Roman"/>
        </w:rPr>
      </w:pPr>
    </w:p>
    <w:p w:rsidR="00215569" w:rsidRDefault="00215569" w:rsidP="00215569">
      <w:pPr>
        <w:pStyle w:val="HTML"/>
        <w:rPr>
          <w:rFonts w:ascii="Times New Roman" w:hAnsi="Times New Roman" w:cs="Times New Roman"/>
        </w:rPr>
      </w:pPr>
    </w:p>
    <w:p w:rsidR="00215569" w:rsidRDefault="00215569" w:rsidP="00215569">
      <w:pPr>
        <w:pStyle w:val="HTML"/>
        <w:rPr>
          <w:rFonts w:ascii="Times New Roman" w:hAnsi="Times New Roman" w:cs="Times New Roman"/>
        </w:rPr>
      </w:pPr>
    </w:p>
    <w:p w:rsidR="00215569" w:rsidRDefault="00215569" w:rsidP="00215569">
      <w:pPr>
        <w:pStyle w:val="HTML"/>
        <w:rPr>
          <w:rFonts w:ascii="Times New Roman" w:hAnsi="Times New Roman" w:cs="Times New Roman"/>
        </w:rPr>
      </w:pPr>
    </w:p>
    <w:p w:rsidR="00215569" w:rsidRDefault="00215569" w:rsidP="00215569">
      <w:pPr>
        <w:pStyle w:val="HTML"/>
        <w:rPr>
          <w:rFonts w:ascii="Times New Roman" w:hAnsi="Times New Roman" w:cs="Times New Roman"/>
        </w:rPr>
      </w:pPr>
    </w:p>
    <w:p w:rsidR="00215569" w:rsidRDefault="00215569" w:rsidP="00215569">
      <w:pPr>
        <w:pStyle w:val="HTML"/>
        <w:rPr>
          <w:rFonts w:ascii="Times New Roman" w:hAnsi="Times New Roman" w:cs="Times New Roman"/>
        </w:rPr>
      </w:pPr>
    </w:p>
    <w:p w:rsidR="00215569" w:rsidRDefault="00215569" w:rsidP="00215569">
      <w:pPr>
        <w:pStyle w:val="HTML"/>
        <w:rPr>
          <w:rFonts w:ascii="Times New Roman" w:hAnsi="Times New Roman" w:cs="Times New Roman"/>
        </w:rPr>
      </w:pPr>
    </w:p>
    <w:p w:rsidR="00215569" w:rsidRDefault="00215569" w:rsidP="00215569">
      <w:pPr>
        <w:pStyle w:val="HTML"/>
        <w:rPr>
          <w:rFonts w:ascii="Times New Roman" w:hAnsi="Times New Roman" w:cs="Times New Roman"/>
        </w:rPr>
      </w:pPr>
    </w:p>
    <w:p w:rsidR="00215569" w:rsidRDefault="00215569" w:rsidP="00215569">
      <w:pPr>
        <w:pStyle w:val="HTML"/>
        <w:rPr>
          <w:rFonts w:ascii="Times New Roman" w:hAnsi="Times New Roman" w:cs="Times New Roman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91B" w:rsidRDefault="009C391B" w:rsidP="00215569">
      <w:pPr>
        <w:spacing w:after="0"/>
      </w:pPr>
      <w:r>
        <w:separator/>
      </w:r>
    </w:p>
  </w:endnote>
  <w:endnote w:type="continuationSeparator" w:id="0">
    <w:p w:rsidR="009C391B" w:rsidRDefault="009C391B" w:rsidP="0021556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91B" w:rsidRDefault="009C391B" w:rsidP="00215569">
      <w:pPr>
        <w:spacing w:after="0"/>
      </w:pPr>
      <w:r>
        <w:separator/>
      </w:r>
    </w:p>
  </w:footnote>
  <w:footnote w:type="continuationSeparator" w:id="0">
    <w:p w:rsidR="009C391B" w:rsidRDefault="009C391B" w:rsidP="0021556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15569"/>
    <w:rsid w:val="00306DDE"/>
    <w:rsid w:val="00323B43"/>
    <w:rsid w:val="003D37D8"/>
    <w:rsid w:val="00426133"/>
    <w:rsid w:val="004358AB"/>
    <w:rsid w:val="008B7726"/>
    <w:rsid w:val="009142E5"/>
    <w:rsid w:val="009C391B"/>
    <w:rsid w:val="00D31D50"/>
    <w:rsid w:val="00F93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1556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1556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556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5569"/>
    <w:rPr>
      <w:rFonts w:ascii="Tahoma" w:hAnsi="Tahoma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rsid w:val="002155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after="0"/>
    </w:pPr>
    <w:rPr>
      <w:rFonts w:ascii="宋体" w:eastAsia="宋体" w:hAnsi="宋体" w:cs="宋体"/>
      <w:kern w:val="2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215569"/>
    <w:rPr>
      <w:rFonts w:ascii="宋体" w:eastAsia="宋体" w:hAnsi="宋体" w:cs="宋体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China</cp:lastModifiedBy>
  <cp:revision>4</cp:revision>
  <dcterms:created xsi:type="dcterms:W3CDTF">2008-09-11T17:20:00Z</dcterms:created>
  <dcterms:modified xsi:type="dcterms:W3CDTF">2023-10-16T11:43:00Z</dcterms:modified>
</cp:coreProperties>
</file>