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4E1DE9">
      <w:pPr>
        <w:adjustRightInd w:val="0"/>
        <w:snapToGrid w:val="0"/>
        <w:spacing w:line="360" w:lineRule="auto"/>
        <w:outlineLvl w:val="0"/>
        <w:rPr>
          <w:rFonts w:ascii="方正小标宋简体" w:hAnsi="方正小标宋简体" w:eastAsia="方正小标宋简体" w:cs="方正小标宋简体"/>
          <w:sz w:val="72"/>
          <w:szCs w:val="72"/>
        </w:rPr>
      </w:pPr>
      <w:bookmarkStart w:id="0" w:name="_Toc15378441"/>
      <w:bookmarkStart w:id="1" w:name="_Toc15396597"/>
      <w:bookmarkStart w:id="2" w:name="_Toc15377193"/>
      <w:bookmarkStart w:id="3" w:name="_Toc15396475"/>
      <w:bookmarkStart w:id="4" w:name="_Toc15377425"/>
      <w:bookmarkStart w:id="5" w:name="_Toc15306267"/>
    </w:p>
    <w:p w14:paraId="7D65E436">
      <w:pPr>
        <w:adjustRightInd w:val="0"/>
        <w:snapToGrid w:val="0"/>
        <w:spacing w:line="360" w:lineRule="auto"/>
        <w:jc w:val="center"/>
        <w:outlineLvl w:val="0"/>
        <w:rPr>
          <w:rFonts w:ascii="方正小标宋简体" w:hAnsi="方正小标宋简体" w:eastAsia="方正小标宋简体" w:cs="方正小标宋简体"/>
          <w:sz w:val="72"/>
          <w:szCs w:val="72"/>
        </w:rPr>
      </w:pPr>
      <w:r>
        <w:rPr>
          <w:rFonts w:hint="eastAsia" w:ascii="方正小标宋简体" w:hAnsi="方正小标宋简体" w:eastAsia="方正小标宋简体" w:cs="方正小标宋简体"/>
          <w:sz w:val="72"/>
          <w:szCs w:val="72"/>
        </w:rPr>
        <w:t>2022年度</w:t>
      </w:r>
      <w:bookmarkEnd w:id="0"/>
      <w:bookmarkEnd w:id="1"/>
      <w:bookmarkEnd w:id="2"/>
      <w:bookmarkEnd w:id="3"/>
      <w:bookmarkEnd w:id="4"/>
    </w:p>
    <w:p w14:paraId="1C9619C2">
      <w:pPr>
        <w:adjustRightInd w:val="0"/>
        <w:snapToGrid w:val="0"/>
        <w:spacing w:line="360" w:lineRule="auto"/>
        <w:jc w:val="center"/>
        <w:outlineLvl w:val="0"/>
        <w:rPr>
          <w:rFonts w:ascii="方正小标宋简体" w:hAnsi="方正小标宋简体" w:eastAsia="方正小标宋简体" w:cs="方正小标宋简体"/>
          <w:sz w:val="72"/>
          <w:szCs w:val="72"/>
        </w:rPr>
      </w:pPr>
      <w:bookmarkStart w:id="6" w:name="_Toc15378442"/>
      <w:bookmarkStart w:id="7" w:name="_Toc15377194"/>
      <w:bookmarkStart w:id="8" w:name="_Toc15396598"/>
      <w:bookmarkStart w:id="9" w:name="_Toc15377426"/>
      <w:bookmarkStart w:id="10" w:name="_Toc15396476"/>
      <w:r>
        <w:rPr>
          <w:rFonts w:hint="eastAsia" w:ascii="方正小标宋简体" w:hAnsi="方正小标宋简体" w:eastAsia="方正小标宋简体" w:cs="方正小标宋简体"/>
          <w:sz w:val="72"/>
          <w:szCs w:val="72"/>
        </w:rPr>
        <w:t>四川省</w:t>
      </w:r>
      <w:bookmarkEnd w:id="5"/>
      <w:bookmarkStart w:id="11" w:name="_Toc15306268"/>
      <w:r>
        <w:rPr>
          <w:rFonts w:hint="eastAsia" w:ascii="方正小标宋简体" w:hAnsi="方正小标宋简体" w:eastAsia="方正小标宋简体" w:cs="方正小标宋简体"/>
          <w:sz w:val="72"/>
          <w:szCs w:val="72"/>
        </w:rPr>
        <w:t>乐山市沐川县</w:t>
      </w:r>
    </w:p>
    <w:p w14:paraId="292DDC64">
      <w:pPr>
        <w:adjustRightInd w:val="0"/>
        <w:snapToGrid w:val="0"/>
        <w:spacing w:line="360" w:lineRule="auto"/>
        <w:jc w:val="center"/>
        <w:outlineLvl w:val="0"/>
        <w:rPr>
          <w:rFonts w:ascii="方正小标宋简体" w:hAnsi="方正小标宋简体" w:eastAsia="方正小标宋简体" w:cs="方正小标宋简体"/>
          <w:sz w:val="72"/>
          <w:szCs w:val="72"/>
        </w:rPr>
      </w:pPr>
      <w:r>
        <w:rPr>
          <w:rFonts w:hint="eastAsia" w:ascii="方正小标宋简体" w:hAnsi="方正小标宋简体" w:eastAsia="方正小标宋简体" w:cs="方正小标宋简体"/>
          <w:sz w:val="72"/>
          <w:szCs w:val="72"/>
        </w:rPr>
        <w:t>杨村乡人民政府部门决算</w:t>
      </w:r>
      <w:bookmarkEnd w:id="6"/>
      <w:bookmarkEnd w:id="7"/>
      <w:bookmarkEnd w:id="8"/>
      <w:bookmarkEnd w:id="9"/>
      <w:bookmarkEnd w:id="10"/>
      <w:bookmarkEnd w:id="11"/>
    </w:p>
    <w:p w14:paraId="2A6BBED9">
      <w:pPr>
        <w:widowControl/>
        <w:jc w:val="center"/>
        <w:rPr>
          <w:rFonts w:ascii="黑体" w:hAnsi="黑体" w:eastAsia="黑体"/>
          <w:sz w:val="48"/>
          <w:szCs w:val="48"/>
        </w:rPr>
      </w:pPr>
      <w:r>
        <w:rPr>
          <w:rFonts w:ascii="方正小标宋简体" w:hAnsi="宋体" w:eastAsia="方正小标宋简体"/>
          <w:sz w:val="36"/>
          <w:szCs w:val="36"/>
        </w:rPr>
        <w:br w:type="page"/>
      </w:r>
      <w:r>
        <w:rPr>
          <w:rFonts w:hint="eastAsia" w:ascii="黑体" w:hAnsi="黑体" w:eastAsia="黑体"/>
          <w:sz w:val="48"/>
          <w:szCs w:val="48"/>
        </w:rPr>
        <w:t>目录</w:t>
      </w:r>
    </w:p>
    <w:p w14:paraId="416B143E">
      <w:pPr>
        <w:widowControl/>
        <w:jc w:val="center"/>
        <w:rPr>
          <w:rFonts w:ascii="黑体" w:hAnsi="黑体" w:eastAsia="黑体" w:cstheme="minorBidi"/>
          <w:sz w:val="28"/>
          <w:szCs w:val="28"/>
        </w:rPr>
      </w:pPr>
    </w:p>
    <w:p w14:paraId="5F964825">
      <w:pPr>
        <w:pStyle w:val="11"/>
      </w:pPr>
      <w:r>
        <w:rPr>
          <w:rFonts w:hint="eastAsia"/>
        </w:rPr>
        <w:t>公开时间：2023年10月17日</w:t>
      </w:r>
    </w:p>
    <w:p w14:paraId="45E8E378">
      <w:pPr>
        <w:jc w:val="center"/>
        <w:rPr>
          <w:sz w:val="24"/>
          <w:szCs w:val="32"/>
          <w:highlight w:val="lightGray"/>
        </w:rPr>
      </w:pPr>
    </w:p>
    <w:p w14:paraId="1E456283">
      <w:pPr>
        <w:pStyle w:val="11"/>
        <w:adjustRightInd w:val="0"/>
        <w:snapToGrid w:val="0"/>
        <w:spacing w:before="0" w:line="440" w:lineRule="exact"/>
        <w:jc w:val="left"/>
        <w:rPr>
          <w:rFonts w:cstheme="minorBidi"/>
          <w:sz w:val="24"/>
          <w:szCs w:val="24"/>
        </w:rPr>
      </w:pPr>
      <w:r>
        <w:rPr>
          <w:rFonts w:hint="eastAsia"/>
          <w:sz w:val="24"/>
        </w:rPr>
        <w:t>第一部分</w:t>
      </w:r>
      <w:r>
        <w:rPr>
          <w:sz w:val="24"/>
        </w:rPr>
        <w:t xml:space="preserve"> </w:t>
      </w:r>
      <w:r>
        <w:rPr>
          <w:rFonts w:hint="eastAsia"/>
          <w:sz w:val="24"/>
        </w:rPr>
        <w:t>部门概况</w:t>
      </w:r>
    </w:p>
    <w:p w14:paraId="7EE77128">
      <w:pPr>
        <w:pStyle w:val="12"/>
        <w:adjustRightInd w:val="0"/>
        <w:snapToGrid w:val="0"/>
        <w:spacing w:line="440" w:lineRule="exact"/>
        <w:jc w:val="left"/>
        <w:rPr>
          <w:rFonts w:ascii="仿宋" w:hAnsi="仿宋" w:eastAsia="仿宋"/>
          <w:sz w:val="24"/>
        </w:rPr>
      </w:pPr>
      <w:r>
        <w:rPr>
          <w:rFonts w:hint="eastAsia"/>
          <w:sz w:val="24"/>
        </w:rPr>
        <w:t>一、部门职责</w:t>
      </w:r>
    </w:p>
    <w:p w14:paraId="6CC599BA">
      <w:pPr>
        <w:pStyle w:val="12"/>
        <w:adjustRightInd w:val="0"/>
        <w:snapToGrid w:val="0"/>
        <w:spacing w:line="440" w:lineRule="exact"/>
        <w:jc w:val="left"/>
        <w:rPr>
          <w:rFonts w:ascii="仿宋" w:hAnsi="仿宋" w:eastAsia="仿宋" w:cstheme="minorBidi"/>
          <w:sz w:val="24"/>
        </w:rPr>
      </w:pPr>
      <w:r>
        <w:rPr>
          <w:rFonts w:hint="eastAsia"/>
          <w:sz w:val="24"/>
        </w:rPr>
        <w:t>二、机构设置</w:t>
      </w:r>
    </w:p>
    <w:p w14:paraId="554B34A4">
      <w:pPr>
        <w:pStyle w:val="11"/>
        <w:adjustRightInd w:val="0"/>
        <w:snapToGrid w:val="0"/>
        <w:spacing w:before="0" w:line="440" w:lineRule="exact"/>
        <w:jc w:val="left"/>
        <w:rPr>
          <w:sz w:val="24"/>
          <w:szCs w:val="24"/>
        </w:rPr>
      </w:pPr>
      <w:r>
        <w:rPr>
          <w:rFonts w:hint="eastAsia"/>
          <w:sz w:val="24"/>
        </w:rPr>
        <w:t>第二部分 2022年度部门决算情况说明</w:t>
      </w:r>
    </w:p>
    <w:p w14:paraId="01361F01">
      <w:pPr>
        <w:pStyle w:val="12"/>
        <w:adjustRightInd w:val="0"/>
        <w:snapToGrid w:val="0"/>
        <w:spacing w:line="440" w:lineRule="exact"/>
        <w:jc w:val="left"/>
        <w:rPr>
          <w:rFonts w:ascii="仿宋" w:hAnsi="仿宋" w:eastAsia="仿宋" w:cstheme="minorBidi"/>
          <w:sz w:val="24"/>
        </w:rPr>
      </w:pPr>
      <w:r>
        <w:rPr>
          <w:rFonts w:hint="eastAsia"/>
          <w:sz w:val="24"/>
        </w:rPr>
        <w:t>一、收入支出决算总体情况说明</w:t>
      </w:r>
    </w:p>
    <w:p w14:paraId="0B458372">
      <w:pPr>
        <w:pStyle w:val="12"/>
        <w:adjustRightInd w:val="0"/>
        <w:snapToGrid w:val="0"/>
        <w:spacing w:line="440" w:lineRule="exact"/>
        <w:jc w:val="left"/>
        <w:rPr>
          <w:rFonts w:ascii="仿宋" w:hAnsi="仿宋" w:eastAsia="仿宋" w:cstheme="minorBidi"/>
          <w:sz w:val="24"/>
        </w:rPr>
      </w:pPr>
      <w:r>
        <w:rPr>
          <w:rFonts w:hint="eastAsia"/>
          <w:sz w:val="24"/>
        </w:rPr>
        <w:t>二、收入决算情况说明</w:t>
      </w:r>
    </w:p>
    <w:p w14:paraId="195B44CC">
      <w:pPr>
        <w:pStyle w:val="12"/>
        <w:adjustRightInd w:val="0"/>
        <w:snapToGrid w:val="0"/>
        <w:spacing w:line="440" w:lineRule="exact"/>
        <w:jc w:val="left"/>
        <w:rPr>
          <w:rFonts w:ascii="仿宋" w:hAnsi="仿宋" w:eastAsia="仿宋" w:cstheme="minorBidi"/>
          <w:sz w:val="24"/>
        </w:rPr>
      </w:pPr>
      <w:r>
        <w:rPr>
          <w:rFonts w:hint="eastAsia"/>
          <w:sz w:val="24"/>
        </w:rPr>
        <w:t>三、支出决算情况说明</w:t>
      </w:r>
    </w:p>
    <w:p w14:paraId="1163D53F">
      <w:pPr>
        <w:pStyle w:val="12"/>
        <w:adjustRightInd w:val="0"/>
        <w:snapToGrid w:val="0"/>
        <w:spacing w:line="440" w:lineRule="exact"/>
        <w:jc w:val="left"/>
        <w:rPr>
          <w:rFonts w:ascii="仿宋" w:hAnsi="仿宋" w:eastAsia="仿宋" w:cstheme="minorBidi"/>
          <w:sz w:val="24"/>
        </w:rPr>
      </w:pPr>
      <w:r>
        <w:rPr>
          <w:rFonts w:hint="eastAsia"/>
          <w:sz w:val="24"/>
        </w:rPr>
        <w:t>四、财政拨款收入支出决算总体情况说明</w:t>
      </w:r>
    </w:p>
    <w:p w14:paraId="1BE85D13">
      <w:pPr>
        <w:pStyle w:val="12"/>
        <w:adjustRightInd w:val="0"/>
        <w:snapToGrid w:val="0"/>
        <w:spacing w:line="440" w:lineRule="exact"/>
        <w:jc w:val="left"/>
        <w:rPr>
          <w:rFonts w:ascii="仿宋" w:hAnsi="仿宋" w:eastAsia="仿宋" w:cstheme="minorBidi"/>
          <w:sz w:val="24"/>
        </w:rPr>
      </w:pPr>
      <w:r>
        <w:rPr>
          <w:rFonts w:hint="eastAsia"/>
          <w:sz w:val="24"/>
        </w:rPr>
        <w:t>五、一般公共预算财政拨款支出决算情况说明</w:t>
      </w:r>
    </w:p>
    <w:p w14:paraId="5C80430D">
      <w:pPr>
        <w:pStyle w:val="12"/>
        <w:adjustRightInd w:val="0"/>
        <w:snapToGrid w:val="0"/>
        <w:spacing w:line="440" w:lineRule="exact"/>
        <w:jc w:val="left"/>
        <w:rPr>
          <w:rFonts w:ascii="仿宋" w:hAnsi="仿宋" w:eastAsia="仿宋" w:cstheme="minorBidi"/>
          <w:sz w:val="24"/>
        </w:rPr>
      </w:pPr>
      <w:r>
        <w:rPr>
          <w:rFonts w:hint="eastAsia"/>
          <w:sz w:val="24"/>
        </w:rPr>
        <w:t>六、一般公共预算财政拨款基本支出决算情况说明</w:t>
      </w:r>
    </w:p>
    <w:p w14:paraId="29168860">
      <w:pPr>
        <w:pStyle w:val="12"/>
        <w:adjustRightInd w:val="0"/>
        <w:snapToGrid w:val="0"/>
        <w:spacing w:line="440" w:lineRule="exact"/>
        <w:jc w:val="left"/>
        <w:rPr>
          <w:rFonts w:ascii="仿宋" w:hAnsi="仿宋" w:eastAsia="仿宋" w:cstheme="minorBidi"/>
          <w:sz w:val="24"/>
        </w:rPr>
      </w:pPr>
      <w:r>
        <w:rPr>
          <w:rFonts w:hint="eastAsia"/>
          <w:sz w:val="24"/>
        </w:rPr>
        <w:t>七、财政拨款“三公”经费支出决算情况说明</w:t>
      </w:r>
    </w:p>
    <w:p w14:paraId="1C7AE105">
      <w:pPr>
        <w:pStyle w:val="12"/>
        <w:adjustRightInd w:val="0"/>
        <w:snapToGrid w:val="0"/>
        <w:spacing w:line="440" w:lineRule="exact"/>
        <w:jc w:val="left"/>
        <w:rPr>
          <w:rFonts w:ascii="仿宋" w:hAnsi="仿宋" w:eastAsia="仿宋" w:cstheme="minorBidi"/>
          <w:sz w:val="24"/>
        </w:rPr>
      </w:pPr>
      <w:r>
        <w:rPr>
          <w:rFonts w:hint="eastAsia"/>
          <w:sz w:val="24"/>
        </w:rPr>
        <w:t>八、政府性基金预算支出决算情况说明</w:t>
      </w:r>
    </w:p>
    <w:p w14:paraId="4AB0BAA1">
      <w:pPr>
        <w:pStyle w:val="12"/>
        <w:adjustRightInd w:val="0"/>
        <w:snapToGrid w:val="0"/>
        <w:spacing w:line="440" w:lineRule="exact"/>
        <w:ind w:leftChars="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九、国有资本经营预算支出决算情况说明</w:t>
      </w:r>
    </w:p>
    <w:p w14:paraId="7BC5A026">
      <w:pPr>
        <w:adjustRightInd w:val="0"/>
        <w:snapToGrid w:val="0"/>
        <w:spacing w:line="440" w:lineRule="exact"/>
        <w:ind w:firstLine="420" w:firstLineChars="175"/>
        <w:jc w:val="left"/>
        <w:rPr>
          <w:rFonts w:asciiTheme="minorEastAsia" w:hAnsiTheme="minorEastAsia" w:eastAsiaTheme="minorEastAsia" w:cstheme="minorEastAsia"/>
          <w:sz w:val="24"/>
        </w:rPr>
      </w:pPr>
      <w:r>
        <w:rPr>
          <w:rStyle w:val="18"/>
          <w:rFonts w:hint="eastAsia" w:asciiTheme="minorEastAsia" w:hAnsiTheme="minorEastAsia" w:eastAsiaTheme="minorEastAsia" w:cstheme="minorEastAsia"/>
          <w:color w:val="auto"/>
          <w:sz w:val="24"/>
          <w:u w:val="none"/>
        </w:rPr>
        <w:t>十、</w:t>
      </w:r>
      <w:r>
        <w:rPr>
          <w:rFonts w:hint="eastAsia" w:asciiTheme="minorEastAsia" w:hAnsiTheme="minorEastAsia" w:eastAsiaTheme="minorEastAsia" w:cstheme="minorEastAsia"/>
          <w:sz w:val="24"/>
        </w:rPr>
        <w:t>其他重要事项的情况说明</w:t>
      </w:r>
      <w:r>
        <w:rPr>
          <w:rFonts w:hint="eastAsia" w:asciiTheme="minorEastAsia" w:hAnsiTheme="minorEastAsia" w:eastAsiaTheme="minorEastAsia" w:cstheme="minorEastAsia"/>
          <w:sz w:val="24"/>
        </w:rPr>
        <w:tab/>
      </w:r>
    </w:p>
    <w:p w14:paraId="282D21D6">
      <w:pPr>
        <w:pStyle w:val="11"/>
        <w:adjustRightInd w:val="0"/>
        <w:snapToGrid w:val="0"/>
        <w:spacing w:before="0" w:line="440" w:lineRule="exact"/>
        <w:jc w:val="left"/>
        <w:rPr>
          <w:rFonts w:cstheme="minorBidi"/>
          <w:sz w:val="24"/>
          <w:szCs w:val="24"/>
        </w:rPr>
      </w:pPr>
      <w:r>
        <w:rPr>
          <w:rFonts w:hint="eastAsia"/>
          <w:sz w:val="24"/>
        </w:rPr>
        <w:t>第三部分</w:t>
      </w:r>
      <w:r>
        <w:rPr>
          <w:sz w:val="24"/>
        </w:rPr>
        <w:t xml:space="preserve"> </w:t>
      </w:r>
      <w:r>
        <w:rPr>
          <w:rFonts w:hint="eastAsia"/>
          <w:sz w:val="24"/>
        </w:rPr>
        <w:t>名词解释</w:t>
      </w:r>
    </w:p>
    <w:p w14:paraId="1E3040FF">
      <w:pPr>
        <w:pStyle w:val="11"/>
        <w:adjustRightInd w:val="0"/>
        <w:snapToGrid w:val="0"/>
        <w:spacing w:before="0" w:line="440" w:lineRule="exact"/>
        <w:jc w:val="left"/>
        <w:rPr>
          <w:rFonts w:cstheme="minorBidi"/>
          <w:sz w:val="24"/>
          <w:szCs w:val="24"/>
        </w:rPr>
      </w:pPr>
      <w:r>
        <w:rPr>
          <w:rFonts w:hint="eastAsia"/>
          <w:sz w:val="24"/>
        </w:rPr>
        <w:t>第四部分</w:t>
      </w:r>
      <w:r>
        <w:rPr>
          <w:sz w:val="24"/>
        </w:rPr>
        <w:t xml:space="preserve"> </w:t>
      </w:r>
      <w:r>
        <w:rPr>
          <w:rFonts w:hint="eastAsia"/>
          <w:sz w:val="24"/>
        </w:rPr>
        <w:t>附件</w:t>
      </w:r>
    </w:p>
    <w:p w14:paraId="57C888C6">
      <w:pPr>
        <w:pStyle w:val="11"/>
        <w:adjustRightInd w:val="0"/>
        <w:snapToGrid w:val="0"/>
        <w:spacing w:before="0" w:line="440" w:lineRule="exact"/>
        <w:jc w:val="left"/>
        <w:rPr>
          <w:rFonts w:cstheme="minorBidi"/>
          <w:sz w:val="24"/>
          <w:szCs w:val="24"/>
        </w:rPr>
      </w:pPr>
      <w:r>
        <w:rPr>
          <w:rFonts w:hint="eastAsia"/>
          <w:sz w:val="24"/>
        </w:rPr>
        <w:t>第五部分</w:t>
      </w:r>
      <w:r>
        <w:rPr>
          <w:sz w:val="24"/>
        </w:rPr>
        <w:t xml:space="preserve"> </w:t>
      </w:r>
      <w:r>
        <w:rPr>
          <w:rFonts w:hint="eastAsia"/>
          <w:sz w:val="24"/>
        </w:rPr>
        <w:t>附表</w:t>
      </w:r>
    </w:p>
    <w:p w14:paraId="49DC8625">
      <w:pPr>
        <w:pStyle w:val="12"/>
        <w:adjustRightInd w:val="0"/>
        <w:snapToGrid w:val="0"/>
        <w:spacing w:line="440" w:lineRule="exact"/>
        <w:jc w:val="left"/>
        <w:rPr>
          <w:sz w:val="24"/>
        </w:rPr>
      </w:pPr>
      <w:r>
        <w:rPr>
          <w:rFonts w:hint="eastAsia"/>
          <w:sz w:val="24"/>
        </w:rPr>
        <w:t>一、收入支出决算总表</w:t>
      </w:r>
    </w:p>
    <w:p w14:paraId="5E38AB02">
      <w:pPr>
        <w:pStyle w:val="12"/>
        <w:adjustRightInd w:val="0"/>
        <w:snapToGrid w:val="0"/>
        <w:spacing w:line="440" w:lineRule="exact"/>
        <w:jc w:val="left"/>
        <w:rPr>
          <w:sz w:val="24"/>
        </w:rPr>
      </w:pPr>
      <w:r>
        <w:rPr>
          <w:rFonts w:hint="eastAsia"/>
          <w:sz w:val="24"/>
        </w:rPr>
        <w:t>二、收入决算表</w:t>
      </w:r>
    </w:p>
    <w:p w14:paraId="0EEE95F1">
      <w:pPr>
        <w:pStyle w:val="12"/>
        <w:adjustRightInd w:val="0"/>
        <w:snapToGrid w:val="0"/>
        <w:spacing w:line="440" w:lineRule="exact"/>
        <w:jc w:val="left"/>
        <w:rPr>
          <w:sz w:val="24"/>
        </w:rPr>
      </w:pPr>
      <w:r>
        <w:rPr>
          <w:rFonts w:hint="eastAsia"/>
          <w:sz w:val="24"/>
        </w:rPr>
        <w:t>三、支出决算表</w:t>
      </w:r>
    </w:p>
    <w:p w14:paraId="6DFFBEE8">
      <w:pPr>
        <w:pStyle w:val="12"/>
        <w:adjustRightInd w:val="0"/>
        <w:snapToGrid w:val="0"/>
        <w:spacing w:line="440" w:lineRule="exact"/>
        <w:jc w:val="left"/>
        <w:rPr>
          <w:sz w:val="24"/>
        </w:rPr>
      </w:pPr>
      <w:r>
        <w:rPr>
          <w:rFonts w:hint="eastAsia"/>
          <w:sz w:val="24"/>
        </w:rPr>
        <w:t>四、财政拨款收入支出决算总表</w:t>
      </w:r>
    </w:p>
    <w:p w14:paraId="5C757687">
      <w:pPr>
        <w:pStyle w:val="12"/>
        <w:adjustRightInd w:val="0"/>
        <w:snapToGrid w:val="0"/>
        <w:spacing w:line="440" w:lineRule="exact"/>
        <w:jc w:val="left"/>
        <w:rPr>
          <w:sz w:val="24"/>
        </w:rPr>
      </w:pPr>
      <w:r>
        <w:rPr>
          <w:rFonts w:hint="eastAsia"/>
          <w:sz w:val="24"/>
        </w:rPr>
        <w:t>五、财政拨款支出决算明细表</w:t>
      </w:r>
    </w:p>
    <w:p w14:paraId="18D0658A">
      <w:pPr>
        <w:pStyle w:val="12"/>
        <w:adjustRightInd w:val="0"/>
        <w:snapToGrid w:val="0"/>
        <w:spacing w:line="440" w:lineRule="exact"/>
        <w:jc w:val="left"/>
        <w:rPr>
          <w:sz w:val="24"/>
        </w:rPr>
      </w:pPr>
      <w:r>
        <w:rPr>
          <w:rFonts w:hint="eastAsia"/>
          <w:sz w:val="24"/>
        </w:rPr>
        <w:t>六、一般公共预算财政拨款支出决算表</w:t>
      </w:r>
    </w:p>
    <w:p w14:paraId="2364E687">
      <w:pPr>
        <w:pStyle w:val="12"/>
        <w:adjustRightInd w:val="0"/>
        <w:snapToGrid w:val="0"/>
        <w:spacing w:line="440" w:lineRule="exact"/>
        <w:jc w:val="left"/>
        <w:rPr>
          <w:sz w:val="24"/>
        </w:rPr>
      </w:pPr>
      <w:r>
        <w:rPr>
          <w:rFonts w:hint="eastAsia"/>
          <w:sz w:val="24"/>
        </w:rPr>
        <w:t>七、一般公共预算财政拨款支出决算明细表</w:t>
      </w:r>
    </w:p>
    <w:p w14:paraId="526881FD">
      <w:pPr>
        <w:pStyle w:val="12"/>
        <w:adjustRightInd w:val="0"/>
        <w:snapToGrid w:val="0"/>
        <w:spacing w:line="440" w:lineRule="exact"/>
        <w:jc w:val="left"/>
        <w:rPr>
          <w:sz w:val="24"/>
        </w:rPr>
      </w:pPr>
      <w:r>
        <w:rPr>
          <w:rFonts w:hint="eastAsia"/>
          <w:sz w:val="24"/>
        </w:rPr>
        <w:t>八、一般公共预算财政拨款基本支出决算明细表</w:t>
      </w:r>
    </w:p>
    <w:p w14:paraId="30B2FF11">
      <w:pPr>
        <w:pStyle w:val="12"/>
        <w:adjustRightInd w:val="0"/>
        <w:snapToGrid w:val="0"/>
        <w:spacing w:line="440" w:lineRule="exact"/>
        <w:jc w:val="left"/>
        <w:rPr>
          <w:sz w:val="24"/>
        </w:rPr>
      </w:pPr>
      <w:r>
        <w:rPr>
          <w:rFonts w:hint="eastAsia"/>
          <w:sz w:val="24"/>
        </w:rPr>
        <w:t>九、一般公共预算财政拨款项目支出决算表</w:t>
      </w:r>
    </w:p>
    <w:p w14:paraId="49A6A339">
      <w:pPr>
        <w:pStyle w:val="12"/>
        <w:adjustRightInd w:val="0"/>
        <w:snapToGrid w:val="0"/>
        <w:spacing w:line="440" w:lineRule="exact"/>
        <w:jc w:val="left"/>
        <w:rPr>
          <w:sz w:val="24"/>
        </w:rPr>
      </w:pPr>
      <w:r>
        <w:rPr>
          <w:rFonts w:hint="eastAsia"/>
          <w:sz w:val="24"/>
        </w:rPr>
        <w:t>十、政府性基金预算财政拨款收入支出决算表</w:t>
      </w:r>
    </w:p>
    <w:p w14:paraId="6103B342">
      <w:pPr>
        <w:pStyle w:val="12"/>
        <w:adjustRightInd w:val="0"/>
        <w:snapToGrid w:val="0"/>
        <w:spacing w:line="440" w:lineRule="exact"/>
        <w:jc w:val="left"/>
        <w:rPr>
          <w:sz w:val="24"/>
        </w:rPr>
      </w:pPr>
      <w:r>
        <w:rPr>
          <w:rFonts w:hint="eastAsia"/>
          <w:sz w:val="24"/>
        </w:rPr>
        <w:t>十一、国有资本经营预算财政拨款收入支出决算表</w:t>
      </w:r>
    </w:p>
    <w:p w14:paraId="62EFB65E">
      <w:pPr>
        <w:pStyle w:val="12"/>
        <w:adjustRightInd w:val="0"/>
        <w:snapToGrid w:val="0"/>
        <w:spacing w:line="440" w:lineRule="exact"/>
        <w:jc w:val="left"/>
        <w:rPr>
          <w:sz w:val="24"/>
        </w:rPr>
      </w:pPr>
      <w:r>
        <w:rPr>
          <w:rFonts w:hint="eastAsia"/>
          <w:sz w:val="24"/>
        </w:rPr>
        <w:t>十二、国有资本经营预算财政拨款支出决算表</w:t>
      </w:r>
    </w:p>
    <w:p w14:paraId="0E56E39A">
      <w:pPr>
        <w:pStyle w:val="12"/>
        <w:adjustRightInd w:val="0"/>
        <w:snapToGrid w:val="0"/>
        <w:spacing w:line="440" w:lineRule="exact"/>
        <w:jc w:val="left"/>
        <w:rPr>
          <w:rFonts w:asciiTheme="minorEastAsia" w:hAnsiTheme="minorEastAsia" w:eastAsiaTheme="minorEastAsia" w:cstheme="minorEastAsia"/>
          <w:sz w:val="24"/>
        </w:rPr>
      </w:pPr>
      <w:r>
        <w:rPr>
          <w:rFonts w:hint="eastAsia"/>
          <w:sz w:val="24"/>
        </w:rPr>
        <w:t>十三、财政拨款“三公”经费支出决算表</w:t>
      </w:r>
    </w:p>
    <w:p w14:paraId="5C529B9F">
      <w:pPr>
        <w:widowControl/>
        <w:spacing w:line="440" w:lineRule="exact"/>
        <w:jc w:val="left"/>
        <w:rPr>
          <w:rFonts w:ascii="仿宋" w:hAnsi="仿宋" w:eastAsia="仿宋"/>
          <w:bCs/>
          <w:kern w:val="44"/>
          <w:sz w:val="24"/>
        </w:rPr>
      </w:pPr>
      <w:bookmarkStart w:id="12" w:name="_Toc15396599"/>
      <w:bookmarkStart w:id="13" w:name="_Toc15377196"/>
      <w:r>
        <w:rPr>
          <w:rFonts w:ascii="仿宋" w:hAnsi="仿宋" w:eastAsia="仿宋"/>
          <w:b/>
          <w:sz w:val="24"/>
        </w:rPr>
        <w:br w:type="page"/>
      </w:r>
    </w:p>
    <w:p w14:paraId="71A0076F">
      <w:pPr>
        <w:pStyle w:val="2"/>
        <w:jc w:val="center"/>
        <w:rPr>
          <w:rStyle w:val="28"/>
          <w:rFonts w:ascii="黑体" w:hAnsi="黑体" w:eastAsia="黑体"/>
          <w:b/>
          <w:bCs w:val="0"/>
        </w:rPr>
      </w:pPr>
      <w:r>
        <w:rPr>
          <w:rFonts w:hint="eastAsia" w:ascii="黑体" w:hAnsi="黑体" w:eastAsia="黑体"/>
          <w:b w:val="0"/>
        </w:rPr>
        <w:t xml:space="preserve">第一部分 </w:t>
      </w:r>
      <w:r>
        <w:rPr>
          <w:rStyle w:val="28"/>
          <w:rFonts w:hint="eastAsia" w:ascii="黑体" w:hAnsi="黑体" w:eastAsia="黑体"/>
          <w:b w:val="0"/>
          <w:bCs w:val="0"/>
        </w:rPr>
        <w:t>部门概况</w:t>
      </w:r>
      <w:bookmarkEnd w:id="12"/>
      <w:bookmarkEnd w:id="13"/>
    </w:p>
    <w:p w14:paraId="4D0D44AF">
      <w:pPr>
        <w:widowControl/>
        <w:jc w:val="left"/>
        <w:rPr>
          <w:rFonts w:ascii="黑体" w:eastAsia="黑体"/>
          <w:sz w:val="32"/>
          <w:szCs w:val="32"/>
        </w:rPr>
      </w:pPr>
    </w:p>
    <w:p w14:paraId="363463DF">
      <w:pPr>
        <w:pStyle w:val="3"/>
        <w:numPr>
          <w:ilvl w:val="0"/>
          <w:numId w:val="1"/>
        </w:numPr>
      </w:pPr>
      <w:r>
        <w:rPr>
          <w:rFonts w:hint="eastAsia" w:ascii="黑体" w:hAnsi="黑体" w:eastAsia="黑体"/>
          <w:b w:val="0"/>
        </w:rPr>
        <w:t>部门职责</w:t>
      </w:r>
    </w:p>
    <w:p w14:paraId="51D267B6">
      <w:pPr>
        <w:shd w:val="clear" w:color="auto" w:fill="FFFFFF"/>
        <w:rPr>
          <w:rFonts w:ascii="仿宋" w:hAnsi="仿宋" w:eastAsia="仿宋"/>
          <w:b/>
          <w:sz w:val="32"/>
          <w:szCs w:val="32"/>
        </w:rPr>
      </w:pPr>
      <w:r>
        <w:rPr>
          <w:rFonts w:hint="eastAsia" w:ascii="仿宋" w:hAnsi="仿宋" w:eastAsia="仿宋"/>
          <w:b/>
          <w:sz w:val="32"/>
          <w:szCs w:val="32"/>
        </w:rPr>
        <w:t xml:space="preserve">.   (一)主要职能 </w:t>
      </w:r>
    </w:p>
    <w:p w14:paraId="48B481EF">
      <w:pPr>
        <w:shd w:val="clear" w:color="auto" w:fill="FFFFFF"/>
        <w:spacing w:line="600" w:lineRule="atLeast"/>
        <w:ind w:firstLine="707"/>
        <w:rPr>
          <w:rFonts w:ascii="仿宋" w:hAnsi="仿宋" w:eastAsia="仿宋"/>
          <w:sz w:val="32"/>
          <w:szCs w:val="32"/>
        </w:rPr>
      </w:pPr>
      <w:r>
        <w:rPr>
          <w:rFonts w:hint="eastAsia" w:ascii="仿宋" w:hAnsi="仿宋" w:eastAsia="仿宋"/>
          <w:sz w:val="32"/>
          <w:szCs w:val="32"/>
        </w:rPr>
        <w:t xml:space="preserve">   沐川县杨村乡人民政府的主要工作、主要职能是落实政策、促进发展、维护稳定、加强管理、提供服务。主要的任务是承担农村社会稳定、农村经济发展、统筹农村社会的协调发展、实施乡村振兴战略、农村党的建设和其他工作带领农民致富奔小康，建设社会主义新农村等。</w:t>
      </w:r>
    </w:p>
    <w:p w14:paraId="214AEB2A">
      <w:pPr>
        <w:shd w:val="clear" w:color="auto" w:fill="FFFFFF"/>
        <w:ind w:firstLine="640"/>
        <w:rPr>
          <w:rFonts w:ascii="仿宋" w:hAnsi="仿宋" w:eastAsia="仿宋"/>
          <w:sz w:val="32"/>
          <w:szCs w:val="32"/>
        </w:rPr>
      </w:pPr>
      <w:r>
        <w:rPr>
          <w:rFonts w:hint="eastAsia" w:ascii="仿宋" w:hAnsi="仿宋" w:eastAsia="仿宋"/>
          <w:sz w:val="32"/>
          <w:szCs w:val="32"/>
        </w:rPr>
        <w:t>1.贯彻落实党的路线方针政策和国家法律法规以及上级党委、政府的决议、决定和命令,执行乡党委和乡人民代表大会的决议,加强农村基层政权建设,巩固党在农村的执政基础。</w:t>
      </w:r>
    </w:p>
    <w:p w14:paraId="7ACBED62">
      <w:pPr>
        <w:shd w:val="clear" w:color="auto" w:fill="FFFFFF"/>
        <w:ind w:firstLine="640"/>
        <w:rPr>
          <w:rFonts w:ascii="仿宋" w:hAnsi="仿宋" w:eastAsia="仿宋"/>
          <w:sz w:val="32"/>
          <w:szCs w:val="32"/>
        </w:rPr>
      </w:pPr>
      <w:r>
        <w:rPr>
          <w:rFonts w:hint="eastAsia" w:ascii="仿宋" w:hAnsi="仿宋" w:eastAsia="仿宋"/>
          <w:sz w:val="32"/>
          <w:szCs w:val="32"/>
        </w:rPr>
        <w:t>2.组织编制本行政区域经济社会发展规划和乡国土空间规划。负责农村基础设施和各项公益事业建设,推进脱贫攻坚,实施乡村振兴战略,加快经济社会发展,改善群众生产生活环境。</w:t>
      </w:r>
    </w:p>
    <w:p w14:paraId="3777E03D">
      <w:pPr>
        <w:shd w:val="clear" w:color="auto" w:fill="FFFFFF"/>
        <w:ind w:firstLine="640"/>
        <w:rPr>
          <w:rFonts w:ascii="仿宋" w:hAnsi="仿宋" w:eastAsia="仿宋"/>
          <w:sz w:val="32"/>
          <w:szCs w:val="32"/>
        </w:rPr>
      </w:pPr>
      <w:r>
        <w:rPr>
          <w:rFonts w:hint="eastAsia" w:ascii="仿宋" w:hAnsi="仿宋" w:eastAsia="仿宋"/>
          <w:sz w:val="32"/>
          <w:szCs w:val="32"/>
        </w:rPr>
        <w:t>3.指导农村经济发展,推进农业经济结构调整,促进经济增长、农业增效、农民增收。</w:t>
      </w:r>
    </w:p>
    <w:p w14:paraId="1174E050">
      <w:pPr>
        <w:shd w:val="clear" w:color="auto" w:fill="FFFFFF"/>
        <w:ind w:firstLine="640"/>
        <w:rPr>
          <w:rFonts w:ascii="仿宋" w:hAnsi="仿宋" w:eastAsia="仿宋"/>
          <w:sz w:val="32"/>
          <w:szCs w:val="32"/>
        </w:rPr>
      </w:pPr>
      <w:r>
        <w:rPr>
          <w:rFonts w:hint="eastAsia" w:ascii="仿宋" w:hAnsi="仿宋" w:eastAsia="仿宋"/>
          <w:sz w:val="32"/>
          <w:szCs w:val="32"/>
        </w:rPr>
        <w:t>4.加强农村公共服务体系建设,抓好基础教育、科技、文化、体育、卫生健康、食(药)品安全等工作,做好民政事务、残疾、老龄、就业培训、社会保障、劳动关系协调、民族宗教、退役军人事务、统计等工作,促进农村社会事业健康发展。</w:t>
      </w:r>
    </w:p>
    <w:p w14:paraId="214EED07">
      <w:pPr>
        <w:shd w:val="clear" w:color="auto" w:fill="FFFFFF"/>
        <w:ind w:firstLine="640"/>
        <w:rPr>
          <w:rFonts w:ascii="仿宋" w:hAnsi="仿宋" w:eastAsia="仿宋"/>
          <w:sz w:val="32"/>
          <w:szCs w:val="32"/>
        </w:rPr>
      </w:pPr>
      <w:r>
        <w:rPr>
          <w:rFonts w:hint="eastAsia" w:ascii="仿宋" w:hAnsi="仿宋" w:eastAsia="仿宋"/>
          <w:sz w:val="32"/>
          <w:szCs w:val="32"/>
        </w:rPr>
        <w:t>5.负责辖区内自然资源、生态环境保护、森林防火、防汛抗旱、粮食安全、供销合作社等工作。</w:t>
      </w:r>
    </w:p>
    <w:p w14:paraId="0838AC5F">
      <w:pPr>
        <w:shd w:val="clear" w:color="auto" w:fill="FFFFFF"/>
        <w:ind w:firstLine="640"/>
        <w:rPr>
          <w:rFonts w:ascii="仿宋" w:hAnsi="仿宋" w:eastAsia="仿宋"/>
          <w:sz w:val="32"/>
          <w:szCs w:val="32"/>
        </w:rPr>
      </w:pPr>
      <w:r>
        <w:rPr>
          <w:rFonts w:hint="eastAsia" w:ascii="仿宋" w:hAnsi="仿宋" w:eastAsia="仿宋"/>
          <w:sz w:val="32"/>
          <w:szCs w:val="32"/>
        </w:rPr>
        <w:t>6.推进基层民主法治建设,加强普法依法治理,指导村(居)民委员会工作,维护群众合法权益。</w:t>
      </w:r>
    </w:p>
    <w:p w14:paraId="7752B0D8">
      <w:pPr>
        <w:shd w:val="clear" w:color="auto" w:fill="FFFFFF"/>
        <w:ind w:firstLine="640"/>
        <w:rPr>
          <w:rFonts w:ascii="仿宋" w:hAnsi="仿宋" w:eastAsia="仿宋"/>
          <w:sz w:val="32"/>
          <w:szCs w:val="32"/>
        </w:rPr>
      </w:pPr>
      <w:r>
        <w:rPr>
          <w:rFonts w:hint="eastAsia" w:ascii="仿宋" w:hAnsi="仿宋" w:eastAsia="仿宋"/>
          <w:sz w:val="32"/>
          <w:szCs w:val="32"/>
        </w:rPr>
        <w:t>7.承担辖区平安建设、社会治安综合治理、安全和应急管理等有关工作,处理群众来信来访,反映社情民意,化解矛盾纠纷,维护社会安全稳定。</w:t>
      </w:r>
    </w:p>
    <w:p w14:paraId="3E078A08">
      <w:pPr>
        <w:shd w:val="clear" w:color="auto" w:fill="FFFFFF"/>
        <w:ind w:firstLine="640"/>
        <w:rPr>
          <w:rFonts w:ascii="仿宋" w:hAnsi="仿宋" w:eastAsia="仿宋"/>
          <w:sz w:val="32"/>
          <w:szCs w:val="32"/>
        </w:rPr>
      </w:pPr>
      <w:r>
        <w:rPr>
          <w:rFonts w:hint="eastAsia" w:ascii="仿宋" w:hAnsi="仿宋" w:eastAsia="仿宋"/>
          <w:sz w:val="32"/>
          <w:szCs w:val="32"/>
        </w:rPr>
        <w:t>8.负责清理编制权责清单、公共服务清单事项,建立清单动态调整和公示机制,推进政务公开,接受群众监督,增强政府公信力。</w:t>
      </w:r>
    </w:p>
    <w:p w14:paraId="34A94E38">
      <w:pPr>
        <w:shd w:val="clear" w:color="auto" w:fill="FFFFFF"/>
        <w:ind w:firstLine="640"/>
        <w:rPr>
          <w:rFonts w:ascii="仿宋" w:hAnsi="仿宋" w:eastAsia="仿宋"/>
          <w:sz w:val="32"/>
          <w:szCs w:val="32"/>
        </w:rPr>
      </w:pPr>
      <w:r>
        <w:rPr>
          <w:rFonts w:hint="eastAsia" w:ascii="仿宋" w:hAnsi="仿宋" w:eastAsia="仿宋"/>
          <w:sz w:val="32"/>
          <w:szCs w:val="32"/>
        </w:rPr>
        <w:t>9.负责国防教育、兵役征集、民兵预备役等有关工作。</w:t>
      </w:r>
    </w:p>
    <w:p w14:paraId="3A5B6C8E">
      <w:pPr>
        <w:shd w:val="clear" w:color="auto" w:fill="FFFFFF"/>
        <w:ind w:firstLine="640"/>
        <w:rPr>
          <w:rFonts w:ascii="仿宋" w:hAnsi="仿宋" w:eastAsia="仿宋"/>
          <w:sz w:val="32"/>
          <w:szCs w:val="32"/>
        </w:rPr>
      </w:pPr>
      <w:r>
        <w:rPr>
          <w:rFonts w:hint="eastAsia" w:ascii="仿宋" w:hAnsi="仿宋" w:eastAsia="仿宋"/>
          <w:sz w:val="32"/>
          <w:szCs w:val="32"/>
        </w:rPr>
        <w:t>10.承担法律、法规、规章规定的其他职能和上级党委、政府交办的其他任务。</w:t>
      </w:r>
    </w:p>
    <w:p w14:paraId="4F700AD7">
      <w:pPr>
        <w:spacing w:line="360" w:lineRule="auto"/>
        <w:ind w:firstLine="640" w:firstLineChars="200"/>
        <w:rPr>
          <w:rFonts w:ascii="黑体" w:hAnsi="黑体" w:eastAsia="黑体" w:cs="黑体"/>
          <w:sz w:val="32"/>
          <w:szCs w:val="32"/>
        </w:rPr>
      </w:pPr>
      <w:r>
        <w:rPr>
          <w:rFonts w:hint="eastAsia" w:ascii="黑体" w:hAnsi="黑体" w:eastAsia="黑体" w:cs="黑体"/>
          <w:sz w:val="32"/>
          <w:szCs w:val="32"/>
        </w:rPr>
        <w:t>（二）2022年工作开展情况</w:t>
      </w:r>
    </w:p>
    <w:p w14:paraId="28C47ABB">
      <w:pPr>
        <w:shd w:val="clear" w:color="auto" w:fill="FFFFFF"/>
        <w:ind w:firstLine="640" w:firstLineChars="200"/>
        <w:rPr>
          <w:rFonts w:ascii="仿宋" w:hAnsi="仿宋" w:eastAsia="仿宋"/>
          <w:sz w:val="32"/>
          <w:szCs w:val="32"/>
        </w:rPr>
      </w:pPr>
      <w:r>
        <w:rPr>
          <w:rFonts w:hint="eastAsia" w:ascii="仿宋" w:hAnsi="仿宋" w:eastAsia="仿宋"/>
          <w:sz w:val="32"/>
          <w:szCs w:val="32"/>
        </w:rPr>
        <w:t>2022年，杨村乡在沐川县委、县政府的坚强领导下，坚持人民至上，统筹推进疫情防控、项目建设、人居环境整治提升等工作，顺利完成各项任务。</w:t>
      </w:r>
    </w:p>
    <w:p w14:paraId="4B1D4BD5">
      <w:pPr>
        <w:spacing w:line="600" w:lineRule="exact"/>
        <w:ind w:firstLine="643" w:firstLineChars="200"/>
        <w:rPr>
          <w:rFonts w:ascii="楷体_GB2312" w:hAnsi="楷体_GB2312" w:eastAsia="楷体_GB2312" w:cs="楷体_GB2312"/>
          <w:b/>
          <w:bCs/>
          <w:sz w:val="32"/>
          <w:szCs w:val="32"/>
        </w:rPr>
      </w:pPr>
    </w:p>
    <w:p w14:paraId="0513EB39">
      <w:pPr>
        <w:spacing w:line="600" w:lineRule="exact"/>
        <w:ind w:firstLine="640" w:firstLineChars="200"/>
        <w:rPr>
          <w:rFonts w:ascii="仿宋" w:hAnsi="仿宋" w:eastAsia="仿宋"/>
          <w:sz w:val="32"/>
          <w:szCs w:val="32"/>
        </w:rPr>
      </w:pPr>
      <w:r>
        <w:rPr>
          <w:rFonts w:hint="eastAsia" w:ascii="仿宋" w:hAnsi="仿宋" w:eastAsia="仿宋"/>
          <w:sz w:val="32"/>
          <w:szCs w:val="32"/>
        </w:rPr>
        <w:t>（一）从严从实转作风，增强党建活力。</w:t>
      </w:r>
    </w:p>
    <w:p w14:paraId="51EC444A">
      <w:pPr>
        <w:spacing w:line="560" w:lineRule="exact"/>
        <w:ind w:firstLine="640" w:firstLineChars="200"/>
        <w:rPr>
          <w:rFonts w:ascii="仿宋" w:hAnsi="仿宋" w:eastAsia="仿宋"/>
          <w:sz w:val="32"/>
          <w:szCs w:val="32"/>
        </w:rPr>
      </w:pPr>
      <w:r>
        <w:rPr>
          <w:rFonts w:hint="eastAsia" w:ascii="仿宋" w:hAnsi="仿宋" w:eastAsia="仿宋"/>
          <w:sz w:val="32"/>
          <w:szCs w:val="32"/>
        </w:rPr>
        <w:t>一是强化党建引领。全面落实意识形态工作责任制要求，建立健全意识形态工作研判机制，全力打好意识形态工作主动战，提高干部思想认识和凝聚力。按照县委组织部每月党建工作内容，结合我乡实际情况制发杨村乡基层党建工作任务清单，明确党建学习任务，目前已制发10期。开展“杨村新风课堂”6期，参与东西部协作干部人才网络专题培训6期，利用学习强国、青年大学习等平台抓好党员学习教育，对未及时开展学习的干部进行提醒、通报。机关干部全员观看二十大开幕</w:t>
      </w:r>
      <w:r>
        <w:rPr>
          <w:rFonts w:hint="eastAsia" w:ascii="仿宋" w:hAnsi="仿宋" w:eastAsia="仿宋"/>
          <w:sz w:val="32"/>
          <w:szCs w:val="32"/>
          <w:lang w:eastAsia="zh-CN"/>
        </w:rPr>
        <w:t>会</w:t>
      </w:r>
      <w:r>
        <w:rPr>
          <w:rFonts w:hint="eastAsia" w:ascii="仿宋" w:hAnsi="仿宋" w:eastAsia="仿宋"/>
          <w:sz w:val="32"/>
          <w:szCs w:val="32"/>
        </w:rPr>
        <w:t>，收集党员同志撰写心得体会16篇。召开“阳光问廉坝坝会”16场次，收集发现问题27个，解决问题10个；村社区派单21件，通过派单解决问题5个。</w:t>
      </w:r>
    </w:p>
    <w:p w14:paraId="1B8D5CFA">
      <w:pPr>
        <w:spacing w:line="600" w:lineRule="exact"/>
        <w:ind w:firstLine="640" w:firstLineChars="200"/>
        <w:rPr>
          <w:rFonts w:ascii="仿宋" w:hAnsi="仿宋" w:eastAsia="仿宋"/>
          <w:sz w:val="32"/>
          <w:szCs w:val="32"/>
        </w:rPr>
      </w:pPr>
      <w:r>
        <w:rPr>
          <w:rFonts w:hint="eastAsia" w:ascii="仿宋" w:hAnsi="仿宋" w:eastAsia="仿宋"/>
          <w:sz w:val="32"/>
          <w:szCs w:val="32"/>
        </w:rPr>
        <w:t>二是提升班子履职能力。开展村(社区)班子运行和班子成员履职情况“回头看”，对我乡7个行政村、1个社区班子运行和班子成员履职情况进行了综合分析研判，调整更换1名村党组织书记，2名村村委员。8名村（社区）党支部书记均参与市县两级业务能力培训。积极开展学历提升行动，发动10余名村“两委”干部参与学历提升，着力改善换届后村“两委”成员文化水平，培养后备干部。</w:t>
      </w:r>
    </w:p>
    <w:p w14:paraId="7011A489">
      <w:pPr>
        <w:spacing w:line="600" w:lineRule="exact"/>
        <w:ind w:firstLine="640" w:firstLineChars="200"/>
        <w:rPr>
          <w:rFonts w:ascii="仿宋" w:hAnsi="仿宋" w:eastAsia="仿宋"/>
          <w:sz w:val="32"/>
          <w:szCs w:val="32"/>
        </w:rPr>
      </w:pPr>
      <w:r>
        <w:rPr>
          <w:rFonts w:hint="eastAsia" w:ascii="仿宋" w:hAnsi="仿宋" w:eastAsia="仿宋"/>
          <w:sz w:val="32"/>
          <w:szCs w:val="32"/>
        </w:rPr>
        <w:t>三是加强乡村人才培养。建立3900余名“家庭能人”台账，落实帮带责任人，开展“农村家庭能人”专题培训2期，上报专题信息2期，每季度召开“农村家庭能人”帮带责任人工作会议，巩固帮带成效。2名乡村女性参与县级经济赋能项目培训，提升创业创收能力。</w:t>
      </w:r>
    </w:p>
    <w:p w14:paraId="53E457F7">
      <w:pPr>
        <w:spacing w:line="600" w:lineRule="exact"/>
        <w:ind w:firstLine="640" w:firstLineChars="200"/>
        <w:rPr>
          <w:rFonts w:ascii="仿宋" w:hAnsi="仿宋" w:eastAsia="仿宋"/>
          <w:sz w:val="32"/>
          <w:szCs w:val="32"/>
        </w:rPr>
      </w:pPr>
      <w:r>
        <w:rPr>
          <w:rFonts w:hint="eastAsia" w:ascii="仿宋" w:hAnsi="仿宋" w:eastAsia="仿宋"/>
          <w:sz w:val="32"/>
          <w:szCs w:val="32"/>
        </w:rPr>
        <w:t>四是抓好党员发展工作。通过“三会一课”、主题党日活动、党员干部远程教育站点等方式加强党员教育、管理、监督和服务，利用组织生活会、民主评议党员突出政治教育，目前我乡有正式党员238名，预备党员10名，入党积极分子11名，递交入党申请书7名，发展党员手续均严格执行中国共产党发展党员工作细则，确保程序规范。以党员为主体分层次开展“党员先锋示范岗”创建活动，共评选19个“党员先锋示范岗”，并对党员先锋示范岗实行动态管理，将创建活动的考评成绩作为年终评先评优的重要参考依据，确保示范的先进性。</w:t>
      </w:r>
    </w:p>
    <w:p w14:paraId="114F53D3">
      <w:pPr>
        <w:spacing w:line="600" w:lineRule="exact"/>
        <w:ind w:firstLine="640" w:firstLineChars="200"/>
        <w:rPr>
          <w:rFonts w:ascii="仿宋" w:hAnsi="仿宋" w:eastAsia="仿宋"/>
          <w:sz w:val="32"/>
          <w:szCs w:val="32"/>
        </w:rPr>
      </w:pPr>
      <w:r>
        <w:rPr>
          <w:rFonts w:hint="eastAsia" w:ascii="仿宋" w:hAnsi="仿宋" w:eastAsia="仿宋"/>
          <w:sz w:val="32"/>
          <w:szCs w:val="32"/>
        </w:rPr>
        <w:t>（二）主动作为勇担当，抓实疫情防控。</w:t>
      </w:r>
    </w:p>
    <w:p w14:paraId="55DE203B">
      <w:pPr>
        <w:ind w:firstLine="640" w:firstLineChars="200"/>
        <w:rPr>
          <w:rFonts w:ascii="仿宋" w:hAnsi="仿宋" w:eastAsia="仿宋"/>
          <w:sz w:val="32"/>
          <w:szCs w:val="32"/>
        </w:rPr>
      </w:pPr>
      <w:r>
        <w:rPr>
          <w:rFonts w:hint="eastAsia" w:ascii="仿宋" w:hAnsi="仿宋" w:eastAsia="仿宋"/>
          <w:sz w:val="32"/>
          <w:szCs w:val="32"/>
        </w:rPr>
        <w:t>一是强化组织保障，形成联动合力。整合村民代表、党员、森林防灭火网点、志愿者等力量建立盯防网格，从严从细落实风险人员管控要求和防控措施，做好联防联控，落实“五包一”责任866人次；建立重点场所疫情防控包保责任，严格督促重点场所按照要求落实防控措施。及时做好疫情防控宣传，结合实际自录音频文件8个，通过微信、村村响、led、地拖音响等方式做好疫情防控常态化宣传工作，全覆盖推送最新疫情防控政策，提升全民防疫意识。</w:t>
      </w:r>
    </w:p>
    <w:p w14:paraId="0BBDAE0A">
      <w:pPr>
        <w:ind w:firstLine="640" w:firstLineChars="200"/>
        <w:rPr>
          <w:rFonts w:ascii="仿宋" w:hAnsi="仿宋" w:eastAsia="仿宋"/>
          <w:sz w:val="32"/>
          <w:szCs w:val="32"/>
        </w:rPr>
      </w:pPr>
      <w:r>
        <w:rPr>
          <w:rFonts w:hint="eastAsia" w:ascii="仿宋" w:hAnsi="仿宋" w:eastAsia="仿宋"/>
          <w:sz w:val="32"/>
          <w:szCs w:val="32"/>
        </w:rPr>
        <w:t>二是强化主动防控，发挥堡垒作用。建立杨村乡在外务工（就学）人员台账1265人，排查返乡人员3249人次。充分利用新媒体平台，调动驻村工作队、志愿者、村组干部、党员等力量，通过自制语音、微信群、朋友圈、抖音、村村响等方式全覆盖推送最新疫情防控政策，截至目前已累计推送疫情防控政策及防护知识5000余条，发放或张贴居家健康监测提示卡512份。强化应急准备、形势研判和日常管理，开展疫情防控应急处置演练8次，乡党委研判疫情防控工作20余次、党委书记亲自督促指导疫情工作开展12次，组织召开工作部署、业务培训会等10余次，到村督促指导工作30余次。</w:t>
      </w:r>
    </w:p>
    <w:p w14:paraId="453F3A4A">
      <w:pPr>
        <w:ind w:firstLine="640" w:firstLineChars="200"/>
        <w:rPr>
          <w:rFonts w:ascii="仿宋" w:hAnsi="仿宋" w:eastAsia="仿宋"/>
          <w:sz w:val="32"/>
          <w:szCs w:val="32"/>
        </w:rPr>
      </w:pPr>
      <w:r>
        <w:rPr>
          <w:rFonts w:hint="eastAsia" w:ascii="仿宋" w:hAnsi="仿宋" w:eastAsia="仿宋"/>
          <w:sz w:val="32"/>
          <w:szCs w:val="32"/>
        </w:rPr>
        <w:t>三是强化问题导向，堵住防控漏洞。及时核查大数据357人次，通过大数据核查和村民报备数据比对，对未主动报备通过排查发现人员进行教育，督促其要自觉报备并配合做好疫情防控工作。建立双向报备机制，确保返乡人员零漏排；明确乡内户在人不在、流动人员等特殊人群管理责任，强化村级联动、协同，做到信息互通，确保返乡人员零漏排。充分发挥村规民约作用，建立联防联控制度，发现1户存在问题的，周边户纳入村黑榜。</w:t>
      </w:r>
    </w:p>
    <w:p w14:paraId="7FFC4F4B">
      <w:pPr>
        <w:spacing w:line="600" w:lineRule="exact"/>
        <w:ind w:firstLine="640" w:firstLineChars="200"/>
        <w:rPr>
          <w:rFonts w:ascii="仿宋" w:hAnsi="仿宋" w:eastAsia="仿宋"/>
          <w:sz w:val="32"/>
          <w:szCs w:val="32"/>
        </w:rPr>
      </w:pPr>
      <w:r>
        <w:rPr>
          <w:rFonts w:hint="eastAsia" w:ascii="仿宋" w:hAnsi="仿宋" w:eastAsia="仿宋"/>
          <w:sz w:val="32"/>
          <w:szCs w:val="32"/>
        </w:rPr>
        <w:t>（三）聚焦项目促投入，夯实发展基础。成立项目协调组，下设矛盾调解组、资料准备组、政策宣传组，对我乡新坝和两路建制村调整道路畅通工程、龙洞村道路建设项目、场镇提升、碑坪村乡村振兴示范村建设项目、碑坪村厕污共治项目、碑坪村和两路村厕所改造项目、世行贷款林业建设项目8个项目明确牵头责任人，构建“分级分类、试点示范、以点带面、连线成片”的新格局。新建停车场1个，划定停车位165个，路面修补3公里，改造街面400米，安装道路标识、标牌20余个，划定道路标线3公里。以花卉和水果为重点，打造观赏与采摘一体的现代化乡村旅游示范产业，立足白酒、林业、茶叶、水果及杨村山水风光资源，建立和完善都市人周末休闲度假地。推进现代农业园区建设，实施6000亩高标准基本农田建设。建设粮油种植示范基地，确保全乡春播面达到1.7万亩，在新坝村、桢楠村、碑坪村、两路村实施大豆玉米套种示范1200亩，推进世行贷款森林抚育示范工程和低产低效林改造1.6万亩。</w:t>
      </w:r>
    </w:p>
    <w:p w14:paraId="6E00F08F">
      <w:pPr>
        <w:spacing w:line="600" w:lineRule="exact"/>
        <w:ind w:firstLine="640" w:firstLineChars="200"/>
        <w:rPr>
          <w:rFonts w:ascii="仿宋" w:hAnsi="仿宋" w:eastAsia="仿宋"/>
          <w:sz w:val="32"/>
          <w:szCs w:val="32"/>
        </w:rPr>
      </w:pPr>
      <w:r>
        <w:rPr>
          <w:rFonts w:hint="eastAsia" w:ascii="仿宋" w:hAnsi="仿宋" w:eastAsia="仿宋"/>
          <w:sz w:val="32"/>
          <w:szCs w:val="32"/>
        </w:rPr>
        <w:t>（四）“五清”行动见实效，做优乡村环境。一是依托“五清”行动，对标上级要求，制定乡村两级评比方案，开展红黑榜评比18次，评比上报县级最美庭院7户。二是发动机关事业单位，村组干部、党员、志愿者500人余次对辖区内“河”“沟”“渠”“路”“院”开展卫生大扫除15次，清理河道115公里，沟渠35公里，清扫平整道路398公里，整理庭院1655户，完善日常保洁和垃圾清运制度，加大对面源污染、黑臭水体等现象的督查和整治力度。三是结合场镇服务提升项目，维修整治农贸市场，硬化地面100平方米，实现功能分区维修完善相关附属设施，协调通信公司更换杆线11根，新换钢绞线1公里、建设小花坛2处、拆除乱搭乱建棚户9处。</w:t>
      </w:r>
    </w:p>
    <w:p w14:paraId="7AE4270F">
      <w:pPr>
        <w:spacing w:line="600" w:lineRule="exact"/>
        <w:ind w:firstLine="640" w:firstLineChars="200"/>
        <w:rPr>
          <w:rFonts w:ascii="仿宋" w:hAnsi="仿宋" w:eastAsia="仿宋"/>
          <w:sz w:val="32"/>
          <w:szCs w:val="32"/>
        </w:rPr>
      </w:pPr>
      <w:r>
        <w:rPr>
          <w:rFonts w:hint="eastAsia" w:ascii="仿宋" w:hAnsi="仿宋" w:eastAsia="仿宋"/>
          <w:sz w:val="32"/>
          <w:szCs w:val="32"/>
        </w:rPr>
        <w:t>（五）排查整治再加码，筑牢安全屏障。</w:t>
      </w:r>
    </w:p>
    <w:p w14:paraId="5C7E7A93">
      <w:pPr>
        <w:spacing w:line="600" w:lineRule="exact"/>
        <w:ind w:firstLine="640" w:firstLineChars="200"/>
        <w:rPr>
          <w:rFonts w:ascii="仿宋" w:hAnsi="仿宋" w:eastAsia="仿宋"/>
          <w:sz w:val="32"/>
          <w:szCs w:val="32"/>
        </w:rPr>
      </w:pPr>
      <w:r>
        <w:rPr>
          <w:rFonts w:hint="eastAsia" w:ascii="仿宋" w:hAnsi="仿宋" w:eastAsia="仿宋"/>
          <w:sz w:val="32"/>
          <w:szCs w:val="32"/>
        </w:rPr>
        <w:t>一是安全检查常态化。制定《杨村乡安全生产大检查工作方案》，开展“2022年国庆节和二十大期间安全生产集中整治工作”“岁末年初百日安全大会战”、“安全生产宣传月”等工作，协同有关部门对辖区内烟花爆竹售卖点、液化气售卖点、酒厂、农村自建房、餐馆、建筑工地等存在安全隐患的场所和易发生事故的行业先后进行10余次安全大检查，对学校、医院、副食店、快递站等进行消防各类检查30余次。</w:t>
      </w:r>
    </w:p>
    <w:p w14:paraId="4BE0453B">
      <w:pPr>
        <w:spacing w:line="600" w:lineRule="exact"/>
        <w:ind w:firstLine="640" w:firstLineChars="200"/>
        <w:rPr>
          <w:rFonts w:ascii="仿宋" w:hAnsi="仿宋" w:eastAsia="仿宋"/>
          <w:sz w:val="32"/>
          <w:szCs w:val="32"/>
        </w:rPr>
      </w:pPr>
      <w:r>
        <w:rPr>
          <w:rFonts w:hint="eastAsia" w:ascii="仿宋" w:hAnsi="仿宋" w:eastAsia="仿宋"/>
          <w:sz w:val="32"/>
          <w:szCs w:val="32"/>
        </w:rPr>
        <w:t>二是“森林防灭火”精细化。成立乡各级林长组织责任体系，规范林长制办公室，完善林长制工作运行制度，制作林长制公示牌9个，划分以护林员为网格员的巡林护林网格36个，组织生态护林员集中业务培训2次；建立以班子成员包村、联系村领导联系村干部包片、村干部包组、组长包户、十户联保、护林员包山头的责任清单机制，设置防火卡点6个，核实更新火灾取水点17个，签订《护林防火责任书》2000余份，制作简易防火牌230个，张贴禁火令、防火明白卡3000余份，发放防火宣传单6000余份，并完善护林防火工作制度和森林火灾扑救预案。开展森林防灭火排查工作200余次，发现整改隐患10次。</w:t>
      </w:r>
    </w:p>
    <w:p w14:paraId="07BE75EC">
      <w:pPr>
        <w:spacing w:line="600" w:lineRule="exact"/>
        <w:ind w:firstLine="640" w:firstLineChars="200"/>
        <w:rPr>
          <w:rFonts w:ascii="仿宋" w:hAnsi="仿宋" w:eastAsia="仿宋"/>
          <w:sz w:val="32"/>
          <w:szCs w:val="32"/>
        </w:rPr>
      </w:pPr>
      <w:r>
        <w:rPr>
          <w:rFonts w:hint="eastAsia" w:ascii="仿宋" w:hAnsi="仿宋" w:eastAsia="仿宋"/>
          <w:sz w:val="32"/>
          <w:szCs w:val="32"/>
        </w:rPr>
        <w:t>三是交通劝导长效化。制定道路交通安全应急预案，联合综执局、交警大队、驻乡派出所执法，开展交通安全文明劝导80余次，劝导电动三（四）轮车、摩托车驾乘人员150人次，录入劝导日志5000余条。</w:t>
      </w:r>
    </w:p>
    <w:p w14:paraId="1CB63407">
      <w:pPr>
        <w:spacing w:line="600" w:lineRule="exact"/>
        <w:ind w:firstLine="640" w:firstLineChars="200"/>
        <w:rPr>
          <w:rFonts w:ascii="仿宋" w:hAnsi="仿宋" w:eastAsia="仿宋"/>
          <w:sz w:val="32"/>
          <w:szCs w:val="32"/>
        </w:rPr>
      </w:pPr>
      <w:r>
        <w:rPr>
          <w:rFonts w:hint="eastAsia" w:ascii="仿宋" w:hAnsi="仿宋" w:eastAsia="仿宋"/>
          <w:sz w:val="32"/>
          <w:szCs w:val="32"/>
        </w:rPr>
        <w:t>四是耕地保护严格化。建立乱占耕地巡查组，落实巡查员7人，大力宣传乱占耕地“八不准”，签订不乱占耕地建房承诺书2000余份，对辖区内建筑修建情况进行日常排查，结合卫片执法图斑实地核查耕地流出地块241处，发现整改问题27个，其中完善资料手续26处，复耕1处。全乡共备案设施农用地4户，宅基地审批8户。</w:t>
      </w:r>
    </w:p>
    <w:p w14:paraId="3C4942AF">
      <w:pPr>
        <w:spacing w:line="600" w:lineRule="exact"/>
        <w:ind w:firstLine="640" w:firstLineChars="200"/>
        <w:rPr>
          <w:rFonts w:ascii="仿宋" w:hAnsi="仿宋" w:eastAsia="仿宋"/>
          <w:sz w:val="32"/>
          <w:szCs w:val="32"/>
        </w:rPr>
      </w:pPr>
      <w:r>
        <w:rPr>
          <w:rFonts w:hint="eastAsia" w:ascii="仿宋" w:hAnsi="仿宋" w:eastAsia="仿宋"/>
          <w:sz w:val="32"/>
          <w:szCs w:val="32"/>
        </w:rPr>
        <w:t>五是防汛抗旱精准化。制定《杨村乡2022年防汛减灾应急预案》、《杨村乡2022年抗旱减灾应急预案》，对徐沟儿、茨岩河流域新坝段安装预警喇叭3个，核实申报杨村乡2022年公益性岗位水利巡管员6名，山洪灾害危险区基层负责人15名，以包片领导为责任人，以各聚居点为网格，建立网格包保责任机制，落实老弱病残一对一帮扶台账，开展汛期安全检查50余次，节水宣传教育10余次，组建乡、村级应急救援队伍9支，对各村（社区）饮用水设施设备常态化进行维护，坚决杜绝水源跑冒滴漏的现象。依据县应急管理局补助政策，累计为我乡320户533人申请干旱补助及冬春救助。</w:t>
      </w:r>
    </w:p>
    <w:p w14:paraId="6C8FE321">
      <w:pPr>
        <w:spacing w:line="600" w:lineRule="exact"/>
        <w:ind w:firstLine="640" w:firstLineChars="200"/>
        <w:rPr>
          <w:rFonts w:ascii="仿宋" w:hAnsi="仿宋" w:eastAsia="仿宋"/>
          <w:sz w:val="32"/>
          <w:szCs w:val="32"/>
        </w:rPr>
      </w:pPr>
      <w:r>
        <w:rPr>
          <w:rFonts w:hint="eastAsia" w:ascii="仿宋" w:hAnsi="仿宋" w:eastAsia="仿宋"/>
          <w:sz w:val="32"/>
          <w:szCs w:val="32"/>
        </w:rPr>
        <w:t>（六）乡村振兴再发力，促进提质增效。建立健全防止返贫动态监测和帮扶机制，做好乡镇行政区划和村组建制调整“后半篇”文章工作。乡党委召开党委会组织专题学习巩固拓展脱贫</w:t>
      </w:r>
      <w:r>
        <w:rPr>
          <w:rFonts w:hint="eastAsia" w:ascii="仿宋" w:hAnsi="仿宋" w:eastAsia="仿宋"/>
          <w:sz w:val="32"/>
          <w:szCs w:val="32"/>
          <w:lang w:eastAsia="zh-CN"/>
        </w:rPr>
        <w:t>攻坚</w:t>
      </w:r>
      <w:r>
        <w:rPr>
          <w:rFonts w:hint="eastAsia" w:ascii="仿宋" w:hAnsi="仿宋" w:eastAsia="仿宋"/>
          <w:sz w:val="32"/>
          <w:szCs w:val="32"/>
        </w:rPr>
        <w:t>成果工作方面各类政策文件4次，专题研究巩固拓展脱贫</w:t>
      </w:r>
      <w:r>
        <w:rPr>
          <w:rFonts w:hint="eastAsia" w:ascii="仿宋" w:hAnsi="仿宋" w:eastAsia="仿宋"/>
          <w:sz w:val="32"/>
          <w:szCs w:val="32"/>
          <w:lang w:eastAsia="zh-CN"/>
        </w:rPr>
        <w:t>攻坚</w:t>
      </w:r>
      <w:r>
        <w:rPr>
          <w:rFonts w:hint="eastAsia" w:ascii="仿宋" w:hAnsi="仿宋" w:eastAsia="仿宋"/>
          <w:sz w:val="32"/>
          <w:szCs w:val="32"/>
        </w:rPr>
        <w:t>成果和防止返贫致贫工作10次，召开机关干部会、乡村组三级干部会4次，其中听取巩固拓展脱贫</w:t>
      </w:r>
      <w:r>
        <w:rPr>
          <w:rFonts w:hint="eastAsia" w:ascii="仿宋" w:hAnsi="仿宋" w:eastAsia="仿宋"/>
          <w:sz w:val="32"/>
          <w:szCs w:val="32"/>
          <w:lang w:eastAsia="zh-CN"/>
        </w:rPr>
        <w:t>攻坚</w:t>
      </w:r>
      <w:bookmarkStart w:id="68" w:name="_GoBack"/>
      <w:bookmarkEnd w:id="68"/>
      <w:r>
        <w:rPr>
          <w:rFonts w:hint="eastAsia" w:ascii="仿宋" w:hAnsi="仿宋" w:eastAsia="仿宋"/>
          <w:sz w:val="32"/>
          <w:szCs w:val="32"/>
        </w:rPr>
        <w:t>成果工作汇报2次；第一书记和驻村工作队每月召开工作例会，全覆盖排查工作部署会3次。设立8名返贫监测员，每月排查并上报返贫致贫风险台帐。通过“周调度”、“月推进”“季度通报”等有效做法，确保工作不留空档，组织村两委干部、帮扶干部对全乡所有农户饮水安全、住房安全、义务教育、基本医疗等突出问题进行了全面排查，累计走访入户0.86万次，均未发现饮水、用电、住房等问题情况。完成第一、二、三批扶贫对象人口动态调整工作，2022年，我乡纳入监测户7户26人，消除风险1户4人，针对新进监测户采用低保、医疗救助、临时救助等相关政策托底，我乡未发生一起</w:t>
      </w:r>
      <w:r>
        <w:rPr>
          <w:rFonts w:ascii="仿宋" w:hAnsi="仿宋" w:eastAsia="仿宋"/>
          <w:sz w:val="32"/>
          <w:szCs w:val="32"/>
        </w:rPr>
        <w:t>“漏测失帮”</w:t>
      </w:r>
      <w:r>
        <w:rPr>
          <w:rFonts w:hint="eastAsia" w:ascii="仿宋" w:hAnsi="仿宋" w:eastAsia="仿宋"/>
          <w:sz w:val="32"/>
          <w:szCs w:val="32"/>
        </w:rPr>
        <w:t>情况。</w:t>
      </w:r>
    </w:p>
    <w:p w14:paraId="4A241E6A">
      <w:pPr>
        <w:spacing w:line="600" w:lineRule="exact"/>
        <w:ind w:firstLine="640" w:firstLineChars="200"/>
        <w:rPr>
          <w:rFonts w:ascii="仿宋" w:hAnsi="仿宋" w:eastAsia="仿宋"/>
          <w:sz w:val="32"/>
          <w:szCs w:val="32"/>
        </w:rPr>
      </w:pPr>
      <w:r>
        <w:rPr>
          <w:rFonts w:hint="eastAsia" w:ascii="仿宋" w:hAnsi="仿宋" w:eastAsia="仿宋"/>
          <w:sz w:val="32"/>
          <w:szCs w:val="32"/>
        </w:rPr>
        <w:t>（七）基层治理再发展，增进民生福祉。</w:t>
      </w:r>
    </w:p>
    <w:p w14:paraId="761A3F5C">
      <w:pPr>
        <w:spacing w:line="600" w:lineRule="exact"/>
        <w:ind w:firstLine="640" w:firstLineChars="200"/>
        <w:rPr>
          <w:rFonts w:ascii="仿宋" w:hAnsi="仿宋" w:eastAsia="仿宋"/>
          <w:sz w:val="32"/>
          <w:szCs w:val="32"/>
        </w:rPr>
      </w:pPr>
      <w:r>
        <w:rPr>
          <w:rFonts w:hint="eastAsia" w:ascii="仿宋" w:hAnsi="仿宋" w:eastAsia="仿宋"/>
          <w:sz w:val="32"/>
          <w:szCs w:val="32"/>
        </w:rPr>
        <w:t>一是建立健全机制，保障特殊及困难群体合法权益。成立村（社区）残协并完善相关制度，完成乡残联换届，对全乡488名残疾人实施分类管理，按照残疾等级、类别等，鼓励残疾人发展生产和就业创业，发放困难残疾人生活补贴92人、发放重度残疾人护理补贴261人。建立农村留守老年人定期巡访制度，采用上门巡访为主、电话探访为辅的方式，定期对乡域内独居、失能、半失能、重病、贫困、高龄、计划生育特殊家庭等23名特殊困难农村留守老年人进行巡访。</w:t>
      </w:r>
    </w:p>
    <w:p w14:paraId="16472498">
      <w:pPr>
        <w:spacing w:line="600" w:lineRule="exact"/>
        <w:ind w:firstLine="640" w:firstLineChars="200"/>
        <w:rPr>
          <w:rFonts w:ascii="仿宋" w:hAnsi="仿宋" w:eastAsia="仿宋"/>
          <w:sz w:val="32"/>
          <w:szCs w:val="32"/>
        </w:rPr>
      </w:pPr>
      <w:r>
        <w:rPr>
          <w:rFonts w:hint="eastAsia" w:ascii="仿宋" w:hAnsi="仿宋" w:eastAsia="仿宋"/>
          <w:sz w:val="32"/>
          <w:szCs w:val="32"/>
        </w:rPr>
        <w:t>二是提高群众认可，从“上门来找”变成“主动服务”。一是走访慰问特困残疾人，为残疾人康复做好服务，开展残疾人上门服务工作。到农户家中做好残疾评定、服药指导及换证等服务2次，鼓励就业年龄段内，具有劳动能力的残疾人从事非全日制、临时性和弹性工作，为92名就业创业残疾人申请灵活就业创业补贴共计4.6万元。结合乡村振兴工作，鼓励残疾人发展生产，扶持198名残疾人发展生猪、鸡等种养殖业，增加收入。通过现有数据筛查，主动发现并及时主动申请政策保障对象10人。通过购买第三方服务，为全乡157名老人提供居家服务。二是办理便民服务件2200余件，其中医疗救助补贴约35余件，补助资金全部发放到位，东西部农村公益性岗位79人，创业政策咨询、劳务培训1次，东西部务工补助申报补贴356人17.8万元，推送岗位20次186家企业26909个岗位，社保政策咨询及办理约2000余人次，综合办受理群众办事咨询、来电咨询等400余件。三是组织完成城乡居民养老保险预计7600人，预计参保覆盖率96%以上；城乡居民医疗保险预计7780 人，预计参保覆盖率98.43%以上，小额人身保险缴纳预计1961人共计70596元。</w:t>
      </w:r>
    </w:p>
    <w:p w14:paraId="406AAB95">
      <w:pPr>
        <w:ind w:firstLine="640" w:firstLineChars="200"/>
        <w:rPr>
          <w:rFonts w:ascii="仿宋" w:hAnsi="仿宋" w:eastAsia="仿宋"/>
          <w:sz w:val="32"/>
          <w:szCs w:val="32"/>
        </w:rPr>
      </w:pPr>
      <w:r>
        <w:rPr>
          <w:rFonts w:hint="eastAsia" w:ascii="仿宋" w:hAnsi="仿宋" w:eastAsia="仿宋"/>
          <w:sz w:val="32"/>
          <w:szCs w:val="32"/>
        </w:rPr>
        <w:t>三是做好帮扶解困，保障困难群众基本生活。低保保障困难群众368人次，申请东西部协作困难残疾人临时救助39人5.85万元，补贴214名重度残疾人医疗保险共计3.872万元，兑现民政资金137.99万元。申请残疾人机动轮椅车燃油补贴1人365元。申请困难残疾人大学生或困难残疾人子女大学生资助2名共计1万元，紧急救助困难残疾人1人。2022年新增特困供养对象8名、事实无人抚养儿童3名、低保对象8人，目前特困供养对象74人、孤儿2人、事实无人抚养儿童7人。</w:t>
      </w:r>
    </w:p>
    <w:p w14:paraId="21E8D3B5">
      <w:pPr>
        <w:shd w:val="clear" w:color="auto" w:fill="FFFFFF"/>
        <w:ind w:firstLine="640" w:firstLineChars="200"/>
        <w:rPr>
          <w:rFonts w:ascii="仿宋" w:hAnsi="仿宋" w:eastAsia="仿宋"/>
          <w:sz w:val="32"/>
          <w:szCs w:val="32"/>
        </w:rPr>
      </w:pPr>
      <w:r>
        <w:rPr>
          <w:rFonts w:hint="eastAsia" w:ascii="仿宋" w:hAnsi="仿宋" w:eastAsia="仿宋"/>
          <w:sz w:val="32"/>
          <w:szCs w:val="32"/>
        </w:rPr>
        <w:t>四是调处矛盾纠纷，维持群众生产生活秩序。建立网格员学习培训机制，开展网格员业务培训3次，严格落实巡查和事件调处制度，加强社会治理平台的运行，上传事件902条，办结902条。2022年，我乡调处各类纠纷32起，调解成功27起，纠纷受理率达100%，无因调解不当而发生民转刑事件。</w:t>
      </w:r>
    </w:p>
    <w:p w14:paraId="30D76CEF">
      <w:pPr>
        <w:pStyle w:val="3"/>
        <w:rPr>
          <w:rStyle w:val="29"/>
          <w:b w:val="0"/>
          <w:bCs w:val="0"/>
        </w:rPr>
      </w:pPr>
      <w:bookmarkStart w:id="14" w:name="_Toc15377200"/>
      <w:bookmarkStart w:id="15" w:name="_Toc15396601"/>
      <w:r>
        <w:rPr>
          <w:rFonts w:hint="eastAsia" w:ascii="黑体" w:eastAsia="黑体"/>
          <w:b w:val="0"/>
        </w:rPr>
        <w:t>二、</w:t>
      </w:r>
      <w:r>
        <w:rPr>
          <w:rFonts w:hint="eastAsia" w:ascii="黑体" w:hAnsi="黑体" w:eastAsia="黑体"/>
          <w:b w:val="0"/>
        </w:rPr>
        <w:t>机</w:t>
      </w:r>
      <w:r>
        <w:rPr>
          <w:rStyle w:val="29"/>
          <w:rFonts w:hint="eastAsia" w:ascii="黑体" w:hAnsi="黑体" w:eastAsia="黑体"/>
          <w:b w:val="0"/>
          <w:bCs w:val="0"/>
        </w:rPr>
        <w:t>构设置</w:t>
      </w:r>
      <w:bookmarkEnd w:id="14"/>
      <w:bookmarkEnd w:id="15"/>
    </w:p>
    <w:p w14:paraId="7F7466F5">
      <w:pPr>
        <w:pStyle w:val="5"/>
        <w:adjustRightInd w:val="0"/>
        <w:snapToGrid w:val="0"/>
        <w:spacing w:before="93" w:line="600" w:lineRule="exact"/>
        <w:ind w:firstLine="640" w:firstLineChars="200"/>
        <w:rPr>
          <w:rFonts w:ascii="仿宋" w:hAnsi="仿宋" w:eastAsia="仿宋"/>
          <w:kern w:val="2"/>
          <w:sz w:val="32"/>
          <w:szCs w:val="32"/>
        </w:rPr>
      </w:pPr>
      <w:r>
        <w:rPr>
          <w:rFonts w:hint="eastAsia" w:ascii="仿宋" w:hAnsi="仿宋" w:eastAsia="仿宋"/>
          <w:kern w:val="2"/>
          <w:sz w:val="32"/>
          <w:szCs w:val="32"/>
        </w:rPr>
        <w:t>杨村乡人民政府无下属二级单位，无纳入2022年度部门决算编制范围的二级预算单位。</w:t>
      </w:r>
      <w:r>
        <w:rPr>
          <w:rFonts w:ascii="仿宋" w:hAnsi="仿宋" w:eastAsia="仿宋"/>
          <w:kern w:val="2"/>
          <w:sz w:val="32"/>
          <w:szCs w:val="32"/>
        </w:rPr>
        <w:br w:type="page"/>
      </w:r>
    </w:p>
    <w:p w14:paraId="40852E1D">
      <w:pPr>
        <w:pStyle w:val="2"/>
        <w:ind w:right="440"/>
        <w:jc w:val="center"/>
        <w:rPr>
          <w:rStyle w:val="28"/>
          <w:rFonts w:ascii="黑体" w:hAnsi="黑体" w:eastAsia="黑体"/>
          <w:b w:val="0"/>
          <w:bCs/>
        </w:rPr>
      </w:pPr>
      <w:bookmarkStart w:id="16" w:name="_Toc15396602"/>
      <w:bookmarkStart w:id="17" w:name="_Toc15377204"/>
      <w:r>
        <w:rPr>
          <w:rFonts w:hint="eastAsia" w:ascii="黑体" w:hAnsi="黑体" w:eastAsia="黑体"/>
          <w:b w:val="0"/>
        </w:rPr>
        <w:t>第二部分 2022年度</w:t>
      </w:r>
      <w:r>
        <w:rPr>
          <w:rStyle w:val="28"/>
          <w:rFonts w:hint="eastAsia" w:ascii="黑体" w:hAnsi="黑体" w:eastAsia="黑体"/>
          <w:b w:val="0"/>
          <w:bCs/>
        </w:rPr>
        <w:t>部门决算情况说明</w:t>
      </w:r>
      <w:bookmarkEnd w:id="16"/>
      <w:bookmarkEnd w:id="17"/>
    </w:p>
    <w:p w14:paraId="12B56FDC"/>
    <w:p w14:paraId="617DF405">
      <w:pPr>
        <w:pStyle w:val="27"/>
        <w:numPr>
          <w:ilvl w:val="0"/>
          <w:numId w:val="2"/>
        </w:numPr>
        <w:spacing w:line="600" w:lineRule="exact"/>
        <w:ind w:firstLineChars="0"/>
        <w:outlineLvl w:val="1"/>
        <w:rPr>
          <w:rStyle w:val="29"/>
          <w:rFonts w:ascii="黑体" w:hAnsi="黑体" w:eastAsia="黑体"/>
          <w:b w:val="0"/>
        </w:rPr>
      </w:pPr>
      <w:bookmarkStart w:id="18" w:name="_Toc15377205"/>
      <w:bookmarkStart w:id="19" w:name="_Toc15396603"/>
      <w:r>
        <w:rPr>
          <w:rFonts w:hint="eastAsia" w:ascii="黑体" w:hAnsi="黑体" w:eastAsia="黑体"/>
          <w:sz w:val="32"/>
          <w:szCs w:val="32"/>
        </w:rPr>
        <w:t>收</w:t>
      </w:r>
      <w:r>
        <w:rPr>
          <w:rStyle w:val="29"/>
          <w:rFonts w:hint="eastAsia" w:ascii="黑体" w:hAnsi="黑体" w:eastAsia="黑体"/>
          <w:b w:val="0"/>
        </w:rPr>
        <w:t>入支出决算总体情况说明</w:t>
      </w:r>
      <w:bookmarkEnd w:id="18"/>
      <w:bookmarkEnd w:id="19"/>
    </w:p>
    <w:p w14:paraId="1CA5C4B4">
      <w:pPr>
        <w:spacing w:line="600" w:lineRule="exact"/>
        <w:ind w:firstLine="640" w:firstLineChars="200"/>
        <w:outlineLvl w:val="1"/>
        <w:rPr>
          <w:rFonts w:ascii="仿宋" w:hAnsi="仿宋" w:eastAsia="仿宋"/>
          <w:sz w:val="32"/>
          <w:szCs w:val="32"/>
        </w:rPr>
      </w:pPr>
      <w:r>
        <w:rPr>
          <w:rFonts w:hint="eastAsia" w:ascii="仿宋" w:hAnsi="仿宋" w:eastAsia="仿宋"/>
          <w:sz w:val="32"/>
          <w:szCs w:val="32"/>
        </w:rPr>
        <w:t>2022年收支总计为1040.61万元，与2021年相比，收、支总计各增加40.98万元，增长4.1</w:t>
      </w:r>
      <w:r>
        <w:rPr>
          <w:rFonts w:ascii="仿宋" w:hAnsi="仿宋" w:eastAsia="仿宋"/>
          <w:sz w:val="32"/>
          <w:szCs w:val="32"/>
        </w:rPr>
        <w:t>%</w:t>
      </w:r>
      <w:r>
        <w:rPr>
          <w:rFonts w:hint="eastAsia" w:ascii="仿宋" w:hAnsi="仿宋" w:eastAsia="仿宋"/>
          <w:sz w:val="32"/>
          <w:szCs w:val="32"/>
        </w:rPr>
        <w:t>。主要变动原因是上年财政结余。</w:t>
      </w:r>
    </w:p>
    <w:p w14:paraId="0BF318F9">
      <w:pPr>
        <w:spacing w:line="600" w:lineRule="exact"/>
        <w:ind w:firstLine="640" w:firstLineChars="200"/>
        <w:rPr>
          <w:rFonts w:ascii="仿宋" w:hAnsi="仿宋" w:eastAsia="仿宋"/>
          <w:sz w:val="32"/>
          <w:szCs w:val="32"/>
        </w:rPr>
      </w:pPr>
      <w:r>
        <w:rPr>
          <w:rFonts w:ascii="仿宋" w:hAnsi="仿宋" w:eastAsia="仿宋"/>
          <w:sz w:val="32"/>
          <w:szCs w:val="32"/>
        </w:rPr>
        <w:drawing>
          <wp:anchor distT="0" distB="0" distL="114300" distR="114300" simplePos="0" relativeHeight="251661312" behindDoc="0" locked="0" layoutInCell="1" allowOverlap="1">
            <wp:simplePos x="0" y="0"/>
            <wp:positionH relativeFrom="column">
              <wp:posOffset>346075</wp:posOffset>
            </wp:positionH>
            <wp:positionV relativeFrom="paragraph">
              <wp:posOffset>32385</wp:posOffset>
            </wp:positionV>
            <wp:extent cx="4826000" cy="2648585"/>
            <wp:effectExtent l="19050" t="0" r="0" b="0"/>
            <wp:wrapTopAndBottom/>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6"/>
                    <a:srcRect/>
                    <a:stretch>
                      <a:fillRect/>
                    </a:stretch>
                  </pic:blipFill>
                  <pic:spPr>
                    <a:xfrm>
                      <a:off x="0" y="0"/>
                      <a:ext cx="4826000" cy="2648585"/>
                    </a:xfrm>
                    <a:prstGeom prst="rect">
                      <a:avLst/>
                    </a:prstGeom>
                    <a:noFill/>
                    <a:ln w="9525">
                      <a:noFill/>
                      <a:miter lim="800000"/>
                      <a:headEnd/>
                      <a:tailEnd/>
                    </a:ln>
                  </pic:spPr>
                </pic:pic>
              </a:graphicData>
            </a:graphic>
          </wp:anchor>
        </w:drawing>
      </w:r>
    </w:p>
    <w:p w14:paraId="78E672F4">
      <w:pPr>
        <w:spacing w:line="600" w:lineRule="exact"/>
        <w:ind w:firstLine="640" w:firstLineChars="200"/>
        <w:rPr>
          <w:rFonts w:ascii="仿宋" w:hAnsi="仿宋" w:eastAsia="仿宋"/>
          <w:sz w:val="32"/>
          <w:szCs w:val="32"/>
          <w:highlight w:val="lightGray"/>
        </w:rPr>
      </w:pPr>
      <w:r>
        <w:rPr>
          <w:rFonts w:hint="eastAsia" w:ascii="仿宋" w:hAnsi="仿宋" w:eastAsia="仿宋"/>
          <w:sz w:val="32"/>
          <w:szCs w:val="32"/>
        </w:rPr>
        <w:t>（图</w:t>
      </w:r>
      <w:r>
        <w:rPr>
          <w:rFonts w:ascii="仿宋" w:hAnsi="仿宋" w:eastAsia="仿宋"/>
          <w:sz w:val="32"/>
          <w:szCs w:val="32"/>
        </w:rPr>
        <w:t>1</w:t>
      </w:r>
      <w:r>
        <w:rPr>
          <w:rFonts w:hint="eastAsia" w:ascii="仿宋" w:hAnsi="仿宋" w:eastAsia="仿宋"/>
          <w:sz w:val="32"/>
          <w:szCs w:val="32"/>
        </w:rPr>
        <w:t>：收、支决算总计变动情况图）（柱状图）</w:t>
      </w:r>
    </w:p>
    <w:p w14:paraId="54C505B1">
      <w:pPr>
        <w:spacing w:line="600" w:lineRule="exact"/>
        <w:outlineLvl w:val="1"/>
        <w:rPr>
          <w:rFonts w:ascii="黑体" w:hAnsi="黑体" w:eastAsia="黑体" w:cstheme="majorBidi"/>
          <w:bCs/>
          <w:sz w:val="32"/>
          <w:szCs w:val="32"/>
        </w:rPr>
      </w:pPr>
      <w:bookmarkStart w:id="20" w:name="_Toc15377206"/>
      <w:bookmarkStart w:id="21" w:name="_Toc15396604"/>
    </w:p>
    <w:p w14:paraId="216D77FA">
      <w:pPr>
        <w:pStyle w:val="27"/>
        <w:numPr>
          <w:ilvl w:val="0"/>
          <w:numId w:val="2"/>
        </w:numPr>
        <w:spacing w:line="600" w:lineRule="exact"/>
        <w:ind w:firstLineChars="0"/>
        <w:outlineLvl w:val="1"/>
        <w:rPr>
          <w:rStyle w:val="29"/>
          <w:rFonts w:ascii="黑体" w:hAnsi="黑体" w:eastAsia="黑体"/>
          <w:b w:val="0"/>
        </w:rPr>
      </w:pPr>
      <w:r>
        <w:rPr>
          <w:rFonts w:hint="eastAsia" w:ascii="黑体" w:hAnsi="黑体" w:eastAsia="黑体"/>
          <w:sz w:val="32"/>
          <w:szCs w:val="32"/>
        </w:rPr>
        <w:t>收</w:t>
      </w:r>
      <w:r>
        <w:rPr>
          <w:rStyle w:val="29"/>
          <w:rFonts w:hint="eastAsia" w:ascii="黑体" w:hAnsi="黑体" w:eastAsia="黑体"/>
          <w:b w:val="0"/>
        </w:rPr>
        <w:t>入决算情况说明</w:t>
      </w:r>
      <w:bookmarkEnd w:id="20"/>
      <w:bookmarkEnd w:id="21"/>
    </w:p>
    <w:p w14:paraId="7A02C31E">
      <w:pPr>
        <w:spacing w:line="600" w:lineRule="exact"/>
        <w:ind w:firstLine="640" w:firstLineChars="200"/>
        <w:outlineLvl w:val="1"/>
        <w:rPr>
          <w:rFonts w:ascii="仿宋" w:hAnsi="仿宋" w:eastAsia="仿宋"/>
          <w:sz w:val="32"/>
          <w:szCs w:val="32"/>
        </w:rPr>
      </w:pPr>
      <w:r>
        <w:rPr>
          <w:rFonts w:ascii="仿宋" w:hAnsi="仿宋" w:eastAsia="仿宋"/>
          <w:sz w:val="32"/>
          <w:szCs w:val="32"/>
        </w:rPr>
        <w:t>20</w:t>
      </w:r>
      <w:r>
        <w:rPr>
          <w:rFonts w:hint="eastAsia" w:ascii="仿宋" w:hAnsi="仿宋" w:eastAsia="仿宋"/>
          <w:sz w:val="32"/>
          <w:szCs w:val="32"/>
        </w:rPr>
        <w:t>22年本年收入合计1013.21万元，其中：一般公共预算财政拨款收入1001.98万元，占98.9</w:t>
      </w:r>
      <w:r>
        <w:rPr>
          <w:rFonts w:ascii="仿宋" w:hAnsi="仿宋" w:eastAsia="仿宋"/>
          <w:sz w:val="32"/>
          <w:szCs w:val="32"/>
        </w:rPr>
        <w:t>%</w:t>
      </w:r>
      <w:r>
        <w:rPr>
          <w:rFonts w:hint="eastAsia" w:ascii="仿宋" w:hAnsi="仿宋" w:eastAsia="仿宋"/>
          <w:sz w:val="32"/>
          <w:szCs w:val="32"/>
        </w:rPr>
        <w:t>；其他收入11.23万元，占1.1</w:t>
      </w:r>
      <w:r>
        <w:rPr>
          <w:rFonts w:ascii="仿宋" w:hAnsi="仿宋" w:eastAsia="仿宋"/>
          <w:sz w:val="32"/>
          <w:szCs w:val="32"/>
        </w:rPr>
        <w:t>%</w:t>
      </w:r>
      <w:r>
        <w:rPr>
          <w:rFonts w:hint="eastAsia" w:ascii="仿宋" w:hAnsi="仿宋" w:eastAsia="仿宋"/>
          <w:sz w:val="32"/>
          <w:szCs w:val="32"/>
        </w:rPr>
        <w:t>。</w:t>
      </w:r>
    </w:p>
    <w:p w14:paraId="700496BF">
      <w:pPr>
        <w:spacing w:line="600" w:lineRule="exact"/>
        <w:ind w:firstLine="643" w:firstLineChars="200"/>
        <w:rPr>
          <w:rFonts w:ascii="仿宋" w:hAnsi="仿宋" w:eastAsia="仿宋"/>
          <w:b/>
          <w:sz w:val="32"/>
          <w:szCs w:val="32"/>
        </w:rPr>
      </w:pPr>
    </w:p>
    <w:p w14:paraId="6795B7A0">
      <w:pPr>
        <w:spacing w:line="600" w:lineRule="exact"/>
        <w:ind w:firstLine="643" w:firstLineChars="200"/>
        <w:rPr>
          <w:rFonts w:ascii="仿宋" w:hAnsi="仿宋" w:eastAsia="仿宋"/>
          <w:b/>
          <w:sz w:val="32"/>
          <w:szCs w:val="32"/>
        </w:rPr>
      </w:pPr>
    </w:p>
    <w:p w14:paraId="5A5FE1F9">
      <w:pPr>
        <w:spacing w:line="600" w:lineRule="exact"/>
        <w:ind w:firstLine="640" w:firstLineChars="200"/>
        <w:rPr>
          <w:rFonts w:hint="eastAsia" w:ascii="仿宋" w:hAnsi="仿宋" w:eastAsia="仿宋"/>
          <w:sz w:val="32"/>
          <w:szCs w:val="32"/>
        </w:rPr>
      </w:pPr>
      <w:r>
        <w:rPr>
          <w:rFonts w:hint="eastAsia" w:ascii="仿宋" w:hAnsi="仿宋" w:eastAsia="仿宋"/>
          <w:sz w:val="32"/>
          <w:szCs w:val="32"/>
        </w:rPr>
        <w:drawing>
          <wp:anchor distT="0" distB="0" distL="114300" distR="114300" simplePos="0" relativeHeight="251662336" behindDoc="0" locked="0" layoutInCell="1" allowOverlap="1">
            <wp:simplePos x="0" y="0"/>
            <wp:positionH relativeFrom="column">
              <wp:posOffset>346075</wp:posOffset>
            </wp:positionH>
            <wp:positionV relativeFrom="paragraph">
              <wp:posOffset>979805</wp:posOffset>
            </wp:positionV>
            <wp:extent cx="4830445" cy="2959735"/>
            <wp:effectExtent l="19050" t="0" r="8255" b="0"/>
            <wp:wrapTopAndBottom/>
            <wp:docPr id="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4"/>
                    <pic:cNvPicPr>
                      <a:picLocks noChangeAspect="1" noChangeArrowheads="1"/>
                    </pic:cNvPicPr>
                  </pic:nvPicPr>
                  <pic:blipFill>
                    <a:blip r:embed="rId7"/>
                    <a:srcRect/>
                    <a:stretch>
                      <a:fillRect/>
                    </a:stretch>
                  </pic:blipFill>
                  <pic:spPr>
                    <a:xfrm>
                      <a:off x="0" y="0"/>
                      <a:ext cx="4830445" cy="2959735"/>
                    </a:xfrm>
                    <a:prstGeom prst="rect">
                      <a:avLst/>
                    </a:prstGeom>
                    <a:noFill/>
                    <a:ln w="9525">
                      <a:noFill/>
                      <a:miter lim="800000"/>
                      <a:headEnd/>
                      <a:tailEnd/>
                    </a:ln>
                  </pic:spPr>
                </pic:pic>
              </a:graphicData>
            </a:graphic>
          </wp:anchor>
        </w:drawing>
      </w:r>
    </w:p>
    <w:p w14:paraId="17717964">
      <w:pPr>
        <w:spacing w:line="600" w:lineRule="exact"/>
        <w:ind w:firstLine="640" w:firstLineChars="200"/>
        <w:rPr>
          <w:rFonts w:hint="eastAsia" w:ascii="仿宋" w:hAnsi="仿宋" w:eastAsia="仿宋"/>
          <w:sz w:val="32"/>
          <w:szCs w:val="32"/>
        </w:rPr>
      </w:pPr>
    </w:p>
    <w:p w14:paraId="583817D8">
      <w:pPr>
        <w:spacing w:line="600" w:lineRule="exact"/>
        <w:rPr>
          <w:rFonts w:hint="eastAsia" w:ascii="仿宋" w:hAnsi="仿宋" w:eastAsia="仿宋"/>
          <w:sz w:val="32"/>
          <w:szCs w:val="32"/>
        </w:rPr>
      </w:pPr>
    </w:p>
    <w:p w14:paraId="3205B872">
      <w:pPr>
        <w:spacing w:line="600" w:lineRule="exact"/>
        <w:ind w:firstLine="640" w:firstLineChars="200"/>
        <w:rPr>
          <w:rFonts w:ascii="仿宋" w:hAnsi="仿宋" w:eastAsia="仿宋"/>
          <w:sz w:val="32"/>
          <w:szCs w:val="32"/>
        </w:rPr>
      </w:pPr>
      <w:r>
        <w:rPr>
          <w:rFonts w:hint="eastAsia" w:ascii="仿宋" w:hAnsi="仿宋" w:eastAsia="仿宋"/>
          <w:sz w:val="32"/>
          <w:szCs w:val="32"/>
        </w:rPr>
        <w:t>（图2：收入决算结构图）（饼状图）</w:t>
      </w:r>
    </w:p>
    <w:p w14:paraId="56767215">
      <w:pPr>
        <w:spacing w:line="600" w:lineRule="exact"/>
        <w:ind w:firstLine="640" w:firstLineChars="200"/>
        <w:rPr>
          <w:rFonts w:ascii="FangSong_GB2312" w:eastAsia="FangSong_GB2312"/>
          <w:sz w:val="32"/>
          <w:szCs w:val="32"/>
        </w:rPr>
      </w:pPr>
    </w:p>
    <w:p w14:paraId="229582C5">
      <w:pPr>
        <w:pStyle w:val="27"/>
        <w:numPr>
          <w:ilvl w:val="0"/>
          <w:numId w:val="2"/>
        </w:numPr>
        <w:spacing w:line="600" w:lineRule="exact"/>
        <w:ind w:firstLineChars="0"/>
        <w:outlineLvl w:val="1"/>
        <w:rPr>
          <w:rStyle w:val="29"/>
          <w:rFonts w:ascii="黑体" w:hAnsi="黑体" w:eastAsia="黑体"/>
          <w:b w:val="0"/>
        </w:rPr>
      </w:pPr>
      <w:bookmarkStart w:id="22" w:name="_Toc15396605"/>
      <w:bookmarkStart w:id="23" w:name="_Toc15377207"/>
      <w:r>
        <w:rPr>
          <w:rFonts w:hint="eastAsia" w:ascii="黑体" w:hAnsi="黑体" w:eastAsia="黑体"/>
          <w:sz w:val="32"/>
          <w:szCs w:val="32"/>
        </w:rPr>
        <w:t>支</w:t>
      </w:r>
      <w:r>
        <w:rPr>
          <w:rStyle w:val="29"/>
          <w:rFonts w:hint="eastAsia" w:ascii="黑体" w:hAnsi="黑体" w:eastAsia="黑体"/>
          <w:b w:val="0"/>
        </w:rPr>
        <w:t>出决算情况说明</w:t>
      </w:r>
      <w:bookmarkEnd w:id="22"/>
      <w:bookmarkEnd w:id="23"/>
    </w:p>
    <w:p w14:paraId="3132DA67">
      <w:pPr>
        <w:spacing w:line="600" w:lineRule="exact"/>
        <w:ind w:firstLine="640" w:firstLineChars="200"/>
        <w:outlineLvl w:val="1"/>
        <w:rPr>
          <w:rFonts w:ascii="仿宋" w:hAnsi="仿宋" w:eastAsia="仿宋"/>
          <w:sz w:val="32"/>
          <w:szCs w:val="32"/>
        </w:rPr>
      </w:pPr>
      <w:r>
        <w:rPr>
          <w:rFonts w:ascii="仿宋" w:hAnsi="仿宋" w:eastAsia="仿宋"/>
          <w:sz w:val="32"/>
          <w:szCs w:val="32"/>
        </w:rPr>
        <w:t>20</w:t>
      </w:r>
      <w:r>
        <w:rPr>
          <w:rFonts w:hint="eastAsia" w:ascii="仿宋" w:hAnsi="仿宋" w:eastAsia="仿宋"/>
          <w:sz w:val="32"/>
          <w:szCs w:val="32"/>
        </w:rPr>
        <w:t>22年本年支出合计1040.61万元，其中：基本支出606.7万元，占58.30</w:t>
      </w:r>
      <w:r>
        <w:rPr>
          <w:rFonts w:ascii="仿宋" w:hAnsi="仿宋" w:eastAsia="仿宋"/>
          <w:sz w:val="32"/>
          <w:szCs w:val="32"/>
        </w:rPr>
        <w:t>%</w:t>
      </w:r>
      <w:r>
        <w:rPr>
          <w:rFonts w:hint="eastAsia" w:ascii="仿宋" w:hAnsi="仿宋" w:eastAsia="仿宋"/>
          <w:sz w:val="32"/>
          <w:szCs w:val="32"/>
        </w:rPr>
        <w:t>；项目支出433.91万元，占41.70</w:t>
      </w:r>
      <w:r>
        <w:rPr>
          <w:rFonts w:ascii="仿宋" w:hAnsi="仿宋" w:eastAsia="仿宋"/>
          <w:sz w:val="32"/>
          <w:szCs w:val="32"/>
        </w:rPr>
        <w:t>%</w:t>
      </w:r>
      <w:r>
        <w:rPr>
          <w:rFonts w:hint="eastAsia" w:ascii="仿宋" w:hAnsi="仿宋" w:eastAsia="仿宋"/>
          <w:sz w:val="32"/>
          <w:szCs w:val="32"/>
        </w:rPr>
        <w:t>。</w:t>
      </w:r>
    </w:p>
    <w:p w14:paraId="53FA5941">
      <w:pPr>
        <w:spacing w:line="600" w:lineRule="exact"/>
        <w:ind w:firstLine="640"/>
        <w:rPr>
          <w:rFonts w:ascii="仿宋" w:hAnsi="仿宋" w:eastAsia="仿宋"/>
          <w:sz w:val="32"/>
          <w:szCs w:val="32"/>
          <w:shd w:val="pct10" w:color="auto" w:fill="FFFFFF"/>
        </w:rPr>
      </w:pPr>
      <w:r>
        <w:rPr>
          <w:rFonts w:ascii="仿宋" w:hAnsi="仿宋" w:eastAsia="仿宋"/>
          <w:sz w:val="32"/>
          <w:szCs w:val="32"/>
        </w:rPr>
        <w:drawing>
          <wp:anchor distT="0" distB="0" distL="114300" distR="114300" simplePos="0" relativeHeight="251659264" behindDoc="0" locked="0" layoutInCell="1" allowOverlap="1">
            <wp:simplePos x="0" y="0"/>
            <wp:positionH relativeFrom="column">
              <wp:posOffset>346075</wp:posOffset>
            </wp:positionH>
            <wp:positionV relativeFrom="paragraph">
              <wp:posOffset>42545</wp:posOffset>
            </wp:positionV>
            <wp:extent cx="4882515" cy="2931160"/>
            <wp:effectExtent l="19050" t="0" r="0" b="0"/>
            <wp:wrapTopAndBottom/>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noChangeArrowheads="1"/>
                    </pic:cNvPicPr>
                  </pic:nvPicPr>
                  <pic:blipFill>
                    <a:blip r:embed="rId8"/>
                    <a:srcRect/>
                    <a:stretch>
                      <a:fillRect/>
                    </a:stretch>
                  </pic:blipFill>
                  <pic:spPr>
                    <a:xfrm>
                      <a:off x="0" y="0"/>
                      <a:ext cx="4882515" cy="2931160"/>
                    </a:xfrm>
                    <a:prstGeom prst="rect">
                      <a:avLst/>
                    </a:prstGeom>
                    <a:noFill/>
                    <a:ln w="9525">
                      <a:noFill/>
                      <a:miter lim="800000"/>
                      <a:headEnd/>
                      <a:tailEnd/>
                    </a:ln>
                  </pic:spPr>
                </pic:pic>
              </a:graphicData>
            </a:graphic>
          </wp:anchor>
        </w:drawing>
      </w:r>
    </w:p>
    <w:p w14:paraId="314AD70B">
      <w:pPr>
        <w:spacing w:line="600" w:lineRule="exact"/>
        <w:ind w:firstLine="640" w:firstLineChars="200"/>
        <w:rPr>
          <w:rFonts w:ascii="仿宋" w:hAnsi="仿宋" w:eastAsia="仿宋"/>
          <w:sz w:val="32"/>
          <w:szCs w:val="32"/>
        </w:rPr>
      </w:pPr>
      <w:r>
        <w:rPr>
          <w:rFonts w:hint="eastAsia" w:ascii="仿宋" w:hAnsi="仿宋" w:eastAsia="仿宋"/>
          <w:sz w:val="32"/>
          <w:szCs w:val="32"/>
        </w:rPr>
        <w:t>（图3：支出决算结构图）（饼状图）</w:t>
      </w:r>
    </w:p>
    <w:p w14:paraId="7D5493C3">
      <w:pPr>
        <w:spacing w:line="600" w:lineRule="exact"/>
        <w:ind w:firstLine="640" w:firstLineChars="200"/>
        <w:rPr>
          <w:rFonts w:ascii="FangSong_GB2312" w:eastAsia="FangSong_GB2312"/>
          <w:sz w:val="32"/>
          <w:szCs w:val="32"/>
        </w:rPr>
      </w:pPr>
    </w:p>
    <w:p w14:paraId="571FE694">
      <w:pPr>
        <w:spacing w:line="600" w:lineRule="exact"/>
        <w:ind w:firstLine="640" w:firstLineChars="200"/>
        <w:outlineLvl w:val="1"/>
        <w:rPr>
          <w:rStyle w:val="29"/>
          <w:rFonts w:ascii="黑体" w:hAnsi="黑体" w:eastAsia="黑体"/>
          <w:b w:val="0"/>
        </w:rPr>
      </w:pPr>
      <w:bookmarkStart w:id="24" w:name="_Toc15396606"/>
      <w:bookmarkStart w:id="25" w:name="_Toc15377208"/>
      <w:r>
        <w:rPr>
          <w:rFonts w:hint="eastAsia" w:ascii="黑体" w:hAnsi="黑体" w:eastAsia="黑体"/>
          <w:sz w:val="32"/>
          <w:szCs w:val="32"/>
        </w:rPr>
        <w:t>四、财</w:t>
      </w:r>
      <w:r>
        <w:rPr>
          <w:rStyle w:val="29"/>
          <w:rFonts w:hint="eastAsia" w:ascii="黑体" w:hAnsi="黑体" w:eastAsia="黑体"/>
          <w:b w:val="0"/>
        </w:rPr>
        <w:t>政拨款收入支出决算总体情况说明</w:t>
      </w:r>
      <w:bookmarkEnd w:id="24"/>
      <w:bookmarkEnd w:id="25"/>
    </w:p>
    <w:p w14:paraId="4DA10C0E">
      <w:pPr>
        <w:spacing w:line="600" w:lineRule="exact"/>
        <w:ind w:firstLine="640"/>
        <w:rPr>
          <w:rFonts w:ascii="仿宋" w:hAnsi="仿宋" w:eastAsia="仿宋"/>
          <w:sz w:val="32"/>
          <w:szCs w:val="32"/>
        </w:rPr>
      </w:pPr>
      <w:r>
        <w:rPr>
          <w:rFonts w:ascii="仿宋" w:hAnsi="仿宋" w:eastAsia="仿宋"/>
          <w:sz w:val="32"/>
          <w:szCs w:val="32"/>
        </w:rPr>
        <w:t>20</w:t>
      </w:r>
      <w:r>
        <w:rPr>
          <w:rFonts w:hint="eastAsia" w:ascii="仿宋" w:hAnsi="仿宋" w:eastAsia="仿宋"/>
          <w:sz w:val="32"/>
          <w:szCs w:val="32"/>
        </w:rPr>
        <w:t>22年财政拨款收、支总计1029.38万元。与</w:t>
      </w:r>
      <w:r>
        <w:rPr>
          <w:rFonts w:ascii="仿宋" w:hAnsi="仿宋" w:eastAsia="仿宋"/>
          <w:sz w:val="32"/>
          <w:szCs w:val="32"/>
        </w:rPr>
        <w:t>20</w:t>
      </w:r>
      <w:r>
        <w:rPr>
          <w:rFonts w:hint="eastAsia" w:ascii="仿宋" w:hAnsi="仿宋" w:eastAsia="仿宋"/>
          <w:sz w:val="32"/>
          <w:szCs w:val="32"/>
        </w:rPr>
        <w:t>21年相比，财政拨款收、支总计各增加48.27万元，增长4.9</w:t>
      </w:r>
      <w:r>
        <w:rPr>
          <w:rFonts w:ascii="仿宋" w:hAnsi="仿宋" w:eastAsia="仿宋"/>
          <w:sz w:val="32"/>
          <w:szCs w:val="32"/>
        </w:rPr>
        <w:t>%</w:t>
      </w:r>
      <w:r>
        <w:rPr>
          <w:rFonts w:hint="eastAsia" w:ascii="仿宋" w:hAnsi="仿宋" w:eastAsia="仿宋"/>
          <w:sz w:val="32"/>
          <w:szCs w:val="32"/>
        </w:rPr>
        <w:t>。主要变动原因是各项事业发展需要。</w:t>
      </w:r>
    </w:p>
    <w:p w14:paraId="5A0214C4">
      <w:pPr>
        <w:spacing w:line="600" w:lineRule="exact"/>
        <w:rPr>
          <w:rFonts w:hint="eastAsia" w:ascii="仿宋" w:hAnsi="仿宋" w:eastAsia="仿宋"/>
          <w:sz w:val="32"/>
          <w:szCs w:val="32"/>
        </w:rPr>
      </w:pPr>
      <w:r>
        <w:rPr>
          <w:rFonts w:hint="eastAsia" w:ascii="仿宋" w:hAnsi="仿宋" w:eastAsia="仿宋"/>
          <w:sz w:val="32"/>
          <w:szCs w:val="32"/>
        </w:rPr>
        <w:drawing>
          <wp:anchor distT="0" distB="0" distL="114300" distR="114300" simplePos="0" relativeHeight="251663360" behindDoc="0" locked="0" layoutInCell="1" allowOverlap="1">
            <wp:simplePos x="0" y="0"/>
            <wp:positionH relativeFrom="column">
              <wp:posOffset>223520</wp:posOffset>
            </wp:positionH>
            <wp:positionV relativeFrom="paragraph">
              <wp:posOffset>231775</wp:posOffset>
            </wp:positionV>
            <wp:extent cx="5278755" cy="2498090"/>
            <wp:effectExtent l="19050" t="0" r="0" b="0"/>
            <wp:wrapTopAndBottom/>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noChangeArrowheads="1"/>
                    </pic:cNvPicPr>
                  </pic:nvPicPr>
                  <pic:blipFill>
                    <a:blip r:embed="rId9"/>
                    <a:srcRect/>
                    <a:stretch>
                      <a:fillRect/>
                    </a:stretch>
                  </pic:blipFill>
                  <pic:spPr>
                    <a:xfrm>
                      <a:off x="0" y="0"/>
                      <a:ext cx="5278755" cy="2498090"/>
                    </a:xfrm>
                    <a:prstGeom prst="rect">
                      <a:avLst/>
                    </a:prstGeom>
                    <a:noFill/>
                    <a:ln w="9525">
                      <a:noFill/>
                      <a:miter lim="800000"/>
                      <a:headEnd/>
                      <a:tailEnd/>
                    </a:ln>
                  </pic:spPr>
                </pic:pic>
              </a:graphicData>
            </a:graphic>
          </wp:anchor>
        </w:drawing>
      </w:r>
    </w:p>
    <w:p w14:paraId="0FE3D2FC">
      <w:pPr>
        <w:spacing w:line="600" w:lineRule="exact"/>
        <w:ind w:firstLine="640" w:firstLineChars="200"/>
        <w:rPr>
          <w:rFonts w:ascii="仿宋" w:hAnsi="仿宋" w:eastAsia="仿宋"/>
          <w:sz w:val="32"/>
          <w:szCs w:val="32"/>
        </w:rPr>
      </w:pPr>
      <w:r>
        <w:rPr>
          <w:rFonts w:hint="eastAsia" w:ascii="仿宋" w:hAnsi="仿宋" w:eastAsia="仿宋"/>
          <w:sz w:val="32"/>
          <w:szCs w:val="32"/>
        </w:rPr>
        <w:t>（图4：财政拨款收、支决算总计变动情况）（柱状图）</w:t>
      </w:r>
    </w:p>
    <w:p w14:paraId="151D745C">
      <w:pPr>
        <w:spacing w:line="600" w:lineRule="exact"/>
        <w:rPr>
          <w:rFonts w:hint="eastAsia" w:ascii="仿宋" w:hAnsi="仿宋" w:eastAsia="仿宋"/>
          <w:b/>
          <w:sz w:val="32"/>
          <w:szCs w:val="32"/>
        </w:rPr>
      </w:pPr>
    </w:p>
    <w:p w14:paraId="575CEF10">
      <w:pPr>
        <w:spacing w:line="600" w:lineRule="exact"/>
        <w:rPr>
          <w:rFonts w:ascii="仿宋" w:hAnsi="仿宋" w:eastAsia="仿宋"/>
          <w:b/>
          <w:sz w:val="32"/>
          <w:szCs w:val="32"/>
        </w:rPr>
      </w:pPr>
    </w:p>
    <w:p w14:paraId="580F7601">
      <w:pPr>
        <w:spacing w:line="600" w:lineRule="exact"/>
        <w:ind w:firstLine="640" w:firstLineChars="200"/>
        <w:outlineLvl w:val="1"/>
        <w:rPr>
          <w:rStyle w:val="29"/>
          <w:rFonts w:ascii="黑体" w:hAnsi="黑体" w:eastAsia="黑体"/>
          <w:b w:val="0"/>
        </w:rPr>
      </w:pPr>
      <w:bookmarkStart w:id="26" w:name="_Toc15377209"/>
      <w:bookmarkStart w:id="27" w:name="_Toc15396607"/>
      <w:r>
        <w:rPr>
          <w:rFonts w:hint="eastAsia" w:ascii="黑体" w:hAnsi="黑体" w:eastAsia="黑体"/>
          <w:sz w:val="32"/>
          <w:szCs w:val="32"/>
        </w:rPr>
        <w:t>五、</w:t>
      </w:r>
      <w:r>
        <w:rPr>
          <w:rFonts w:hint="eastAsia" w:ascii="黑体" w:hAnsi="黑体" w:eastAsia="黑体"/>
          <w:b/>
          <w:sz w:val="32"/>
          <w:szCs w:val="32"/>
        </w:rPr>
        <w:t>一</w:t>
      </w:r>
      <w:r>
        <w:rPr>
          <w:rStyle w:val="29"/>
          <w:rFonts w:hint="eastAsia" w:ascii="黑体" w:hAnsi="黑体" w:eastAsia="黑体"/>
          <w:b w:val="0"/>
        </w:rPr>
        <w:t>般公共预算财政拨款支出决算情况说明</w:t>
      </w:r>
      <w:bookmarkEnd w:id="26"/>
      <w:bookmarkEnd w:id="27"/>
    </w:p>
    <w:p w14:paraId="5F560A97">
      <w:pPr>
        <w:spacing w:line="600" w:lineRule="exact"/>
        <w:ind w:firstLine="643" w:firstLineChars="200"/>
        <w:outlineLvl w:val="2"/>
        <w:rPr>
          <w:rFonts w:ascii="仿宋" w:hAnsi="仿宋" w:eastAsia="仿宋"/>
          <w:b/>
          <w:sz w:val="32"/>
          <w:szCs w:val="32"/>
        </w:rPr>
      </w:pPr>
      <w:bookmarkStart w:id="28" w:name="_Toc15377210"/>
      <w:r>
        <w:rPr>
          <w:rFonts w:hint="eastAsia" w:ascii="仿宋" w:hAnsi="仿宋" w:eastAsia="仿宋"/>
          <w:b/>
          <w:sz w:val="32"/>
          <w:szCs w:val="32"/>
        </w:rPr>
        <w:t>（一）一般公共预算财政拨款支出决算总体情况</w:t>
      </w:r>
      <w:bookmarkEnd w:id="28"/>
    </w:p>
    <w:p w14:paraId="732D7DA0">
      <w:pPr>
        <w:spacing w:line="600" w:lineRule="exact"/>
        <w:ind w:firstLine="640" w:firstLineChars="200"/>
        <w:rPr>
          <w:rFonts w:ascii="仿宋" w:hAnsi="仿宋" w:eastAsia="仿宋"/>
          <w:sz w:val="32"/>
          <w:szCs w:val="32"/>
        </w:rPr>
      </w:pPr>
      <w:r>
        <w:rPr>
          <w:rFonts w:ascii="仿宋" w:hAnsi="仿宋" w:eastAsia="仿宋"/>
          <w:sz w:val="32"/>
          <w:szCs w:val="32"/>
        </w:rPr>
        <w:drawing>
          <wp:anchor distT="0" distB="0" distL="114300" distR="114300" simplePos="0" relativeHeight="251664384" behindDoc="0" locked="0" layoutInCell="1" allowOverlap="1">
            <wp:simplePos x="0" y="0"/>
            <wp:positionH relativeFrom="column">
              <wp:posOffset>223520</wp:posOffset>
            </wp:positionH>
            <wp:positionV relativeFrom="paragraph">
              <wp:posOffset>1988185</wp:posOffset>
            </wp:positionV>
            <wp:extent cx="5259070" cy="2658110"/>
            <wp:effectExtent l="19050" t="0" r="0" b="0"/>
            <wp:wrapTopAndBottom/>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noChangeArrowheads="1"/>
                    </pic:cNvPicPr>
                  </pic:nvPicPr>
                  <pic:blipFill>
                    <a:blip r:embed="rId10"/>
                    <a:srcRect/>
                    <a:stretch>
                      <a:fillRect/>
                    </a:stretch>
                  </pic:blipFill>
                  <pic:spPr>
                    <a:xfrm>
                      <a:off x="0" y="0"/>
                      <a:ext cx="5259070" cy="2658110"/>
                    </a:xfrm>
                    <a:prstGeom prst="rect">
                      <a:avLst/>
                    </a:prstGeom>
                    <a:noFill/>
                    <a:ln w="9525">
                      <a:noFill/>
                      <a:miter lim="800000"/>
                      <a:headEnd/>
                      <a:tailEnd/>
                    </a:ln>
                  </pic:spPr>
                </pic:pic>
              </a:graphicData>
            </a:graphic>
          </wp:anchor>
        </w:drawing>
      </w:r>
      <w:r>
        <w:rPr>
          <w:rFonts w:ascii="仿宋" w:hAnsi="仿宋" w:eastAsia="仿宋"/>
          <w:sz w:val="32"/>
          <w:szCs w:val="32"/>
        </w:rPr>
        <w:t>20</w:t>
      </w:r>
      <w:r>
        <w:rPr>
          <w:rFonts w:hint="eastAsia" w:ascii="仿宋" w:hAnsi="仿宋" w:eastAsia="仿宋"/>
          <w:sz w:val="32"/>
          <w:szCs w:val="32"/>
        </w:rPr>
        <w:t>22年一般公共预算财政拨款支出1029.38万元，占本年支出合计的98.92</w:t>
      </w:r>
      <w:r>
        <w:rPr>
          <w:rFonts w:ascii="仿宋" w:hAnsi="仿宋" w:eastAsia="仿宋"/>
          <w:sz w:val="32"/>
          <w:szCs w:val="32"/>
        </w:rPr>
        <w:t>%</w:t>
      </w:r>
      <w:r>
        <w:rPr>
          <w:rFonts w:hint="eastAsia" w:ascii="仿宋" w:hAnsi="仿宋" w:eastAsia="仿宋"/>
          <w:sz w:val="32"/>
          <w:szCs w:val="32"/>
        </w:rPr>
        <w:t>。与</w:t>
      </w:r>
      <w:r>
        <w:rPr>
          <w:rFonts w:ascii="仿宋" w:hAnsi="仿宋" w:eastAsia="仿宋"/>
          <w:sz w:val="32"/>
          <w:szCs w:val="32"/>
        </w:rPr>
        <w:t>20</w:t>
      </w:r>
      <w:r>
        <w:rPr>
          <w:rFonts w:hint="eastAsia" w:ascii="仿宋" w:hAnsi="仿宋" w:eastAsia="仿宋"/>
          <w:sz w:val="32"/>
          <w:szCs w:val="32"/>
        </w:rPr>
        <w:t>21年相比，一般公共预算财政拨款支出增加67.03万元，增长7</w:t>
      </w:r>
      <w:r>
        <w:rPr>
          <w:rFonts w:ascii="仿宋" w:hAnsi="仿宋" w:eastAsia="仿宋"/>
          <w:sz w:val="32"/>
          <w:szCs w:val="32"/>
        </w:rPr>
        <w:t>%</w:t>
      </w:r>
      <w:r>
        <w:rPr>
          <w:rFonts w:hint="eastAsia" w:ascii="仿宋" w:hAnsi="仿宋" w:eastAsia="仿宋"/>
          <w:sz w:val="32"/>
          <w:szCs w:val="32"/>
        </w:rPr>
        <w:t>。主要变动原因是</w:t>
      </w:r>
      <w:r>
        <w:rPr>
          <w:rFonts w:hint="eastAsia" w:ascii="仿宋" w:hAnsi="仿宋" w:eastAsia="仿宋"/>
          <w:color w:val="000000"/>
          <w:sz w:val="32"/>
          <w:szCs w:val="32"/>
          <w:shd w:val="clear" w:color="auto" w:fill="FFFFFF"/>
        </w:rPr>
        <w:t>全乡各项事业发展需要。</w:t>
      </w:r>
    </w:p>
    <w:p w14:paraId="13BB43BF">
      <w:pPr>
        <w:spacing w:line="600" w:lineRule="exact"/>
        <w:rPr>
          <w:rFonts w:hint="eastAsia" w:ascii="仿宋" w:hAnsi="仿宋" w:eastAsia="仿宋"/>
          <w:sz w:val="32"/>
          <w:szCs w:val="32"/>
        </w:rPr>
      </w:pPr>
    </w:p>
    <w:p w14:paraId="48470F80">
      <w:pPr>
        <w:spacing w:line="600" w:lineRule="exact"/>
        <w:ind w:firstLine="640" w:firstLineChars="200"/>
        <w:rPr>
          <w:rFonts w:ascii="仿宋" w:hAnsi="仿宋" w:eastAsia="仿宋"/>
          <w:sz w:val="32"/>
          <w:szCs w:val="32"/>
        </w:rPr>
      </w:pPr>
    </w:p>
    <w:p w14:paraId="5A07CAE5">
      <w:pPr>
        <w:spacing w:line="600" w:lineRule="exact"/>
        <w:ind w:firstLine="640" w:firstLineChars="200"/>
        <w:rPr>
          <w:rFonts w:ascii="仿宋" w:hAnsi="仿宋" w:eastAsia="仿宋"/>
          <w:sz w:val="32"/>
          <w:szCs w:val="32"/>
        </w:rPr>
      </w:pPr>
      <w:r>
        <w:rPr>
          <w:rFonts w:hint="eastAsia" w:ascii="仿宋" w:hAnsi="仿宋" w:eastAsia="仿宋"/>
          <w:sz w:val="32"/>
          <w:szCs w:val="32"/>
        </w:rPr>
        <w:t>（图5：一般公共预算财政拨款支出决算变动情况）（柱状图）</w:t>
      </w:r>
    </w:p>
    <w:p w14:paraId="7109222D">
      <w:pPr>
        <w:spacing w:line="600" w:lineRule="exact"/>
        <w:ind w:firstLine="640" w:firstLineChars="200"/>
        <w:rPr>
          <w:rFonts w:ascii="仿宋" w:hAnsi="仿宋" w:eastAsia="仿宋"/>
          <w:sz w:val="32"/>
          <w:szCs w:val="32"/>
        </w:rPr>
      </w:pPr>
    </w:p>
    <w:p w14:paraId="02593357">
      <w:pPr>
        <w:spacing w:line="600" w:lineRule="exact"/>
        <w:ind w:firstLine="643" w:firstLineChars="200"/>
        <w:outlineLvl w:val="2"/>
        <w:rPr>
          <w:rFonts w:ascii="仿宋" w:hAnsi="仿宋" w:eastAsia="仿宋"/>
          <w:b/>
          <w:sz w:val="32"/>
          <w:szCs w:val="32"/>
        </w:rPr>
      </w:pPr>
      <w:bookmarkStart w:id="29" w:name="_Toc15377211"/>
      <w:r>
        <w:rPr>
          <w:rFonts w:hint="eastAsia" w:ascii="仿宋" w:hAnsi="仿宋" w:eastAsia="仿宋"/>
          <w:b/>
          <w:sz w:val="32"/>
          <w:szCs w:val="32"/>
        </w:rPr>
        <w:t>（二）一般公共预算财政拨款支出决算结构情况</w:t>
      </w:r>
      <w:bookmarkEnd w:id="29"/>
    </w:p>
    <w:p w14:paraId="53420F17">
      <w:pPr>
        <w:spacing w:line="600" w:lineRule="exact"/>
        <w:ind w:firstLine="640"/>
        <w:rPr>
          <w:rFonts w:ascii="仿宋" w:hAnsi="仿宋" w:eastAsia="仿宋"/>
          <w:sz w:val="32"/>
          <w:szCs w:val="32"/>
        </w:rPr>
      </w:pPr>
      <w:r>
        <w:rPr>
          <w:rFonts w:ascii="仿宋" w:hAnsi="仿宋" w:eastAsia="仿宋"/>
          <w:sz w:val="32"/>
          <w:szCs w:val="32"/>
        </w:rPr>
        <w:t>20</w:t>
      </w:r>
      <w:r>
        <w:rPr>
          <w:rFonts w:hint="eastAsia" w:ascii="仿宋" w:hAnsi="仿宋" w:eastAsia="仿宋"/>
          <w:sz w:val="32"/>
          <w:szCs w:val="32"/>
        </w:rPr>
        <w:t>22年一般公共预算财政拨款支出1029.38万元，主要用于以下方面</w:t>
      </w:r>
      <w:r>
        <w:rPr>
          <w:rFonts w:ascii="仿宋" w:hAnsi="仿宋" w:eastAsia="仿宋"/>
          <w:sz w:val="32"/>
          <w:szCs w:val="32"/>
        </w:rPr>
        <w:t>:</w:t>
      </w:r>
      <w:r>
        <w:rPr>
          <w:rFonts w:hint="eastAsia" w:ascii="仿宋" w:hAnsi="仿宋" w:eastAsia="仿宋"/>
          <w:b/>
          <w:sz w:val="32"/>
          <w:szCs w:val="32"/>
        </w:rPr>
        <w:t>一般公共服务</w:t>
      </w:r>
      <w:r>
        <w:rPr>
          <w:rFonts w:hint="eastAsia" w:ascii="仿宋" w:hAnsi="仿宋" w:eastAsia="仿宋"/>
          <w:b/>
          <w:bCs/>
          <w:sz w:val="32"/>
          <w:szCs w:val="32"/>
        </w:rPr>
        <w:t>支出</w:t>
      </w:r>
      <w:r>
        <w:rPr>
          <w:rFonts w:hint="eastAsia" w:ascii="仿宋" w:hAnsi="仿宋" w:eastAsia="仿宋"/>
          <w:sz w:val="32"/>
          <w:szCs w:val="32"/>
        </w:rPr>
        <w:t>520.37万元，占50.55</w:t>
      </w:r>
      <w:r>
        <w:rPr>
          <w:rFonts w:ascii="仿宋" w:hAnsi="仿宋" w:eastAsia="仿宋"/>
          <w:sz w:val="32"/>
          <w:szCs w:val="32"/>
        </w:rPr>
        <w:t>%</w:t>
      </w:r>
      <w:r>
        <w:rPr>
          <w:rFonts w:hint="eastAsia" w:ascii="仿宋" w:hAnsi="仿宋" w:eastAsia="仿宋"/>
          <w:sz w:val="32"/>
          <w:szCs w:val="32"/>
        </w:rPr>
        <w:t>；</w:t>
      </w:r>
      <w:r>
        <w:rPr>
          <w:rFonts w:hint="eastAsia" w:ascii="仿宋" w:hAnsi="仿宋" w:eastAsia="仿宋"/>
          <w:b/>
          <w:sz w:val="32"/>
          <w:szCs w:val="32"/>
        </w:rPr>
        <w:t>卫生健康支出</w:t>
      </w:r>
      <w:r>
        <w:rPr>
          <w:rFonts w:hint="eastAsia" w:ascii="FangSong_GB2312" w:hAnsi="仿宋" w:eastAsia="FangSong_GB2312"/>
          <w:sz w:val="32"/>
          <w:szCs w:val="32"/>
        </w:rPr>
        <w:t>23.59</w:t>
      </w:r>
      <w:r>
        <w:rPr>
          <w:rFonts w:hint="eastAsia" w:ascii="仿宋" w:hAnsi="仿宋" w:eastAsia="仿宋"/>
          <w:sz w:val="32"/>
          <w:szCs w:val="32"/>
        </w:rPr>
        <w:t>万元，占2.29</w:t>
      </w:r>
      <w:r>
        <w:rPr>
          <w:rFonts w:ascii="仿宋" w:hAnsi="仿宋" w:eastAsia="仿宋"/>
          <w:sz w:val="32"/>
          <w:szCs w:val="32"/>
        </w:rPr>
        <w:t>%</w:t>
      </w:r>
      <w:r>
        <w:rPr>
          <w:rFonts w:hint="eastAsia" w:ascii="仿宋" w:hAnsi="仿宋" w:eastAsia="仿宋"/>
          <w:sz w:val="32"/>
          <w:szCs w:val="32"/>
        </w:rPr>
        <w:t>；</w:t>
      </w:r>
      <w:r>
        <w:rPr>
          <w:rFonts w:hint="eastAsia" w:ascii="仿宋" w:hAnsi="仿宋" w:eastAsia="仿宋"/>
          <w:b/>
          <w:sz w:val="32"/>
          <w:szCs w:val="32"/>
        </w:rPr>
        <w:t>社会保障和就业</w:t>
      </w:r>
      <w:r>
        <w:rPr>
          <w:rFonts w:hint="eastAsia" w:ascii="仿宋" w:hAnsi="仿宋" w:eastAsia="仿宋"/>
          <w:b/>
          <w:bCs/>
          <w:sz w:val="32"/>
          <w:szCs w:val="32"/>
        </w:rPr>
        <w:t>支出</w:t>
      </w:r>
      <w:r>
        <w:rPr>
          <w:rFonts w:hint="eastAsia" w:ascii="仿宋" w:hAnsi="仿宋" w:eastAsia="仿宋"/>
          <w:sz w:val="32"/>
          <w:szCs w:val="32"/>
        </w:rPr>
        <w:t>42.73万元，占4.15</w:t>
      </w:r>
      <w:r>
        <w:rPr>
          <w:rFonts w:ascii="仿宋" w:hAnsi="仿宋" w:eastAsia="仿宋"/>
          <w:sz w:val="32"/>
          <w:szCs w:val="32"/>
        </w:rPr>
        <w:t>%</w:t>
      </w:r>
      <w:r>
        <w:rPr>
          <w:rFonts w:hint="eastAsia" w:ascii="仿宋" w:hAnsi="仿宋" w:eastAsia="仿宋"/>
          <w:sz w:val="32"/>
          <w:szCs w:val="32"/>
        </w:rPr>
        <w:t>；</w:t>
      </w:r>
      <w:r>
        <w:rPr>
          <w:rFonts w:hint="eastAsia" w:ascii="仿宋" w:hAnsi="仿宋" w:eastAsia="仿宋"/>
          <w:b/>
          <w:bCs/>
          <w:sz w:val="32"/>
          <w:szCs w:val="32"/>
        </w:rPr>
        <w:t>住房保障支出</w:t>
      </w:r>
      <w:r>
        <w:rPr>
          <w:rFonts w:hint="eastAsia" w:ascii="FangSong_GB2312" w:hAnsi="仿宋" w:eastAsia="FangSong_GB2312"/>
          <w:sz w:val="32"/>
          <w:szCs w:val="32"/>
        </w:rPr>
        <w:t>39.27</w:t>
      </w:r>
      <w:r>
        <w:rPr>
          <w:rFonts w:hint="eastAsia" w:ascii="仿宋" w:hAnsi="仿宋" w:eastAsia="仿宋"/>
          <w:sz w:val="32"/>
          <w:szCs w:val="32"/>
        </w:rPr>
        <w:t>万元，占3.2</w:t>
      </w:r>
      <w:r>
        <w:rPr>
          <w:rFonts w:ascii="仿宋" w:hAnsi="仿宋" w:eastAsia="仿宋"/>
          <w:sz w:val="32"/>
          <w:szCs w:val="32"/>
        </w:rPr>
        <w:t>%</w:t>
      </w:r>
      <w:r>
        <w:rPr>
          <w:rFonts w:hint="eastAsia" w:ascii="仿宋" w:hAnsi="仿宋" w:eastAsia="仿宋"/>
          <w:sz w:val="32"/>
          <w:szCs w:val="32"/>
        </w:rPr>
        <w:t>；</w:t>
      </w:r>
      <w:r>
        <w:rPr>
          <w:rFonts w:hint="eastAsia" w:ascii="仿宋" w:hAnsi="仿宋" w:eastAsia="仿宋"/>
          <w:b/>
          <w:sz w:val="32"/>
          <w:szCs w:val="32"/>
        </w:rPr>
        <w:t>农林水支出</w:t>
      </w:r>
      <w:bookmarkStart w:id="30" w:name="OLE_LINK1"/>
      <w:r>
        <w:rPr>
          <w:rFonts w:hint="eastAsia" w:ascii="仿宋" w:hAnsi="仿宋" w:eastAsia="仿宋"/>
          <w:sz w:val="32"/>
          <w:szCs w:val="32"/>
        </w:rPr>
        <w:t>347.78</w:t>
      </w:r>
      <w:bookmarkEnd w:id="30"/>
      <w:r>
        <w:rPr>
          <w:rFonts w:hint="eastAsia" w:ascii="仿宋" w:hAnsi="仿宋" w:eastAsia="仿宋"/>
          <w:sz w:val="32"/>
          <w:szCs w:val="32"/>
        </w:rPr>
        <w:t>万元，占33.78</w:t>
      </w:r>
      <w:r>
        <w:rPr>
          <w:rFonts w:ascii="仿宋" w:hAnsi="仿宋" w:eastAsia="仿宋"/>
          <w:sz w:val="32"/>
          <w:szCs w:val="32"/>
        </w:rPr>
        <w:t>%</w:t>
      </w:r>
      <w:r>
        <w:rPr>
          <w:rFonts w:hint="eastAsia" w:ascii="仿宋" w:hAnsi="仿宋" w:eastAsia="仿宋"/>
          <w:sz w:val="32"/>
          <w:szCs w:val="32"/>
        </w:rPr>
        <w:t>；</w:t>
      </w:r>
      <w:r>
        <w:rPr>
          <w:rFonts w:hint="eastAsia" w:ascii="仿宋" w:hAnsi="仿宋" w:eastAsia="仿宋"/>
          <w:b/>
          <w:sz w:val="32"/>
          <w:szCs w:val="32"/>
        </w:rPr>
        <w:t>交通运输支出</w:t>
      </w:r>
      <w:r>
        <w:rPr>
          <w:rFonts w:hint="eastAsia" w:ascii="仿宋" w:hAnsi="仿宋" w:eastAsia="仿宋"/>
          <w:sz w:val="32"/>
          <w:szCs w:val="32"/>
        </w:rPr>
        <w:t>14.2万元，占1.37</w:t>
      </w:r>
      <w:r>
        <w:rPr>
          <w:rFonts w:ascii="仿宋" w:hAnsi="仿宋" w:eastAsia="仿宋"/>
          <w:sz w:val="32"/>
          <w:szCs w:val="32"/>
        </w:rPr>
        <w:t>%</w:t>
      </w:r>
      <w:r>
        <w:rPr>
          <w:rFonts w:hint="eastAsia" w:ascii="仿宋" w:hAnsi="仿宋" w:eastAsia="仿宋"/>
          <w:sz w:val="32"/>
          <w:szCs w:val="32"/>
        </w:rPr>
        <w:t>；</w:t>
      </w:r>
      <w:r>
        <w:rPr>
          <w:rFonts w:hint="eastAsia" w:ascii="仿宋" w:hAnsi="仿宋" w:eastAsia="仿宋"/>
          <w:b/>
          <w:sz w:val="32"/>
          <w:szCs w:val="32"/>
        </w:rPr>
        <w:t>节能环保支出</w:t>
      </w:r>
      <w:r>
        <w:rPr>
          <w:rFonts w:hint="eastAsia" w:ascii="仿宋" w:hAnsi="仿宋" w:eastAsia="仿宋"/>
          <w:sz w:val="32"/>
          <w:szCs w:val="32"/>
        </w:rPr>
        <w:t>28.6万元，占2.77</w:t>
      </w:r>
      <w:r>
        <w:rPr>
          <w:rFonts w:ascii="仿宋" w:hAnsi="仿宋" w:eastAsia="仿宋"/>
          <w:sz w:val="32"/>
          <w:szCs w:val="32"/>
        </w:rPr>
        <w:t>%</w:t>
      </w:r>
      <w:r>
        <w:rPr>
          <w:rFonts w:hint="eastAsia" w:ascii="仿宋" w:hAnsi="仿宋" w:eastAsia="仿宋"/>
          <w:sz w:val="32"/>
          <w:szCs w:val="32"/>
        </w:rPr>
        <w:t>；</w:t>
      </w:r>
      <w:r>
        <w:rPr>
          <w:rFonts w:hint="eastAsia" w:ascii="仿宋" w:hAnsi="仿宋" w:eastAsia="仿宋"/>
          <w:b/>
          <w:sz w:val="32"/>
          <w:szCs w:val="32"/>
        </w:rPr>
        <w:t>城乡社区支出</w:t>
      </w:r>
      <w:r>
        <w:rPr>
          <w:rFonts w:hint="eastAsia" w:ascii="仿宋" w:hAnsi="仿宋" w:eastAsia="仿宋"/>
          <w:sz w:val="32"/>
          <w:szCs w:val="32"/>
        </w:rPr>
        <w:t>9.77万元，占0.9</w:t>
      </w:r>
      <w:r>
        <w:rPr>
          <w:rFonts w:ascii="仿宋" w:hAnsi="仿宋" w:eastAsia="仿宋"/>
          <w:sz w:val="32"/>
          <w:szCs w:val="32"/>
        </w:rPr>
        <w:t>%</w:t>
      </w:r>
      <w:r>
        <w:rPr>
          <w:rFonts w:hint="eastAsia" w:ascii="仿宋" w:hAnsi="仿宋" w:eastAsia="仿宋"/>
          <w:sz w:val="32"/>
          <w:szCs w:val="32"/>
        </w:rPr>
        <w:t>；</w:t>
      </w:r>
      <w:r>
        <w:rPr>
          <w:rFonts w:hint="eastAsia" w:ascii="仿宋" w:hAnsi="仿宋" w:eastAsia="仿宋"/>
          <w:b/>
          <w:sz w:val="32"/>
          <w:szCs w:val="32"/>
        </w:rPr>
        <w:t>公共安全支出</w:t>
      </w:r>
      <w:r>
        <w:rPr>
          <w:rFonts w:hint="eastAsia" w:ascii="仿宋" w:hAnsi="仿宋" w:eastAsia="仿宋"/>
          <w:sz w:val="32"/>
          <w:szCs w:val="32"/>
        </w:rPr>
        <w:t>0.45万元，占0.04</w:t>
      </w:r>
      <w:r>
        <w:rPr>
          <w:rFonts w:ascii="仿宋" w:hAnsi="仿宋" w:eastAsia="仿宋"/>
          <w:sz w:val="32"/>
          <w:szCs w:val="32"/>
        </w:rPr>
        <w:t>%</w:t>
      </w:r>
      <w:r>
        <w:rPr>
          <w:rFonts w:hint="eastAsia" w:ascii="仿宋" w:hAnsi="仿宋" w:eastAsia="仿宋"/>
          <w:sz w:val="32"/>
          <w:szCs w:val="32"/>
        </w:rPr>
        <w:t>；</w:t>
      </w:r>
      <w:r>
        <w:rPr>
          <w:rFonts w:hint="eastAsia" w:ascii="仿宋" w:hAnsi="仿宋" w:eastAsia="仿宋"/>
          <w:b/>
          <w:sz w:val="32"/>
          <w:szCs w:val="32"/>
        </w:rPr>
        <w:t>国防支出</w:t>
      </w:r>
      <w:r>
        <w:rPr>
          <w:rFonts w:hint="eastAsia" w:ascii="仿宋" w:hAnsi="仿宋" w:eastAsia="仿宋"/>
          <w:sz w:val="32"/>
          <w:szCs w:val="32"/>
        </w:rPr>
        <w:t>0.79万元，占0.08</w:t>
      </w:r>
      <w:r>
        <w:rPr>
          <w:rFonts w:ascii="仿宋" w:hAnsi="仿宋" w:eastAsia="仿宋"/>
          <w:sz w:val="32"/>
          <w:szCs w:val="32"/>
        </w:rPr>
        <w:t>%</w:t>
      </w:r>
    </w:p>
    <w:p w14:paraId="7228D48A">
      <w:pPr>
        <w:spacing w:line="600" w:lineRule="exact"/>
        <w:ind w:firstLine="640" w:firstLineChars="200"/>
        <w:rPr>
          <w:rFonts w:ascii="仿宋" w:hAnsi="仿宋" w:eastAsia="仿宋"/>
          <w:sz w:val="32"/>
          <w:szCs w:val="32"/>
        </w:rPr>
      </w:pPr>
      <w:r>
        <w:rPr>
          <w:rFonts w:hint="eastAsia" w:ascii="仿宋" w:hAnsi="仿宋" w:eastAsia="仿宋"/>
          <w:sz w:val="32"/>
          <w:szCs w:val="32"/>
        </w:rPr>
        <w:drawing>
          <wp:anchor distT="0" distB="0" distL="114300" distR="114300" simplePos="0" relativeHeight="251660288" behindDoc="0" locked="0" layoutInCell="1" allowOverlap="1">
            <wp:simplePos x="0" y="0"/>
            <wp:positionH relativeFrom="column">
              <wp:posOffset>252095</wp:posOffset>
            </wp:positionH>
            <wp:positionV relativeFrom="paragraph">
              <wp:posOffset>353695</wp:posOffset>
            </wp:positionV>
            <wp:extent cx="5278755" cy="2450465"/>
            <wp:effectExtent l="19050" t="0" r="0" b="0"/>
            <wp:wrapTopAndBottom/>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pic:cNvPicPr>
                      <a:picLocks noChangeAspect="1" noChangeArrowheads="1"/>
                    </pic:cNvPicPr>
                  </pic:nvPicPr>
                  <pic:blipFill>
                    <a:blip r:embed="rId11"/>
                    <a:srcRect/>
                    <a:stretch>
                      <a:fillRect/>
                    </a:stretch>
                  </pic:blipFill>
                  <pic:spPr>
                    <a:xfrm>
                      <a:off x="0" y="0"/>
                      <a:ext cx="5278755" cy="2450465"/>
                    </a:xfrm>
                    <a:prstGeom prst="rect">
                      <a:avLst/>
                    </a:prstGeom>
                    <a:noFill/>
                    <a:ln w="9525">
                      <a:noFill/>
                      <a:miter lim="800000"/>
                      <a:headEnd/>
                      <a:tailEnd/>
                    </a:ln>
                  </pic:spPr>
                </pic:pic>
              </a:graphicData>
            </a:graphic>
          </wp:anchor>
        </w:drawing>
      </w:r>
      <w:r>
        <w:rPr>
          <w:rFonts w:hint="eastAsia" w:ascii="仿宋" w:hAnsi="仿宋" w:eastAsia="仿宋"/>
          <w:sz w:val="32"/>
          <w:szCs w:val="32"/>
        </w:rPr>
        <w:t>（图6：一般公共预算财政拨款支出决算结构）（饼状图）</w:t>
      </w:r>
    </w:p>
    <w:p w14:paraId="69082753">
      <w:pPr>
        <w:spacing w:line="600" w:lineRule="exact"/>
        <w:ind w:firstLine="640" w:firstLineChars="200"/>
        <w:rPr>
          <w:rFonts w:ascii="仿宋" w:hAnsi="仿宋" w:eastAsia="仿宋"/>
          <w:sz w:val="32"/>
          <w:szCs w:val="32"/>
        </w:rPr>
      </w:pPr>
    </w:p>
    <w:p w14:paraId="422621DE">
      <w:pPr>
        <w:spacing w:line="600" w:lineRule="exact"/>
        <w:ind w:firstLine="643" w:firstLineChars="200"/>
        <w:outlineLvl w:val="2"/>
        <w:rPr>
          <w:rFonts w:ascii="仿宋" w:hAnsi="仿宋" w:eastAsia="仿宋"/>
          <w:b/>
          <w:sz w:val="32"/>
          <w:szCs w:val="32"/>
        </w:rPr>
      </w:pPr>
      <w:bookmarkStart w:id="31" w:name="_Toc15377212"/>
      <w:r>
        <w:rPr>
          <w:rFonts w:hint="eastAsia" w:ascii="仿宋" w:hAnsi="仿宋" w:eastAsia="仿宋"/>
          <w:b/>
          <w:sz w:val="32"/>
          <w:szCs w:val="32"/>
        </w:rPr>
        <w:t>（三）一般公共预算财政拨款支出决算具体情况</w:t>
      </w:r>
      <w:bookmarkEnd w:id="31"/>
    </w:p>
    <w:p w14:paraId="649AB56F">
      <w:pPr>
        <w:spacing w:line="600" w:lineRule="exact"/>
        <w:ind w:firstLine="643" w:firstLineChars="200"/>
        <w:outlineLvl w:val="2"/>
        <w:rPr>
          <w:rFonts w:ascii="仿宋" w:hAnsi="仿宋" w:eastAsia="仿宋"/>
          <w:sz w:val="32"/>
          <w:szCs w:val="32"/>
        </w:rPr>
      </w:pPr>
      <w:bookmarkStart w:id="32" w:name="_Toc15378460"/>
      <w:bookmarkStart w:id="33" w:name="_Toc15377444"/>
      <w:bookmarkStart w:id="34" w:name="_Toc15377213"/>
      <w:r>
        <w:rPr>
          <w:rFonts w:hint="eastAsia" w:ascii="仿宋" w:hAnsi="仿宋" w:eastAsia="仿宋"/>
          <w:b/>
          <w:sz w:val="32"/>
          <w:szCs w:val="32"/>
        </w:rPr>
        <w:t>2022年一般公共预算支出决算数为</w:t>
      </w:r>
      <w:r>
        <w:rPr>
          <w:rFonts w:hint="eastAsia" w:ascii="仿宋" w:hAnsi="仿宋" w:eastAsia="仿宋"/>
          <w:sz w:val="32"/>
          <w:szCs w:val="32"/>
        </w:rPr>
        <w:t>1029.38</w:t>
      </w:r>
      <w:r>
        <w:rPr>
          <w:rFonts w:hint="eastAsia" w:ascii="仿宋" w:hAnsi="仿宋" w:eastAsia="仿宋"/>
          <w:b/>
          <w:sz w:val="32"/>
          <w:szCs w:val="32"/>
        </w:rPr>
        <w:t>万元</w:t>
      </w:r>
      <w:r>
        <w:rPr>
          <w:rFonts w:hint="eastAsia" w:ascii="仿宋" w:hAnsi="仿宋" w:eastAsia="仿宋"/>
          <w:sz w:val="32"/>
          <w:szCs w:val="32"/>
        </w:rPr>
        <w:t>，</w:t>
      </w:r>
      <w:r>
        <w:rPr>
          <w:rStyle w:val="17"/>
          <w:rFonts w:hint="eastAsia" w:ascii="仿宋" w:hAnsi="仿宋" w:eastAsia="仿宋"/>
          <w:bCs/>
          <w:sz w:val="32"/>
          <w:szCs w:val="32"/>
        </w:rPr>
        <w:t>完成预算100</w:t>
      </w:r>
      <w:r>
        <w:rPr>
          <w:rStyle w:val="17"/>
          <w:rFonts w:ascii="仿宋" w:hAnsi="仿宋" w:eastAsia="仿宋"/>
          <w:bCs/>
          <w:sz w:val="32"/>
          <w:szCs w:val="32"/>
        </w:rPr>
        <w:t>%</w:t>
      </w:r>
      <w:r>
        <w:rPr>
          <w:rStyle w:val="17"/>
          <w:rFonts w:hint="eastAsia" w:ascii="仿宋" w:hAnsi="仿宋" w:eastAsia="仿宋"/>
          <w:bCs/>
          <w:sz w:val="32"/>
          <w:szCs w:val="32"/>
        </w:rPr>
        <w:t>。其中：</w:t>
      </w:r>
      <w:bookmarkEnd w:id="32"/>
      <w:bookmarkEnd w:id="33"/>
      <w:bookmarkEnd w:id="34"/>
    </w:p>
    <w:p w14:paraId="1AFFD223">
      <w:pPr>
        <w:spacing w:line="600" w:lineRule="exact"/>
        <w:ind w:firstLine="643" w:firstLineChars="200"/>
        <w:rPr>
          <w:rStyle w:val="17"/>
          <w:rFonts w:ascii="仿宋" w:hAnsi="仿宋" w:eastAsia="仿宋"/>
          <w:b w:val="0"/>
          <w:bCs/>
          <w:sz w:val="32"/>
          <w:szCs w:val="32"/>
        </w:rPr>
      </w:pPr>
      <w:r>
        <w:rPr>
          <w:rStyle w:val="17"/>
          <w:rFonts w:ascii="仿宋" w:hAnsi="仿宋" w:eastAsia="仿宋"/>
          <w:bCs/>
          <w:sz w:val="32"/>
          <w:szCs w:val="32"/>
        </w:rPr>
        <w:t>1.</w:t>
      </w:r>
      <w:r>
        <w:rPr>
          <w:rStyle w:val="17"/>
          <w:rFonts w:hint="eastAsia" w:ascii="仿宋" w:hAnsi="仿宋" w:eastAsia="仿宋"/>
          <w:bCs/>
          <w:sz w:val="32"/>
          <w:szCs w:val="32"/>
        </w:rPr>
        <w:t>一般公共服务（类）</w:t>
      </w:r>
      <w:r>
        <w:rPr>
          <w:rFonts w:hint="eastAsia" w:ascii="仿宋" w:hAnsi="仿宋" w:eastAsia="仿宋"/>
          <w:b/>
          <w:bCs/>
          <w:color w:val="000000"/>
          <w:sz w:val="32"/>
          <w:szCs w:val="32"/>
          <w:shd w:val="clear" w:color="auto" w:fill="FFFFFF"/>
        </w:rPr>
        <w:t>人大事务（款）人大会议（项）</w:t>
      </w:r>
      <w:r>
        <w:rPr>
          <w:rStyle w:val="17"/>
          <w:rFonts w:ascii="仿宋" w:hAnsi="仿宋" w:eastAsia="仿宋"/>
          <w:bCs/>
          <w:sz w:val="32"/>
          <w:szCs w:val="32"/>
        </w:rPr>
        <w:t>:</w:t>
      </w:r>
      <w:r>
        <w:rPr>
          <w:rStyle w:val="17"/>
          <w:rFonts w:ascii="仿宋" w:hAnsi="仿宋" w:eastAsia="仿宋"/>
          <w:b w:val="0"/>
          <w:bCs/>
          <w:sz w:val="32"/>
          <w:szCs w:val="32"/>
        </w:rPr>
        <w:t xml:space="preserve"> </w:t>
      </w:r>
      <w:r>
        <w:rPr>
          <w:rStyle w:val="17"/>
          <w:rFonts w:hint="eastAsia" w:ascii="仿宋" w:hAnsi="仿宋" w:eastAsia="仿宋"/>
          <w:b w:val="0"/>
          <w:bCs/>
          <w:sz w:val="32"/>
          <w:szCs w:val="32"/>
        </w:rPr>
        <w:t>支出决算为2.25万元，完成预算100</w:t>
      </w:r>
      <w:r>
        <w:rPr>
          <w:rStyle w:val="17"/>
          <w:rFonts w:ascii="仿宋" w:hAnsi="仿宋" w:eastAsia="仿宋"/>
          <w:b w:val="0"/>
          <w:bCs/>
          <w:sz w:val="32"/>
          <w:szCs w:val="32"/>
        </w:rPr>
        <w:t>%</w:t>
      </w:r>
      <w:r>
        <w:rPr>
          <w:rStyle w:val="17"/>
          <w:rFonts w:hint="eastAsia" w:ascii="仿宋" w:hAnsi="仿宋" w:eastAsia="仿宋"/>
          <w:b w:val="0"/>
          <w:bCs/>
          <w:sz w:val="32"/>
          <w:szCs w:val="32"/>
        </w:rPr>
        <w:t>，决算数等于预算数。.</w:t>
      </w:r>
    </w:p>
    <w:p w14:paraId="0AF276B1">
      <w:pPr>
        <w:spacing w:line="600" w:lineRule="exact"/>
        <w:ind w:firstLine="643" w:firstLineChars="200"/>
        <w:rPr>
          <w:rStyle w:val="17"/>
          <w:rFonts w:ascii="仿宋" w:hAnsi="仿宋" w:eastAsia="仿宋"/>
          <w:b w:val="0"/>
          <w:bCs/>
          <w:sz w:val="32"/>
          <w:szCs w:val="32"/>
        </w:rPr>
      </w:pPr>
      <w:r>
        <w:rPr>
          <w:rFonts w:hint="eastAsia" w:ascii="仿宋" w:hAnsi="仿宋" w:eastAsia="仿宋"/>
          <w:b/>
          <w:sz w:val="32"/>
          <w:szCs w:val="32"/>
        </w:rPr>
        <w:t>2．</w:t>
      </w:r>
      <w:r>
        <w:rPr>
          <w:rFonts w:hint="eastAsia" w:ascii="仿宋" w:hAnsi="仿宋" w:eastAsia="仿宋"/>
          <w:b/>
          <w:bCs/>
          <w:color w:val="000000"/>
          <w:sz w:val="32"/>
          <w:szCs w:val="32"/>
          <w:shd w:val="clear" w:color="auto" w:fill="FFFFFF"/>
        </w:rPr>
        <w:t>一般公共服务（类）人大事务（款）代表工作（项）：</w:t>
      </w:r>
      <w:r>
        <w:rPr>
          <w:rStyle w:val="17"/>
          <w:rFonts w:hint="eastAsia" w:ascii="仿宋" w:hAnsi="仿宋" w:eastAsia="仿宋"/>
          <w:b w:val="0"/>
          <w:bCs/>
          <w:sz w:val="32"/>
          <w:szCs w:val="32"/>
        </w:rPr>
        <w:t>支出决算为2.50万元，完成预算100</w:t>
      </w:r>
      <w:r>
        <w:rPr>
          <w:rStyle w:val="17"/>
          <w:rFonts w:ascii="仿宋" w:hAnsi="仿宋" w:eastAsia="仿宋"/>
          <w:b w:val="0"/>
          <w:bCs/>
          <w:sz w:val="32"/>
          <w:szCs w:val="32"/>
        </w:rPr>
        <w:t>%</w:t>
      </w:r>
      <w:r>
        <w:rPr>
          <w:rStyle w:val="17"/>
          <w:rFonts w:hint="eastAsia" w:ascii="仿宋" w:hAnsi="仿宋" w:eastAsia="仿宋"/>
          <w:b w:val="0"/>
          <w:bCs/>
          <w:sz w:val="32"/>
          <w:szCs w:val="32"/>
        </w:rPr>
        <w:t>，决算数等于预算数。.</w:t>
      </w:r>
    </w:p>
    <w:p w14:paraId="77848354">
      <w:pPr>
        <w:spacing w:line="600" w:lineRule="exact"/>
        <w:ind w:firstLine="640" w:firstLineChars="200"/>
        <w:rPr>
          <w:rStyle w:val="17"/>
          <w:rFonts w:ascii="仿宋" w:hAnsi="仿宋" w:eastAsia="仿宋"/>
          <w:b w:val="0"/>
          <w:bCs/>
          <w:sz w:val="32"/>
          <w:szCs w:val="32"/>
        </w:rPr>
      </w:pPr>
      <w:r>
        <w:rPr>
          <w:rFonts w:hint="eastAsia" w:ascii="仿宋" w:hAnsi="仿宋" w:eastAsia="仿宋"/>
          <w:color w:val="000000"/>
          <w:sz w:val="32"/>
          <w:szCs w:val="32"/>
        </w:rPr>
        <w:t>3.</w:t>
      </w:r>
      <w:r>
        <w:rPr>
          <w:rFonts w:hint="eastAsia" w:ascii="仿宋" w:hAnsi="仿宋" w:eastAsia="仿宋"/>
          <w:b/>
          <w:bCs/>
          <w:color w:val="000000"/>
          <w:sz w:val="32"/>
          <w:szCs w:val="32"/>
        </w:rPr>
        <w:t>一般公共服务支出（类）政府办公厅（室）及相关机构事务（款）行政运行（项）</w:t>
      </w:r>
      <w:r>
        <w:rPr>
          <w:rFonts w:hint="eastAsia" w:ascii="仿宋" w:hAnsi="仿宋" w:eastAsia="仿宋"/>
          <w:color w:val="000000"/>
          <w:sz w:val="32"/>
          <w:szCs w:val="32"/>
        </w:rPr>
        <w:t>: 决算数为357.60万元，完成预算100%</w:t>
      </w:r>
      <w:r>
        <w:rPr>
          <w:rStyle w:val="17"/>
          <w:rFonts w:hint="eastAsia" w:ascii="仿宋" w:hAnsi="仿宋" w:eastAsia="仿宋"/>
          <w:b w:val="0"/>
          <w:bCs/>
          <w:sz w:val="32"/>
          <w:szCs w:val="32"/>
        </w:rPr>
        <w:t>，决算数等于预算数。</w:t>
      </w:r>
    </w:p>
    <w:p w14:paraId="72F41E61">
      <w:pPr>
        <w:spacing w:line="600" w:lineRule="exact"/>
        <w:ind w:firstLine="640" w:firstLineChars="200"/>
        <w:rPr>
          <w:rStyle w:val="17"/>
          <w:rFonts w:ascii="仿宋" w:hAnsi="仿宋" w:eastAsia="仿宋"/>
          <w:b w:val="0"/>
          <w:bCs/>
          <w:sz w:val="32"/>
          <w:szCs w:val="32"/>
        </w:rPr>
      </w:pPr>
      <w:r>
        <w:rPr>
          <w:rFonts w:hint="eastAsia" w:ascii="仿宋" w:hAnsi="仿宋" w:eastAsia="仿宋"/>
          <w:color w:val="000000"/>
          <w:sz w:val="32"/>
          <w:szCs w:val="32"/>
        </w:rPr>
        <w:t>4.</w:t>
      </w:r>
      <w:r>
        <w:rPr>
          <w:rFonts w:hint="eastAsia" w:ascii="仿宋" w:hAnsi="仿宋" w:eastAsia="仿宋"/>
          <w:b/>
          <w:bCs/>
          <w:color w:val="000000"/>
          <w:sz w:val="32"/>
          <w:szCs w:val="32"/>
        </w:rPr>
        <w:t>一般公共服务支出（类）政府办公厅（室）及相关机构事务（款）一般行政管理事务（项）</w:t>
      </w:r>
      <w:r>
        <w:rPr>
          <w:rFonts w:hint="eastAsia" w:ascii="仿宋" w:hAnsi="仿宋" w:eastAsia="仿宋"/>
          <w:color w:val="000000"/>
          <w:sz w:val="32"/>
          <w:szCs w:val="32"/>
        </w:rPr>
        <w:t>:决算数为5.25万元，完成预算100%</w:t>
      </w:r>
      <w:r>
        <w:rPr>
          <w:rStyle w:val="17"/>
          <w:rFonts w:hint="eastAsia" w:ascii="仿宋" w:hAnsi="仿宋" w:eastAsia="仿宋"/>
          <w:b w:val="0"/>
          <w:bCs/>
          <w:sz w:val="32"/>
          <w:szCs w:val="32"/>
        </w:rPr>
        <w:t>，决算数等于预算数。</w:t>
      </w:r>
    </w:p>
    <w:p w14:paraId="72F22AE6">
      <w:pPr>
        <w:spacing w:line="600" w:lineRule="exact"/>
        <w:ind w:firstLine="640" w:firstLineChars="200"/>
        <w:rPr>
          <w:rStyle w:val="17"/>
          <w:rFonts w:ascii="仿宋" w:hAnsi="仿宋" w:eastAsia="仿宋"/>
          <w:b w:val="0"/>
          <w:bCs/>
          <w:sz w:val="32"/>
          <w:szCs w:val="32"/>
        </w:rPr>
      </w:pPr>
      <w:r>
        <w:rPr>
          <w:rFonts w:hint="eastAsia" w:ascii="仿宋" w:hAnsi="仿宋" w:eastAsia="仿宋"/>
          <w:color w:val="000000"/>
          <w:sz w:val="32"/>
          <w:szCs w:val="32"/>
        </w:rPr>
        <w:t>5.</w:t>
      </w:r>
      <w:r>
        <w:rPr>
          <w:rFonts w:hint="eastAsia" w:ascii="仿宋" w:hAnsi="仿宋" w:eastAsia="仿宋"/>
          <w:b/>
          <w:bCs/>
          <w:color w:val="000000"/>
          <w:sz w:val="32"/>
          <w:szCs w:val="32"/>
        </w:rPr>
        <w:t>一般公共服务支出（类）政府办公厅（室）及相关机构事务（款）事业运行（项）</w:t>
      </w:r>
      <w:r>
        <w:rPr>
          <w:rFonts w:hint="eastAsia" w:ascii="仿宋" w:hAnsi="仿宋" w:eastAsia="仿宋"/>
          <w:color w:val="000000"/>
          <w:sz w:val="32"/>
          <w:szCs w:val="32"/>
        </w:rPr>
        <w:t>:决算数为153.20万元，完成预算100%</w:t>
      </w:r>
      <w:r>
        <w:rPr>
          <w:rStyle w:val="17"/>
          <w:rFonts w:hint="eastAsia" w:ascii="仿宋" w:hAnsi="仿宋" w:eastAsia="仿宋"/>
          <w:b w:val="0"/>
          <w:bCs/>
          <w:sz w:val="32"/>
          <w:szCs w:val="32"/>
        </w:rPr>
        <w:t>，决算数等于预算数。</w:t>
      </w:r>
    </w:p>
    <w:p w14:paraId="26B17724">
      <w:pPr>
        <w:spacing w:line="600" w:lineRule="exact"/>
        <w:ind w:firstLine="640" w:firstLineChars="200"/>
        <w:rPr>
          <w:rStyle w:val="17"/>
          <w:rFonts w:ascii="仿宋" w:hAnsi="仿宋" w:eastAsia="仿宋"/>
          <w:b w:val="0"/>
          <w:bCs/>
          <w:sz w:val="32"/>
          <w:szCs w:val="32"/>
        </w:rPr>
      </w:pPr>
      <w:r>
        <w:rPr>
          <w:rFonts w:hint="eastAsia" w:ascii="仿宋" w:hAnsi="仿宋" w:eastAsia="仿宋"/>
          <w:color w:val="000000"/>
          <w:sz w:val="32"/>
          <w:szCs w:val="32"/>
        </w:rPr>
        <w:t>6.</w:t>
      </w:r>
      <w:r>
        <w:rPr>
          <w:rFonts w:hint="eastAsia" w:ascii="仿宋" w:hAnsi="仿宋" w:eastAsia="仿宋"/>
          <w:b/>
          <w:bCs/>
          <w:color w:val="000000"/>
          <w:sz w:val="32"/>
          <w:szCs w:val="32"/>
        </w:rPr>
        <w:t>一般公共服务支出（类）政府办公厅（室）及相关机构事务（款）其他政府办公厅（室）及相关机构事务（项）</w:t>
      </w:r>
      <w:r>
        <w:rPr>
          <w:rFonts w:hint="eastAsia" w:ascii="仿宋" w:hAnsi="仿宋" w:eastAsia="仿宋"/>
          <w:color w:val="000000"/>
          <w:sz w:val="32"/>
          <w:szCs w:val="32"/>
        </w:rPr>
        <w:t>: 决算数为4.08万元，完成预算100%</w:t>
      </w:r>
      <w:r>
        <w:rPr>
          <w:rStyle w:val="17"/>
          <w:rFonts w:hint="eastAsia" w:ascii="仿宋" w:hAnsi="仿宋" w:eastAsia="仿宋"/>
          <w:b w:val="0"/>
          <w:bCs/>
          <w:sz w:val="32"/>
          <w:szCs w:val="32"/>
        </w:rPr>
        <w:t>，决算数等于预算数。</w:t>
      </w:r>
    </w:p>
    <w:p w14:paraId="1B03ACE4">
      <w:pPr>
        <w:spacing w:line="600" w:lineRule="exact"/>
        <w:ind w:firstLine="640" w:firstLineChars="200"/>
        <w:rPr>
          <w:rStyle w:val="17"/>
          <w:rFonts w:ascii="仿宋" w:hAnsi="仿宋" w:eastAsia="仿宋"/>
          <w:b w:val="0"/>
          <w:bCs/>
          <w:sz w:val="32"/>
          <w:szCs w:val="32"/>
        </w:rPr>
      </w:pPr>
      <w:r>
        <w:rPr>
          <w:rFonts w:hint="eastAsia" w:ascii="仿宋" w:hAnsi="仿宋" w:eastAsia="仿宋"/>
          <w:color w:val="000000"/>
          <w:sz w:val="32"/>
          <w:szCs w:val="32"/>
        </w:rPr>
        <w:t>7.</w:t>
      </w:r>
      <w:r>
        <w:rPr>
          <w:rFonts w:hint="eastAsia" w:ascii="仿宋" w:hAnsi="仿宋" w:eastAsia="仿宋"/>
          <w:b/>
          <w:bCs/>
          <w:color w:val="000000"/>
          <w:sz w:val="32"/>
          <w:szCs w:val="32"/>
        </w:rPr>
        <w:t>国防支出（类）国防动员（款）民兵（项）</w:t>
      </w:r>
      <w:r>
        <w:rPr>
          <w:rFonts w:hint="eastAsia" w:ascii="仿宋" w:hAnsi="仿宋" w:eastAsia="仿宋"/>
          <w:color w:val="000000"/>
          <w:sz w:val="32"/>
          <w:szCs w:val="32"/>
        </w:rPr>
        <w:t>:决算数为0.79万元，完成预算100%</w:t>
      </w:r>
      <w:r>
        <w:rPr>
          <w:rStyle w:val="17"/>
          <w:rFonts w:hint="eastAsia" w:ascii="仿宋" w:hAnsi="仿宋" w:eastAsia="仿宋"/>
          <w:b w:val="0"/>
          <w:bCs/>
          <w:sz w:val="32"/>
          <w:szCs w:val="32"/>
        </w:rPr>
        <w:t>，决算数等于预算数。</w:t>
      </w:r>
    </w:p>
    <w:p w14:paraId="4E727E96">
      <w:pPr>
        <w:spacing w:line="600" w:lineRule="exact"/>
        <w:ind w:firstLine="640" w:firstLineChars="200"/>
        <w:rPr>
          <w:rStyle w:val="17"/>
          <w:rFonts w:ascii="仿宋" w:hAnsi="仿宋" w:eastAsia="仿宋"/>
          <w:b w:val="0"/>
          <w:bCs/>
          <w:sz w:val="32"/>
          <w:szCs w:val="32"/>
        </w:rPr>
      </w:pPr>
      <w:r>
        <w:rPr>
          <w:rFonts w:hint="eastAsia" w:ascii="仿宋" w:hAnsi="仿宋" w:eastAsia="仿宋"/>
          <w:color w:val="000000"/>
          <w:sz w:val="32"/>
          <w:szCs w:val="32"/>
        </w:rPr>
        <w:t>8．</w:t>
      </w:r>
      <w:r>
        <w:rPr>
          <w:rFonts w:hint="eastAsia" w:ascii="仿宋" w:hAnsi="仿宋" w:eastAsia="仿宋"/>
          <w:b/>
          <w:bCs/>
          <w:color w:val="000000"/>
          <w:sz w:val="32"/>
          <w:szCs w:val="32"/>
        </w:rPr>
        <w:t>公共安全支出（类）司法（款）普法宣传（项）</w:t>
      </w:r>
      <w:r>
        <w:rPr>
          <w:rFonts w:hint="eastAsia" w:ascii="仿宋" w:hAnsi="仿宋" w:eastAsia="仿宋"/>
          <w:color w:val="000000"/>
          <w:sz w:val="32"/>
          <w:szCs w:val="32"/>
        </w:rPr>
        <w:t>：决算数为0.45万元，完成预算100%</w:t>
      </w:r>
      <w:r>
        <w:rPr>
          <w:rStyle w:val="17"/>
          <w:rFonts w:hint="eastAsia" w:ascii="仿宋" w:hAnsi="仿宋" w:eastAsia="仿宋"/>
          <w:b w:val="0"/>
          <w:bCs/>
          <w:sz w:val="32"/>
          <w:szCs w:val="32"/>
        </w:rPr>
        <w:t>，决算数等于预算数。</w:t>
      </w:r>
    </w:p>
    <w:p w14:paraId="41769251">
      <w:pPr>
        <w:spacing w:line="600" w:lineRule="exact"/>
        <w:ind w:firstLine="640" w:firstLineChars="200"/>
        <w:rPr>
          <w:rFonts w:ascii="仿宋" w:hAnsi="仿宋" w:eastAsia="仿宋"/>
          <w:bCs/>
          <w:sz w:val="32"/>
          <w:szCs w:val="32"/>
        </w:rPr>
      </w:pPr>
      <w:r>
        <w:rPr>
          <w:rFonts w:hint="eastAsia" w:ascii="仿宋" w:hAnsi="仿宋" w:eastAsia="仿宋"/>
          <w:color w:val="000000"/>
          <w:sz w:val="32"/>
          <w:szCs w:val="32"/>
        </w:rPr>
        <w:t>9．</w:t>
      </w:r>
      <w:r>
        <w:rPr>
          <w:rFonts w:hint="eastAsia" w:ascii="仿宋" w:hAnsi="仿宋" w:eastAsia="仿宋"/>
          <w:b/>
          <w:bCs/>
          <w:color w:val="000000"/>
          <w:sz w:val="32"/>
          <w:szCs w:val="32"/>
        </w:rPr>
        <w:t>社会保障和就业支出（类）行政事业单位养老（款）机关事业单位基本养老保险缴费支出（项）：</w:t>
      </w:r>
      <w:r>
        <w:rPr>
          <w:rFonts w:hint="eastAsia" w:ascii="仿宋" w:hAnsi="仿宋" w:eastAsia="仿宋"/>
          <w:color w:val="000000"/>
          <w:sz w:val="32"/>
          <w:szCs w:val="32"/>
        </w:rPr>
        <w:t>支出决算为31.56万元，完成预算100%</w:t>
      </w:r>
      <w:r>
        <w:rPr>
          <w:rStyle w:val="17"/>
          <w:rFonts w:hint="eastAsia" w:ascii="仿宋" w:hAnsi="仿宋" w:eastAsia="仿宋"/>
          <w:b w:val="0"/>
          <w:bCs/>
          <w:sz w:val="32"/>
          <w:szCs w:val="32"/>
        </w:rPr>
        <w:t>，决算数等于预算数。</w:t>
      </w:r>
    </w:p>
    <w:p w14:paraId="2AB35081">
      <w:pPr>
        <w:spacing w:line="600" w:lineRule="exact"/>
        <w:ind w:firstLine="640" w:firstLineChars="200"/>
        <w:rPr>
          <w:rStyle w:val="17"/>
          <w:rFonts w:ascii="仿宋" w:hAnsi="仿宋" w:eastAsia="仿宋"/>
          <w:b w:val="0"/>
          <w:bCs/>
          <w:sz w:val="32"/>
          <w:szCs w:val="32"/>
        </w:rPr>
      </w:pPr>
      <w:r>
        <w:rPr>
          <w:rFonts w:hint="eastAsia" w:ascii="仿宋" w:hAnsi="仿宋" w:eastAsia="仿宋"/>
          <w:color w:val="000000"/>
          <w:sz w:val="32"/>
          <w:szCs w:val="32"/>
        </w:rPr>
        <w:t>10.</w:t>
      </w:r>
      <w:r>
        <w:rPr>
          <w:rFonts w:hint="eastAsia" w:ascii="仿宋" w:hAnsi="仿宋" w:eastAsia="仿宋"/>
          <w:b/>
          <w:bCs/>
          <w:color w:val="000000"/>
          <w:sz w:val="32"/>
          <w:szCs w:val="32"/>
        </w:rPr>
        <w:t>社会保障和就业支出（类）行政事业单位养老（款）机关事业单位职业年金缴费支出（项）:</w:t>
      </w:r>
      <w:r>
        <w:rPr>
          <w:rFonts w:hint="eastAsia" w:ascii="仿宋" w:hAnsi="仿宋" w:eastAsia="仿宋"/>
          <w:color w:val="000000"/>
          <w:sz w:val="32"/>
          <w:szCs w:val="32"/>
        </w:rPr>
        <w:t>支出决算为7.26万元，完成预算100%</w:t>
      </w:r>
      <w:r>
        <w:rPr>
          <w:rStyle w:val="17"/>
          <w:rFonts w:hint="eastAsia" w:ascii="仿宋" w:hAnsi="仿宋" w:eastAsia="仿宋"/>
          <w:b w:val="0"/>
          <w:bCs/>
          <w:sz w:val="32"/>
          <w:szCs w:val="32"/>
        </w:rPr>
        <w:t>，决算数等于预算数。</w:t>
      </w:r>
    </w:p>
    <w:p w14:paraId="1085C8A8">
      <w:pPr>
        <w:spacing w:line="600" w:lineRule="exact"/>
        <w:ind w:firstLine="640" w:firstLineChars="200"/>
        <w:rPr>
          <w:rStyle w:val="17"/>
          <w:rFonts w:ascii="仿宋" w:hAnsi="仿宋" w:eastAsia="仿宋"/>
          <w:b w:val="0"/>
          <w:bCs/>
          <w:sz w:val="32"/>
          <w:szCs w:val="32"/>
        </w:rPr>
      </w:pPr>
      <w:r>
        <w:rPr>
          <w:rFonts w:hint="eastAsia" w:ascii="仿宋" w:hAnsi="仿宋" w:eastAsia="仿宋"/>
          <w:color w:val="000000"/>
          <w:sz w:val="32"/>
          <w:szCs w:val="32"/>
        </w:rPr>
        <w:t>11.</w:t>
      </w:r>
      <w:r>
        <w:rPr>
          <w:rFonts w:hint="eastAsia" w:ascii="仿宋" w:hAnsi="仿宋" w:eastAsia="仿宋"/>
          <w:b/>
          <w:bCs/>
          <w:color w:val="000000"/>
          <w:sz w:val="32"/>
          <w:szCs w:val="32"/>
        </w:rPr>
        <w:t>社会保障和就业支出（类）行政事业单位养老（款）其他行政事业单位养老支出（项）:</w:t>
      </w:r>
      <w:r>
        <w:rPr>
          <w:rFonts w:hint="eastAsia" w:ascii="仿宋" w:hAnsi="仿宋" w:eastAsia="仿宋"/>
          <w:color w:val="000000"/>
          <w:sz w:val="32"/>
          <w:szCs w:val="32"/>
        </w:rPr>
        <w:t>支出决算为1.70万元，完成预算100%</w:t>
      </w:r>
      <w:r>
        <w:rPr>
          <w:rStyle w:val="17"/>
          <w:rFonts w:hint="eastAsia" w:ascii="仿宋" w:hAnsi="仿宋" w:eastAsia="仿宋"/>
          <w:b w:val="0"/>
          <w:bCs/>
          <w:sz w:val="32"/>
          <w:szCs w:val="32"/>
        </w:rPr>
        <w:t>，决算数等于预算数。</w:t>
      </w:r>
    </w:p>
    <w:p w14:paraId="6B196E5D">
      <w:pPr>
        <w:spacing w:line="600" w:lineRule="exact"/>
        <w:ind w:firstLine="640" w:firstLineChars="200"/>
        <w:rPr>
          <w:rStyle w:val="17"/>
          <w:rFonts w:ascii="仿宋" w:hAnsi="仿宋" w:eastAsia="仿宋"/>
          <w:b w:val="0"/>
          <w:bCs/>
          <w:sz w:val="32"/>
          <w:szCs w:val="32"/>
        </w:rPr>
      </w:pPr>
      <w:r>
        <w:rPr>
          <w:rFonts w:hint="eastAsia" w:ascii="仿宋" w:hAnsi="仿宋" w:eastAsia="仿宋"/>
          <w:color w:val="000000"/>
          <w:sz w:val="32"/>
          <w:szCs w:val="32"/>
        </w:rPr>
        <w:t>12.</w:t>
      </w:r>
      <w:r>
        <w:rPr>
          <w:rFonts w:hint="eastAsia" w:ascii="仿宋" w:hAnsi="仿宋" w:eastAsia="仿宋"/>
          <w:b/>
          <w:bCs/>
          <w:color w:val="000000"/>
          <w:sz w:val="32"/>
          <w:szCs w:val="32"/>
        </w:rPr>
        <w:t>社会保障和就业支出（类）临时救助（款）临时救助（项）:</w:t>
      </w:r>
      <w:r>
        <w:rPr>
          <w:rFonts w:hint="eastAsia" w:ascii="仿宋" w:hAnsi="仿宋" w:eastAsia="仿宋"/>
          <w:color w:val="000000"/>
          <w:sz w:val="32"/>
          <w:szCs w:val="32"/>
        </w:rPr>
        <w:t>支出决算为2.20万元，完成预算100%</w:t>
      </w:r>
      <w:r>
        <w:rPr>
          <w:rStyle w:val="17"/>
          <w:rFonts w:hint="eastAsia" w:ascii="仿宋" w:hAnsi="仿宋" w:eastAsia="仿宋"/>
          <w:b w:val="0"/>
          <w:bCs/>
          <w:sz w:val="32"/>
          <w:szCs w:val="32"/>
        </w:rPr>
        <w:t>，决算数等于预算数。</w:t>
      </w:r>
    </w:p>
    <w:p w14:paraId="58A4068D">
      <w:pPr>
        <w:spacing w:line="600" w:lineRule="exact"/>
        <w:ind w:firstLine="640" w:firstLineChars="200"/>
        <w:rPr>
          <w:rStyle w:val="17"/>
          <w:rFonts w:ascii="仿宋" w:hAnsi="仿宋" w:eastAsia="仿宋"/>
          <w:b w:val="0"/>
          <w:bCs/>
          <w:sz w:val="32"/>
          <w:szCs w:val="32"/>
        </w:rPr>
      </w:pPr>
      <w:r>
        <w:rPr>
          <w:rFonts w:hint="eastAsia" w:ascii="仿宋" w:hAnsi="仿宋" w:eastAsia="仿宋"/>
          <w:color w:val="000000"/>
          <w:sz w:val="32"/>
          <w:szCs w:val="32"/>
        </w:rPr>
        <w:t>13.</w:t>
      </w:r>
      <w:r>
        <w:rPr>
          <w:rFonts w:hint="eastAsia" w:ascii="仿宋" w:hAnsi="仿宋" w:eastAsia="仿宋"/>
          <w:b/>
          <w:bCs/>
          <w:color w:val="000000"/>
          <w:sz w:val="32"/>
          <w:szCs w:val="32"/>
        </w:rPr>
        <w:t>卫生健康支出（类）公共卫生（款）重大公共卫生服务（项）:</w:t>
      </w:r>
      <w:r>
        <w:rPr>
          <w:rFonts w:hint="eastAsia" w:ascii="仿宋" w:hAnsi="仿宋" w:eastAsia="仿宋"/>
          <w:color w:val="000000"/>
          <w:sz w:val="32"/>
          <w:szCs w:val="32"/>
        </w:rPr>
        <w:t>支出决算为6.72万元，完成预算100%</w:t>
      </w:r>
      <w:r>
        <w:rPr>
          <w:rStyle w:val="17"/>
          <w:rFonts w:hint="eastAsia" w:ascii="仿宋" w:hAnsi="仿宋" w:eastAsia="仿宋"/>
          <w:b w:val="0"/>
          <w:bCs/>
          <w:sz w:val="32"/>
          <w:szCs w:val="32"/>
        </w:rPr>
        <w:t>，决算数等于预算数。</w:t>
      </w:r>
    </w:p>
    <w:p w14:paraId="15B61CAE">
      <w:pPr>
        <w:spacing w:line="600" w:lineRule="exact"/>
        <w:ind w:firstLine="640" w:firstLineChars="200"/>
        <w:rPr>
          <w:rStyle w:val="17"/>
          <w:rFonts w:ascii="仿宋" w:hAnsi="仿宋" w:eastAsia="仿宋"/>
          <w:b w:val="0"/>
          <w:bCs/>
          <w:sz w:val="32"/>
          <w:szCs w:val="32"/>
        </w:rPr>
      </w:pPr>
      <w:r>
        <w:rPr>
          <w:rFonts w:hint="eastAsia" w:ascii="仿宋" w:hAnsi="仿宋" w:eastAsia="仿宋"/>
          <w:color w:val="000000"/>
          <w:sz w:val="32"/>
          <w:szCs w:val="32"/>
        </w:rPr>
        <w:t>14.</w:t>
      </w:r>
      <w:r>
        <w:rPr>
          <w:rFonts w:hint="eastAsia" w:ascii="仿宋" w:hAnsi="仿宋" w:eastAsia="仿宋"/>
          <w:b/>
          <w:bCs/>
          <w:color w:val="000000"/>
          <w:sz w:val="32"/>
          <w:szCs w:val="32"/>
        </w:rPr>
        <w:t>卫生健康支出（类）行政事业单位医疗（款）行政单位医疗（项）:</w:t>
      </w:r>
      <w:r>
        <w:rPr>
          <w:rFonts w:hint="eastAsia" w:ascii="仿宋" w:hAnsi="仿宋" w:eastAsia="仿宋"/>
          <w:color w:val="000000"/>
          <w:sz w:val="32"/>
          <w:szCs w:val="32"/>
        </w:rPr>
        <w:t>支出决算为8.79万元，完成预算100%</w:t>
      </w:r>
      <w:r>
        <w:rPr>
          <w:rStyle w:val="17"/>
          <w:rFonts w:hint="eastAsia" w:ascii="仿宋" w:hAnsi="仿宋" w:eastAsia="仿宋"/>
          <w:b w:val="0"/>
          <w:bCs/>
          <w:sz w:val="32"/>
          <w:szCs w:val="32"/>
        </w:rPr>
        <w:t>，决算数等于预算数。</w:t>
      </w:r>
    </w:p>
    <w:p w14:paraId="115B23C6">
      <w:pPr>
        <w:spacing w:line="600" w:lineRule="exact"/>
        <w:ind w:firstLine="643" w:firstLineChars="200"/>
        <w:rPr>
          <w:rStyle w:val="17"/>
          <w:rFonts w:ascii="仿宋" w:hAnsi="仿宋" w:eastAsia="仿宋"/>
          <w:b w:val="0"/>
          <w:bCs/>
          <w:sz w:val="32"/>
          <w:szCs w:val="32"/>
        </w:rPr>
      </w:pPr>
      <w:r>
        <w:rPr>
          <w:rFonts w:hint="eastAsia" w:ascii="仿宋" w:hAnsi="仿宋" w:eastAsia="仿宋"/>
          <w:b/>
          <w:bCs/>
          <w:color w:val="000000"/>
          <w:sz w:val="32"/>
          <w:szCs w:val="32"/>
        </w:rPr>
        <w:t>15.卫生健康支出（类）行政事业单位医疗（款）事业单位医疗（项）:</w:t>
      </w:r>
      <w:r>
        <w:rPr>
          <w:rFonts w:hint="eastAsia" w:ascii="仿宋" w:hAnsi="仿宋" w:eastAsia="仿宋"/>
          <w:color w:val="000000"/>
          <w:sz w:val="32"/>
          <w:szCs w:val="32"/>
        </w:rPr>
        <w:t>支出决算为4.83万元，完成预算100%</w:t>
      </w:r>
      <w:r>
        <w:rPr>
          <w:rStyle w:val="17"/>
          <w:rFonts w:hint="eastAsia" w:ascii="仿宋" w:hAnsi="仿宋" w:eastAsia="仿宋"/>
          <w:b w:val="0"/>
          <w:bCs/>
          <w:sz w:val="32"/>
          <w:szCs w:val="32"/>
        </w:rPr>
        <w:t>，决算数等于预算数。</w:t>
      </w:r>
    </w:p>
    <w:p w14:paraId="51EB59E3">
      <w:pPr>
        <w:spacing w:line="600" w:lineRule="exact"/>
        <w:ind w:firstLine="643" w:firstLineChars="200"/>
        <w:rPr>
          <w:rFonts w:ascii="仿宋" w:hAnsi="仿宋" w:eastAsia="仿宋"/>
          <w:bCs/>
          <w:sz w:val="32"/>
          <w:szCs w:val="32"/>
        </w:rPr>
      </w:pPr>
      <w:r>
        <w:rPr>
          <w:rFonts w:hint="eastAsia" w:ascii="仿宋" w:hAnsi="仿宋" w:eastAsia="仿宋"/>
          <w:b/>
          <w:bCs/>
          <w:color w:val="000000"/>
          <w:sz w:val="32"/>
          <w:szCs w:val="32"/>
        </w:rPr>
        <w:t>16.卫生健康支出（类）行政事业单位医疗（款）公务员医疗补助（项）:</w:t>
      </w:r>
      <w:r>
        <w:rPr>
          <w:rFonts w:hint="eastAsia" w:ascii="仿宋" w:hAnsi="仿宋" w:eastAsia="仿宋"/>
          <w:color w:val="000000"/>
          <w:sz w:val="32"/>
          <w:szCs w:val="32"/>
        </w:rPr>
        <w:t>支出决算为2.44万元，完成预算100%</w:t>
      </w:r>
      <w:r>
        <w:rPr>
          <w:rStyle w:val="17"/>
          <w:rFonts w:hint="eastAsia" w:ascii="仿宋" w:hAnsi="仿宋" w:eastAsia="仿宋"/>
          <w:b w:val="0"/>
          <w:bCs/>
          <w:sz w:val="32"/>
          <w:szCs w:val="32"/>
        </w:rPr>
        <w:t>，决算数等于预算数。</w:t>
      </w:r>
    </w:p>
    <w:p w14:paraId="67F9ED74">
      <w:pPr>
        <w:spacing w:line="600" w:lineRule="exact"/>
        <w:ind w:firstLine="640" w:firstLineChars="200"/>
        <w:rPr>
          <w:rFonts w:ascii="仿宋" w:hAnsi="仿宋" w:eastAsia="仿宋"/>
          <w:bCs/>
          <w:sz w:val="32"/>
          <w:szCs w:val="32"/>
        </w:rPr>
      </w:pPr>
      <w:r>
        <w:rPr>
          <w:rFonts w:hint="eastAsia" w:ascii="仿宋" w:hAnsi="仿宋" w:eastAsia="仿宋"/>
          <w:color w:val="000000"/>
          <w:sz w:val="32"/>
          <w:szCs w:val="32"/>
        </w:rPr>
        <w:t>17.</w:t>
      </w:r>
      <w:r>
        <w:rPr>
          <w:rFonts w:hint="eastAsia" w:ascii="仿宋" w:hAnsi="仿宋" w:eastAsia="仿宋"/>
          <w:b/>
          <w:bCs/>
          <w:color w:val="000000"/>
          <w:sz w:val="32"/>
          <w:szCs w:val="32"/>
        </w:rPr>
        <w:t xml:space="preserve"> 卫生健康支出（类）老龄卫生健康事务（款）老龄卫生健康事务（项）:</w:t>
      </w:r>
      <w:r>
        <w:rPr>
          <w:rFonts w:hint="eastAsia" w:ascii="仿宋" w:hAnsi="仿宋" w:eastAsia="仿宋"/>
          <w:color w:val="000000"/>
          <w:sz w:val="32"/>
          <w:szCs w:val="32"/>
        </w:rPr>
        <w:t>支出决算为0.8万元，完成预算100%</w:t>
      </w:r>
      <w:r>
        <w:rPr>
          <w:rStyle w:val="17"/>
          <w:rFonts w:hint="eastAsia" w:ascii="仿宋" w:hAnsi="仿宋" w:eastAsia="仿宋"/>
          <w:b w:val="0"/>
          <w:bCs/>
          <w:sz w:val="32"/>
          <w:szCs w:val="32"/>
        </w:rPr>
        <w:t>，决算数等于预算数。</w:t>
      </w:r>
      <w:r>
        <w:rPr>
          <w:rFonts w:hint="eastAsia"/>
          <w:color w:val="000000"/>
          <w:sz w:val="32"/>
          <w:szCs w:val="32"/>
        </w:rPr>
        <w:t> </w:t>
      </w:r>
    </w:p>
    <w:p w14:paraId="4F4DE90E">
      <w:pPr>
        <w:spacing w:line="600" w:lineRule="exact"/>
        <w:ind w:firstLine="640" w:firstLineChars="200"/>
        <w:rPr>
          <w:rStyle w:val="17"/>
          <w:rFonts w:ascii="仿宋" w:hAnsi="仿宋" w:eastAsia="仿宋"/>
          <w:b w:val="0"/>
          <w:bCs/>
          <w:sz w:val="32"/>
          <w:szCs w:val="32"/>
        </w:rPr>
      </w:pPr>
      <w:r>
        <w:rPr>
          <w:rFonts w:hint="eastAsia"/>
          <w:color w:val="000000"/>
          <w:sz w:val="32"/>
          <w:szCs w:val="32"/>
        </w:rPr>
        <w:t>18.</w:t>
      </w:r>
      <w:r>
        <w:rPr>
          <w:rFonts w:hint="eastAsia" w:ascii="仿宋" w:hAnsi="仿宋" w:eastAsia="仿宋"/>
          <w:b/>
          <w:bCs/>
          <w:color w:val="000000"/>
          <w:sz w:val="32"/>
          <w:szCs w:val="32"/>
        </w:rPr>
        <w:t xml:space="preserve"> 节能环保支出（类）自然生态保护（款）农村环境保护（项）:</w:t>
      </w:r>
      <w:r>
        <w:rPr>
          <w:rFonts w:hint="eastAsia" w:ascii="仿宋" w:hAnsi="仿宋" w:eastAsia="仿宋"/>
          <w:color w:val="000000"/>
          <w:sz w:val="32"/>
          <w:szCs w:val="32"/>
        </w:rPr>
        <w:t xml:space="preserve"> 支出决算为28.6万元，完成预算100%</w:t>
      </w:r>
      <w:r>
        <w:rPr>
          <w:rStyle w:val="17"/>
          <w:rFonts w:hint="eastAsia" w:ascii="仿宋" w:hAnsi="仿宋" w:eastAsia="仿宋"/>
          <w:b w:val="0"/>
          <w:bCs/>
          <w:sz w:val="32"/>
          <w:szCs w:val="32"/>
        </w:rPr>
        <w:t>，决算数等于预算数。</w:t>
      </w:r>
    </w:p>
    <w:p w14:paraId="44D88256">
      <w:pPr>
        <w:spacing w:line="600" w:lineRule="exact"/>
        <w:ind w:firstLine="643" w:firstLineChars="200"/>
        <w:rPr>
          <w:rStyle w:val="17"/>
          <w:rFonts w:ascii="仿宋" w:hAnsi="仿宋" w:eastAsia="仿宋"/>
          <w:b w:val="0"/>
          <w:bCs/>
          <w:sz w:val="32"/>
          <w:szCs w:val="32"/>
        </w:rPr>
      </w:pPr>
      <w:r>
        <w:rPr>
          <w:rFonts w:hint="eastAsia" w:ascii="仿宋" w:hAnsi="仿宋" w:eastAsia="仿宋"/>
          <w:b/>
          <w:color w:val="000000"/>
          <w:sz w:val="32"/>
          <w:szCs w:val="32"/>
        </w:rPr>
        <w:t>19.城乡社区支出（类）城乡社区公共设施（款）小城镇基础设施建设（项）</w:t>
      </w:r>
      <w:r>
        <w:rPr>
          <w:rFonts w:hint="eastAsia" w:ascii="仿宋" w:hAnsi="仿宋" w:eastAsia="仿宋"/>
          <w:color w:val="000000"/>
          <w:sz w:val="32"/>
          <w:szCs w:val="32"/>
        </w:rPr>
        <w:t>：支出决算为9.77万元，完成预算100%</w:t>
      </w:r>
      <w:r>
        <w:rPr>
          <w:rStyle w:val="17"/>
          <w:rFonts w:hint="eastAsia" w:ascii="仿宋" w:hAnsi="仿宋" w:eastAsia="仿宋"/>
          <w:b w:val="0"/>
          <w:bCs/>
          <w:sz w:val="32"/>
          <w:szCs w:val="32"/>
        </w:rPr>
        <w:t>，决算数等于预算数。</w:t>
      </w:r>
    </w:p>
    <w:p w14:paraId="07E695CB">
      <w:pPr>
        <w:spacing w:line="600" w:lineRule="exact"/>
        <w:ind w:firstLine="643" w:firstLineChars="200"/>
        <w:rPr>
          <w:rFonts w:ascii="仿宋" w:hAnsi="仿宋" w:eastAsia="仿宋"/>
          <w:b/>
          <w:bCs/>
          <w:color w:val="000000"/>
          <w:sz w:val="32"/>
          <w:szCs w:val="32"/>
        </w:rPr>
      </w:pPr>
      <w:r>
        <w:rPr>
          <w:rFonts w:hint="eastAsia" w:ascii="仿宋" w:hAnsi="仿宋" w:eastAsia="仿宋"/>
          <w:b/>
          <w:bCs/>
          <w:color w:val="000000"/>
          <w:sz w:val="32"/>
          <w:szCs w:val="32"/>
        </w:rPr>
        <w:t>20.农林水支出（类）巩固脱贫衔接乡村振兴（款）生产发展（项）：</w:t>
      </w:r>
      <w:r>
        <w:rPr>
          <w:rFonts w:hint="eastAsia" w:ascii="仿宋" w:hAnsi="仿宋" w:eastAsia="仿宋"/>
          <w:color w:val="000000"/>
          <w:sz w:val="32"/>
          <w:szCs w:val="32"/>
        </w:rPr>
        <w:t>支出决算为50.00万元，完成预算100%</w:t>
      </w:r>
      <w:r>
        <w:rPr>
          <w:rStyle w:val="17"/>
          <w:rFonts w:hint="eastAsia" w:ascii="仿宋" w:hAnsi="仿宋" w:eastAsia="仿宋"/>
          <w:b w:val="0"/>
          <w:bCs/>
          <w:sz w:val="32"/>
          <w:szCs w:val="32"/>
        </w:rPr>
        <w:t>，决算数等于预算数。</w:t>
      </w:r>
    </w:p>
    <w:p w14:paraId="40412FAB">
      <w:pPr>
        <w:spacing w:line="600" w:lineRule="exact"/>
        <w:ind w:firstLine="643" w:firstLineChars="200"/>
        <w:rPr>
          <w:rFonts w:ascii="仿宋" w:hAnsi="仿宋" w:eastAsia="仿宋"/>
          <w:b/>
          <w:bCs/>
          <w:color w:val="000000"/>
          <w:sz w:val="32"/>
          <w:szCs w:val="32"/>
        </w:rPr>
      </w:pPr>
      <w:r>
        <w:rPr>
          <w:rFonts w:hint="eastAsia" w:ascii="仿宋" w:hAnsi="仿宋" w:eastAsia="仿宋"/>
          <w:b/>
          <w:bCs/>
          <w:color w:val="000000"/>
          <w:sz w:val="32"/>
          <w:szCs w:val="32"/>
        </w:rPr>
        <w:t>21.农林水支出（类）农村综合改革（款）对村民委员会和村党支部的补助（项）：</w:t>
      </w:r>
      <w:r>
        <w:rPr>
          <w:rFonts w:hint="eastAsia" w:ascii="仿宋" w:hAnsi="仿宋" w:eastAsia="仿宋"/>
          <w:color w:val="000000"/>
          <w:sz w:val="32"/>
          <w:szCs w:val="32"/>
        </w:rPr>
        <w:t>支出决算为297.78万元，完成预算100%</w:t>
      </w:r>
      <w:r>
        <w:rPr>
          <w:rStyle w:val="17"/>
          <w:rFonts w:hint="eastAsia" w:ascii="仿宋" w:hAnsi="仿宋" w:eastAsia="仿宋"/>
          <w:b w:val="0"/>
          <w:bCs/>
          <w:sz w:val="32"/>
          <w:szCs w:val="32"/>
        </w:rPr>
        <w:t>，决算数等于预算数。</w:t>
      </w:r>
    </w:p>
    <w:p w14:paraId="2CC72A88">
      <w:pPr>
        <w:spacing w:line="600" w:lineRule="exact"/>
        <w:ind w:firstLine="643" w:firstLineChars="200"/>
        <w:rPr>
          <w:rStyle w:val="17"/>
          <w:rFonts w:ascii="仿宋" w:hAnsi="仿宋" w:eastAsia="仿宋"/>
          <w:b w:val="0"/>
          <w:bCs/>
          <w:sz w:val="32"/>
          <w:szCs w:val="32"/>
        </w:rPr>
      </w:pPr>
      <w:r>
        <w:rPr>
          <w:rFonts w:hint="eastAsia" w:ascii="仿宋" w:hAnsi="仿宋" w:eastAsia="仿宋"/>
          <w:b/>
          <w:bCs/>
          <w:color w:val="000000"/>
          <w:sz w:val="32"/>
          <w:szCs w:val="32"/>
        </w:rPr>
        <w:t>22.交通运输支出（类）公路水路运输（款）公路养护（项）：</w:t>
      </w:r>
      <w:r>
        <w:rPr>
          <w:rFonts w:hint="eastAsia" w:ascii="仿宋" w:hAnsi="仿宋" w:eastAsia="仿宋"/>
          <w:color w:val="000000"/>
          <w:sz w:val="32"/>
          <w:szCs w:val="32"/>
        </w:rPr>
        <w:t>支出决算为14.2万元，完成预算100%</w:t>
      </w:r>
      <w:r>
        <w:rPr>
          <w:rStyle w:val="17"/>
          <w:rFonts w:hint="eastAsia" w:ascii="仿宋" w:hAnsi="仿宋" w:eastAsia="仿宋"/>
          <w:b w:val="0"/>
          <w:bCs/>
          <w:sz w:val="32"/>
          <w:szCs w:val="32"/>
        </w:rPr>
        <w:t>，决算数等于预算数。</w:t>
      </w:r>
    </w:p>
    <w:p w14:paraId="03A5A0BE">
      <w:pPr>
        <w:spacing w:line="600" w:lineRule="exact"/>
        <w:ind w:firstLine="640" w:firstLineChars="200"/>
        <w:rPr>
          <w:rStyle w:val="17"/>
          <w:rFonts w:ascii="仿宋" w:hAnsi="仿宋" w:eastAsia="仿宋"/>
          <w:b w:val="0"/>
          <w:bCs/>
          <w:sz w:val="32"/>
          <w:szCs w:val="32"/>
        </w:rPr>
      </w:pPr>
      <w:r>
        <w:rPr>
          <w:rStyle w:val="17"/>
          <w:rFonts w:hint="eastAsia" w:ascii="仿宋" w:hAnsi="仿宋" w:eastAsia="仿宋"/>
          <w:b w:val="0"/>
          <w:bCs/>
          <w:sz w:val="32"/>
          <w:szCs w:val="32"/>
        </w:rPr>
        <w:t>23.</w:t>
      </w:r>
      <w:r>
        <w:rPr>
          <w:rFonts w:hint="eastAsia" w:ascii="仿宋" w:hAnsi="仿宋" w:eastAsia="仿宋"/>
          <w:b/>
          <w:bCs/>
          <w:color w:val="000000"/>
          <w:sz w:val="32"/>
          <w:szCs w:val="32"/>
        </w:rPr>
        <w:t xml:space="preserve"> 住房保障支出（类）住房改革支出（款）住房公积金（项）:</w:t>
      </w:r>
      <w:r>
        <w:rPr>
          <w:rFonts w:hint="eastAsia" w:ascii="仿宋" w:hAnsi="仿宋" w:eastAsia="仿宋"/>
          <w:color w:val="000000"/>
          <w:sz w:val="32"/>
          <w:szCs w:val="32"/>
        </w:rPr>
        <w:t xml:space="preserve"> 支出决算为39.27万元，完成预算100%</w:t>
      </w:r>
      <w:r>
        <w:rPr>
          <w:rStyle w:val="17"/>
          <w:rFonts w:hint="eastAsia" w:ascii="仿宋" w:hAnsi="仿宋" w:eastAsia="仿宋"/>
          <w:b w:val="0"/>
          <w:bCs/>
          <w:sz w:val="32"/>
          <w:szCs w:val="32"/>
        </w:rPr>
        <w:t>，决算数等于预算数。</w:t>
      </w:r>
    </w:p>
    <w:p w14:paraId="492E29BC">
      <w:pPr>
        <w:spacing w:line="600" w:lineRule="exact"/>
        <w:ind w:firstLine="640" w:firstLineChars="200"/>
        <w:rPr>
          <w:rFonts w:ascii="仿宋" w:hAnsi="仿宋" w:eastAsia="仿宋"/>
          <w:b/>
          <w:color w:val="000000"/>
          <w:sz w:val="32"/>
          <w:szCs w:val="32"/>
        </w:rPr>
      </w:pPr>
      <w:r>
        <w:rPr>
          <w:rStyle w:val="17"/>
          <w:rFonts w:hint="eastAsia" w:ascii="仿宋" w:hAnsi="仿宋" w:eastAsia="仿宋"/>
          <w:b w:val="0"/>
          <w:bCs/>
          <w:sz w:val="32"/>
          <w:szCs w:val="32"/>
        </w:rPr>
        <w:t>24.</w:t>
      </w:r>
      <w:r>
        <w:rPr>
          <w:rFonts w:hint="eastAsia" w:ascii="仿宋" w:hAnsi="仿宋" w:eastAsia="仿宋"/>
          <w:b/>
          <w:bCs/>
          <w:color w:val="000000"/>
          <w:sz w:val="32"/>
          <w:szCs w:val="32"/>
        </w:rPr>
        <w:t xml:space="preserve"> 灾害防治及应急管理支出（类）应急管理事务（款）安全监管（项）:</w:t>
      </w:r>
      <w:r>
        <w:rPr>
          <w:rFonts w:hint="eastAsia" w:ascii="仿宋" w:hAnsi="仿宋" w:eastAsia="仿宋"/>
          <w:color w:val="000000"/>
          <w:sz w:val="32"/>
          <w:szCs w:val="32"/>
        </w:rPr>
        <w:t xml:space="preserve"> 支出决算为1.78万元，完成预算100%</w:t>
      </w:r>
      <w:r>
        <w:rPr>
          <w:rStyle w:val="17"/>
          <w:rFonts w:hint="eastAsia" w:ascii="仿宋" w:hAnsi="仿宋" w:eastAsia="仿宋"/>
          <w:b w:val="0"/>
          <w:bCs/>
          <w:sz w:val="32"/>
          <w:szCs w:val="32"/>
        </w:rPr>
        <w:t>，决算数等于预算数。</w:t>
      </w:r>
    </w:p>
    <w:p w14:paraId="4EF24488">
      <w:pPr>
        <w:spacing w:line="600" w:lineRule="exact"/>
        <w:rPr>
          <w:rFonts w:ascii="仿宋" w:hAnsi="仿宋" w:eastAsia="仿宋"/>
          <w:b/>
          <w:sz w:val="32"/>
          <w:szCs w:val="32"/>
        </w:rPr>
      </w:pPr>
    </w:p>
    <w:p w14:paraId="344DA945">
      <w:pPr>
        <w:tabs>
          <w:tab w:val="right" w:pos="8306"/>
        </w:tabs>
        <w:spacing w:line="600" w:lineRule="exact"/>
        <w:ind w:firstLine="640"/>
        <w:outlineLvl w:val="1"/>
        <w:rPr>
          <w:rStyle w:val="29"/>
        </w:rPr>
      </w:pPr>
      <w:bookmarkStart w:id="35" w:name="_Toc15396608"/>
      <w:bookmarkStart w:id="36" w:name="_Toc15377214"/>
      <w:r>
        <w:rPr>
          <w:rFonts w:hint="eastAsia" w:ascii="黑体" w:eastAsia="黑体"/>
          <w:sz w:val="32"/>
          <w:szCs w:val="32"/>
        </w:rPr>
        <w:t>六</w:t>
      </w:r>
      <w:r>
        <w:rPr>
          <w:rFonts w:hint="eastAsia" w:ascii="黑体" w:eastAsia="黑体"/>
          <w:b/>
          <w:sz w:val="32"/>
          <w:szCs w:val="32"/>
        </w:rPr>
        <w:t>、</w:t>
      </w:r>
      <w:r>
        <w:rPr>
          <w:rFonts w:hint="eastAsia" w:ascii="黑体" w:hAnsi="黑体" w:eastAsia="黑体"/>
          <w:b/>
          <w:sz w:val="32"/>
          <w:szCs w:val="32"/>
        </w:rPr>
        <w:t>一</w:t>
      </w:r>
      <w:r>
        <w:rPr>
          <w:rStyle w:val="29"/>
          <w:rFonts w:hint="eastAsia" w:ascii="黑体" w:hAnsi="黑体" w:eastAsia="黑体"/>
          <w:b w:val="0"/>
        </w:rPr>
        <w:t>般公共预算财政拨款基本支出决算情况说明</w:t>
      </w:r>
      <w:bookmarkEnd w:id="35"/>
      <w:bookmarkEnd w:id="36"/>
      <w:r>
        <w:rPr>
          <w:rStyle w:val="29"/>
          <w:rFonts w:ascii="黑体" w:hAnsi="黑体" w:eastAsia="黑体"/>
          <w:b w:val="0"/>
        </w:rPr>
        <w:tab/>
      </w:r>
    </w:p>
    <w:p w14:paraId="3D70CB47">
      <w:pPr>
        <w:spacing w:line="600" w:lineRule="exact"/>
        <w:ind w:firstLine="645"/>
        <w:rPr>
          <w:rFonts w:ascii="仿宋" w:hAnsi="仿宋" w:eastAsia="仿宋"/>
          <w:sz w:val="32"/>
          <w:szCs w:val="32"/>
        </w:rPr>
      </w:pPr>
      <w:r>
        <w:rPr>
          <w:rFonts w:ascii="仿宋" w:hAnsi="仿宋" w:eastAsia="仿宋"/>
          <w:sz w:val="32"/>
          <w:szCs w:val="32"/>
        </w:rPr>
        <w:t>20</w:t>
      </w:r>
      <w:r>
        <w:rPr>
          <w:rFonts w:hint="eastAsia" w:ascii="仿宋" w:hAnsi="仿宋" w:eastAsia="仿宋"/>
          <w:sz w:val="32"/>
          <w:szCs w:val="32"/>
        </w:rPr>
        <w:t>22年一般公共预算财政拨款基本支出606.7万元，其中：</w:t>
      </w:r>
    </w:p>
    <w:p w14:paraId="18CAA030">
      <w:pPr>
        <w:spacing w:line="600" w:lineRule="exact"/>
        <w:ind w:firstLine="645"/>
        <w:rPr>
          <w:rFonts w:ascii="仿宋" w:hAnsi="仿宋" w:eastAsia="仿宋"/>
          <w:sz w:val="32"/>
          <w:szCs w:val="32"/>
        </w:rPr>
      </w:pPr>
      <w:r>
        <w:rPr>
          <w:rFonts w:hint="eastAsia" w:ascii="仿宋" w:hAnsi="仿宋" w:eastAsia="仿宋"/>
          <w:sz w:val="32"/>
          <w:szCs w:val="32"/>
        </w:rPr>
        <w:t>人员经费525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r>
        <w:rPr>
          <w:rFonts w:ascii="仿宋" w:hAnsi="仿宋" w:eastAsia="仿宋"/>
          <w:sz w:val="32"/>
          <w:szCs w:val="32"/>
        </w:rPr>
        <w:br w:type="textWrapping"/>
      </w:r>
      <w:r>
        <w:rPr>
          <w:rFonts w:hint="eastAsia" w:ascii="仿宋" w:hAnsi="仿宋" w:eastAsia="仿宋"/>
          <w:sz w:val="32"/>
          <w:szCs w:val="32"/>
        </w:rPr>
        <w:t>　　公用经费81.70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14:paraId="58F894E7">
      <w:pPr>
        <w:spacing w:line="600" w:lineRule="exact"/>
        <w:ind w:firstLine="640"/>
        <w:rPr>
          <w:rFonts w:ascii="仿宋" w:hAnsi="仿宋" w:eastAsia="仿宋"/>
          <w:b/>
          <w:sz w:val="32"/>
          <w:szCs w:val="32"/>
        </w:rPr>
      </w:pPr>
    </w:p>
    <w:p w14:paraId="72C45CED">
      <w:pPr>
        <w:spacing w:line="600" w:lineRule="exact"/>
        <w:ind w:firstLine="640"/>
        <w:outlineLvl w:val="1"/>
        <w:rPr>
          <w:rStyle w:val="29"/>
          <w:rFonts w:ascii="黑体" w:hAnsi="黑体" w:eastAsia="黑体"/>
          <w:b w:val="0"/>
        </w:rPr>
      </w:pPr>
      <w:bookmarkStart w:id="37" w:name="_Toc15377215"/>
      <w:bookmarkStart w:id="38" w:name="_Toc15396609"/>
      <w:r>
        <w:rPr>
          <w:rFonts w:hint="eastAsia" w:ascii="黑体" w:eastAsia="黑体"/>
          <w:sz w:val="32"/>
          <w:szCs w:val="32"/>
        </w:rPr>
        <w:t>七、</w:t>
      </w:r>
      <w:r>
        <w:rPr>
          <w:rStyle w:val="29"/>
          <w:rFonts w:hint="eastAsia" w:ascii="黑体" w:hAnsi="黑体" w:eastAsia="黑体"/>
          <w:b w:val="0"/>
        </w:rPr>
        <w:t>财政拨款</w:t>
      </w:r>
      <w:r>
        <w:rPr>
          <w:rStyle w:val="29"/>
          <w:rFonts w:hint="eastAsia" w:ascii="黑体" w:hAnsi="黑体" w:eastAsia="黑体"/>
        </w:rPr>
        <w:t>“</w:t>
      </w:r>
      <w:r>
        <w:rPr>
          <w:rStyle w:val="29"/>
          <w:rFonts w:hint="eastAsia" w:ascii="黑体" w:hAnsi="黑体" w:eastAsia="黑体"/>
          <w:b w:val="0"/>
        </w:rPr>
        <w:t>三公”经费支出决算情况说明</w:t>
      </w:r>
      <w:bookmarkEnd w:id="37"/>
      <w:bookmarkEnd w:id="38"/>
    </w:p>
    <w:p w14:paraId="0243A85A">
      <w:pPr>
        <w:spacing w:line="600" w:lineRule="exact"/>
        <w:ind w:firstLine="640"/>
        <w:outlineLvl w:val="2"/>
        <w:rPr>
          <w:rFonts w:ascii="仿宋" w:hAnsi="仿宋" w:eastAsia="仿宋"/>
          <w:b/>
          <w:sz w:val="32"/>
          <w:szCs w:val="32"/>
        </w:rPr>
      </w:pPr>
      <w:bookmarkStart w:id="39" w:name="_Toc15377216"/>
      <w:r>
        <w:rPr>
          <w:rFonts w:hint="eastAsia" w:ascii="仿宋" w:hAnsi="仿宋" w:eastAsia="仿宋"/>
          <w:b/>
          <w:sz w:val="32"/>
          <w:szCs w:val="32"/>
        </w:rPr>
        <w:t>（一）“三公”经费财政拨款支出决算总体情况说明</w:t>
      </w:r>
      <w:bookmarkEnd w:id="39"/>
    </w:p>
    <w:p w14:paraId="1608AC57">
      <w:pPr>
        <w:spacing w:line="600" w:lineRule="exact"/>
        <w:ind w:firstLine="640"/>
        <w:rPr>
          <w:rFonts w:ascii="仿宋" w:hAnsi="仿宋" w:eastAsia="仿宋"/>
          <w:sz w:val="32"/>
          <w:szCs w:val="32"/>
        </w:rPr>
      </w:pPr>
      <w:r>
        <w:rPr>
          <w:rFonts w:ascii="仿宋" w:hAnsi="仿宋" w:eastAsia="仿宋"/>
          <w:sz w:val="32"/>
          <w:szCs w:val="32"/>
        </w:rPr>
        <w:t>20</w:t>
      </w:r>
      <w:r>
        <w:rPr>
          <w:rFonts w:hint="eastAsia" w:ascii="仿宋" w:hAnsi="仿宋" w:eastAsia="仿宋"/>
          <w:sz w:val="32"/>
          <w:szCs w:val="32"/>
        </w:rPr>
        <w:t>22年“三公”经费财政拨款支出决算为4.14万元，完成预算100</w:t>
      </w:r>
      <w:r>
        <w:rPr>
          <w:rFonts w:ascii="仿宋" w:hAnsi="仿宋" w:eastAsia="仿宋"/>
          <w:sz w:val="32"/>
          <w:szCs w:val="32"/>
        </w:rPr>
        <w:t>%</w:t>
      </w:r>
      <w:r>
        <w:rPr>
          <w:rFonts w:hint="eastAsia" w:ascii="仿宋" w:hAnsi="仿宋" w:eastAsia="仿宋"/>
          <w:sz w:val="32"/>
          <w:szCs w:val="32"/>
        </w:rPr>
        <w:t>，较上年减少15.52万元，下降78.9%。决算数小于预算数的主要原因是项目减少，公务接待费用支出减少。</w:t>
      </w:r>
    </w:p>
    <w:p w14:paraId="056C2144">
      <w:pPr>
        <w:spacing w:line="600" w:lineRule="exact"/>
        <w:ind w:firstLine="640"/>
        <w:outlineLvl w:val="2"/>
        <w:rPr>
          <w:rFonts w:ascii="仿宋" w:hAnsi="仿宋" w:eastAsia="仿宋"/>
          <w:b/>
          <w:sz w:val="32"/>
          <w:szCs w:val="32"/>
        </w:rPr>
      </w:pPr>
      <w:bookmarkStart w:id="40" w:name="_Toc15377217"/>
      <w:r>
        <w:rPr>
          <w:rFonts w:hint="eastAsia" w:ascii="仿宋" w:hAnsi="仿宋" w:eastAsia="仿宋"/>
          <w:b/>
          <w:sz w:val="32"/>
          <w:szCs w:val="32"/>
        </w:rPr>
        <w:t>（二）“三公”经费财政拨款支出决算具体情况说明</w:t>
      </w:r>
      <w:bookmarkEnd w:id="40"/>
    </w:p>
    <w:p w14:paraId="34628E16">
      <w:pPr>
        <w:spacing w:line="600" w:lineRule="exact"/>
        <w:ind w:firstLine="640"/>
        <w:rPr>
          <w:rFonts w:ascii="仿宋" w:hAnsi="仿宋" w:eastAsia="仿宋"/>
          <w:sz w:val="32"/>
          <w:szCs w:val="32"/>
        </w:rPr>
      </w:pPr>
      <w:r>
        <w:rPr>
          <w:rFonts w:ascii="仿宋" w:hAnsi="仿宋" w:eastAsia="仿宋"/>
          <w:sz w:val="32"/>
          <w:szCs w:val="32"/>
        </w:rPr>
        <w:t>20</w:t>
      </w:r>
      <w:r>
        <w:rPr>
          <w:rFonts w:hint="eastAsia" w:ascii="仿宋" w:hAnsi="仿宋" w:eastAsia="仿宋"/>
          <w:sz w:val="32"/>
          <w:szCs w:val="32"/>
        </w:rPr>
        <w:t>22年“三公”经费财政拨款支出决算中，因公出国（境）费支出决算0万元，占0</w:t>
      </w:r>
      <w:r>
        <w:rPr>
          <w:rFonts w:ascii="仿宋" w:hAnsi="仿宋" w:eastAsia="仿宋"/>
          <w:sz w:val="32"/>
          <w:szCs w:val="32"/>
        </w:rPr>
        <w:t>%</w:t>
      </w:r>
      <w:r>
        <w:rPr>
          <w:rFonts w:hint="eastAsia" w:ascii="仿宋" w:hAnsi="仿宋" w:eastAsia="仿宋"/>
          <w:sz w:val="32"/>
          <w:szCs w:val="32"/>
        </w:rPr>
        <w:t>；公务用车购置及运行维护费支出决算3万元，占72.5</w:t>
      </w:r>
      <w:r>
        <w:rPr>
          <w:rFonts w:ascii="仿宋" w:hAnsi="仿宋" w:eastAsia="仿宋"/>
          <w:sz w:val="32"/>
          <w:szCs w:val="32"/>
        </w:rPr>
        <w:t>%</w:t>
      </w:r>
      <w:r>
        <w:rPr>
          <w:rFonts w:hint="eastAsia" w:ascii="仿宋" w:hAnsi="仿宋" w:eastAsia="仿宋"/>
          <w:sz w:val="32"/>
          <w:szCs w:val="32"/>
        </w:rPr>
        <w:t>；公务接待费支出决算1.14万元，占27.5</w:t>
      </w:r>
      <w:r>
        <w:rPr>
          <w:rFonts w:ascii="仿宋" w:hAnsi="仿宋" w:eastAsia="仿宋"/>
          <w:sz w:val="32"/>
          <w:szCs w:val="32"/>
        </w:rPr>
        <w:t>%</w:t>
      </w:r>
      <w:r>
        <w:rPr>
          <w:rFonts w:hint="eastAsia" w:ascii="仿宋" w:hAnsi="仿宋" w:eastAsia="仿宋"/>
          <w:sz w:val="32"/>
          <w:szCs w:val="32"/>
        </w:rPr>
        <w:t>。具体情况如下：</w:t>
      </w:r>
    </w:p>
    <w:p w14:paraId="2CE9EC81">
      <w:pPr>
        <w:spacing w:line="600" w:lineRule="exact"/>
        <w:rPr>
          <w:rFonts w:hint="eastAsia" w:ascii="仿宋" w:hAnsi="仿宋" w:eastAsia="仿宋"/>
          <w:sz w:val="32"/>
          <w:szCs w:val="32"/>
        </w:rPr>
      </w:pPr>
      <w:r>
        <w:rPr>
          <w:rFonts w:hint="eastAsia" w:ascii="仿宋" w:hAnsi="仿宋" w:eastAsia="仿宋"/>
          <w:sz w:val="32"/>
          <w:szCs w:val="32"/>
        </w:rPr>
        <w:drawing>
          <wp:anchor distT="0" distB="0" distL="114300" distR="114300" simplePos="0" relativeHeight="251665408" behindDoc="0" locked="0" layoutInCell="1" allowOverlap="1">
            <wp:simplePos x="0" y="0"/>
            <wp:positionH relativeFrom="column">
              <wp:posOffset>16510</wp:posOffset>
            </wp:positionH>
            <wp:positionV relativeFrom="paragraph">
              <wp:posOffset>156210</wp:posOffset>
            </wp:positionV>
            <wp:extent cx="5090160" cy="2611120"/>
            <wp:effectExtent l="19050" t="0" r="0" b="0"/>
            <wp:wrapTopAndBottom/>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a:picLocks noChangeAspect="1" noChangeArrowheads="1"/>
                    </pic:cNvPicPr>
                  </pic:nvPicPr>
                  <pic:blipFill>
                    <a:blip r:embed="rId12"/>
                    <a:srcRect/>
                    <a:stretch>
                      <a:fillRect/>
                    </a:stretch>
                  </pic:blipFill>
                  <pic:spPr>
                    <a:xfrm>
                      <a:off x="0" y="0"/>
                      <a:ext cx="5090160" cy="2611120"/>
                    </a:xfrm>
                    <a:prstGeom prst="rect">
                      <a:avLst/>
                    </a:prstGeom>
                    <a:noFill/>
                    <a:ln w="9525">
                      <a:noFill/>
                      <a:miter lim="800000"/>
                      <a:headEnd/>
                      <a:tailEnd/>
                    </a:ln>
                  </pic:spPr>
                </pic:pic>
              </a:graphicData>
            </a:graphic>
          </wp:anchor>
        </w:drawing>
      </w:r>
    </w:p>
    <w:p w14:paraId="7794A082">
      <w:pPr>
        <w:spacing w:line="600" w:lineRule="exact"/>
        <w:ind w:firstLine="640"/>
        <w:rPr>
          <w:rFonts w:ascii="仿宋" w:hAnsi="仿宋" w:eastAsia="仿宋"/>
          <w:sz w:val="32"/>
          <w:szCs w:val="32"/>
        </w:rPr>
      </w:pPr>
      <w:r>
        <w:rPr>
          <w:rFonts w:hint="eastAsia" w:ascii="仿宋" w:hAnsi="仿宋" w:eastAsia="仿宋"/>
          <w:sz w:val="32"/>
          <w:szCs w:val="32"/>
        </w:rPr>
        <w:t>（图7：“三公”经费财政拨款支出结构）（饼状图）</w:t>
      </w:r>
    </w:p>
    <w:p w14:paraId="262DE8EF">
      <w:pPr>
        <w:spacing w:line="600" w:lineRule="exact"/>
        <w:ind w:firstLine="640"/>
        <w:rPr>
          <w:rFonts w:ascii="仿宋" w:hAnsi="仿宋" w:eastAsia="仿宋"/>
          <w:sz w:val="32"/>
          <w:szCs w:val="32"/>
        </w:rPr>
      </w:pPr>
      <w:r>
        <w:rPr>
          <w:rFonts w:ascii="仿宋" w:hAnsi="仿宋" w:eastAsia="仿宋"/>
          <w:sz w:val="32"/>
          <w:szCs w:val="32"/>
        </w:rPr>
        <w:t>1.</w:t>
      </w:r>
      <w:r>
        <w:rPr>
          <w:rFonts w:hint="eastAsia" w:ascii="仿宋" w:hAnsi="仿宋" w:eastAsia="仿宋"/>
          <w:sz w:val="32"/>
          <w:szCs w:val="32"/>
        </w:rPr>
        <w:t>因公出国（境）经费支出0万元，完成预算0</w:t>
      </w:r>
      <w:r>
        <w:rPr>
          <w:rFonts w:ascii="仿宋" w:hAnsi="仿宋" w:eastAsia="仿宋"/>
          <w:sz w:val="32"/>
          <w:szCs w:val="32"/>
        </w:rPr>
        <w:t>%</w:t>
      </w:r>
      <w:r>
        <w:rPr>
          <w:rFonts w:hint="eastAsia" w:ascii="仿宋" w:hAnsi="仿宋" w:eastAsia="仿宋"/>
          <w:sz w:val="32"/>
          <w:szCs w:val="32"/>
        </w:rPr>
        <w:t>。全年安排因公出国（境）团组0次，出国（境）0人。因公出国（境）支出决算比</w:t>
      </w:r>
      <w:r>
        <w:rPr>
          <w:rFonts w:ascii="仿宋" w:hAnsi="仿宋" w:eastAsia="仿宋"/>
          <w:sz w:val="32"/>
          <w:szCs w:val="32"/>
        </w:rPr>
        <w:t>20</w:t>
      </w:r>
      <w:r>
        <w:rPr>
          <w:rFonts w:hint="eastAsia" w:ascii="仿宋" w:hAnsi="仿宋" w:eastAsia="仿宋"/>
          <w:sz w:val="32"/>
          <w:szCs w:val="32"/>
        </w:rPr>
        <w:t>21年增加</w:t>
      </w:r>
      <w:r>
        <w:rPr>
          <w:rFonts w:ascii="仿宋" w:hAnsi="仿宋" w:eastAsia="仿宋"/>
          <w:sz w:val="32"/>
          <w:szCs w:val="32"/>
        </w:rPr>
        <w:t>/</w:t>
      </w:r>
      <w:r>
        <w:rPr>
          <w:rFonts w:hint="eastAsia" w:ascii="仿宋" w:hAnsi="仿宋" w:eastAsia="仿宋"/>
          <w:sz w:val="32"/>
          <w:szCs w:val="32"/>
        </w:rPr>
        <w:t>减少0万元，增长</w:t>
      </w:r>
      <w:r>
        <w:rPr>
          <w:rFonts w:ascii="仿宋" w:hAnsi="仿宋" w:eastAsia="仿宋"/>
          <w:sz w:val="32"/>
          <w:szCs w:val="32"/>
        </w:rPr>
        <w:t>/</w:t>
      </w:r>
      <w:r>
        <w:rPr>
          <w:rFonts w:hint="eastAsia" w:ascii="仿宋" w:hAnsi="仿宋" w:eastAsia="仿宋"/>
          <w:sz w:val="32"/>
          <w:szCs w:val="32"/>
        </w:rPr>
        <w:t>下降0</w:t>
      </w:r>
      <w:r>
        <w:rPr>
          <w:rFonts w:ascii="仿宋" w:hAnsi="仿宋" w:eastAsia="仿宋"/>
          <w:sz w:val="32"/>
          <w:szCs w:val="32"/>
        </w:rPr>
        <w:t>%</w:t>
      </w:r>
      <w:r>
        <w:rPr>
          <w:rFonts w:hint="eastAsia" w:ascii="仿宋" w:hAnsi="仿宋" w:eastAsia="仿宋"/>
          <w:sz w:val="32"/>
          <w:szCs w:val="32"/>
        </w:rPr>
        <w:t>。主要原因是本年度本单位无因公出国（境）人员和开支。</w:t>
      </w:r>
    </w:p>
    <w:p w14:paraId="1414A512">
      <w:pPr>
        <w:spacing w:line="600" w:lineRule="exact"/>
        <w:ind w:firstLine="640"/>
        <w:rPr>
          <w:rFonts w:ascii="仿宋" w:hAnsi="仿宋" w:eastAsia="仿宋"/>
          <w:sz w:val="32"/>
          <w:szCs w:val="32"/>
        </w:rPr>
      </w:pPr>
      <w:r>
        <w:rPr>
          <w:rFonts w:hint="eastAsia" w:ascii="仿宋" w:hAnsi="仿宋" w:eastAsia="仿宋"/>
          <w:sz w:val="32"/>
          <w:szCs w:val="32"/>
        </w:rPr>
        <w:t>开支内容包括：无</w:t>
      </w:r>
    </w:p>
    <w:p w14:paraId="6FFCCF87">
      <w:pPr>
        <w:spacing w:line="600" w:lineRule="exact"/>
        <w:ind w:firstLine="640"/>
        <w:rPr>
          <w:rFonts w:ascii="仿宋" w:hAnsi="仿宋" w:eastAsia="仿宋"/>
          <w:sz w:val="32"/>
          <w:szCs w:val="32"/>
        </w:rPr>
      </w:pPr>
      <w:r>
        <w:rPr>
          <w:rFonts w:ascii="仿宋" w:hAnsi="仿宋" w:eastAsia="仿宋"/>
          <w:sz w:val="32"/>
          <w:szCs w:val="32"/>
        </w:rPr>
        <w:t>2.</w:t>
      </w:r>
      <w:r>
        <w:rPr>
          <w:rFonts w:hint="eastAsia" w:ascii="仿宋" w:hAnsi="仿宋" w:eastAsia="仿宋"/>
          <w:sz w:val="32"/>
          <w:szCs w:val="32"/>
        </w:rPr>
        <w:t>公务用车购置及运行维护费支出3万元,完成预算100</w:t>
      </w:r>
      <w:r>
        <w:rPr>
          <w:rFonts w:ascii="仿宋" w:hAnsi="仿宋" w:eastAsia="仿宋"/>
          <w:sz w:val="32"/>
          <w:szCs w:val="32"/>
        </w:rPr>
        <w:t>%</w:t>
      </w:r>
      <w:r>
        <w:rPr>
          <w:rFonts w:hint="eastAsia" w:ascii="仿宋" w:hAnsi="仿宋" w:eastAsia="仿宋"/>
          <w:sz w:val="32"/>
          <w:szCs w:val="32"/>
        </w:rPr>
        <w:t>。公务用车购置及运行维护费支出决算比</w:t>
      </w:r>
      <w:r>
        <w:rPr>
          <w:rFonts w:ascii="仿宋" w:hAnsi="仿宋" w:eastAsia="仿宋"/>
          <w:sz w:val="32"/>
          <w:szCs w:val="32"/>
        </w:rPr>
        <w:t>20</w:t>
      </w:r>
      <w:r>
        <w:rPr>
          <w:rFonts w:hint="eastAsia" w:ascii="仿宋" w:hAnsi="仿宋" w:eastAsia="仿宋"/>
          <w:sz w:val="32"/>
          <w:szCs w:val="32"/>
        </w:rPr>
        <w:t>21年减少13.66万元，下降82%。主要原因是今年未新购车辆。</w:t>
      </w:r>
    </w:p>
    <w:p w14:paraId="0D2543B3">
      <w:pPr>
        <w:spacing w:line="600" w:lineRule="exact"/>
        <w:ind w:firstLine="640" w:firstLineChars="200"/>
        <w:rPr>
          <w:rFonts w:ascii="仿宋" w:hAnsi="仿宋" w:eastAsia="仿宋"/>
          <w:sz w:val="32"/>
          <w:szCs w:val="32"/>
        </w:rPr>
      </w:pPr>
      <w:r>
        <w:rPr>
          <w:rFonts w:hint="eastAsia" w:ascii="仿宋" w:hAnsi="仿宋" w:eastAsia="仿宋"/>
          <w:sz w:val="32"/>
          <w:szCs w:val="32"/>
        </w:rPr>
        <w:t>其中：公务用车购置支出0万元。全年按规定更新购置公务用车0辆，其中：轿车0辆、金额0万元，越野车0辆、金额0万元，载客汽车0辆、金额0万元。截至</w:t>
      </w:r>
      <w:r>
        <w:rPr>
          <w:rFonts w:ascii="仿宋" w:hAnsi="仿宋" w:eastAsia="仿宋"/>
          <w:sz w:val="32"/>
          <w:szCs w:val="32"/>
        </w:rPr>
        <w:t>20</w:t>
      </w:r>
      <w:r>
        <w:rPr>
          <w:rFonts w:hint="eastAsia" w:ascii="仿宋" w:hAnsi="仿宋" w:eastAsia="仿宋"/>
          <w:sz w:val="32"/>
          <w:szCs w:val="32"/>
        </w:rPr>
        <w:t>22年</w:t>
      </w:r>
      <w:r>
        <w:rPr>
          <w:rFonts w:ascii="仿宋" w:hAnsi="仿宋" w:eastAsia="仿宋"/>
          <w:sz w:val="32"/>
          <w:szCs w:val="32"/>
        </w:rPr>
        <w:t>12</w:t>
      </w:r>
      <w:r>
        <w:rPr>
          <w:rFonts w:hint="eastAsia" w:ascii="仿宋" w:hAnsi="仿宋" w:eastAsia="仿宋"/>
          <w:sz w:val="32"/>
          <w:szCs w:val="32"/>
        </w:rPr>
        <w:t>月底，单位共有公务用车2辆，其中：轿车0辆、越野车1辆、载客汽车0辆，农业技术服务中心其他用车1辆。</w:t>
      </w:r>
    </w:p>
    <w:p w14:paraId="568290CE">
      <w:pPr>
        <w:spacing w:line="600" w:lineRule="exact"/>
        <w:ind w:firstLine="640"/>
        <w:rPr>
          <w:rFonts w:ascii="仿宋" w:hAnsi="仿宋" w:eastAsia="仿宋"/>
          <w:sz w:val="32"/>
          <w:szCs w:val="32"/>
        </w:rPr>
      </w:pPr>
      <w:r>
        <w:rPr>
          <w:rFonts w:hint="eastAsia" w:ascii="仿宋" w:hAnsi="仿宋" w:eastAsia="仿宋"/>
          <w:sz w:val="32"/>
          <w:szCs w:val="32"/>
        </w:rPr>
        <w:t>公务用车运行维护费支出3万元。主要用于到县级部门参会、汇报请示工作、下村指导调研、督促检查、应急处突、抢险救援工作等所需的公务用车燃料费、维修费、过路过桥费、保险费等支出。</w:t>
      </w:r>
    </w:p>
    <w:p w14:paraId="70E641C2">
      <w:pPr>
        <w:spacing w:line="600" w:lineRule="exact"/>
        <w:ind w:firstLine="640"/>
        <w:rPr>
          <w:rFonts w:ascii="仿宋" w:hAnsi="仿宋" w:eastAsia="仿宋"/>
          <w:sz w:val="32"/>
          <w:szCs w:val="32"/>
        </w:rPr>
      </w:pPr>
      <w:r>
        <w:rPr>
          <w:rFonts w:ascii="仿宋" w:hAnsi="仿宋" w:eastAsia="仿宋"/>
          <w:sz w:val="32"/>
          <w:szCs w:val="32"/>
        </w:rPr>
        <w:t>3.</w:t>
      </w:r>
      <w:r>
        <w:rPr>
          <w:rFonts w:hint="eastAsia" w:ascii="仿宋" w:hAnsi="仿宋" w:eastAsia="仿宋"/>
          <w:sz w:val="32"/>
          <w:szCs w:val="32"/>
        </w:rPr>
        <w:t>公务接待费支出1.14万元，完成预算100</w:t>
      </w:r>
      <w:r>
        <w:rPr>
          <w:rFonts w:ascii="仿宋" w:hAnsi="仿宋" w:eastAsia="仿宋"/>
          <w:sz w:val="32"/>
          <w:szCs w:val="32"/>
        </w:rPr>
        <w:t>%</w:t>
      </w:r>
      <w:r>
        <w:rPr>
          <w:rFonts w:hint="eastAsia" w:ascii="仿宋" w:hAnsi="仿宋" w:eastAsia="仿宋"/>
          <w:sz w:val="32"/>
          <w:szCs w:val="32"/>
        </w:rPr>
        <w:t>。公务接待费支出决算比</w:t>
      </w:r>
      <w:r>
        <w:rPr>
          <w:rFonts w:ascii="仿宋" w:hAnsi="仿宋" w:eastAsia="仿宋"/>
          <w:sz w:val="32"/>
          <w:szCs w:val="32"/>
        </w:rPr>
        <w:t>20</w:t>
      </w:r>
      <w:r>
        <w:rPr>
          <w:rFonts w:hint="eastAsia" w:ascii="仿宋" w:hAnsi="仿宋" w:eastAsia="仿宋"/>
          <w:sz w:val="32"/>
          <w:szCs w:val="32"/>
        </w:rPr>
        <w:t>21年减少1.86万元，下降62</w:t>
      </w:r>
      <w:r>
        <w:rPr>
          <w:rFonts w:ascii="仿宋" w:hAnsi="仿宋" w:eastAsia="仿宋"/>
          <w:sz w:val="32"/>
          <w:szCs w:val="32"/>
        </w:rPr>
        <w:t xml:space="preserve"> %</w:t>
      </w:r>
      <w:r>
        <w:rPr>
          <w:rFonts w:hint="eastAsia" w:ascii="仿宋" w:hAnsi="仿宋" w:eastAsia="仿宋"/>
          <w:sz w:val="32"/>
          <w:szCs w:val="32"/>
        </w:rPr>
        <w:t>。主要原因是项目减少接待减少。其中：</w:t>
      </w:r>
    </w:p>
    <w:p w14:paraId="3B245BE5">
      <w:pPr>
        <w:spacing w:line="600" w:lineRule="exact"/>
        <w:ind w:firstLine="640"/>
        <w:rPr>
          <w:rFonts w:ascii="仿宋" w:hAnsi="仿宋" w:eastAsia="仿宋"/>
          <w:sz w:val="32"/>
          <w:szCs w:val="32"/>
        </w:rPr>
      </w:pPr>
      <w:r>
        <w:rPr>
          <w:rFonts w:hint="eastAsia" w:ascii="仿宋" w:hAnsi="仿宋" w:eastAsia="仿宋"/>
          <w:sz w:val="32"/>
          <w:szCs w:val="32"/>
        </w:rPr>
        <w:t>国内公务接待支出1.14万元，主要用于执行公务、开展业务活动开支的交通费、住宿费、用餐费等。国内公务接待40批次，113人次（不包括陪同人员），共计支出1.14万元，具体内容包括：上级部门到我乡检查指导工作40批次，共支出1.13万元。</w:t>
      </w:r>
    </w:p>
    <w:p w14:paraId="2221A65C">
      <w:pPr>
        <w:spacing w:line="600" w:lineRule="exact"/>
        <w:ind w:firstLine="640"/>
        <w:outlineLvl w:val="1"/>
        <w:rPr>
          <w:rFonts w:ascii="仿宋" w:hAnsi="仿宋" w:eastAsia="仿宋"/>
          <w:sz w:val="32"/>
          <w:szCs w:val="32"/>
        </w:rPr>
      </w:pPr>
      <w:bookmarkStart w:id="41" w:name="_Toc15377218"/>
      <w:bookmarkStart w:id="42" w:name="_Toc15396610"/>
    </w:p>
    <w:p w14:paraId="7D3028C9">
      <w:pPr>
        <w:spacing w:line="600" w:lineRule="exact"/>
        <w:ind w:firstLine="640"/>
        <w:outlineLvl w:val="1"/>
        <w:rPr>
          <w:rStyle w:val="29"/>
          <w:rFonts w:ascii="黑体" w:hAnsi="黑体" w:eastAsia="黑体"/>
        </w:rPr>
      </w:pPr>
      <w:r>
        <w:rPr>
          <w:rFonts w:hint="eastAsia" w:ascii="黑体" w:eastAsia="黑体"/>
          <w:sz w:val="32"/>
          <w:szCs w:val="32"/>
        </w:rPr>
        <w:t>八、</w:t>
      </w:r>
      <w:r>
        <w:rPr>
          <w:rStyle w:val="29"/>
          <w:rFonts w:hint="eastAsia" w:ascii="黑体" w:hAnsi="黑体" w:eastAsia="黑体"/>
          <w:b w:val="0"/>
        </w:rPr>
        <w:t>政府性基金预算支出决算情况说明</w:t>
      </w:r>
      <w:bookmarkEnd w:id="41"/>
      <w:bookmarkEnd w:id="42"/>
    </w:p>
    <w:p w14:paraId="6B8E1562">
      <w:pPr>
        <w:spacing w:line="600" w:lineRule="exact"/>
        <w:ind w:firstLine="640"/>
        <w:rPr>
          <w:rFonts w:ascii="仿宋" w:hAnsi="仿宋" w:eastAsia="仿宋"/>
          <w:sz w:val="32"/>
          <w:szCs w:val="32"/>
        </w:rPr>
      </w:pPr>
      <w:r>
        <w:rPr>
          <w:rFonts w:ascii="仿宋" w:hAnsi="仿宋" w:eastAsia="仿宋"/>
          <w:sz w:val="32"/>
          <w:szCs w:val="32"/>
        </w:rPr>
        <w:t>20</w:t>
      </w:r>
      <w:r>
        <w:rPr>
          <w:rFonts w:hint="eastAsia" w:ascii="仿宋" w:hAnsi="仿宋" w:eastAsia="仿宋"/>
          <w:sz w:val="32"/>
          <w:szCs w:val="32"/>
        </w:rPr>
        <w:t>22年政府性基金预算财政拨款支出0万元。</w:t>
      </w:r>
    </w:p>
    <w:p w14:paraId="60B51BCE">
      <w:pPr>
        <w:spacing w:line="600" w:lineRule="exact"/>
        <w:ind w:firstLine="640"/>
        <w:rPr>
          <w:rFonts w:ascii="FangSong_GB2312" w:eastAsia="FangSong_GB2312"/>
          <w:sz w:val="32"/>
          <w:szCs w:val="32"/>
        </w:rPr>
      </w:pPr>
    </w:p>
    <w:p w14:paraId="4E1C2F64">
      <w:pPr>
        <w:numPr>
          <w:ilvl w:val="0"/>
          <w:numId w:val="3"/>
        </w:numPr>
        <w:spacing w:line="600" w:lineRule="exact"/>
        <w:ind w:firstLine="640"/>
        <w:outlineLvl w:val="1"/>
        <w:rPr>
          <w:rStyle w:val="29"/>
          <w:rFonts w:ascii="黑体" w:hAnsi="黑体" w:eastAsia="黑体"/>
          <w:b w:val="0"/>
        </w:rPr>
      </w:pPr>
      <w:bookmarkStart w:id="43" w:name="_Toc15377219"/>
      <w:bookmarkStart w:id="44" w:name="_Toc15396611"/>
      <w:r>
        <w:rPr>
          <w:rStyle w:val="29"/>
          <w:rFonts w:hint="eastAsia" w:ascii="黑体" w:hAnsi="黑体" w:eastAsia="黑体"/>
          <w:b w:val="0"/>
        </w:rPr>
        <w:t>国有资本经营预算支出决算情况说明</w:t>
      </w:r>
      <w:bookmarkEnd w:id="43"/>
      <w:bookmarkEnd w:id="44"/>
    </w:p>
    <w:p w14:paraId="5CB64F58">
      <w:pPr>
        <w:spacing w:line="600" w:lineRule="exact"/>
        <w:ind w:firstLine="640"/>
        <w:rPr>
          <w:rFonts w:ascii="仿宋" w:hAnsi="仿宋" w:eastAsia="仿宋"/>
          <w:sz w:val="32"/>
          <w:szCs w:val="32"/>
        </w:rPr>
      </w:pPr>
      <w:r>
        <w:rPr>
          <w:rFonts w:ascii="仿宋" w:hAnsi="仿宋" w:eastAsia="仿宋"/>
          <w:sz w:val="32"/>
          <w:szCs w:val="32"/>
        </w:rPr>
        <w:t>20</w:t>
      </w:r>
      <w:r>
        <w:rPr>
          <w:rFonts w:hint="eastAsia" w:ascii="仿宋" w:hAnsi="仿宋" w:eastAsia="仿宋"/>
          <w:sz w:val="32"/>
          <w:szCs w:val="32"/>
        </w:rPr>
        <w:t>22年国有资本经营预算财政拨款支出0万元。</w:t>
      </w:r>
    </w:p>
    <w:p w14:paraId="46F3B950">
      <w:pPr>
        <w:spacing w:line="580" w:lineRule="exact"/>
        <w:jc w:val="center"/>
        <w:rPr>
          <w:rFonts w:ascii="方正小标宋简体" w:hAnsi="方正小标宋简体" w:eastAsia="方正小标宋简体" w:cs="方正小标宋简体"/>
          <w:sz w:val="44"/>
          <w:szCs w:val="44"/>
        </w:rPr>
      </w:pPr>
    </w:p>
    <w:p w14:paraId="7C8B8BC6">
      <w:pPr>
        <w:numPr>
          <w:ilvl w:val="0"/>
          <w:numId w:val="3"/>
        </w:numPr>
        <w:spacing w:line="600" w:lineRule="exact"/>
        <w:ind w:firstLine="640"/>
        <w:outlineLvl w:val="1"/>
        <w:rPr>
          <w:rStyle w:val="29"/>
          <w:rFonts w:ascii="黑体" w:hAnsi="黑体" w:eastAsia="黑体"/>
          <w:b w:val="0"/>
        </w:rPr>
      </w:pPr>
      <w:bookmarkStart w:id="45" w:name="_Toc15377221"/>
      <w:bookmarkStart w:id="46" w:name="_Toc15396612"/>
      <w:r>
        <w:rPr>
          <w:rStyle w:val="29"/>
          <w:rFonts w:hint="eastAsia" w:ascii="黑体" w:hAnsi="黑体" w:eastAsia="黑体"/>
          <w:b w:val="0"/>
        </w:rPr>
        <w:t>其他重要事项的情况说明</w:t>
      </w:r>
      <w:bookmarkEnd w:id="45"/>
      <w:bookmarkEnd w:id="46"/>
    </w:p>
    <w:p w14:paraId="33DEF9DE">
      <w:pPr>
        <w:spacing w:line="600" w:lineRule="exact"/>
        <w:ind w:firstLine="643" w:firstLineChars="200"/>
        <w:outlineLvl w:val="2"/>
        <w:rPr>
          <w:rFonts w:ascii="仿宋" w:hAnsi="仿宋" w:eastAsia="仿宋"/>
          <w:sz w:val="32"/>
          <w:szCs w:val="32"/>
        </w:rPr>
      </w:pPr>
      <w:bookmarkStart w:id="47" w:name="_Toc15377222"/>
      <w:r>
        <w:rPr>
          <w:rFonts w:hint="eastAsia" w:ascii="仿宋" w:hAnsi="仿宋" w:eastAsia="仿宋"/>
          <w:b/>
          <w:sz w:val="32"/>
          <w:szCs w:val="32"/>
        </w:rPr>
        <w:t>（一）机关运行经费支出情况</w:t>
      </w:r>
      <w:bookmarkEnd w:id="47"/>
    </w:p>
    <w:p w14:paraId="7FFDA904">
      <w:pPr>
        <w:spacing w:line="600" w:lineRule="exact"/>
        <w:ind w:firstLine="640" w:firstLineChars="200"/>
        <w:rPr>
          <w:rFonts w:ascii="仿宋" w:hAnsi="仿宋" w:eastAsia="仿宋"/>
          <w:sz w:val="32"/>
          <w:szCs w:val="32"/>
        </w:rPr>
      </w:pPr>
      <w:r>
        <w:rPr>
          <w:rFonts w:ascii="仿宋" w:hAnsi="仿宋" w:eastAsia="仿宋"/>
          <w:sz w:val="32"/>
          <w:szCs w:val="32"/>
        </w:rPr>
        <w:t>20</w:t>
      </w:r>
      <w:r>
        <w:rPr>
          <w:rFonts w:hint="eastAsia" w:ascii="仿宋" w:hAnsi="仿宋" w:eastAsia="仿宋"/>
          <w:sz w:val="32"/>
          <w:szCs w:val="32"/>
        </w:rPr>
        <w:t>22年，杨村乡人民政府机关运行经费支出81.70万元，比</w:t>
      </w:r>
      <w:r>
        <w:rPr>
          <w:rFonts w:ascii="仿宋" w:hAnsi="仿宋" w:eastAsia="仿宋"/>
          <w:sz w:val="32"/>
          <w:szCs w:val="32"/>
        </w:rPr>
        <w:t>20</w:t>
      </w:r>
      <w:r>
        <w:rPr>
          <w:rFonts w:hint="eastAsia" w:ascii="仿宋" w:hAnsi="仿宋" w:eastAsia="仿宋"/>
          <w:sz w:val="32"/>
          <w:szCs w:val="32"/>
        </w:rPr>
        <w:t>21年减少7.73万元，下降8.6</w:t>
      </w:r>
      <w:r>
        <w:rPr>
          <w:rFonts w:ascii="仿宋" w:hAnsi="仿宋" w:eastAsia="仿宋"/>
          <w:sz w:val="32"/>
          <w:szCs w:val="32"/>
        </w:rPr>
        <w:t>%</w:t>
      </w:r>
      <w:r>
        <w:rPr>
          <w:rFonts w:hint="eastAsia" w:ascii="仿宋" w:hAnsi="仿宋" w:eastAsia="仿宋"/>
          <w:sz w:val="32"/>
          <w:szCs w:val="32"/>
        </w:rPr>
        <w:t>。主要原因是厉行节约，严格控制缩减公务接待费。</w:t>
      </w:r>
    </w:p>
    <w:p w14:paraId="30C38C25">
      <w:pPr>
        <w:autoSpaceDE w:val="0"/>
        <w:autoSpaceDN w:val="0"/>
        <w:adjustRightInd w:val="0"/>
        <w:spacing w:line="600" w:lineRule="exact"/>
        <w:ind w:firstLine="643" w:firstLineChars="200"/>
        <w:jc w:val="left"/>
        <w:outlineLvl w:val="2"/>
        <w:rPr>
          <w:rFonts w:ascii="仿宋" w:hAnsi="仿宋" w:eastAsia="仿宋"/>
          <w:b/>
          <w:sz w:val="32"/>
          <w:szCs w:val="32"/>
        </w:rPr>
      </w:pPr>
      <w:bookmarkStart w:id="48" w:name="_Toc15377223"/>
      <w:r>
        <w:rPr>
          <w:rFonts w:hint="eastAsia" w:ascii="仿宋" w:hAnsi="仿宋" w:eastAsia="仿宋"/>
          <w:b/>
          <w:sz w:val="32"/>
          <w:szCs w:val="32"/>
        </w:rPr>
        <w:t>（二）政府采购支出情况</w:t>
      </w:r>
      <w:bookmarkEnd w:id="48"/>
    </w:p>
    <w:p w14:paraId="039BF75B">
      <w:pPr>
        <w:spacing w:line="600" w:lineRule="exact"/>
        <w:ind w:firstLine="640" w:firstLineChars="200"/>
        <w:rPr>
          <w:rFonts w:ascii="仿宋" w:hAnsi="仿宋" w:eastAsia="仿宋"/>
          <w:sz w:val="32"/>
          <w:szCs w:val="32"/>
        </w:rPr>
      </w:pPr>
      <w:r>
        <w:rPr>
          <w:rFonts w:ascii="仿宋" w:hAnsi="仿宋" w:eastAsia="仿宋"/>
          <w:sz w:val="32"/>
          <w:szCs w:val="32"/>
        </w:rPr>
        <w:t>20</w:t>
      </w:r>
      <w:r>
        <w:rPr>
          <w:rFonts w:hint="eastAsia" w:ascii="仿宋" w:hAnsi="仿宋" w:eastAsia="仿宋"/>
          <w:sz w:val="32"/>
          <w:szCs w:val="32"/>
        </w:rPr>
        <w:t>22年，杨村乡人民政府采购支出总额0万元，其中：政府采购货物支出0万元、政府采购工程支出0万元、政府采购服务支出0万元。授予中小企业合同金额0万元，占政府采购支出总额的0</w:t>
      </w:r>
      <w:r>
        <w:rPr>
          <w:rFonts w:ascii="仿宋" w:hAnsi="仿宋" w:eastAsia="仿宋"/>
          <w:sz w:val="32"/>
          <w:szCs w:val="32"/>
        </w:rPr>
        <w:t>%</w:t>
      </w:r>
      <w:r>
        <w:rPr>
          <w:rFonts w:hint="eastAsia" w:ascii="仿宋" w:hAnsi="仿宋" w:eastAsia="仿宋"/>
          <w:sz w:val="32"/>
          <w:szCs w:val="32"/>
        </w:rPr>
        <w:t>，其中：授予小微企业合同金额0万元，占政府采购支出总额的0</w:t>
      </w:r>
      <w:r>
        <w:rPr>
          <w:rFonts w:ascii="仿宋" w:hAnsi="仿宋" w:eastAsia="仿宋"/>
          <w:sz w:val="32"/>
          <w:szCs w:val="32"/>
        </w:rPr>
        <w:t>%</w:t>
      </w:r>
      <w:r>
        <w:rPr>
          <w:rFonts w:hint="eastAsia" w:ascii="仿宋" w:hAnsi="仿宋" w:eastAsia="仿宋"/>
          <w:sz w:val="32"/>
          <w:szCs w:val="32"/>
        </w:rPr>
        <w:t>。</w:t>
      </w:r>
    </w:p>
    <w:p w14:paraId="5EE31288">
      <w:pPr>
        <w:autoSpaceDE w:val="0"/>
        <w:autoSpaceDN w:val="0"/>
        <w:adjustRightInd w:val="0"/>
        <w:spacing w:line="600" w:lineRule="exact"/>
        <w:ind w:firstLine="643" w:firstLineChars="200"/>
        <w:jc w:val="left"/>
        <w:outlineLvl w:val="2"/>
        <w:rPr>
          <w:rFonts w:ascii="仿宋" w:hAnsi="仿宋" w:eastAsia="仿宋"/>
          <w:b/>
          <w:sz w:val="32"/>
          <w:szCs w:val="32"/>
        </w:rPr>
      </w:pPr>
      <w:bookmarkStart w:id="49" w:name="_Toc15377224"/>
      <w:r>
        <w:rPr>
          <w:rFonts w:hint="eastAsia" w:ascii="仿宋" w:hAnsi="仿宋" w:eastAsia="仿宋"/>
          <w:b/>
          <w:sz w:val="32"/>
          <w:szCs w:val="32"/>
        </w:rPr>
        <w:t>（三）国有资产占有使用情况</w:t>
      </w:r>
      <w:bookmarkEnd w:id="49"/>
    </w:p>
    <w:p w14:paraId="6CA4060E">
      <w:pPr>
        <w:autoSpaceDE w:val="0"/>
        <w:autoSpaceDN w:val="0"/>
        <w:adjustRightInd w:val="0"/>
        <w:spacing w:line="600" w:lineRule="exact"/>
        <w:ind w:firstLine="640" w:firstLineChars="200"/>
        <w:jc w:val="left"/>
        <w:rPr>
          <w:rFonts w:ascii="仿宋" w:hAnsi="仿宋" w:eastAsia="仿宋"/>
          <w:sz w:val="32"/>
          <w:szCs w:val="32"/>
        </w:rPr>
      </w:pPr>
      <w:r>
        <w:rPr>
          <w:rFonts w:hint="eastAsia" w:ascii="仿宋" w:hAnsi="仿宋" w:eastAsia="仿宋"/>
          <w:sz w:val="32"/>
          <w:szCs w:val="32"/>
        </w:rPr>
        <w:t>截至</w:t>
      </w:r>
      <w:r>
        <w:rPr>
          <w:rFonts w:ascii="仿宋" w:hAnsi="仿宋" w:eastAsia="仿宋"/>
          <w:sz w:val="32"/>
          <w:szCs w:val="32"/>
        </w:rPr>
        <w:t>20</w:t>
      </w:r>
      <w:r>
        <w:rPr>
          <w:rFonts w:hint="eastAsia" w:ascii="仿宋" w:hAnsi="仿宋" w:eastAsia="仿宋"/>
          <w:sz w:val="32"/>
          <w:szCs w:val="32"/>
        </w:rPr>
        <w:t>22年</w:t>
      </w:r>
      <w:r>
        <w:rPr>
          <w:rFonts w:ascii="仿宋" w:hAnsi="仿宋" w:eastAsia="仿宋"/>
          <w:sz w:val="32"/>
          <w:szCs w:val="32"/>
        </w:rPr>
        <w:t>12</w:t>
      </w:r>
      <w:r>
        <w:rPr>
          <w:rFonts w:hint="eastAsia" w:ascii="仿宋" w:hAnsi="仿宋" w:eastAsia="仿宋"/>
          <w:sz w:val="32"/>
          <w:szCs w:val="32"/>
        </w:rPr>
        <w:t>月</w:t>
      </w:r>
      <w:r>
        <w:rPr>
          <w:rFonts w:ascii="仿宋" w:hAnsi="仿宋" w:eastAsia="仿宋"/>
          <w:sz w:val="32"/>
          <w:szCs w:val="32"/>
        </w:rPr>
        <w:t>31</w:t>
      </w:r>
      <w:r>
        <w:rPr>
          <w:rFonts w:hint="eastAsia" w:ascii="仿宋" w:hAnsi="仿宋" w:eastAsia="仿宋"/>
          <w:sz w:val="32"/>
          <w:szCs w:val="32"/>
        </w:rPr>
        <w:t>日，杨村乡人民政府共有车辆2辆，其中：主要领导干部用车0辆、机要通信用车0辆、应急保障用车0辆、其他用车2辆，其他用车主要是用于下村指导调研、督促检查、应急处突、抢险救援工作等。单价</w:t>
      </w:r>
      <w:r>
        <w:rPr>
          <w:rFonts w:ascii="仿宋" w:hAnsi="仿宋" w:eastAsia="仿宋"/>
          <w:sz w:val="32"/>
          <w:szCs w:val="32"/>
        </w:rPr>
        <w:t>100</w:t>
      </w:r>
      <w:r>
        <w:rPr>
          <w:rFonts w:hint="eastAsia" w:ascii="仿宋" w:hAnsi="仿宋" w:eastAsia="仿宋"/>
          <w:sz w:val="32"/>
          <w:szCs w:val="32"/>
        </w:rPr>
        <w:t>万元以上专用设备0台（套）。</w:t>
      </w:r>
    </w:p>
    <w:p w14:paraId="18B3BD88">
      <w:pPr>
        <w:autoSpaceDE w:val="0"/>
        <w:autoSpaceDN w:val="0"/>
        <w:adjustRightInd w:val="0"/>
        <w:spacing w:line="600" w:lineRule="exact"/>
        <w:ind w:firstLine="643" w:firstLineChars="200"/>
        <w:jc w:val="left"/>
        <w:outlineLvl w:val="2"/>
        <w:rPr>
          <w:rFonts w:ascii="仿宋" w:hAnsi="仿宋" w:eastAsia="仿宋"/>
          <w:b/>
          <w:sz w:val="32"/>
          <w:szCs w:val="32"/>
        </w:rPr>
      </w:pPr>
      <w:r>
        <w:rPr>
          <w:rFonts w:hint="eastAsia" w:ascii="仿宋" w:hAnsi="仿宋" w:eastAsia="仿宋"/>
          <w:b/>
          <w:sz w:val="32"/>
          <w:szCs w:val="32"/>
        </w:rPr>
        <w:t>（四）预算绩效管理情况</w:t>
      </w:r>
    </w:p>
    <w:p w14:paraId="5F094B1E">
      <w:pPr>
        <w:widowControl/>
        <w:ind w:firstLine="640" w:firstLineChars="200"/>
        <w:jc w:val="left"/>
        <w:rPr>
          <w:rFonts w:ascii="仿宋" w:hAnsi="仿宋" w:eastAsia="仿宋"/>
          <w:sz w:val="32"/>
          <w:szCs w:val="32"/>
        </w:rPr>
      </w:pPr>
      <w:r>
        <w:rPr>
          <w:rFonts w:hint="eastAsia" w:ascii="仿宋" w:hAnsi="仿宋" w:eastAsia="仿宋"/>
          <w:sz w:val="32"/>
          <w:szCs w:val="32"/>
        </w:rPr>
        <w:t>根据预算绩效管理要求，本部门在2022年度预算编制阶段，组织对乡镇便民服务中心（站）日常运维费、乡（镇）村便民服务体系建设资金、乡镇普法依法治理经费、乡镇老协活动经费、农村生活垃圾治理资金、乡镇环境综合治理长效管理经费、杨村乡碑坪村、两路村茶叶加工厂电力设施安装工程项目、2022年基层组织活动和公共服务运行经费、村（社区）代办点日常运行维费、第一书记和工作队工作经费、乡镇安全监管工作经费、乡镇民兵业务经费、“有事来协商”平台建设经费。等13个项目开展了预算事前绩效评估，对13个项目编制了绩效目标，预算执行过程中，选取13个项目开展绩效监控。</w:t>
      </w:r>
    </w:p>
    <w:p w14:paraId="203F888D">
      <w:pPr>
        <w:widowControl/>
        <w:ind w:firstLine="640" w:firstLineChars="200"/>
        <w:jc w:val="left"/>
        <w:rPr>
          <w:rFonts w:ascii="FangSong_GB2312" w:eastAsia="FangSong_GB2312"/>
          <w:b/>
          <w:sz w:val="32"/>
          <w:szCs w:val="32"/>
        </w:rPr>
      </w:pPr>
      <w:r>
        <w:rPr>
          <w:rFonts w:hint="eastAsia" w:ascii="仿宋" w:hAnsi="仿宋" w:eastAsia="仿宋"/>
          <w:sz w:val="32"/>
          <w:szCs w:val="32"/>
        </w:rPr>
        <w:t>组织对2022年度一般公共预算、政府性基金预算、国有资本经营预算、社会保险基金预算以及资本资产、债券资金等全面开展绩效自评，形成沐川县杨村乡人民政府整体（含部门预算项目）绩效自评报告、第一书记和工作队工作经费等专项预算项目绩效自评报告，其中，2022年度部门整体（含部门预算项目）绩效自评得分为100分，绩效自评综述：贯彻落实党的路线方针政策和国家法律法规以及上级党委、政府的决议、决定和命令，执行乡党委和乡人民代表大会的决议，加强农村基层政权建设，巩固党在农村的执政基础。以党建引领我乡各项工作，在经济社会发展规划和乡国土空间规划，推进农业经济结构调整，促进经济增长、农业增效、农民增收，农村公共服务体系建设，自然资源、生态环境保护、森林防火、防汛抗旱、粮食安全，推进基层民主法治建设，社会安全稳定，国防教育等等方面均取得了良好的成绩，部门整体绩效情况良好。2022年度专项预算项目绩效自评得分为100分，绩效自评综述：预算项目未偏离绩效目标，执行情况良好。绩效自评报告详见附件。</w:t>
      </w:r>
      <w:r>
        <w:rPr>
          <w:rFonts w:ascii="FangSong_GB2312" w:eastAsia="FangSong_GB2312"/>
          <w:b/>
          <w:sz w:val="32"/>
          <w:szCs w:val="32"/>
        </w:rPr>
        <w:br w:type="page"/>
      </w:r>
    </w:p>
    <w:p w14:paraId="0B096B05">
      <w:pPr>
        <w:numPr>
          <w:ilvl w:val="0"/>
          <w:numId w:val="4"/>
        </w:numPr>
        <w:spacing w:line="600" w:lineRule="exact"/>
        <w:ind w:firstLine="660" w:firstLineChars="150"/>
        <w:jc w:val="center"/>
        <w:outlineLvl w:val="0"/>
        <w:rPr>
          <w:rStyle w:val="28"/>
          <w:rFonts w:ascii="黑体" w:hAnsi="黑体" w:eastAsia="黑体"/>
          <w:b w:val="0"/>
        </w:rPr>
      </w:pPr>
      <w:bookmarkStart w:id="50" w:name="_Toc15396613"/>
      <w:bookmarkStart w:id="51" w:name="_Toc15377225"/>
      <w:r>
        <w:rPr>
          <w:rFonts w:hint="eastAsia" w:ascii="黑体" w:hAnsi="黑体" w:eastAsia="黑体"/>
          <w:sz w:val="44"/>
          <w:szCs w:val="44"/>
        </w:rPr>
        <w:t>名</w:t>
      </w:r>
      <w:r>
        <w:rPr>
          <w:rStyle w:val="28"/>
          <w:rFonts w:hint="eastAsia" w:ascii="黑体" w:hAnsi="黑体" w:eastAsia="黑体"/>
          <w:b w:val="0"/>
        </w:rPr>
        <w:t>词解释</w:t>
      </w:r>
      <w:bookmarkEnd w:id="50"/>
      <w:bookmarkEnd w:id="51"/>
    </w:p>
    <w:p w14:paraId="34CC7FEA">
      <w:pPr>
        <w:spacing w:line="600" w:lineRule="exact"/>
        <w:jc w:val="left"/>
        <w:rPr>
          <w:rFonts w:ascii="宋体"/>
          <w:b/>
          <w:sz w:val="44"/>
          <w:szCs w:val="44"/>
        </w:rPr>
      </w:pPr>
    </w:p>
    <w:p w14:paraId="7AB928B3">
      <w:pPr>
        <w:pStyle w:val="26"/>
        <w:spacing w:line="560" w:lineRule="exact"/>
        <w:ind w:firstLine="640" w:firstLineChars="200"/>
        <w:rPr>
          <w:rFonts w:hAnsi="仿宋" w:cs="Times New Roman"/>
          <w:color w:val="auto"/>
          <w:kern w:val="2"/>
          <w:sz w:val="32"/>
          <w:szCs w:val="32"/>
        </w:rPr>
      </w:pPr>
      <w:r>
        <w:rPr>
          <w:rFonts w:ascii="FangSong_GB2312" w:eastAsia="FangSong_GB2312"/>
          <w:color w:val="auto"/>
          <w:sz w:val="32"/>
          <w:szCs w:val="32"/>
        </w:rPr>
        <w:t>1.</w:t>
      </w:r>
      <w:r>
        <w:rPr>
          <w:rFonts w:hint="eastAsia" w:hAnsi="仿宋" w:cs="Times New Roman"/>
          <w:color w:val="auto"/>
          <w:kern w:val="2"/>
          <w:sz w:val="32"/>
          <w:szCs w:val="32"/>
        </w:rPr>
        <w:t>财政拨款收入：指单位从同级财政部门取得的财政预算资金。</w:t>
      </w:r>
    </w:p>
    <w:p w14:paraId="3B6FA611">
      <w:pPr>
        <w:pStyle w:val="26"/>
        <w:spacing w:line="560" w:lineRule="exact"/>
        <w:ind w:firstLine="640" w:firstLineChars="200"/>
        <w:rPr>
          <w:rFonts w:hAnsi="仿宋" w:cs="Times New Roman"/>
          <w:color w:val="auto"/>
          <w:kern w:val="2"/>
          <w:sz w:val="32"/>
          <w:szCs w:val="32"/>
        </w:rPr>
      </w:pPr>
      <w:r>
        <w:rPr>
          <w:rFonts w:hAnsi="仿宋" w:cs="Times New Roman"/>
          <w:color w:val="auto"/>
          <w:kern w:val="2"/>
          <w:sz w:val="32"/>
          <w:szCs w:val="32"/>
        </w:rPr>
        <w:t>2.</w:t>
      </w:r>
      <w:r>
        <w:rPr>
          <w:rFonts w:hint="eastAsia" w:hAnsi="仿宋" w:cs="Times New Roman"/>
          <w:color w:val="auto"/>
          <w:kern w:val="2"/>
          <w:sz w:val="32"/>
          <w:szCs w:val="32"/>
        </w:rPr>
        <w:t>事业收入：指事业单位开展专业业务活动及辅助活动取得的收入。如…（二级预算单位事业收入情况）等。</w:t>
      </w:r>
    </w:p>
    <w:p w14:paraId="28219655">
      <w:pPr>
        <w:pStyle w:val="26"/>
        <w:spacing w:line="560" w:lineRule="exact"/>
        <w:ind w:firstLine="640" w:firstLineChars="200"/>
        <w:rPr>
          <w:rFonts w:hAnsi="仿宋" w:cs="Times New Roman"/>
          <w:color w:val="auto"/>
          <w:kern w:val="2"/>
          <w:sz w:val="32"/>
          <w:szCs w:val="32"/>
        </w:rPr>
      </w:pPr>
      <w:r>
        <w:rPr>
          <w:rFonts w:hAnsi="仿宋" w:cs="Times New Roman"/>
          <w:color w:val="auto"/>
          <w:kern w:val="2"/>
          <w:sz w:val="32"/>
          <w:szCs w:val="32"/>
        </w:rPr>
        <w:t>3.</w:t>
      </w:r>
      <w:r>
        <w:rPr>
          <w:rFonts w:hint="eastAsia" w:hAnsi="仿宋" w:cs="Times New Roman"/>
          <w:color w:val="auto"/>
          <w:kern w:val="2"/>
          <w:sz w:val="32"/>
          <w:szCs w:val="32"/>
        </w:rPr>
        <w:t>经营收入：指事业单位在专业业务活动及其辅助活动之外开展非独立核算经营活动取得的收入。如…（二级预算单位经营收入情况）等。</w:t>
      </w:r>
    </w:p>
    <w:p w14:paraId="001D6DFF">
      <w:pPr>
        <w:pStyle w:val="26"/>
        <w:spacing w:line="560" w:lineRule="exact"/>
        <w:ind w:firstLine="640" w:firstLineChars="200"/>
        <w:rPr>
          <w:rFonts w:hAnsi="仿宋" w:cs="Times New Roman"/>
          <w:color w:val="auto"/>
          <w:kern w:val="2"/>
          <w:sz w:val="32"/>
          <w:szCs w:val="32"/>
        </w:rPr>
      </w:pPr>
      <w:r>
        <w:rPr>
          <w:rFonts w:hAnsi="仿宋" w:cs="Times New Roman"/>
          <w:color w:val="auto"/>
          <w:kern w:val="2"/>
          <w:sz w:val="32"/>
          <w:szCs w:val="32"/>
        </w:rPr>
        <w:t>4.</w:t>
      </w:r>
      <w:r>
        <w:rPr>
          <w:rFonts w:hint="eastAsia" w:hAnsi="仿宋" w:cs="Times New Roman"/>
          <w:color w:val="auto"/>
          <w:kern w:val="2"/>
          <w:sz w:val="32"/>
          <w:szCs w:val="32"/>
        </w:rPr>
        <w:t>其他收入：指单位取得的除上述收入以外的各项收入。主要是…（收入类型）等。</w:t>
      </w:r>
      <w:r>
        <w:rPr>
          <w:rFonts w:hAnsi="仿宋" w:cs="Times New Roman"/>
          <w:color w:val="auto"/>
          <w:kern w:val="2"/>
          <w:sz w:val="32"/>
          <w:szCs w:val="32"/>
        </w:rPr>
        <w:t xml:space="preserve"> </w:t>
      </w:r>
    </w:p>
    <w:p w14:paraId="4C9518B0">
      <w:pPr>
        <w:pStyle w:val="26"/>
        <w:spacing w:line="560" w:lineRule="exact"/>
        <w:ind w:firstLine="640" w:firstLineChars="200"/>
        <w:rPr>
          <w:rFonts w:hAnsi="仿宋" w:cs="Times New Roman"/>
          <w:color w:val="auto"/>
          <w:kern w:val="2"/>
          <w:sz w:val="32"/>
          <w:szCs w:val="32"/>
        </w:rPr>
      </w:pPr>
      <w:r>
        <w:rPr>
          <w:rFonts w:hAnsi="仿宋" w:cs="Times New Roman"/>
          <w:color w:val="auto"/>
          <w:kern w:val="2"/>
          <w:sz w:val="32"/>
          <w:szCs w:val="32"/>
        </w:rPr>
        <w:t>5.</w:t>
      </w:r>
      <w:r>
        <w:rPr>
          <w:rFonts w:hint="eastAsia" w:hAnsi="仿宋" w:cs="Times New Roman"/>
          <w:color w:val="auto"/>
          <w:kern w:val="2"/>
          <w:sz w:val="32"/>
          <w:szCs w:val="32"/>
        </w:rPr>
        <w:t>使用非财政拨款结余：指事业单位使用以前年度积累的非财政拨款结余弥补当年收支差额的金额。</w:t>
      </w:r>
      <w:r>
        <w:rPr>
          <w:rFonts w:hAnsi="仿宋" w:cs="Times New Roman"/>
          <w:color w:val="auto"/>
          <w:kern w:val="2"/>
          <w:sz w:val="32"/>
          <w:szCs w:val="32"/>
        </w:rPr>
        <w:t xml:space="preserve"> </w:t>
      </w:r>
    </w:p>
    <w:p w14:paraId="030ACE29">
      <w:pPr>
        <w:pStyle w:val="26"/>
        <w:spacing w:line="560" w:lineRule="exact"/>
        <w:ind w:firstLine="640" w:firstLineChars="200"/>
        <w:rPr>
          <w:rFonts w:hAnsi="仿宋" w:cs="Times New Roman"/>
          <w:color w:val="auto"/>
          <w:kern w:val="2"/>
          <w:sz w:val="32"/>
          <w:szCs w:val="32"/>
        </w:rPr>
      </w:pPr>
      <w:r>
        <w:rPr>
          <w:rFonts w:hAnsi="仿宋" w:cs="Times New Roman"/>
          <w:color w:val="auto"/>
          <w:kern w:val="2"/>
          <w:sz w:val="32"/>
          <w:szCs w:val="32"/>
        </w:rPr>
        <w:t>6.</w:t>
      </w:r>
      <w:r>
        <w:rPr>
          <w:rFonts w:hint="eastAsia" w:hAnsi="仿宋" w:cs="Times New Roman"/>
          <w:color w:val="auto"/>
          <w:kern w:val="2"/>
          <w:sz w:val="32"/>
          <w:szCs w:val="32"/>
        </w:rPr>
        <w:t>年初结转和结余：指以前年度尚未完成、结转到本年按有关规定继续使用的资金。</w:t>
      </w:r>
      <w:r>
        <w:rPr>
          <w:rFonts w:hAnsi="仿宋" w:cs="Times New Roman"/>
          <w:color w:val="auto"/>
          <w:kern w:val="2"/>
          <w:sz w:val="32"/>
          <w:szCs w:val="32"/>
        </w:rPr>
        <w:t xml:space="preserve"> </w:t>
      </w:r>
    </w:p>
    <w:p w14:paraId="4EBFA8B3">
      <w:pPr>
        <w:pStyle w:val="26"/>
        <w:spacing w:line="560" w:lineRule="exact"/>
        <w:ind w:firstLine="640" w:firstLineChars="200"/>
        <w:rPr>
          <w:rFonts w:hAnsi="仿宋" w:cs="Times New Roman"/>
          <w:color w:val="auto"/>
          <w:kern w:val="2"/>
          <w:sz w:val="32"/>
          <w:szCs w:val="32"/>
        </w:rPr>
      </w:pPr>
      <w:r>
        <w:rPr>
          <w:rFonts w:hAnsi="仿宋" w:cs="Times New Roman"/>
          <w:color w:val="auto"/>
          <w:kern w:val="2"/>
          <w:sz w:val="32"/>
          <w:szCs w:val="32"/>
        </w:rPr>
        <w:t>7.</w:t>
      </w:r>
      <w:r>
        <w:rPr>
          <w:rFonts w:hint="eastAsia" w:hAnsi="仿宋" w:cs="Times New Roman"/>
          <w:color w:val="auto"/>
          <w:kern w:val="2"/>
          <w:sz w:val="32"/>
          <w:szCs w:val="32"/>
        </w:rPr>
        <w:t>结余分配：指事业单位按照会计制度规定缴纳的所得税、提取的专用结余以及转入非财政拨款结余的金额等。</w:t>
      </w:r>
    </w:p>
    <w:p w14:paraId="4540E433">
      <w:pPr>
        <w:pStyle w:val="26"/>
        <w:spacing w:line="560" w:lineRule="exact"/>
        <w:ind w:firstLine="640" w:firstLineChars="200"/>
        <w:rPr>
          <w:rFonts w:hAnsi="仿宋" w:cs="Times New Roman"/>
          <w:color w:val="auto"/>
          <w:kern w:val="2"/>
          <w:sz w:val="32"/>
          <w:szCs w:val="32"/>
        </w:rPr>
      </w:pPr>
      <w:r>
        <w:rPr>
          <w:rFonts w:hAnsi="仿宋" w:cs="Times New Roman"/>
          <w:color w:val="auto"/>
          <w:kern w:val="2"/>
          <w:sz w:val="32"/>
          <w:szCs w:val="32"/>
        </w:rPr>
        <w:t>8</w:t>
      </w:r>
      <w:r>
        <w:rPr>
          <w:rFonts w:hint="eastAsia" w:hAnsi="仿宋" w:cs="Times New Roman"/>
          <w:color w:val="auto"/>
          <w:kern w:val="2"/>
          <w:sz w:val="32"/>
          <w:szCs w:val="32"/>
        </w:rPr>
        <w:t>.年末结转和结余：指单位按有关规定结转到下年或以后年度继续使用的资金。</w:t>
      </w:r>
    </w:p>
    <w:p w14:paraId="5EC6018B">
      <w:pPr>
        <w:ind w:firstLine="640" w:firstLineChars="200"/>
        <w:rPr>
          <w:rFonts w:ascii="仿宋" w:hAnsi="仿宋" w:eastAsia="仿宋"/>
          <w:sz w:val="32"/>
          <w:szCs w:val="32"/>
        </w:rPr>
      </w:pPr>
      <w:r>
        <w:rPr>
          <w:rFonts w:ascii="仿宋" w:hAnsi="仿宋" w:eastAsia="仿宋"/>
          <w:sz w:val="32"/>
          <w:szCs w:val="32"/>
        </w:rPr>
        <w:t>9.</w:t>
      </w:r>
      <w:r>
        <w:rPr>
          <w:rFonts w:hint="eastAsia" w:ascii="仿宋" w:hAnsi="仿宋" w:eastAsia="仿宋"/>
          <w:sz w:val="32"/>
          <w:szCs w:val="32"/>
        </w:rPr>
        <w:t xml:space="preserve"> 一般公共服务（类）人大事务（款）人大会议（项）:指人大召开代表大会等专门会议的支出。</w:t>
      </w:r>
    </w:p>
    <w:p w14:paraId="2F18B73A">
      <w:pPr>
        <w:ind w:firstLine="640" w:firstLineChars="200"/>
        <w:rPr>
          <w:rFonts w:ascii="仿宋" w:hAnsi="仿宋" w:eastAsia="仿宋"/>
          <w:sz w:val="32"/>
          <w:szCs w:val="32"/>
        </w:rPr>
      </w:pPr>
      <w:r>
        <w:rPr>
          <w:rFonts w:hint="eastAsia" w:ascii="仿宋" w:hAnsi="仿宋" w:eastAsia="仿宋"/>
          <w:sz w:val="32"/>
          <w:szCs w:val="32"/>
        </w:rPr>
        <w:t>10、一般公共服务（类）人大事务（款）代表工作（项）:指人大代表开展各类视察等方面的支出。</w:t>
      </w:r>
    </w:p>
    <w:p w14:paraId="29B7D0C1">
      <w:pPr>
        <w:ind w:firstLine="640" w:firstLineChars="200"/>
        <w:rPr>
          <w:rFonts w:ascii="仿宋" w:hAnsi="仿宋" w:eastAsia="仿宋"/>
          <w:sz w:val="32"/>
          <w:szCs w:val="32"/>
        </w:rPr>
      </w:pPr>
      <w:r>
        <w:rPr>
          <w:rFonts w:hint="eastAsia" w:ascii="仿宋" w:hAnsi="仿宋" w:eastAsia="仿宋"/>
          <w:sz w:val="32"/>
          <w:szCs w:val="32"/>
        </w:rPr>
        <w:t>11、一般公共服务（类）政府办公厅（室）及相关机构事务（款）行政运行（项）:指行政单位的基本支出。</w:t>
      </w:r>
    </w:p>
    <w:p w14:paraId="3DE4A2A4">
      <w:pPr>
        <w:ind w:firstLine="640" w:firstLineChars="200"/>
        <w:rPr>
          <w:rFonts w:ascii="仿宋" w:hAnsi="仿宋" w:eastAsia="仿宋"/>
          <w:sz w:val="32"/>
          <w:szCs w:val="32"/>
        </w:rPr>
      </w:pPr>
      <w:r>
        <w:rPr>
          <w:rFonts w:hint="eastAsia" w:ascii="仿宋" w:hAnsi="仿宋" w:eastAsia="仿宋"/>
          <w:sz w:val="32"/>
          <w:szCs w:val="32"/>
        </w:rPr>
        <w:t>12、一般公共服务（类）政府办公厅（室）及相关机构事务（类）一般行政管理事务（项）：指行政单位（包括实行公务员管理的事业单位）未单独设置项级科目的其他项目支出。</w:t>
      </w:r>
    </w:p>
    <w:p w14:paraId="59FC973F">
      <w:pPr>
        <w:ind w:firstLine="640" w:firstLineChars="200"/>
        <w:rPr>
          <w:rFonts w:ascii="仿宋" w:hAnsi="仿宋" w:eastAsia="仿宋"/>
          <w:sz w:val="32"/>
          <w:szCs w:val="32"/>
        </w:rPr>
      </w:pPr>
      <w:r>
        <w:rPr>
          <w:rFonts w:hint="eastAsia" w:ascii="仿宋" w:hAnsi="仿宋" w:eastAsia="仿宋"/>
          <w:sz w:val="32"/>
          <w:szCs w:val="32"/>
        </w:rPr>
        <w:t>13．一般公共服务（类）政府办公厅（室）及相关机构事务（类）事业运行（项）：指事业单位的基本支出，不包括行政单位（包括实行公务员管理的事业单位）后勤服务中心、医务室等附属事业单位。</w:t>
      </w:r>
    </w:p>
    <w:p w14:paraId="736B270E">
      <w:pPr>
        <w:ind w:firstLine="640" w:firstLineChars="200"/>
        <w:rPr>
          <w:rFonts w:ascii="仿宋" w:hAnsi="仿宋" w:eastAsia="仿宋"/>
          <w:sz w:val="32"/>
          <w:szCs w:val="32"/>
        </w:rPr>
      </w:pPr>
      <w:r>
        <w:rPr>
          <w:rFonts w:hint="eastAsia" w:ascii="仿宋" w:hAnsi="仿宋" w:eastAsia="仿宋"/>
          <w:sz w:val="32"/>
          <w:szCs w:val="32"/>
        </w:rPr>
        <w:t>14．一般公共服务（类）政府办公厅（室）及相关机构事务（类）其他政府办公厅（室）及相关机构事务支出（项）：指除上述项目以外的其他政府办公厅（室）及相关机构事务支出。</w:t>
      </w:r>
    </w:p>
    <w:p w14:paraId="3A9630AB">
      <w:pPr>
        <w:ind w:firstLine="640" w:firstLineChars="200"/>
        <w:rPr>
          <w:rFonts w:ascii="仿宋" w:hAnsi="仿宋" w:eastAsia="仿宋"/>
          <w:sz w:val="32"/>
          <w:szCs w:val="32"/>
        </w:rPr>
      </w:pPr>
      <w:r>
        <w:rPr>
          <w:rFonts w:hint="eastAsia" w:ascii="仿宋" w:hAnsi="仿宋" w:eastAsia="仿宋"/>
          <w:sz w:val="32"/>
          <w:szCs w:val="32"/>
        </w:rPr>
        <w:t>15．国防支出（类）国防动员（款）民兵（项）：指用于民兵建设与管理等方面的支出。</w:t>
      </w:r>
    </w:p>
    <w:p w14:paraId="55501572">
      <w:pPr>
        <w:ind w:firstLine="640" w:firstLineChars="200"/>
        <w:rPr>
          <w:rFonts w:ascii="仿宋" w:hAnsi="仿宋" w:eastAsia="仿宋"/>
          <w:sz w:val="32"/>
          <w:szCs w:val="32"/>
        </w:rPr>
      </w:pPr>
      <w:r>
        <w:rPr>
          <w:rFonts w:hint="eastAsia" w:ascii="仿宋" w:hAnsi="仿宋" w:eastAsia="仿宋"/>
          <w:sz w:val="32"/>
          <w:szCs w:val="32"/>
        </w:rPr>
        <w:t>16．公共安全支出（类）司法（款）普法宣传（项）：指各级司法行政部门用于组织各种媒体的宣传、普法装备与设施、宣传资料、对外宣传、法制作品的审读评审等方面的支出。</w:t>
      </w:r>
    </w:p>
    <w:p w14:paraId="339A821C">
      <w:pPr>
        <w:ind w:firstLine="640" w:firstLineChars="200"/>
        <w:rPr>
          <w:rFonts w:ascii="仿宋" w:hAnsi="仿宋" w:eastAsia="仿宋"/>
          <w:sz w:val="32"/>
          <w:szCs w:val="32"/>
        </w:rPr>
      </w:pPr>
      <w:r>
        <w:rPr>
          <w:rFonts w:hint="eastAsia" w:ascii="仿宋" w:hAnsi="仿宋" w:eastAsia="仿宋"/>
          <w:sz w:val="32"/>
          <w:szCs w:val="32"/>
        </w:rPr>
        <w:t>17．社会保障和就业（类）行政事业单位养老支出（款）机关事业单位基本养老保险缴费支出（项）：指机关事业单位实施养老保险制度由单位缴纳的基本养老保险费支出。</w:t>
      </w:r>
    </w:p>
    <w:p w14:paraId="20A57005">
      <w:pPr>
        <w:ind w:firstLine="640" w:firstLineChars="200"/>
        <w:rPr>
          <w:rFonts w:ascii="仿宋" w:hAnsi="仿宋" w:eastAsia="仿宋"/>
          <w:sz w:val="32"/>
          <w:szCs w:val="32"/>
        </w:rPr>
      </w:pPr>
      <w:r>
        <w:rPr>
          <w:rFonts w:hint="eastAsia" w:ascii="仿宋" w:hAnsi="仿宋" w:eastAsia="仿宋"/>
          <w:sz w:val="32"/>
          <w:szCs w:val="32"/>
        </w:rPr>
        <w:t>18．社会保障和就业（类）行政事业单位养老支出（款）机关事业单位职业年金缴费支出（项）：指机关事业单位实施养老保险制度由单位实际缴纳的职业年金支出。</w:t>
      </w:r>
    </w:p>
    <w:p w14:paraId="6ED48BDD">
      <w:pPr>
        <w:ind w:firstLine="640" w:firstLineChars="200"/>
        <w:rPr>
          <w:rFonts w:ascii="仿宋" w:hAnsi="仿宋" w:eastAsia="仿宋"/>
          <w:sz w:val="32"/>
          <w:szCs w:val="32"/>
        </w:rPr>
      </w:pPr>
      <w:r>
        <w:rPr>
          <w:rFonts w:hint="eastAsia" w:ascii="仿宋" w:hAnsi="仿宋" w:eastAsia="仿宋"/>
          <w:sz w:val="32"/>
          <w:szCs w:val="32"/>
        </w:rPr>
        <w:t>19. 社会保障和就业（类）行政事业单位养老支出（款）其他行政事业单位养老支出（项）：其他用于行政事业单位养老方面的支出。</w:t>
      </w:r>
    </w:p>
    <w:p w14:paraId="7B4A05F0">
      <w:pPr>
        <w:ind w:firstLine="640" w:firstLineChars="200"/>
        <w:rPr>
          <w:rFonts w:ascii="仿宋" w:hAnsi="仿宋" w:eastAsia="仿宋"/>
          <w:sz w:val="32"/>
          <w:szCs w:val="32"/>
        </w:rPr>
      </w:pPr>
      <w:r>
        <w:rPr>
          <w:rFonts w:hint="eastAsia" w:ascii="仿宋" w:hAnsi="仿宋" w:eastAsia="仿宋"/>
          <w:sz w:val="32"/>
          <w:szCs w:val="32"/>
        </w:rPr>
        <w:t>20．卫生健康支出（类）行政事业单位医疗（款）行政单位医疗（项）：指财政部门安排的行政单位（包括实行公务员管理的事业单位，下同）基本医疗保险缴费经费，未参加医疗保险的行政单位的公费医疗经费，按国家规定享受离休人员、红军老战士待遇人员的医疗经费。</w:t>
      </w:r>
    </w:p>
    <w:p w14:paraId="42201C50">
      <w:pPr>
        <w:ind w:firstLine="640" w:firstLineChars="200"/>
        <w:rPr>
          <w:rFonts w:ascii="仿宋" w:hAnsi="仿宋" w:eastAsia="仿宋"/>
          <w:sz w:val="32"/>
          <w:szCs w:val="32"/>
        </w:rPr>
      </w:pPr>
      <w:r>
        <w:rPr>
          <w:rFonts w:hint="eastAsia" w:ascii="仿宋" w:hAnsi="仿宋" w:eastAsia="仿宋"/>
          <w:sz w:val="32"/>
          <w:szCs w:val="32"/>
        </w:rPr>
        <w:t>21．卫生健康支出（类）行政事业单位医疗（款）事业单位医疗（项）：指财政部门安排的事业单位基本医疗保险缴费经费，未参加医疗保险的事业单位的公费医疗经费，按国家规定享受离休人员待遇的医疗经费。</w:t>
      </w:r>
    </w:p>
    <w:p w14:paraId="549F1B04">
      <w:pPr>
        <w:ind w:firstLine="640" w:firstLineChars="200"/>
        <w:rPr>
          <w:rFonts w:ascii="仿宋" w:hAnsi="仿宋" w:eastAsia="仿宋"/>
          <w:sz w:val="32"/>
          <w:szCs w:val="32"/>
        </w:rPr>
      </w:pPr>
      <w:r>
        <w:rPr>
          <w:rFonts w:hint="eastAsia" w:ascii="仿宋" w:hAnsi="仿宋" w:eastAsia="仿宋"/>
          <w:sz w:val="32"/>
          <w:szCs w:val="32"/>
        </w:rPr>
        <w:t>22．卫生健康支出（类）行政事业单位医疗（款）公务员医疗补助（项）：指财政部门安排的公务员医疗补助经费。</w:t>
      </w:r>
    </w:p>
    <w:p w14:paraId="3A984689">
      <w:pPr>
        <w:ind w:firstLine="640" w:firstLineChars="200"/>
        <w:rPr>
          <w:rFonts w:ascii="仿宋" w:hAnsi="仿宋" w:eastAsia="仿宋"/>
          <w:sz w:val="32"/>
          <w:szCs w:val="32"/>
        </w:rPr>
      </w:pPr>
      <w:r>
        <w:rPr>
          <w:rFonts w:hint="eastAsia" w:ascii="仿宋" w:hAnsi="仿宋" w:eastAsia="仿宋"/>
          <w:sz w:val="32"/>
          <w:szCs w:val="32"/>
        </w:rPr>
        <w:t>23．卫生健康支出（类）老龄卫生健康事务（款）老龄卫生健康事务（项）：指老龄卫生健康事务方面的支出。</w:t>
      </w:r>
    </w:p>
    <w:p w14:paraId="57278C93">
      <w:pPr>
        <w:ind w:firstLine="640" w:firstLineChars="200"/>
        <w:rPr>
          <w:rFonts w:ascii="仿宋" w:hAnsi="仿宋" w:eastAsia="仿宋"/>
          <w:sz w:val="32"/>
          <w:szCs w:val="32"/>
        </w:rPr>
      </w:pPr>
      <w:r>
        <w:rPr>
          <w:rFonts w:hint="eastAsia" w:ascii="仿宋" w:hAnsi="仿宋" w:eastAsia="仿宋"/>
          <w:sz w:val="32"/>
          <w:szCs w:val="32"/>
        </w:rPr>
        <w:t>24.节能环保支出（类）自然生态保护（款）农村环境保护（项）：指用于农村环境保护方面的支出。</w:t>
      </w:r>
    </w:p>
    <w:p w14:paraId="7623E5F5">
      <w:pPr>
        <w:ind w:firstLine="640" w:firstLineChars="200"/>
        <w:rPr>
          <w:rFonts w:ascii="仿宋" w:hAnsi="仿宋" w:eastAsia="仿宋"/>
          <w:sz w:val="32"/>
          <w:szCs w:val="32"/>
        </w:rPr>
      </w:pPr>
      <w:r>
        <w:rPr>
          <w:rFonts w:hint="eastAsia" w:ascii="仿宋" w:hAnsi="仿宋" w:eastAsia="仿宋"/>
          <w:sz w:val="32"/>
          <w:szCs w:val="32"/>
        </w:rPr>
        <w:t>25.农林水支出（类）巩固脱贫衔接乡村振兴（款）生产发展（项）：反应用于农村欠发达地区发展种植业、养殖业、畜牧业、农副产品加工、林果地建设等生产发展项目以及相关技术推广等方面的项目支出。</w:t>
      </w:r>
    </w:p>
    <w:p w14:paraId="394347BB">
      <w:pPr>
        <w:ind w:firstLine="640" w:firstLineChars="200"/>
        <w:rPr>
          <w:rFonts w:ascii="仿宋" w:hAnsi="仿宋" w:eastAsia="仿宋"/>
          <w:sz w:val="32"/>
          <w:szCs w:val="32"/>
        </w:rPr>
      </w:pPr>
      <w:r>
        <w:rPr>
          <w:rFonts w:hint="eastAsia" w:ascii="仿宋" w:hAnsi="仿宋" w:eastAsia="仿宋"/>
          <w:sz w:val="32"/>
          <w:szCs w:val="32"/>
        </w:rPr>
        <w:t>26.农林水支出（类）巩固脱贫衔接乡村振兴（款）其他巩固脱贫衔接乡村振兴（项）：其他用于巩固拓展脱贫攻坚成果同乡村振兴有效衔接方面的支出。</w:t>
      </w:r>
    </w:p>
    <w:p w14:paraId="40E4F4C1">
      <w:pPr>
        <w:ind w:firstLine="640" w:firstLineChars="200"/>
        <w:rPr>
          <w:rFonts w:ascii="仿宋" w:hAnsi="仿宋" w:eastAsia="仿宋"/>
          <w:sz w:val="32"/>
          <w:szCs w:val="32"/>
        </w:rPr>
      </w:pPr>
      <w:r>
        <w:rPr>
          <w:rFonts w:hint="eastAsia" w:ascii="仿宋" w:hAnsi="仿宋" w:eastAsia="仿宋"/>
          <w:sz w:val="32"/>
          <w:szCs w:val="32"/>
        </w:rPr>
        <w:t>27.农林水支出（类）农村综合改革（款）对村民委员会和村党支部的补助（项）：指各级财政对村民委员会和村党支部的补助支出，以及支持建立县级基本财力保障机制安排的村级组织运转奖补资金。</w:t>
      </w:r>
    </w:p>
    <w:p w14:paraId="511A2778">
      <w:pPr>
        <w:ind w:firstLine="640" w:firstLineChars="200"/>
        <w:rPr>
          <w:rFonts w:ascii="仿宋" w:hAnsi="仿宋" w:eastAsia="仿宋"/>
          <w:sz w:val="32"/>
          <w:szCs w:val="32"/>
        </w:rPr>
      </w:pPr>
      <w:r>
        <w:rPr>
          <w:rFonts w:hint="eastAsia" w:ascii="仿宋" w:hAnsi="仿宋" w:eastAsia="仿宋"/>
          <w:sz w:val="32"/>
          <w:szCs w:val="32"/>
        </w:rPr>
        <w:t>28.交通运输支出（类）公路水路运输（款）公路养护（项）：指公路养护支出。</w:t>
      </w:r>
    </w:p>
    <w:p w14:paraId="3C879767">
      <w:pPr>
        <w:ind w:firstLine="640" w:firstLineChars="200"/>
        <w:rPr>
          <w:rFonts w:ascii="仿宋" w:hAnsi="仿宋" w:eastAsia="仿宋"/>
          <w:sz w:val="32"/>
          <w:szCs w:val="32"/>
        </w:rPr>
      </w:pPr>
      <w:r>
        <w:rPr>
          <w:rFonts w:hint="eastAsia" w:ascii="仿宋" w:hAnsi="仿宋" w:eastAsia="仿宋"/>
          <w:sz w:val="32"/>
          <w:szCs w:val="32"/>
        </w:rPr>
        <w:t>29.自然资源海洋气象等支出（类）自然资源事务（款）其他自然资源事务（项）：反映其他用于自然资源事务方面的支出。</w:t>
      </w:r>
    </w:p>
    <w:p w14:paraId="412562D1">
      <w:pPr>
        <w:ind w:firstLine="640" w:firstLineChars="200"/>
        <w:rPr>
          <w:rFonts w:ascii="仿宋" w:hAnsi="仿宋" w:eastAsia="仿宋"/>
          <w:sz w:val="32"/>
          <w:szCs w:val="32"/>
        </w:rPr>
      </w:pPr>
      <w:r>
        <w:rPr>
          <w:rFonts w:hint="eastAsia" w:ascii="仿宋" w:hAnsi="仿宋" w:eastAsia="仿宋"/>
          <w:sz w:val="32"/>
          <w:szCs w:val="32"/>
        </w:rPr>
        <w:t>30. 住房保障支出（类）住房改革支出（款）住房公积金（项）：指行政事业单位按人力资源和社会保障部、财政部规定的基本工资和津贴补贴以及规定比例为职工缴纳的住房公积金。</w:t>
      </w:r>
    </w:p>
    <w:p w14:paraId="211781E1">
      <w:pPr>
        <w:ind w:firstLine="640" w:firstLineChars="200"/>
        <w:rPr>
          <w:rFonts w:ascii="仿宋" w:hAnsi="仿宋" w:eastAsia="仿宋"/>
          <w:sz w:val="32"/>
          <w:szCs w:val="32"/>
        </w:rPr>
      </w:pPr>
      <w:r>
        <w:rPr>
          <w:rFonts w:hint="eastAsia" w:ascii="仿宋" w:hAnsi="仿宋" w:eastAsia="仿宋"/>
          <w:sz w:val="32"/>
          <w:szCs w:val="32"/>
        </w:rPr>
        <w:t>31．灾害防治及应急管理支出（类）应急管理事务（款）安全监管（项）：指安全生产监管方面的支出。</w:t>
      </w:r>
    </w:p>
    <w:p w14:paraId="6433E67C">
      <w:pPr>
        <w:ind w:firstLine="640" w:firstLineChars="200"/>
        <w:rPr>
          <w:rFonts w:ascii="仿宋" w:hAnsi="仿宋" w:eastAsia="仿宋"/>
          <w:sz w:val="32"/>
          <w:szCs w:val="32"/>
        </w:rPr>
      </w:pPr>
    </w:p>
    <w:p w14:paraId="3F53CBA8">
      <w:pPr>
        <w:ind w:firstLine="640" w:firstLineChars="200"/>
        <w:rPr>
          <w:rFonts w:ascii="仿宋" w:hAnsi="仿宋" w:eastAsia="仿宋"/>
          <w:sz w:val="32"/>
          <w:szCs w:val="32"/>
        </w:rPr>
      </w:pPr>
      <w:r>
        <w:rPr>
          <w:rFonts w:hint="eastAsia" w:ascii="仿宋" w:hAnsi="仿宋" w:eastAsia="仿宋"/>
          <w:sz w:val="32"/>
          <w:szCs w:val="32"/>
        </w:rPr>
        <w:t>32</w:t>
      </w:r>
      <w:r>
        <w:rPr>
          <w:rFonts w:ascii="仿宋" w:hAnsi="仿宋" w:eastAsia="仿宋"/>
          <w:sz w:val="32"/>
          <w:szCs w:val="32"/>
        </w:rPr>
        <w:t>.</w:t>
      </w:r>
      <w:r>
        <w:rPr>
          <w:rFonts w:hint="eastAsia" w:ascii="仿宋" w:hAnsi="仿宋" w:eastAsia="仿宋"/>
          <w:sz w:val="32"/>
          <w:szCs w:val="32"/>
        </w:rPr>
        <w:t>基本支出：指为保障机构正常运转、完成日常工作任务而发生的人员支出和公用支出。</w:t>
      </w:r>
    </w:p>
    <w:p w14:paraId="419C0658">
      <w:pPr>
        <w:ind w:firstLine="640" w:firstLineChars="200"/>
        <w:rPr>
          <w:rFonts w:ascii="仿宋" w:hAnsi="仿宋" w:eastAsia="仿宋"/>
          <w:sz w:val="32"/>
          <w:szCs w:val="32"/>
        </w:rPr>
      </w:pPr>
      <w:r>
        <w:rPr>
          <w:rFonts w:hint="eastAsia" w:ascii="仿宋" w:hAnsi="仿宋" w:eastAsia="仿宋"/>
          <w:sz w:val="32"/>
          <w:szCs w:val="32"/>
        </w:rPr>
        <w:t>33</w:t>
      </w:r>
      <w:r>
        <w:rPr>
          <w:rFonts w:ascii="仿宋" w:hAnsi="仿宋" w:eastAsia="仿宋"/>
          <w:sz w:val="32"/>
          <w:szCs w:val="32"/>
        </w:rPr>
        <w:t>.</w:t>
      </w:r>
      <w:r>
        <w:rPr>
          <w:rFonts w:hint="eastAsia" w:ascii="仿宋" w:hAnsi="仿宋" w:eastAsia="仿宋"/>
          <w:sz w:val="32"/>
          <w:szCs w:val="32"/>
        </w:rPr>
        <w:t>项目支出：指在基本支出之外为完成特定行政任务和事业发展目标所发生的支出。</w:t>
      </w:r>
      <w:r>
        <w:rPr>
          <w:rFonts w:ascii="仿宋" w:hAnsi="仿宋" w:eastAsia="仿宋"/>
          <w:sz w:val="32"/>
          <w:szCs w:val="32"/>
        </w:rPr>
        <w:t xml:space="preserve"> </w:t>
      </w:r>
    </w:p>
    <w:p w14:paraId="4FD6EEEB">
      <w:pPr>
        <w:ind w:firstLine="640" w:firstLineChars="200"/>
        <w:rPr>
          <w:rFonts w:ascii="仿宋" w:hAnsi="仿宋" w:eastAsia="仿宋"/>
          <w:sz w:val="32"/>
          <w:szCs w:val="32"/>
        </w:rPr>
      </w:pPr>
      <w:r>
        <w:rPr>
          <w:rFonts w:hint="eastAsia" w:ascii="仿宋" w:hAnsi="仿宋" w:eastAsia="仿宋"/>
          <w:sz w:val="32"/>
          <w:szCs w:val="32"/>
        </w:rPr>
        <w:t>34</w:t>
      </w:r>
      <w:r>
        <w:rPr>
          <w:rFonts w:ascii="仿宋" w:hAnsi="仿宋" w:eastAsia="仿宋"/>
          <w:sz w:val="32"/>
          <w:szCs w:val="32"/>
        </w:rPr>
        <w:t>.</w:t>
      </w:r>
      <w:r>
        <w:rPr>
          <w:rFonts w:hint="eastAsia" w:ascii="仿宋" w:hAnsi="仿宋" w:eastAsia="仿宋"/>
          <w:sz w:val="32"/>
          <w:szCs w:val="32"/>
        </w:rPr>
        <w:t>经营支出：指事业单位在专业业务活动及其辅助活动之外开展非独立核算经营活动发生的支出。</w:t>
      </w:r>
    </w:p>
    <w:p w14:paraId="40A3CD58">
      <w:pPr>
        <w:pStyle w:val="26"/>
        <w:spacing w:line="560" w:lineRule="exact"/>
        <w:ind w:firstLine="640" w:firstLineChars="200"/>
        <w:rPr>
          <w:rFonts w:hAnsi="仿宋" w:cs="Times New Roman"/>
          <w:color w:val="auto"/>
          <w:kern w:val="2"/>
          <w:sz w:val="32"/>
          <w:szCs w:val="32"/>
        </w:rPr>
      </w:pPr>
      <w:r>
        <w:rPr>
          <w:rFonts w:hAnsi="仿宋" w:cs="Times New Roman"/>
          <w:color w:val="auto"/>
          <w:kern w:val="2"/>
          <w:sz w:val="32"/>
          <w:szCs w:val="32"/>
        </w:rPr>
        <w:t>3</w:t>
      </w:r>
      <w:r>
        <w:rPr>
          <w:rFonts w:hint="eastAsia" w:hAnsi="仿宋" w:cs="Times New Roman"/>
          <w:color w:val="auto"/>
          <w:kern w:val="2"/>
          <w:sz w:val="32"/>
          <w:szCs w:val="32"/>
        </w:rPr>
        <w:t>5</w:t>
      </w:r>
      <w:r>
        <w:rPr>
          <w:rFonts w:hAnsi="仿宋" w:cs="Times New Roman"/>
          <w:color w:val="auto"/>
          <w:kern w:val="2"/>
          <w:sz w:val="32"/>
          <w:szCs w:val="32"/>
        </w:rPr>
        <w:t>.</w:t>
      </w:r>
      <w:r>
        <w:rPr>
          <w:rFonts w:hint="eastAsia" w:hAnsi="仿宋" w:cs="Times New Roman"/>
          <w:color w:val="auto"/>
          <w:kern w:val="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6448D43A">
      <w:pPr>
        <w:pStyle w:val="26"/>
        <w:spacing w:line="560" w:lineRule="exact"/>
        <w:ind w:firstLine="640" w:firstLineChars="200"/>
        <w:rPr>
          <w:rFonts w:hAnsi="仿宋" w:cs="Times New Roman"/>
          <w:color w:val="auto"/>
          <w:kern w:val="2"/>
          <w:sz w:val="32"/>
          <w:szCs w:val="32"/>
        </w:rPr>
      </w:pPr>
      <w:r>
        <w:rPr>
          <w:rFonts w:hAnsi="仿宋" w:cs="Times New Roman"/>
          <w:color w:val="auto"/>
          <w:kern w:val="2"/>
          <w:sz w:val="32"/>
          <w:szCs w:val="32"/>
        </w:rPr>
        <w:t>3</w:t>
      </w:r>
      <w:r>
        <w:rPr>
          <w:rFonts w:hint="eastAsia" w:hAnsi="仿宋" w:cs="Times New Roman"/>
          <w:color w:val="auto"/>
          <w:kern w:val="2"/>
          <w:sz w:val="32"/>
          <w:szCs w:val="32"/>
        </w:rPr>
        <w:t>6</w:t>
      </w:r>
      <w:r>
        <w:rPr>
          <w:rFonts w:hAnsi="仿宋" w:cs="Times New Roman"/>
          <w:color w:val="auto"/>
          <w:kern w:val="2"/>
          <w:sz w:val="32"/>
          <w:szCs w:val="32"/>
        </w:rPr>
        <w:t>.</w:t>
      </w:r>
      <w:r>
        <w:rPr>
          <w:rFonts w:hint="eastAsia" w:hAnsi="仿宋" w:cs="Times New Roman"/>
          <w:color w:val="auto"/>
          <w:kern w:val="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6EF0D014">
      <w:pPr>
        <w:spacing w:line="600" w:lineRule="exact"/>
        <w:outlineLvl w:val="0"/>
        <w:rPr>
          <w:rStyle w:val="28"/>
          <w:rFonts w:ascii="黑体" w:hAnsi="黑体" w:eastAsia="黑体"/>
          <w:b w:val="0"/>
        </w:rPr>
      </w:pPr>
      <w:bookmarkStart w:id="52" w:name="_Toc15377226"/>
      <w:r>
        <w:rPr>
          <w:rFonts w:ascii="宋体"/>
          <w:b/>
          <w:sz w:val="44"/>
          <w:szCs w:val="44"/>
        </w:rPr>
        <w:br w:type="page"/>
      </w:r>
      <w:bookmarkStart w:id="53" w:name="_Toc15396614"/>
      <w:r>
        <w:rPr>
          <w:rFonts w:hint="eastAsia" w:ascii="黑体" w:hAnsi="黑体" w:eastAsia="黑体"/>
          <w:sz w:val="44"/>
          <w:szCs w:val="44"/>
        </w:rPr>
        <w:t>第</w:t>
      </w:r>
      <w:r>
        <w:rPr>
          <w:rStyle w:val="28"/>
          <w:rFonts w:hint="eastAsia" w:ascii="黑体" w:hAnsi="黑体" w:eastAsia="黑体"/>
          <w:b w:val="0"/>
        </w:rPr>
        <w:t>四部分 附件</w:t>
      </w:r>
      <w:bookmarkEnd w:id="53"/>
    </w:p>
    <w:p w14:paraId="2FD4BC8F">
      <w:pPr>
        <w:spacing w:line="572" w:lineRule="exact"/>
        <w:jc w:val="left"/>
        <w:outlineLvl w:val="0"/>
        <w:rPr>
          <w:rFonts w:ascii="方正小标宋简体" w:hAnsi="方正小标宋简体" w:eastAsia="黑体" w:cs="方正小标宋简体"/>
          <w:sz w:val="44"/>
          <w:szCs w:val="44"/>
        </w:rPr>
      </w:pPr>
      <w:r>
        <w:rPr>
          <w:rFonts w:hint="eastAsia" w:ascii="黑体" w:hAnsi="黑体" w:eastAsia="黑体" w:cs="黑体"/>
          <w:sz w:val="32"/>
          <w:szCs w:val="32"/>
        </w:rPr>
        <w:t>附件1</w:t>
      </w:r>
    </w:p>
    <w:p w14:paraId="31416E7F">
      <w:pPr>
        <w:widowControl/>
        <w:spacing w:line="560" w:lineRule="exact"/>
        <w:contextualSpacing/>
        <w:jc w:val="center"/>
        <w:rPr>
          <w:rFonts w:ascii="宋体" w:hAnsi="宋体"/>
          <w:b/>
          <w:sz w:val="32"/>
          <w:szCs w:val="32"/>
          <w:shd w:val="clear" w:color="auto" w:fill="FFFFFF"/>
        </w:rPr>
      </w:pPr>
      <w:r>
        <w:rPr>
          <w:rFonts w:hint="eastAsia" w:ascii="宋体" w:hAnsi="宋体"/>
          <w:b/>
          <w:sz w:val="32"/>
          <w:szCs w:val="32"/>
          <w:shd w:val="clear" w:color="auto" w:fill="FFFFFF"/>
        </w:rPr>
        <w:t>2022年杨村乡整体绩效评价报告</w:t>
      </w:r>
    </w:p>
    <w:p w14:paraId="36850F4B">
      <w:pPr>
        <w:widowControl/>
        <w:adjustRightInd w:val="0"/>
        <w:snapToGrid w:val="0"/>
        <w:spacing w:line="560" w:lineRule="exact"/>
        <w:ind w:firstLine="640" w:firstLineChars="200"/>
        <w:contextualSpacing/>
        <w:jc w:val="left"/>
        <w:rPr>
          <w:rFonts w:ascii="黑体" w:hAnsi="宋体" w:eastAsia="黑体" w:cs="宋体"/>
          <w:kern w:val="0"/>
          <w:sz w:val="32"/>
          <w:szCs w:val="32"/>
          <w:shd w:val="clear" w:color="auto" w:fill="FFFFFF"/>
        </w:rPr>
      </w:pPr>
    </w:p>
    <w:p w14:paraId="1F871B03">
      <w:pPr>
        <w:pStyle w:val="14"/>
        <w:spacing w:line="560" w:lineRule="exact"/>
        <w:ind w:left="420" w:firstLine="640"/>
        <w:rPr>
          <w:rFonts w:ascii="黑体" w:hAnsi="宋体" w:eastAsia="黑体" w:cs="宋体"/>
          <w:kern w:val="0"/>
          <w:sz w:val="32"/>
          <w:shd w:val="clear" w:color="auto" w:fill="FFFFFF"/>
          <w:lang w:val="zh-CN"/>
        </w:rPr>
      </w:pPr>
      <w:r>
        <w:rPr>
          <w:rFonts w:hint="eastAsia" w:ascii="黑体" w:hAnsi="宋体" w:eastAsia="黑体" w:cs="宋体"/>
          <w:kern w:val="0"/>
          <w:sz w:val="32"/>
          <w:shd w:val="clear" w:color="auto" w:fill="FFFFFF"/>
        </w:rPr>
        <w:t>一、</w:t>
      </w:r>
      <w:r>
        <w:rPr>
          <w:rFonts w:hint="eastAsia" w:ascii="黑体" w:hAnsi="宋体" w:eastAsia="黑体" w:cs="宋体"/>
          <w:kern w:val="0"/>
          <w:sz w:val="32"/>
          <w:shd w:val="clear" w:color="auto" w:fill="FFFFFF"/>
          <w:lang w:val="zh-CN"/>
        </w:rPr>
        <w:t>部门（单位）概况</w:t>
      </w:r>
    </w:p>
    <w:p w14:paraId="6FAA922D">
      <w:pPr>
        <w:pStyle w:val="14"/>
        <w:spacing w:line="560" w:lineRule="exact"/>
        <w:ind w:left="420" w:firstLine="640"/>
        <w:rPr>
          <w:rFonts w:ascii="仿宋" w:hAnsi="仿宋" w:eastAsia="仿宋"/>
          <w:sz w:val="32"/>
        </w:rPr>
      </w:pPr>
      <w:r>
        <w:rPr>
          <w:rFonts w:hint="eastAsia" w:ascii="仿宋" w:hAnsi="仿宋" w:eastAsia="仿宋"/>
          <w:sz w:val="32"/>
        </w:rPr>
        <w:t>（一）机构组成。</w:t>
      </w:r>
    </w:p>
    <w:p w14:paraId="58AF37BD">
      <w:pPr>
        <w:pStyle w:val="14"/>
        <w:spacing w:line="560" w:lineRule="exact"/>
        <w:ind w:left="420" w:firstLine="640"/>
        <w:rPr>
          <w:rFonts w:ascii="仿宋" w:hAnsi="仿宋" w:eastAsia="仿宋"/>
          <w:sz w:val="32"/>
        </w:rPr>
      </w:pPr>
      <w:r>
        <w:rPr>
          <w:rFonts w:hint="eastAsia" w:ascii="仿宋" w:hAnsi="仿宋" w:eastAsia="仿宋"/>
          <w:sz w:val="32"/>
        </w:rPr>
        <w:t>杨村乡设下列党政内设机构：1、党政办公室（财政所）；2、党建办公室；3、乡村振兴办公室（脱贫攻坚办公室）；4、社会事务办公室；5、规划建设管理办公室（自然资源和生态环境保护办公室）；6、综合执法办公室（社会治理办公室、安全生产和应急管理办公室）。</w:t>
      </w:r>
    </w:p>
    <w:p w14:paraId="6BAF770B">
      <w:pPr>
        <w:pStyle w:val="14"/>
        <w:spacing w:line="560" w:lineRule="exact"/>
        <w:ind w:left="420" w:firstLine="640"/>
        <w:rPr>
          <w:rFonts w:ascii="仿宋" w:hAnsi="仿宋" w:eastAsia="仿宋"/>
          <w:sz w:val="32"/>
        </w:rPr>
      </w:pPr>
      <w:r>
        <w:rPr>
          <w:rFonts w:hint="eastAsia" w:ascii="仿宋" w:hAnsi="仿宋" w:eastAsia="仿宋"/>
          <w:sz w:val="32"/>
        </w:rPr>
        <w:t>杨村乡设下列直属事业机构：1、便民服务中心（退役军人服务站、农民工服务中心）；2、农业综合服务中心；3、社会治理服务中心；4、文化旅游发展服务中心。</w:t>
      </w:r>
    </w:p>
    <w:p w14:paraId="07AAA81B">
      <w:pPr>
        <w:pStyle w:val="14"/>
        <w:numPr>
          <w:ilvl w:val="0"/>
          <w:numId w:val="5"/>
        </w:numPr>
        <w:spacing w:line="560" w:lineRule="exact"/>
        <w:ind w:left="420" w:firstLine="640"/>
        <w:rPr>
          <w:rFonts w:ascii="仿宋" w:hAnsi="仿宋" w:eastAsia="仿宋"/>
          <w:sz w:val="32"/>
        </w:rPr>
      </w:pPr>
      <w:r>
        <w:rPr>
          <w:rFonts w:hint="eastAsia" w:ascii="仿宋" w:hAnsi="仿宋" w:eastAsia="仿宋"/>
          <w:sz w:val="32"/>
        </w:rPr>
        <w:t>机构职能。</w:t>
      </w:r>
    </w:p>
    <w:p w14:paraId="70D8CCBB">
      <w:pPr>
        <w:pStyle w:val="14"/>
        <w:spacing w:line="560" w:lineRule="exact"/>
        <w:ind w:left="420" w:firstLine="640"/>
        <w:rPr>
          <w:rFonts w:ascii="仿宋" w:hAnsi="仿宋" w:eastAsia="仿宋"/>
          <w:sz w:val="32"/>
        </w:rPr>
      </w:pPr>
      <w:r>
        <w:rPr>
          <w:rFonts w:hint="eastAsia" w:ascii="仿宋" w:hAnsi="仿宋" w:eastAsia="仿宋"/>
          <w:sz w:val="32"/>
        </w:rPr>
        <w:t>杨村乡人民政府为乡镇工作部门，负责全乡的财政收支、财税政策、国有资产管理等工作。</w:t>
      </w:r>
    </w:p>
    <w:p w14:paraId="57C70136">
      <w:pPr>
        <w:pStyle w:val="14"/>
        <w:spacing w:line="560" w:lineRule="exact"/>
        <w:ind w:left="420" w:firstLine="640"/>
        <w:rPr>
          <w:rFonts w:ascii="仿宋" w:hAnsi="仿宋" w:eastAsia="仿宋"/>
          <w:sz w:val="32"/>
        </w:rPr>
      </w:pPr>
      <w:r>
        <w:rPr>
          <w:rFonts w:hint="eastAsia" w:ascii="仿宋" w:hAnsi="仿宋" w:eastAsia="仿宋"/>
          <w:sz w:val="32"/>
        </w:rPr>
        <w:t>（一）贯彻落实党的路线方针政策和国家法律法规以及上级党委、政府的决议、决定和命令，执行乡党委和乡人民代表大会的决议，加强农村基层政权建设，巩固党在农村的执政基础。</w:t>
      </w:r>
    </w:p>
    <w:p w14:paraId="41F9B954">
      <w:pPr>
        <w:pStyle w:val="14"/>
        <w:spacing w:line="560" w:lineRule="exact"/>
        <w:ind w:left="420" w:firstLine="640"/>
        <w:rPr>
          <w:rFonts w:ascii="仿宋" w:hAnsi="仿宋" w:eastAsia="仿宋"/>
          <w:sz w:val="32"/>
        </w:rPr>
      </w:pPr>
      <w:r>
        <w:rPr>
          <w:rFonts w:hint="eastAsia" w:ascii="仿宋" w:hAnsi="仿宋" w:eastAsia="仿宋"/>
          <w:sz w:val="32"/>
        </w:rPr>
        <w:t>（二）组织编制本行政区域经济社会发展规划和乡国土空间规划。负责农村基层设施和各项公益事业建设，推进脱贫攻坚，实施乡村振兴战略，加强经济社会发展，改善群众生产生活环境。</w:t>
      </w:r>
    </w:p>
    <w:p w14:paraId="4A8C60C7">
      <w:pPr>
        <w:pStyle w:val="14"/>
        <w:spacing w:line="560" w:lineRule="exact"/>
        <w:ind w:left="420" w:firstLine="640"/>
        <w:rPr>
          <w:rFonts w:ascii="仿宋" w:hAnsi="仿宋" w:eastAsia="仿宋"/>
          <w:sz w:val="32"/>
        </w:rPr>
      </w:pPr>
      <w:r>
        <w:rPr>
          <w:rFonts w:hint="eastAsia" w:ascii="仿宋" w:hAnsi="仿宋" w:eastAsia="仿宋"/>
          <w:sz w:val="32"/>
        </w:rPr>
        <w:t>（三）指导农村经济发展，推进农业经济结构调整，促进经济增长、农业增效、农民增收。</w:t>
      </w:r>
    </w:p>
    <w:p w14:paraId="15251BC7">
      <w:pPr>
        <w:pStyle w:val="14"/>
        <w:spacing w:line="560" w:lineRule="exact"/>
        <w:ind w:left="420" w:firstLine="640"/>
        <w:rPr>
          <w:rFonts w:ascii="仿宋" w:hAnsi="仿宋" w:eastAsia="仿宋"/>
          <w:sz w:val="32"/>
        </w:rPr>
      </w:pPr>
      <w:r>
        <w:rPr>
          <w:rFonts w:hint="eastAsia" w:ascii="仿宋" w:hAnsi="仿宋" w:eastAsia="仿宋"/>
          <w:sz w:val="32"/>
        </w:rPr>
        <w:t>（四）加强农村公共服务体系建设，抓好基础教育、科技、文化、体育、卫生健康、食（药）品安全等工作，做好民政事务、残疾、老龄、就业培训、社会保障、劳动关系协调、民族宗教、退役军人事务、统计等工作，促进农村社会事业健康发展。</w:t>
      </w:r>
    </w:p>
    <w:p w14:paraId="65EFE1C5">
      <w:pPr>
        <w:pStyle w:val="14"/>
        <w:spacing w:line="560" w:lineRule="exact"/>
        <w:ind w:left="420" w:firstLine="640"/>
        <w:rPr>
          <w:rFonts w:ascii="仿宋" w:hAnsi="仿宋" w:eastAsia="仿宋"/>
          <w:sz w:val="32"/>
        </w:rPr>
      </w:pPr>
      <w:r>
        <w:rPr>
          <w:rFonts w:hint="eastAsia" w:ascii="仿宋" w:hAnsi="仿宋" w:eastAsia="仿宋"/>
          <w:sz w:val="32"/>
        </w:rPr>
        <w:t>（五）负责辖区内自然资源、生态环境保护、森林防火、防汛抗旱、粮食安全、供销合作社等工作。</w:t>
      </w:r>
    </w:p>
    <w:p w14:paraId="72CC59B5">
      <w:pPr>
        <w:pStyle w:val="14"/>
        <w:spacing w:line="560" w:lineRule="exact"/>
        <w:ind w:left="420" w:firstLine="640"/>
        <w:rPr>
          <w:rFonts w:ascii="仿宋" w:hAnsi="仿宋" w:eastAsia="仿宋"/>
          <w:sz w:val="32"/>
        </w:rPr>
      </w:pPr>
      <w:r>
        <w:rPr>
          <w:rFonts w:hint="eastAsia" w:ascii="仿宋" w:hAnsi="仿宋" w:eastAsia="仿宋"/>
          <w:sz w:val="32"/>
        </w:rPr>
        <w:t>（六）推进基层民主法治建设，加强普法依法治理，指导村（居）民委员会工作，维护群众合法权益。</w:t>
      </w:r>
    </w:p>
    <w:p w14:paraId="026FEA52">
      <w:pPr>
        <w:pStyle w:val="14"/>
        <w:spacing w:line="560" w:lineRule="exact"/>
        <w:ind w:left="420" w:firstLine="640"/>
        <w:rPr>
          <w:rFonts w:ascii="仿宋" w:hAnsi="仿宋" w:eastAsia="仿宋"/>
          <w:sz w:val="32"/>
        </w:rPr>
      </w:pPr>
      <w:r>
        <w:rPr>
          <w:rFonts w:hint="eastAsia" w:ascii="仿宋" w:hAnsi="仿宋" w:eastAsia="仿宋"/>
          <w:sz w:val="32"/>
        </w:rPr>
        <w:t>（七）承担辖区平安建设、社会治安综合治理、安全和应急管理等有关工作，处理群众来信来访，反映社情民意，化解矛盾纠纷，维护社会安全稳定。</w:t>
      </w:r>
    </w:p>
    <w:p w14:paraId="7E2AFA62">
      <w:pPr>
        <w:pStyle w:val="14"/>
        <w:spacing w:line="560" w:lineRule="exact"/>
        <w:ind w:left="420" w:firstLine="640"/>
        <w:rPr>
          <w:rFonts w:ascii="仿宋" w:hAnsi="仿宋" w:eastAsia="仿宋"/>
          <w:sz w:val="32"/>
        </w:rPr>
      </w:pPr>
      <w:r>
        <w:rPr>
          <w:rFonts w:hint="eastAsia" w:ascii="仿宋" w:hAnsi="仿宋" w:eastAsia="仿宋"/>
          <w:sz w:val="32"/>
        </w:rPr>
        <w:t>（八）负责清理编制权责清单、公共服务清单事项，建立清单动态调整和公示机制，推进政务公开，接受群众监督，增强政府公信力。</w:t>
      </w:r>
    </w:p>
    <w:p w14:paraId="67BB472E">
      <w:pPr>
        <w:pStyle w:val="14"/>
        <w:spacing w:line="560" w:lineRule="exact"/>
        <w:ind w:left="420" w:firstLine="640"/>
        <w:rPr>
          <w:rFonts w:ascii="仿宋" w:hAnsi="仿宋" w:eastAsia="仿宋"/>
          <w:sz w:val="32"/>
        </w:rPr>
      </w:pPr>
      <w:r>
        <w:rPr>
          <w:rFonts w:hint="eastAsia" w:ascii="仿宋" w:hAnsi="仿宋" w:eastAsia="仿宋"/>
          <w:sz w:val="32"/>
        </w:rPr>
        <w:t>（九）负责国防教育、兵役征集、民兵预备役等有关工作。</w:t>
      </w:r>
    </w:p>
    <w:p w14:paraId="748FCC78">
      <w:pPr>
        <w:pStyle w:val="14"/>
        <w:spacing w:line="560" w:lineRule="exact"/>
        <w:ind w:left="420" w:firstLine="640"/>
        <w:rPr>
          <w:rFonts w:ascii="仿宋" w:hAnsi="仿宋" w:eastAsia="仿宋"/>
          <w:sz w:val="32"/>
        </w:rPr>
      </w:pPr>
      <w:r>
        <w:rPr>
          <w:rFonts w:hint="eastAsia" w:ascii="仿宋" w:hAnsi="仿宋" w:eastAsia="仿宋"/>
          <w:sz w:val="32"/>
        </w:rPr>
        <w:t>（十）承担法律、法规、规章规定的其他职能和上级党委、政府交办的其他任务。</w:t>
      </w:r>
    </w:p>
    <w:p w14:paraId="7B6B7477">
      <w:pPr>
        <w:pStyle w:val="14"/>
        <w:spacing w:line="560" w:lineRule="exact"/>
        <w:ind w:left="420" w:firstLine="640"/>
        <w:rPr>
          <w:rFonts w:ascii="仿宋" w:hAnsi="仿宋" w:eastAsia="仿宋"/>
          <w:sz w:val="32"/>
        </w:rPr>
      </w:pPr>
      <w:r>
        <w:rPr>
          <w:rFonts w:hint="eastAsia" w:ascii="仿宋" w:hAnsi="仿宋" w:eastAsia="仿宋"/>
          <w:sz w:val="32"/>
        </w:rPr>
        <w:t>（三）人员概况。</w:t>
      </w:r>
      <w:r>
        <w:rPr>
          <w:rFonts w:ascii="仿宋" w:hAnsi="仿宋" w:eastAsia="仿宋"/>
          <w:sz w:val="32"/>
        </w:rPr>
        <w:tab/>
      </w:r>
    </w:p>
    <w:p w14:paraId="62C5185F">
      <w:pPr>
        <w:pStyle w:val="14"/>
        <w:spacing w:line="560" w:lineRule="exact"/>
        <w:ind w:left="420" w:firstLine="640"/>
        <w:rPr>
          <w:rFonts w:ascii="仿宋" w:hAnsi="仿宋" w:eastAsia="仿宋"/>
          <w:sz w:val="32"/>
        </w:rPr>
      </w:pPr>
      <w:r>
        <w:rPr>
          <w:rFonts w:hint="eastAsia" w:ascii="仿宋" w:hAnsi="仿宋" w:eastAsia="仿宋"/>
          <w:sz w:val="32"/>
        </w:rPr>
        <w:t>沐川县杨村乡人民政府总编制33个，其中：行政编制21个、事业编制12个。在职人员总数26人，其中：行政16人、事业10人。</w:t>
      </w:r>
    </w:p>
    <w:p w14:paraId="4E4EE6B9">
      <w:pPr>
        <w:pStyle w:val="14"/>
        <w:spacing w:line="560" w:lineRule="exact"/>
        <w:ind w:left="420" w:firstLine="640"/>
        <w:rPr>
          <w:rFonts w:ascii="仿宋" w:hAnsi="仿宋" w:eastAsia="仿宋"/>
          <w:sz w:val="32"/>
        </w:rPr>
      </w:pPr>
      <w:r>
        <w:rPr>
          <w:rFonts w:hint="eastAsia" w:ascii="仿宋" w:hAnsi="仿宋" w:eastAsia="仿宋"/>
          <w:sz w:val="32"/>
        </w:rPr>
        <w:t>二、部门财政资金收支情况</w:t>
      </w:r>
    </w:p>
    <w:p w14:paraId="7E437DFC">
      <w:pPr>
        <w:pStyle w:val="14"/>
        <w:spacing w:line="560" w:lineRule="exact"/>
        <w:ind w:left="420" w:firstLine="640"/>
        <w:rPr>
          <w:rFonts w:ascii="仿宋" w:hAnsi="仿宋" w:eastAsia="仿宋"/>
          <w:sz w:val="32"/>
        </w:rPr>
      </w:pPr>
      <w:r>
        <w:rPr>
          <w:rFonts w:hint="eastAsia" w:ascii="仿宋" w:hAnsi="仿宋" w:eastAsia="仿宋"/>
          <w:sz w:val="32"/>
        </w:rPr>
        <w:t>（一）部门财政资金收入情况。</w:t>
      </w:r>
    </w:p>
    <w:p w14:paraId="73B5056C">
      <w:pPr>
        <w:pStyle w:val="14"/>
        <w:spacing w:line="560" w:lineRule="exact"/>
        <w:ind w:left="420" w:firstLine="640"/>
        <w:rPr>
          <w:rFonts w:ascii="仿宋" w:hAnsi="仿宋" w:eastAsia="仿宋"/>
          <w:sz w:val="32"/>
        </w:rPr>
      </w:pPr>
      <w:r>
        <w:rPr>
          <w:rFonts w:hint="eastAsia" w:ascii="仿宋" w:hAnsi="仿宋" w:eastAsia="仿宋"/>
          <w:sz w:val="32"/>
        </w:rPr>
        <w:t>2022年，杨村乡财政总收入完成1040.60万元，其中：财政拨款收入完成1001.98万元，完成预算的100%，上年结转结余27.39万元。</w:t>
      </w:r>
    </w:p>
    <w:p w14:paraId="7EA24C6F">
      <w:pPr>
        <w:pStyle w:val="14"/>
        <w:spacing w:line="560" w:lineRule="exact"/>
        <w:ind w:left="420" w:firstLine="640"/>
        <w:rPr>
          <w:rFonts w:ascii="仿宋" w:hAnsi="仿宋" w:eastAsia="仿宋"/>
          <w:sz w:val="32"/>
        </w:rPr>
      </w:pPr>
      <w:r>
        <w:rPr>
          <w:rFonts w:hint="eastAsia" w:ascii="仿宋" w:hAnsi="仿宋" w:eastAsia="仿宋"/>
          <w:sz w:val="32"/>
        </w:rPr>
        <w:t>（二）部门财政资金支出情况。</w:t>
      </w:r>
    </w:p>
    <w:p w14:paraId="21C0FA1F">
      <w:pPr>
        <w:pStyle w:val="14"/>
        <w:spacing w:line="560" w:lineRule="exact"/>
        <w:ind w:left="420" w:firstLine="640"/>
        <w:rPr>
          <w:rFonts w:ascii="仿宋" w:hAnsi="仿宋" w:eastAsia="仿宋"/>
          <w:sz w:val="32"/>
        </w:rPr>
      </w:pPr>
      <w:r>
        <w:rPr>
          <w:rFonts w:hint="eastAsia" w:ascii="仿宋" w:hAnsi="仿宋" w:eastAsia="仿宋"/>
          <w:sz w:val="32"/>
        </w:rPr>
        <w:t>2022年杨村乡财政总支出1040.60万元，年末结转0万元。</w:t>
      </w:r>
    </w:p>
    <w:p w14:paraId="79323333">
      <w:pPr>
        <w:pStyle w:val="14"/>
        <w:spacing w:line="560" w:lineRule="exact"/>
        <w:ind w:left="420" w:firstLine="640"/>
        <w:rPr>
          <w:rFonts w:ascii="仿宋" w:hAnsi="仿宋" w:eastAsia="仿宋"/>
          <w:sz w:val="32"/>
        </w:rPr>
      </w:pPr>
      <w:r>
        <w:rPr>
          <w:rFonts w:hint="eastAsia" w:ascii="仿宋" w:hAnsi="仿宋" w:eastAsia="仿宋"/>
          <w:sz w:val="32"/>
        </w:rPr>
        <w:t>三、部门整体预算绩效管理情况</w:t>
      </w:r>
    </w:p>
    <w:p w14:paraId="3AE4841E">
      <w:pPr>
        <w:pStyle w:val="14"/>
        <w:spacing w:line="560" w:lineRule="exact"/>
        <w:ind w:left="420" w:firstLine="640"/>
        <w:rPr>
          <w:rFonts w:ascii="仿宋" w:hAnsi="仿宋" w:eastAsia="仿宋"/>
          <w:sz w:val="32"/>
        </w:rPr>
      </w:pPr>
      <w:r>
        <w:rPr>
          <w:rFonts w:hint="eastAsia" w:ascii="仿宋" w:hAnsi="仿宋" w:eastAsia="仿宋"/>
          <w:sz w:val="32"/>
        </w:rPr>
        <w:t>（一）</w:t>
      </w:r>
      <w:r>
        <w:rPr>
          <w:rFonts w:ascii="仿宋" w:hAnsi="仿宋" w:eastAsia="仿宋"/>
          <w:sz w:val="32"/>
        </w:rPr>
        <w:t>预算编制情况</w:t>
      </w:r>
      <w:r>
        <w:rPr>
          <w:rFonts w:hint="eastAsia" w:ascii="仿宋" w:hAnsi="仿宋" w:eastAsia="仿宋"/>
          <w:sz w:val="32"/>
        </w:rPr>
        <w:t>。</w:t>
      </w:r>
    </w:p>
    <w:p w14:paraId="2A0BA410">
      <w:pPr>
        <w:pStyle w:val="14"/>
        <w:spacing w:line="560" w:lineRule="exact"/>
        <w:ind w:left="420" w:firstLine="640"/>
        <w:rPr>
          <w:rFonts w:ascii="仿宋" w:hAnsi="仿宋" w:eastAsia="仿宋"/>
          <w:sz w:val="32"/>
        </w:rPr>
      </w:pPr>
      <w:r>
        <w:rPr>
          <w:rFonts w:hint="eastAsia" w:ascii="仿宋" w:hAnsi="仿宋" w:eastAsia="仿宋"/>
          <w:sz w:val="32"/>
        </w:rPr>
        <w:t>杨村乡年初预算的项目经费有：乡镇便民服务中心（站）日常运维费、乡（镇）村便民服务体系建设资金、乡镇普法依法治理经费、乡镇老协活动经费、农村生活垃圾治理资金、乡镇环境综合治理长效管理经费、杨村乡碑坪村、两路村茶叶加工厂电力设施安装工程项目、2022年基层组织活动和公共服务运行经费、村（社区）代办点日常运行维费、第一书记和工作队工作经费、乡镇安全监管工作经费、乡镇民兵业务经费、“有事来协商”平台建设经费。</w:t>
      </w:r>
    </w:p>
    <w:p w14:paraId="2BA70E84">
      <w:pPr>
        <w:pStyle w:val="14"/>
        <w:spacing w:line="560" w:lineRule="exact"/>
        <w:ind w:left="420" w:firstLine="640"/>
        <w:rPr>
          <w:rFonts w:ascii="仿宋" w:hAnsi="仿宋" w:eastAsia="仿宋"/>
          <w:sz w:val="32"/>
        </w:rPr>
      </w:pPr>
      <w:r>
        <w:rPr>
          <w:rFonts w:hint="eastAsia" w:ascii="仿宋" w:hAnsi="仿宋" w:eastAsia="仿宋"/>
          <w:sz w:val="32"/>
        </w:rPr>
        <w:t>2022年我乡较好地完成了各项既定目标任务，保障了机关日常运转，完成相关事务性任务，加强基层组织建设，全面推进各项社会事业顺利发展。</w:t>
      </w:r>
    </w:p>
    <w:p w14:paraId="0F8A6214">
      <w:pPr>
        <w:pStyle w:val="14"/>
        <w:spacing w:line="560" w:lineRule="exact"/>
        <w:ind w:left="420" w:firstLine="640"/>
        <w:rPr>
          <w:rFonts w:ascii="仿宋" w:hAnsi="仿宋" w:eastAsia="仿宋"/>
          <w:sz w:val="32"/>
        </w:rPr>
      </w:pPr>
      <w:r>
        <w:rPr>
          <w:rFonts w:hint="eastAsia" w:ascii="仿宋" w:hAnsi="仿宋" w:eastAsia="仿宋"/>
          <w:sz w:val="32"/>
        </w:rPr>
        <w:t>（二）</w:t>
      </w:r>
      <w:r>
        <w:rPr>
          <w:rFonts w:ascii="仿宋" w:hAnsi="仿宋" w:eastAsia="仿宋"/>
          <w:sz w:val="32"/>
        </w:rPr>
        <w:t>预算执行情况。</w:t>
      </w:r>
    </w:p>
    <w:p w14:paraId="4A5B2556">
      <w:pPr>
        <w:pStyle w:val="14"/>
        <w:spacing w:line="560" w:lineRule="exact"/>
        <w:ind w:left="420" w:firstLine="640"/>
        <w:rPr>
          <w:rFonts w:ascii="仿宋" w:hAnsi="仿宋" w:eastAsia="仿宋"/>
          <w:sz w:val="32"/>
        </w:rPr>
      </w:pPr>
      <w:r>
        <w:rPr>
          <w:rFonts w:hint="eastAsia" w:ascii="仿宋" w:hAnsi="仿宋" w:eastAsia="仿宋"/>
          <w:sz w:val="32"/>
        </w:rPr>
        <w:t>项目目标完成情况分别是：乡镇便民服务中心（站）日常运维费完成100%、乡（镇）村便民服务体系建设资金完成100%、乡镇普法依法治理经费完成100%、乡镇老协活动经费完成100%、农村生活垃圾治理资金完成100%、乡镇环境综合治理长效管理经费完成100%、杨村乡碑坪村、两路村茶叶加工厂电力设施安装工程项目完成100%、2022年基层组织活动和公共服务运行经费完成100%、村（社区）代办点日常运行维费完成100%、第一书记和工作队工作经费完成100%、乡镇安全监管工作经费完成100%、乡镇民兵业务经费完成100%、“有事来协商”平台建设经费完成100%。</w:t>
      </w:r>
    </w:p>
    <w:p w14:paraId="78A6E01D">
      <w:pPr>
        <w:pStyle w:val="14"/>
        <w:spacing w:line="560" w:lineRule="exact"/>
        <w:ind w:left="420" w:firstLine="640"/>
        <w:rPr>
          <w:rFonts w:ascii="仿宋" w:hAnsi="仿宋" w:eastAsia="仿宋"/>
          <w:sz w:val="32"/>
        </w:rPr>
      </w:pPr>
      <w:r>
        <w:rPr>
          <w:rFonts w:hint="eastAsia" w:ascii="仿宋" w:hAnsi="仿宋" w:eastAsia="仿宋"/>
          <w:sz w:val="32"/>
        </w:rPr>
        <w:t>项目保障基本民生效果良好。</w:t>
      </w:r>
    </w:p>
    <w:p w14:paraId="6467370F">
      <w:pPr>
        <w:pStyle w:val="14"/>
        <w:spacing w:line="560" w:lineRule="exact"/>
        <w:ind w:left="420" w:firstLine="640"/>
        <w:rPr>
          <w:rFonts w:ascii="仿宋" w:hAnsi="仿宋" w:eastAsia="仿宋"/>
          <w:sz w:val="32"/>
        </w:rPr>
      </w:pPr>
      <w:r>
        <w:rPr>
          <w:rFonts w:hint="eastAsia" w:ascii="仿宋" w:hAnsi="仿宋" w:eastAsia="仿宋"/>
          <w:sz w:val="32"/>
        </w:rPr>
        <w:t>（三）</w:t>
      </w:r>
      <w:r>
        <w:rPr>
          <w:rFonts w:ascii="仿宋" w:hAnsi="仿宋" w:eastAsia="仿宋"/>
          <w:sz w:val="32"/>
        </w:rPr>
        <w:t>整体绩效情况。</w:t>
      </w:r>
    </w:p>
    <w:p w14:paraId="0A2A6410">
      <w:pPr>
        <w:pStyle w:val="14"/>
        <w:spacing w:line="560" w:lineRule="exact"/>
        <w:ind w:left="420" w:firstLine="640"/>
        <w:rPr>
          <w:rFonts w:ascii="仿宋" w:hAnsi="仿宋" w:eastAsia="仿宋"/>
          <w:sz w:val="32"/>
        </w:rPr>
      </w:pPr>
      <w:r>
        <w:rPr>
          <w:rFonts w:hint="eastAsia" w:ascii="仿宋" w:hAnsi="仿宋" w:eastAsia="仿宋"/>
          <w:sz w:val="32"/>
        </w:rPr>
        <w:t>项目实施完成后使本乡环境更优美、经济更稳定、社会更和谐。普法、老年活动、环境保护、农村垃圾治理、安全监管等项目均达到预期经济社会目标,得到广大群众的肯定。</w:t>
      </w:r>
    </w:p>
    <w:p w14:paraId="0FF9742B">
      <w:pPr>
        <w:pStyle w:val="14"/>
        <w:spacing w:line="560" w:lineRule="exact"/>
        <w:ind w:left="420" w:firstLine="640"/>
        <w:rPr>
          <w:rFonts w:ascii="仿宋" w:hAnsi="仿宋" w:eastAsia="仿宋"/>
          <w:sz w:val="32"/>
        </w:rPr>
      </w:pPr>
      <w:r>
        <w:rPr>
          <w:rFonts w:hint="eastAsia" w:ascii="仿宋" w:hAnsi="仿宋" w:eastAsia="仿宋"/>
          <w:sz w:val="32"/>
        </w:rPr>
        <w:t>四、评价结论及建议</w:t>
      </w:r>
    </w:p>
    <w:p w14:paraId="737855FF">
      <w:pPr>
        <w:pStyle w:val="14"/>
        <w:spacing w:line="560" w:lineRule="exact"/>
        <w:ind w:left="0" w:leftChars="0" w:firstLine="480" w:firstLineChars="150"/>
        <w:rPr>
          <w:rFonts w:ascii="仿宋" w:hAnsi="仿宋" w:eastAsia="仿宋"/>
          <w:sz w:val="32"/>
        </w:rPr>
      </w:pPr>
      <w:r>
        <w:rPr>
          <w:rFonts w:hint="eastAsia" w:ascii="仿宋" w:hAnsi="仿宋" w:eastAsia="仿宋"/>
          <w:sz w:val="32"/>
        </w:rPr>
        <w:t>（一）评价结论。</w:t>
      </w:r>
    </w:p>
    <w:p w14:paraId="70BBD7F5">
      <w:pPr>
        <w:pStyle w:val="14"/>
        <w:spacing w:line="560" w:lineRule="exact"/>
        <w:ind w:left="0" w:leftChars="0" w:firstLine="640"/>
        <w:rPr>
          <w:rFonts w:ascii="仿宋" w:hAnsi="仿宋" w:eastAsia="仿宋"/>
          <w:sz w:val="32"/>
        </w:rPr>
      </w:pPr>
      <w:r>
        <w:rPr>
          <w:rFonts w:hint="eastAsia" w:ascii="仿宋" w:hAnsi="仿宋" w:eastAsia="仿宋"/>
          <w:sz w:val="32"/>
        </w:rPr>
        <w:t>杨村乡政府部门预算执行情况良好，无不良记录及违规违纪行为，预算支出和决算支出情况相符。</w:t>
      </w:r>
    </w:p>
    <w:p w14:paraId="0D004077">
      <w:pPr>
        <w:pStyle w:val="14"/>
        <w:spacing w:line="560" w:lineRule="exact"/>
        <w:ind w:left="199" w:leftChars="95" w:firstLine="419" w:firstLineChars="131"/>
        <w:rPr>
          <w:rFonts w:ascii="仿宋" w:hAnsi="仿宋" w:eastAsia="仿宋"/>
          <w:sz w:val="32"/>
        </w:rPr>
      </w:pPr>
      <w:r>
        <w:rPr>
          <w:rFonts w:hint="eastAsia" w:ascii="仿宋" w:hAnsi="仿宋" w:eastAsia="仿宋"/>
          <w:sz w:val="32"/>
        </w:rPr>
        <w:t>（二）存在问题。</w:t>
      </w:r>
    </w:p>
    <w:p w14:paraId="41C7B518">
      <w:pPr>
        <w:pStyle w:val="14"/>
        <w:spacing w:line="560" w:lineRule="exact"/>
        <w:ind w:left="0" w:leftChars="0" w:firstLine="0" w:firstLineChars="0"/>
        <w:rPr>
          <w:rFonts w:ascii="仿宋" w:hAnsi="仿宋" w:eastAsia="仿宋"/>
          <w:sz w:val="32"/>
        </w:rPr>
      </w:pPr>
      <w:r>
        <w:rPr>
          <w:rFonts w:hint="eastAsia" w:ascii="仿宋" w:hAnsi="仿宋" w:eastAsia="仿宋"/>
          <w:sz w:val="32"/>
        </w:rPr>
        <w:t>完成部门预算进度效率还待提升。</w:t>
      </w:r>
    </w:p>
    <w:p w14:paraId="30BBDD6B">
      <w:pPr>
        <w:pStyle w:val="14"/>
        <w:spacing w:line="560" w:lineRule="exact"/>
        <w:ind w:left="0" w:leftChars="0" w:firstLine="640"/>
        <w:rPr>
          <w:rFonts w:ascii="仿宋" w:hAnsi="仿宋" w:eastAsia="仿宋"/>
          <w:sz w:val="32"/>
        </w:rPr>
      </w:pPr>
      <w:r>
        <w:rPr>
          <w:rFonts w:hint="eastAsia" w:ascii="仿宋" w:hAnsi="仿宋" w:eastAsia="仿宋"/>
          <w:sz w:val="32"/>
        </w:rPr>
        <w:t>（三）改进建议。</w:t>
      </w:r>
    </w:p>
    <w:p w14:paraId="483E2F63">
      <w:pPr>
        <w:pStyle w:val="14"/>
        <w:spacing w:line="560" w:lineRule="exact"/>
        <w:ind w:left="0" w:leftChars="0" w:firstLine="0" w:firstLineChars="0"/>
        <w:rPr>
          <w:rFonts w:ascii="仿宋" w:hAnsi="仿宋" w:eastAsia="仿宋"/>
          <w:sz w:val="32"/>
        </w:rPr>
      </w:pPr>
      <w:r>
        <w:rPr>
          <w:rFonts w:hint="eastAsia" w:ascii="仿宋" w:hAnsi="仿宋" w:eastAsia="仿宋"/>
          <w:sz w:val="32"/>
        </w:rPr>
        <w:t>加强业务人员相关培训，提高工作效率和能力。</w:t>
      </w:r>
    </w:p>
    <w:p w14:paraId="700F0889">
      <w:pPr>
        <w:pStyle w:val="5"/>
        <w:spacing w:before="93"/>
        <w:rPr>
          <w:rFonts w:ascii="仿宋" w:hAnsi="仿宋" w:eastAsia="仿宋"/>
          <w:kern w:val="2"/>
          <w:sz w:val="32"/>
          <w:szCs w:val="32"/>
        </w:rPr>
      </w:pPr>
    </w:p>
    <w:p w14:paraId="4E0446CE">
      <w:pPr>
        <w:pStyle w:val="5"/>
        <w:spacing w:before="93"/>
        <w:rPr>
          <w:rFonts w:ascii="仿宋" w:hAnsi="仿宋" w:eastAsia="仿宋"/>
          <w:kern w:val="2"/>
          <w:sz w:val="32"/>
          <w:szCs w:val="32"/>
        </w:rPr>
      </w:pPr>
      <w:r>
        <w:rPr>
          <w:rFonts w:hint="eastAsia" w:ascii="仿宋" w:hAnsi="仿宋" w:eastAsia="仿宋"/>
          <w:kern w:val="2"/>
          <w:sz w:val="32"/>
          <w:szCs w:val="32"/>
        </w:rPr>
        <w:t>附件2</w:t>
      </w:r>
    </w:p>
    <w:p w14:paraId="186DF74D">
      <w:pPr>
        <w:pStyle w:val="34"/>
        <w:spacing w:line="578" w:lineRule="exact"/>
        <w:jc w:val="center"/>
        <w:rPr>
          <w:rFonts w:ascii="仿宋" w:hAnsi="仿宋" w:eastAsia="仿宋"/>
          <w:color w:val="auto"/>
          <w:kern w:val="2"/>
          <w:sz w:val="32"/>
          <w:szCs w:val="32"/>
          <w:lang w:val="en-US"/>
        </w:rPr>
      </w:pPr>
      <w:r>
        <w:rPr>
          <w:rFonts w:hint="eastAsia" w:ascii="仿宋" w:hAnsi="仿宋" w:eastAsia="仿宋"/>
          <w:color w:val="auto"/>
          <w:kern w:val="2"/>
          <w:sz w:val="32"/>
          <w:szCs w:val="32"/>
          <w:lang w:val="en-US"/>
        </w:rPr>
        <w:t>2022年专项资金预算项目绩效自评报告</w:t>
      </w:r>
    </w:p>
    <w:p w14:paraId="04851B39">
      <w:pPr>
        <w:pStyle w:val="34"/>
        <w:spacing w:line="578" w:lineRule="exact"/>
        <w:ind w:firstLine="640"/>
        <w:jc w:val="center"/>
        <w:rPr>
          <w:rFonts w:ascii="仿宋" w:hAnsi="仿宋" w:eastAsia="仿宋"/>
          <w:color w:val="auto"/>
          <w:kern w:val="2"/>
          <w:sz w:val="32"/>
          <w:szCs w:val="32"/>
          <w:lang w:val="en-US"/>
        </w:rPr>
      </w:pPr>
    </w:p>
    <w:p w14:paraId="1B9A2E6D">
      <w:pPr>
        <w:spacing w:line="580" w:lineRule="exact"/>
        <w:rPr>
          <w:rFonts w:ascii="仿宋" w:hAnsi="仿宋" w:eastAsia="仿宋"/>
          <w:sz w:val="32"/>
          <w:szCs w:val="32"/>
        </w:rPr>
      </w:pPr>
      <w:r>
        <w:rPr>
          <w:rFonts w:ascii="仿宋" w:hAnsi="仿宋" w:eastAsia="仿宋"/>
          <w:sz w:val="32"/>
          <w:szCs w:val="32"/>
        </w:rPr>
        <w:t>一、项目基本情况</w:t>
      </w:r>
    </w:p>
    <w:p w14:paraId="608BE7C8">
      <w:pPr>
        <w:numPr>
          <w:ilvl w:val="0"/>
          <w:numId w:val="6"/>
        </w:numPr>
        <w:spacing w:line="580" w:lineRule="exact"/>
        <w:rPr>
          <w:rFonts w:ascii="仿宋" w:hAnsi="仿宋" w:eastAsia="仿宋"/>
          <w:sz w:val="32"/>
          <w:szCs w:val="32"/>
        </w:rPr>
      </w:pPr>
      <w:r>
        <w:rPr>
          <w:rFonts w:hint="eastAsia" w:ascii="仿宋" w:hAnsi="仿宋" w:eastAsia="仿宋"/>
          <w:sz w:val="32"/>
          <w:szCs w:val="32"/>
        </w:rPr>
        <w:t>绩效目标情况。</w:t>
      </w:r>
    </w:p>
    <w:p w14:paraId="4F3666F7">
      <w:pPr>
        <w:spacing w:line="580" w:lineRule="exact"/>
        <w:ind w:firstLine="640" w:firstLineChars="200"/>
        <w:rPr>
          <w:rFonts w:ascii="仿宋" w:hAnsi="仿宋" w:eastAsia="仿宋"/>
          <w:sz w:val="32"/>
          <w:szCs w:val="32"/>
        </w:rPr>
      </w:pPr>
      <w:r>
        <w:rPr>
          <w:rFonts w:hint="eastAsia" w:ascii="仿宋" w:hAnsi="仿宋" w:eastAsia="仿宋"/>
          <w:sz w:val="32"/>
          <w:szCs w:val="32"/>
        </w:rPr>
        <w:t>2022年杨村乡项目支出如下：乡（镇）村便民服务体系建设资金、乡镇普法依法治理经费、乡镇老协活动经费、第一书记和工作队工作经费、乡镇安全监管工作经费、乡镇民兵业务经费、“有事来协商”平台建设经费、乡镇便民服务中心（站）日常运维费、乡镇环境综合治理长效管理经费、农村生活垃圾治理资金、杨村乡碑坪村、两路村茶叶加工厂电力设施安装工程项目、2022年基层组织活动和公共服务运行经费、村（社区）代办点日常运行维费、</w:t>
      </w:r>
    </w:p>
    <w:p w14:paraId="33ED78E9">
      <w:pPr>
        <w:numPr>
          <w:ilvl w:val="0"/>
          <w:numId w:val="6"/>
        </w:numPr>
        <w:spacing w:line="580" w:lineRule="exact"/>
        <w:rPr>
          <w:rFonts w:ascii="仿宋" w:hAnsi="仿宋" w:eastAsia="仿宋"/>
          <w:sz w:val="32"/>
          <w:szCs w:val="32"/>
        </w:rPr>
      </w:pPr>
      <w:r>
        <w:rPr>
          <w:rFonts w:ascii="仿宋" w:hAnsi="仿宋" w:eastAsia="仿宋"/>
          <w:sz w:val="32"/>
          <w:szCs w:val="32"/>
        </w:rPr>
        <w:t>资金安排情况</w:t>
      </w:r>
    </w:p>
    <w:p w14:paraId="6472E7CF">
      <w:pPr>
        <w:spacing w:line="580" w:lineRule="exact"/>
        <w:ind w:firstLine="640" w:firstLineChars="200"/>
        <w:rPr>
          <w:rFonts w:ascii="仿宋" w:hAnsi="仿宋" w:eastAsia="仿宋"/>
          <w:sz w:val="32"/>
          <w:szCs w:val="32"/>
        </w:rPr>
      </w:pPr>
      <w:r>
        <w:rPr>
          <w:rFonts w:hint="eastAsia" w:ascii="仿宋" w:hAnsi="仿宋" w:eastAsia="仿宋"/>
          <w:sz w:val="32"/>
          <w:szCs w:val="32"/>
        </w:rPr>
        <w:t>杨村乡项目按照先计划，后实施，在报账的程序安排项目资金。报账时严格审核资料，对符合报账的项目进行资金申报，待上级财政部门批复后按实际开支支付。在预算执行过程中，根据需要由乡镇提出申请、相关业务股室审核、县财政局领导审批、相关业务股室调整指标的程序进行预算调整。项目资金执行和预算调整均符合资金管理办法等相关规定。</w:t>
      </w:r>
    </w:p>
    <w:p w14:paraId="5BA56E4E">
      <w:pPr>
        <w:spacing w:line="580" w:lineRule="exact"/>
        <w:rPr>
          <w:rFonts w:ascii="仿宋" w:hAnsi="仿宋" w:eastAsia="仿宋"/>
          <w:sz w:val="32"/>
          <w:szCs w:val="32"/>
        </w:rPr>
      </w:pPr>
      <w:r>
        <w:rPr>
          <w:rFonts w:hint="eastAsia" w:ascii="仿宋" w:hAnsi="仿宋" w:eastAsia="仿宋"/>
          <w:sz w:val="32"/>
          <w:szCs w:val="32"/>
        </w:rPr>
        <w:t>2022年杨村乡项目各类中央、省、市（州）、县（市、区）财政资金、项目单位自筹资金及其他渠道资金计划及截止评价时点实际到位100%。资金计划按实际支出申请，资金到位率100%、到位及时性100%。</w:t>
      </w:r>
    </w:p>
    <w:p w14:paraId="1F69693F">
      <w:pPr>
        <w:spacing w:line="580" w:lineRule="exact"/>
        <w:rPr>
          <w:rFonts w:ascii="仿宋" w:hAnsi="仿宋" w:eastAsia="仿宋"/>
          <w:sz w:val="32"/>
          <w:szCs w:val="32"/>
        </w:rPr>
      </w:pPr>
    </w:p>
    <w:p w14:paraId="07AA7A7D">
      <w:pPr>
        <w:spacing w:line="580" w:lineRule="exact"/>
        <w:rPr>
          <w:rFonts w:ascii="仿宋" w:hAnsi="仿宋" w:eastAsia="仿宋"/>
          <w:sz w:val="32"/>
          <w:szCs w:val="32"/>
        </w:rPr>
      </w:pPr>
      <w:r>
        <w:rPr>
          <w:rFonts w:ascii="仿宋" w:hAnsi="仿宋" w:eastAsia="仿宋"/>
          <w:sz w:val="32"/>
          <w:szCs w:val="32"/>
        </w:rPr>
        <w:t>二、绩效目标完成情况分析</w:t>
      </w:r>
    </w:p>
    <w:p w14:paraId="4662FF4A">
      <w:pPr>
        <w:spacing w:line="580" w:lineRule="exact"/>
        <w:ind w:firstLine="480" w:firstLineChars="150"/>
        <w:rPr>
          <w:rFonts w:ascii="仿宋" w:hAnsi="仿宋" w:eastAsia="仿宋"/>
          <w:sz w:val="32"/>
          <w:szCs w:val="32"/>
        </w:rPr>
      </w:pPr>
      <w:r>
        <w:rPr>
          <w:rFonts w:ascii="仿宋" w:hAnsi="仿宋" w:eastAsia="仿宋"/>
          <w:sz w:val="32"/>
          <w:szCs w:val="32"/>
        </w:rPr>
        <w:t>（一）预算执行进度情况分析。</w:t>
      </w:r>
    </w:p>
    <w:p w14:paraId="2002EE7C">
      <w:pPr>
        <w:spacing w:line="580" w:lineRule="exact"/>
        <w:ind w:firstLine="640" w:firstLineChars="200"/>
        <w:rPr>
          <w:rFonts w:ascii="仿宋" w:hAnsi="仿宋" w:eastAsia="仿宋"/>
          <w:sz w:val="32"/>
          <w:szCs w:val="32"/>
        </w:rPr>
      </w:pPr>
      <w:r>
        <w:rPr>
          <w:rFonts w:hint="eastAsia" w:ascii="仿宋" w:hAnsi="仿宋" w:eastAsia="仿宋"/>
          <w:sz w:val="32"/>
          <w:szCs w:val="32"/>
        </w:rPr>
        <w:t>杨村乡2022年项目为：乡镇便民服务中心（站）日常运维费、乡（镇）村便民服务体系建设资金、乡镇普法依法治理经费、乡镇老协活动经费、农村生活垃圾治理资金、乡镇环境综合治理长效管理经费、杨村乡碑坪村、两路村茶叶加工厂电力设施安装工程项目、2022年基层组织活动和公共服务运行经费、村（社区）代办点日常运行维费、第一书记和工作队工作经费、乡镇安全监管工作经费、乡镇民兵业务经费、“有事来协商”平台建设经费。</w:t>
      </w:r>
    </w:p>
    <w:p w14:paraId="01B2F769">
      <w:pPr>
        <w:spacing w:line="580" w:lineRule="exact"/>
        <w:ind w:firstLine="480" w:firstLineChars="150"/>
        <w:rPr>
          <w:rFonts w:ascii="仿宋" w:hAnsi="仿宋" w:eastAsia="仿宋"/>
          <w:sz w:val="32"/>
          <w:szCs w:val="32"/>
        </w:rPr>
      </w:pPr>
      <w:r>
        <w:rPr>
          <w:rFonts w:hint="eastAsia" w:ascii="仿宋" w:hAnsi="仿宋" w:eastAsia="仿宋"/>
          <w:sz w:val="32"/>
          <w:szCs w:val="32"/>
        </w:rPr>
        <w:t>1、乡镇便民服务中心（站）日常运维费项目全年预算数0.6万元，执行数为0.6万元，完成预算的100%。通过项目实施，保障2022年我乡便民服务中心顺利开展工作。项目实施进度按照项目上报先后进行，按实际开支支付，绩效目标良好。</w:t>
      </w:r>
    </w:p>
    <w:p w14:paraId="1F51D730">
      <w:pPr>
        <w:spacing w:line="580" w:lineRule="exact"/>
        <w:rPr>
          <w:rFonts w:ascii="仿宋" w:hAnsi="仿宋" w:eastAsia="仿宋"/>
          <w:sz w:val="32"/>
          <w:szCs w:val="32"/>
        </w:rPr>
      </w:pPr>
      <w:r>
        <w:rPr>
          <w:rFonts w:hint="eastAsia" w:ascii="仿宋" w:hAnsi="仿宋" w:eastAsia="仿宋"/>
          <w:sz w:val="32"/>
          <w:szCs w:val="32"/>
        </w:rPr>
        <w:t>2乡（镇）村便民服务体系建设资金项目全年预算数1.9695万元，执行数为1.9695万元，完成预算的100%。通过项目实施，保障2022年全乡便民服务体系的顺利运行，提升了群众办事的方便性，让政府部门更好</w:t>
      </w:r>
      <w:r>
        <w:rPr>
          <w:rFonts w:hint="eastAsia" w:ascii="仿宋" w:hAnsi="仿宋" w:eastAsia="仿宋"/>
          <w:sz w:val="32"/>
          <w:szCs w:val="32"/>
          <w:lang w:eastAsia="zh-CN"/>
        </w:rPr>
        <w:t>地</w:t>
      </w:r>
      <w:r>
        <w:rPr>
          <w:rFonts w:hint="eastAsia" w:ascii="仿宋" w:hAnsi="仿宋" w:eastAsia="仿宋"/>
          <w:sz w:val="32"/>
          <w:szCs w:val="32"/>
        </w:rPr>
        <w:t>为群众服务。项目实施进度与便民服务体系建设同步进行，按实际开支支付，绩效目标良好。</w:t>
      </w:r>
    </w:p>
    <w:p w14:paraId="2FAC8290">
      <w:pPr>
        <w:spacing w:line="580" w:lineRule="exact"/>
        <w:rPr>
          <w:rFonts w:ascii="仿宋" w:hAnsi="仿宋" w:eastAsia="仿宋"/>
          <w:sz w:val="32"/>
          <w:szCs w:val="32"/>
        </w:rPr>
      </w:pPr>
      <w:r>
        <w:rPr>
          <w:rFonts w:hint="eastAsia" w:ascii="仿宋" w:hAnsi="仿宋" w:eastAsia="仿宋"/>
          <w:sz w:val="32"/>
          <w:szCs w:val="32"/>
        </w:rPr>
        <w:t>3、乡镇普法依法治理经费项目全年预算数0.4593万元，执行数为0.4593万元，完成预算的100%。通过项目实施，保障2022年杨村乡普法依法治理工作顺利开展，促进了我乡普法工作发展，提高了群众知法、守法、用法的意识。项目实施进度与普法工作开展的进度同步，按实际开支支付，绩效目标良好。</w:t>
      </w:r>
    </w:p>
    <w:p w14:paraId="26D51544">
      <w:pPr>
        <w:spacing w:line="580" w:lineRule="exact"/>
        <w:rPr>
          <w:rFonts w:ascii="仿宋" w:hAnsi="仿宋" w:eastAsia="仿宋"/>
          <w:sz w:val="32"/>
          <w:szCs w:val="32"/>
        </w:rPr>
      </w:pPr>
      <w:r>
        <w:rPr>
          <w:rFonts w:hint="eastAsia" w:ascii="仿宋" w:hAnsi="仿宋" w:eastAsia="仿宋"/>
          <w:sz w:val="32"/>
          <w:szCs w:val="32"/>
        </w:rPr>
        <w:t>4、乡镇老协活动经费全年预算数0.8万元，执行数为0.8万元，完成预算的100%。通过项目实施，保障2022年全乡开展老年人座谈会、文艺汇演等活动，使退休老干部和老年人感受到党和政府的关怀，让老年人身心健康。项目实施进度与老协活动开展进度同步，按实际开支支付。</w:t>
      </w:r>
    </w:p>
    <w:p w14:paraId="23598FF7">
      <w:pPr>
        <w:spacing w:line="580" w:lineRule="exact"/>
        <w:rPr>
          <w:rFonts w:ascii="仿宋" w:hAnsi="仿宋" w:eastAsia="仿宋"/>
          <w:sz w:val="32"/>
          <w:szCs w:val="32"/>
        </w:rPr>
      </w:pPr>
      <w:r>
        <w:rPr>
          <w:rFonts w:hint="eastAsia" w:ascii="仿宋" w:hAnsi="仿宋" w:eastAsia="仿宋"/>
          <w:sz w:val="32"/>
          <w:szCs w:val="32"/>
        </w:rPr>
        <w:t>5、农村生活垃圾治理资金全年预算数18.6万元，执行数为18.6万元，完成预算的100%。通过项目实施，保障2022年全乡垃圾清运工作正常开展，保证乡容乡貌干净整洁。项目实施进度与清运工作开展进度同步，按实际开支支付。</w:t>
      </w:r>
    </w:p>
    <w:p w14:paraId="707EC7EF">
      <w:pPr>
        <w:spacing w:line="580" w:lineRule="exact"/>
        <w:rPr>
          <w:rFonts w:ascii="仿宋" w:hAnsi="仿宋" w:eastAsia="仿宋"/>
          <w:sz w:val="32"/>
          <w:szCs w:val="32"/>
        </w:rPr>
      </w:pPr>
      <w:r>
        <w:rPr>
          <w:rFonts w:hint="eastAsia" w:ascii="仿宋" w:hAnsi="仿宋" w:eastAsia="仿宋"/>
          <w:sz w:val="32"/>
          <w:szCs w:val="32"/>
        </w:rPr>
        <w:t>6、乡镇环境综合治理长效管理经费全年预算数10万元，执行数为10万元，完成预算的100%。通过项目实施，改善乡镇综合环境，提升综合形象。项目实施进度按月执行，按实际开支支付，绩效目标良好。</w:t>
      </w:r>
    </w:p>
    <w:p w14:paraId="7BE57E31">
      <w:pPr>
        <w:spacing w:line="580" w:lineRule="exact"/>
        <w:rPr>
          <w:rFonts w:ascii="仿宋" w:hAnsi="仿宋" w:eastAsia="仿宋"/>
          <w:sz w:val="32"/>
          <w:szCs w:val="32"/>
        </w:rPr>
      </w:pPr>
      <w:r>
        <w:rPr>
          <w:rFonts w:hint="eastAsia" w:ascii="仿宋" w:hAnsi="仿宋" w:eastAsia="仿宋"/>
          <w:sz w:val="32"/>
          <w:szCs w:val="32"/>
        </w:rPr>
        <w:t>7、乡镇民兵业务经费全年预算数0.7925万元，执行数为0.7925万元，完成预算的100%。通过项目实施，保障2022年全乡民兵训练顺利开展，保障装备，提高民兵应急能力；保障征兵工作顺利开展。项目实施进度按照民兵训练次数、征兵工作进度执行，按实际开支支付，绩效目标良好。</w:t>
      </w:r>
    </w:p>
    <w:p w14:paraId="59EEE850">
      <w:pPr>
        <w:spacing w:line="580" w:lineRule="exact"/>
        <w:rPr>
          <w:rFonts w:ascii="仿宋" w:hAnsi="仿宋" w:eastAsia="仿宋"/>
          <w:sz w:val="32"/>
          <w:szCs w:val="32"/>
        </w:rPr>
      </w:pPr>
      <w:r>
        <w:rPr>
          <w:rFonts w:hint="eastAsia" w:ascii="仿宋" w:hAnsi="仿宋" w:eastAsia="仿宋"/>
          <w:sz w:val="32"/>
          <w:szCs w:val="32"/>
        </w:rPr>
        <w:t>8、杨村乡碑坪村、两路村茶叶加工厂电力设施安装工程项目全年预算数50万元，执行数为50万元，完成预算的100%。通过项目实施，保障两村茶叶加工厂的顺利运行，带动村集体经济发展，为村民带来更多创收。项目实施进度按标准支付，绩效目标良好。</w:t>
      </w:r>
    </w:p>
    <w:p w14:paraId="3E34DDD2">
      <w:pPr>
        <w:spacing w:line="580" w:lineRule="exact"/>
        <w:rPr>
          <w:rFonts w:ascii="仿宋" w:hAnsi="仿宋" w:eastAsia="仿宋"/>
          <w:sz w:val="32"/>
          <w:szCs w:val="32"/>
        </w:rPr>
      </w:pPr>
      <w:r>
        <w:rPr>
          <w:rFonts w:hint="eastAsia" w:ascii="仿宋" w:hAnsi="仿宋" w:eastAsia="仿宋"/>
          <w:sz w:val="32"/>
          <w:szCs w:val="32"/>
        </w:rPr>
        <w:t>9、2022年基层组织活动和公共服务运行经费全年预算数72.6万元，执行数为72.6万元，完成预算的100%。通过项目实施，保障村级办公、基层组织活动、村级公共服务正常运行。项目实施进度按季度和工作完成进度执行，按实际开支支付，绩效目标良好。</w:t>
      </w:r>
    </w:p>
    <w:p w14:paraId="1D806E7E">
      <w:pPr>
        <w:spacing w:line="580" w:lineRule="exact"/>
        <w:rPr>
          <w:rFonts w:ascii="仿宋" w:hAnsi="仿宋" w:eastAsia="仿宋"/>
          <w:sz w:val="32"/>
          <w:szCs w:val="32"/>
        </w:rPr>
      </w:pPr>
      <w:r>
        <w:rPr>
          <w:rFonts w:hint="eastAsia" w:ascii="仿宋" w:hAnsi="仿宋" w:eastAsia="仿宋"/>
          <w:sz w:val="32"/>
          <w:szCs w:val="32"/>
        </w:rPr>
        <w:t>10、村（社区）代办点日常运行维费全年预算数0.96万元，执行数为0.96万元，完成预算的100%。通过项目实施，保障代办点日常工作正常开展，为村组干部办公提供条件。项目实施进度按照工作需求执行，按实际开支支付，绩效目标良好。</w:t>
      </w:r>
    </w:p>
    <w:p w14:paraId="3E1EF690">
      <w:pPr>
        <w:numPr>
          <w:ilvl w:val="0"/>
          <w:numId w:val="7"/>
        </w:numPr>
        <w:spacing w:line="580" w:lineRule="exact"/>
        <w:ind w:firstLine="640" w:firstLineChars="200"/>
        <w:rPr>
          <w:rFonts w:ascii="仿宋" w:hAnsi="仿宋" w:eastAsia="仿宋"/>
          <w:sz w:val="32"/>
          <w:szCs w:val="32"/>
        </w:rPr>
      </w:pPr>
      <w:r>
        <w:rPr>
          <w:rFonts w:hint="eastAsia" w:ascii="仿宋" w:hAnsi="仿宋" w:eastAsia="仿宋"/>
          <w:sz w:val="32"/>
          <w:szCs w:val="32"/>
        </w:rPr>
        <w:t>第一书记和工作队工作经费全年预算数8万元，执行数为8万元，完成预算的100%。通过项目实施，保障2022年全乡驻村工作队顺利开展。项目实施进度按标准支付，绩效目标良好。</w:t>
      </w:r>
    </w:p>
    <w:p w14:paraId="5EDECBB9">
      <w:pPr>
        <w:numPr>
          <w:ilvl w:val="0"/>
          <w:numId w:val="7"/>
        </w:numPr>
        <w:spacing w:line="580" w:lineRule="exact"/>
        <w:ind w:firstLine="640" w:firstLineChars="200"/>
        <w:rPr>
          <w:rFonts w:ascii="仿宋" w:hAnsi="仿宋" w:eastAsia="仿宋"/>
          <w:sz w:val="32"/>
          <w:szCs w:val="32"/>
        </w:rPr>
      </w:pPr>
      <w:r>
        <w:rPr>
          <w:rFonts w:hint="eastAsia" w:ascii="仿宋" w:hAnsi="仿宋" w:eastAsia="仿宋"/>
          <w:sz w:val="32"/>
          <w:szCs w:val="32"/>
        </w:rPr>
        <w:t>乡镇安全监管工作经费全年预算数1.78万元，执行数为1.78万元，完成预算的100%。通过项目实施，保障2022年全乡道路交通、水上交通等安全，做好宣传工作，保障安全监管人员顺利开展工作。项目实施进度按照季度执行，按补助标准支付，绩效目标良好，</w:t>
      </w:r>
    </w:p>
    <w:p w14:paraId="2297E4E7">
      <w:pPr>
        <w:numPr>
          <w:ilvl w:val="0"/>
          <w:numId w:val="7"/>
        </w:numPr>
        <w:spacing w:line="580" w:lineRule="exact"/>
        <w:ind w:firstLine="640" w:firstLineChars="200"/>
        <w:rPr>
          <w:rFonts w:ascii="仿宋" w:hAnsi="仿宋" w:eastAsia="仿宋"/>
          <w:sz w:val="32"/>
          <w:szCs w:val="32"/>
        </w:rPr>
      </w:pPr>
      <w:r>
        <w:rPr>
          <w:rFonts w:hint="eastAsia" w:ascii="仿宋" w:hAnsi="仿宋" w:eastAsia="仿宋"/>
          <w:sz w:val="32"/>
          <w:szCs w:val="32"/>
        </w:rPr>
        <w:t>“有事来协商”平台建设经费全年预算数1万元，执行数为1万元，完成预算的100%。通过项目实施，保障社会各界的建议和意见能及时传达至乡政府，使政府更好的履行服务职能。项目实施进度按工作完成进度执行，按实际开支支付，绩效目标良好。</w:t>
      </w:r>
    </w:p>
    <w:p w14:paraId="56A2DCAC">
      <w:pPr>
        <w:spacing w:line="580" w:lineRule="exact"/>
        <w:rPr>
          <w:rFonts w:ascii="仿宋" w:hAnsi="仿宋" w:eastAsia="仿宋"/>
          <w:sz w:val="32"/>
          <w:szCs w:val="32"/>
        </w:rPr>
      </w:pPr>
      <w:r>
        <w:rPr>
          <w:rFonts w:ascii="仿宋" w:hAnsi="仿宋" w:eastAsia="仿宋"/>
          <w:sz w:val="32"/>
          <w:szCs w:val="32"/>
        </w:rPr>
        <w:t>（二）总体绩效目标完成情况分析。</w:t>
      </w:r>
    </w:p>
    <w:p w14:paraId="28D246D9">
      <w:pPr>
        <w:spacing w:line="580" w:lineRule="exact"/>
        <w:ind w:firstLine="640" w:firstLineChars="200"/>
        <w:rPr>
          <w:rFonts w:ascii="仿宋" w:hAnsi="仿宋" w:eastAsia="仿宋"/>
          <w:sz w:val="32"/>
          <w:szCs w:val="32"/>
        </w:rPr>
      </w:pPr>
      <w:r>
        <w:rPr>
          <w:rFonts w:hint="eastAsia" w:ascii="仿宋" w:hAnsi="仿宋" w:eastAsia="仿宋"/>
          <w:sz w:val="32"/>
          <w:szCs w:val="32"/>
        </w:rPr>
        <w:t>杨村乡2022年项目共13个，完成13个，质量较好，做到及时完成，并在预算范围内执行，年末项目资金结余0万元。无违规记录等情况。对照项目计划完成目标，截止评价时点的任务量完成100%、质量标准良好、进度计划100%、成本控制率100%。</w:t>
      </w:r>
    </w:p>
    <w:p w14:paraId="4D97BA7F">
      <w:pPr>
        <w:spacing w:line="580" w:lineRule="exact"/>
        <w:rPr>
          <w:rFonts w:ascii="仿宋" w:hAnsi="仿宋" w:eastAsia="仿宋"/>
          <w:sz w:val="32"/>
          <w:szCs w:val="32"/>
        </w:rPr>
      </w:pPr>
      <w:r>
        <w:rPr>
          <w:rFonts w:ascii="仿宋" w:hAnsi="仿宋" w:eastAsia="仿宋"/>
          <w:sz w:val="32"/>
          <w:szCs w:val="32"/>
        </w:rPr>
        <w:t>（三）绩效指标完成情况分析。</w:t>
      </w:r>
    </w:p>
    <w:p w14:paraId="725ED9B7">
      <w:pPr>
        <w:spacing w:line="580" w:lineRule="exact"/>
        <w:ind w:firstLine="640" w:firstLineChars="200"/>
        <w:rPr>
          <w:rFonts w:ascii="仿宋" w:hAnsi="仿宋" w:eastAsia="仿宋"/>
          <w:sz w:val="32"/>
          <w:szCs w:val="32"/>
        </w:rPr>
      </w:pPr>
      <w:r>
        <w:rPr>
          <w:rFonts w:hint="eastAsia" w:ascii="仿宋" w:hAnsi="仿宋" w:eastAsia="仿宋"/>
          <w:sz w:val="32"/>
          <w:szCs w:val="32"/>
        </w:rPr>
        <w:t>截止评价时点，杨村乡2022年项目资金的实际支出167.5613万元，资金开支分别是：一般公共服务支出、国防支出、公共安全支出、文化旅游体育与传媒支出、社会保障和就业支出、卫生健康支出、节能环保支出、城乡社区支出、农林水支出、灾害防止及应急管理支出。按照相关标准及实际开支执行。支付进度与相关工作完成情况同步，支付依据合规合法，资金支付与预算相符。</w:t>
      </w:r>
    </w:p>
    <w:p w14:paraId="70C2E934">
      <w:pPr>
        <w:spacing w:line="580" w:lineRule="exact"/>
        <w:rPr>
          <w:rFonts w:ascii="仿宋" w:hAnsi="仿宋" w:eastAsia="仿宋"/>
          <w:sz w:val="32"/>
          <w:szCs w:val="32"/>
        </w:rPr>
      </w:pPr>
      <w:r>
        <w:rPr>
          <w:rFonts w:ascii="仿宋" w:hAnsi="仿宋" w:eastAsia="仿宋"/>
          <w:sz w:val="32"/>
          <w:szCs w:val="32"/>
        </w:rPr>
        <w:t>（四）项目效益分析。</w:t>
      </w:r>
    </w:p>
    <w:p w14:paraId="4438D8A5">
      <w:pPr>
        <w:spacing w:line="580" w:lineRule="exact"/>
        <w:ind w:firstLine="640" w:firstLineChars="200"/>
        <w:rPr>
          <w:rFonts w:ascii="仿宋" w:hAnsi="仿宋" w:eastAsia="仿宋"/>
          <w:sz w:val="32"/>
          <w:szCs w:val="32"/>
        </w:rPr>
      </w:pPr>
      <w:r>
        <w:rPr>
          <w:rFonts w:hint="eastAsia" w:ascii="仿宋" w:hAnsi="仿宋" w:eastAsia="仿宋"/>
          <w:sz w:val="32"/>
          <w:szCs w:val="32"/>
        </w:rPr>
        <w:t>2022年杨村乡项目根据我乡实际情况预算，保障了我乡经济平稳发展、社会稳定、生态环境可持续发展、可持续发展效益得到有效提高，群众满意度达到95%以上。</w:t>
      </w:r>
    </w:p>
    <w:p w14:paraId="6213016D">
      <w:pPr>
        <w:spacing w:line="580" w:lineRule="exact"/>
        <w:rPr>
          <w:rFonts w:ascii="黑体" w:hAnsi="宋体" w:eastAsia="黑体"/>
          <w:sz w:val="32"/>
          <w:szCs w:val="32"/>
        </w:rPr>
      </w:pPr>
    </w:p>
    <w:p w14:paraId="70683301">
      <w:pPr>
        <w:spacing w:line="580" w:lineRule="exact"/>
        <w:rPr>
          <w:rFonts w:ascii="仿宋" w:hAnsi="仿宋" w:eastAsia="仿宋"/>
          <w:sz w:val="32"/>
          <w:szCs w:val="32"/>
        </w:rPr>
      </w:pPr>
      <w:r>
        <w:rPr>
          <w:rFonts w:hint="eastAsia" w:ascii="仿宋" w:hAnsi="仿宋" w:eastAsia="仿宋"/>
          <w:sz w:val="32"/>
          <w:szCs w:val="32"/>
        </w:rPr>
        <w:t>三、</w:t>
      </w:r>
      <w:r>
        <w:rPr>
          <w:rFonts w:ascii="仿宋" w:hAnsi="仿宋" w:eastAsia="仿宋"/>
          <w:sz w:val="32"/>
          <w:szCs w:val="32"/>
        </w:rPr>
        <w:t>绩效自评结果拟应用和公开情况</w:t>
      </w:r>
      <w:r>
        <w:rPr>
          <w:rFonts w:hint="eastAsia" w:ascii="仿宋" w:hAnsi="仿宋" w:eastAsia="仿宋"/>
          <w:sz w:val="32"/>
          <w:szCs w:val="32"/>
        </w:rPr>
        <w:tab/>
      </w:r>
    </w:p>
    <w:p w14:paraId="4DF7BE13">
      <w:pPr>
        <w:spacing w:line="580" w:lineRule="exact"/>
        <w:ind w:firstLine="640" w:firstLineChars="200"/>
        <w:rPr>
          <w:rFonts w:ascii="仿宋" w:hAnsi="仿宋" w:eastAsia="仿宋"/>
          <w:sz w:val="32"/>
          <w:szCs w:val="32"/>
        </w:rPr>
      </w:pPr>
      <w:r>
        <w:rPr>
          <w:rFonts w:hint="eastAsia" w:ascii="仿宋" w:hAnsi="仿宋" w:eastAsia="仿宋"/>
          <w:sz w:val="32"/>
          <w:szCs w:val="32"/>
        </w:rPr>
        <w:t>杨村乡2022年项目资金的实际支出167.5613万元，基本覆盖全乡日常项目开支，建议2023年项目预算金额不变，</w:t>
      </w:r>
    </w:p>
    <w:p w14:paraId="47CFACE7">
      <w:pPr>
        <w:spacing w:line="580" w:lineRule="exact"/>
        <w:rPr>
          <w:rFonts w:ascii="仿宋" w:hAnsi="仿宋" w:eastAsia="仿宋"/>
          <w:sz w:val="32"/>
          <w:szCs w:val="32"/>
        </w:rPr>
      </w:pPr>
      <w:r>
        <w:rPr>
          <w:rFonts w:hint="eastAsia" w:ascii="仿宋" w:hAnsi="仿宋" w:eastAsia="仿宋"/>
          <w:sz w:val="32"/>
          <w:szCs w:val="32"/>
        </w:rPr>
        <w:t>四</w:t>
      </w:r>
      <w:r>
        <w:rPr>
          <w:rFonts w:ascii="仿宋" w:hAnsi="仿宋" w:eastAsia="仿宋"/>
          <w:sz w:val="32"/>
          <w:szCs w:val="32"/>
        </w:rPr>
        <w:t>、其他需要说明的问题</w:t>
      </w:r>
    </w:p>
    <w:p w14:paraId="28035AD9">
      <w:pPr>
        <w:spacing w:line="580" w:lineRule="exact"/>
        <w:ind w:firstLine="480" w:firstLineChars="150"/>
        <w:rPr>
          <w:rFonts w:ascii="仿宋" w:hAnsi="仿宋" w:eastAsia="仿宋"/>
          <w:sz w:val="32"/>
          <w:szCs w:val="32"/>
        </w:rPr>
      </w:pPr>
      <w:r>
        <w:rPr>
          <w:rFonts w:hint="eastAsia" w:ascii="仿宋" w:hAnsi="仿宋" w:eastAsia="仿宋"/>
          <w:sz w:val="32"/>
          <w:szCs w:val="32"/>
        </w:rPr>
        <w:t>无。</w:t>
      </w:r>
    </w:p>
    <w:p w14:paraId="65EDA88B">
      <w:pPr>
        <w:spacing w:line="580" w:lineRule="exact"/>
        <w:rPr>
          <w:rStyle w:val="28"/>
          <w:rFonts w:ascii="黑体" w:hAnsi="黑体" w:eastAsia="黑体"/>
          <w:b w:val="0"/>
        </w:rPr>
      </w:pPr>
    </w:p>
    <w:p w14:paraId="1A3D8F3F">
      <w:pPr>
        <w:widowControl/>
        <w:jc w:val="left"/>
        <w:rPr>
          <w:rStyle w:val="28"/>
          <w:rFonts w:ascii="黑体" w:hAnsi="黑体" w:eastAsia="黑体"/>
          <w:b w:val="0"/>
        </w:rPr>
      </w:pPr>
      <w:r>
        <w:rPr>
          <w:rStyle w:val="28"/>
          <w:rFonts w:ascii="黑体" w:hAnsi="黑体" w:eastAsia="黑体"/>
          <w:b w:val="0"/>
        </w:rPr>
        <w:br w:type="page"/>
      </w:r>
    </w:p>
    <w:p w14:paraId="43A77A69">
      <w:pPr>
        <w:spacing w:line="600" w:lineRule="exact"/>
        <w:jc w:val="center"/>
        <w:outlineLvl w:val="0"/>
        <w:rPr>
          <w:rFonts w:ascii="仿宋" w:hAnsi="仿宋" w:eastAsia="仿宋"/>
        </w:rPr>
      </w:pPr>
      <w:bookmarkStart w:id="54" w:name="_Toc15396618"/>
      <w:r>
        <w:rPr>
          <w:rFonts w:hint="eastAsia" w:ascii="黑体" w:hAnsi="黑体" w:eastAsia="黑体"/>
          <w:sz w:val="44"/>
          <w:szCs w:val="44"/>
        </w:rPr>
        <w:t>第</w:t>
      </w:r>
      <w:r>
        <w:rPr>
          <w:rStyle w:val="28"/>
          <w:rFonts w:hint="eastAsia" w:ascii="黑体" w:hAnsi="黑体" w:eastAsia="黑体"/>
          <w:b w:val="0"/>
        </w:rPr>
        <w:t>五部分 附表</w:t>
      </w:r>
      <w:bookmarkEnd w:id="52"/>
      <w:bookmarkEnd w:id="54"/>
      <w:bookmarkStart w:id="55" w:name="_Toc15396619"/>
    </w:p>
    <w:p w14:paraId="4EFF58B8">
      <w:pPr>
        <w:pStyle w:val="3"/>
        <w:rPr>
          <w:rFonts w:ascii="仿宋" w:hAnsi="仿宋" w:eastAsia="仿宋"/>
        </w:rPr>
      </w:pPr>
      <w:r>
        <w:rPr>
          <w:rFonts w:hint="eastAsia" w:ascii="仿宋" w:hAnsi="仿宋" w:eastAsia="仿宋"/>
          <w:b w:val="0"/>
        </w:rPr>
        <w:t>一、收</w:t>
      </w:r>
      <w:r>
        <w:rPr>
          <w:rStyle w:val="29"/>
          <w:rFonts w:hint="eastAsia" w:ascii="仿宋" w:hAnsi="仿宋" w:eastAsia="仿宋"/>
          <w:b w:val="0"/>
          <w:bCs w:val="0"/>
        </w:rPr>
        <w:t>入支出决算总表</w:t>
      </w:r>
      <w:bookmarkEnd w:id="55"/>
    </w:p>
    <w:p w14:paraId="55226F8F">
      <w:pPr>
        <w:pStyle w:val="3"/>
        <w:rPr>
          <w:rFonts w:ascii="仿宋" w:hAnsi="仿宋" w:eastAsia="仿宋"/>
        </w:rPr>
      </w:pPr>
      <w:bookmarkStart w:id="56" w:name="_Toc15396620"/>
      <w:r>
        <w:rPr>
          <w:rFonts w:hint="eastAsia" w:ascii="仿宋" w:hAnsi="仿宋" w:eastAsia="仿宋"/>
          <w:b w:val="0"/>
        </w:rPr>
        <w:t>二、收</w:t>
      </w:r>
      <w:r>
        <w:rPr>
          <w:rStyle w:val="29"/>
          <w:rFonts w:hint="eastAsia" w:ascii="仿宋" w:hAnsi="仿宋" w:eastAsia="仿宋"/>
          <w:b w:val="0"/>
          <w:bCs w:val="0"/>
        </w:rPr>
        <w:t>入决算表</w:t>
      </w:r>
      <w:bookmarkEnd w:id="56"/>
    </w:p>
    <w:p w14:paraId="7CD6DD64">
      <w:pPr>
        <w:pStyle w:val="3"/>
        <w:rPr>
          <w:rFonts w:ascii="仿宋" w:hAnsi="仿宋" w:eastAsia="仿宋"/>
        </w:rPr>
      </w:pPr>
      <w:bookmarkStart w:id="57" w:name="_Toc15396621"/>
      <w:r>
        <w:rPr>
          <w:rStyle w:val="29"/>
          <w:rFonts w:hint="eastAsia" w:ascii="仿宋" w:hAnsi="仿宋" w:eastAsia="仿宋"/>
          <w:b w:val="0"/>
          <w:bCs w:val="0"/>
        </w:rPr>
        <w:t>三、</w:t>
      </w:r>
      <w:r>
        <w:rPr>
          <w:rFonts w:hint="eastAsia" w:ascii="仿宋" w:hAnsi="仿宋" w:eastAsia="仿宋"/>
          <w:b w:val="0"/>
        </w:rPr>
        <w:t>支</w:t>
      </w:r>
      <w:r>
        <w:rPr>
          <w:rStyle w:val="29"/>
          <w:rFonts w:hint="eastAsia" w:ascii="仿宋" w:hAnsi="仿宋" w:eastAsia="仿宋"/>
          <w:b w:val="0"/>
          <w:bCs w:val="0"/>
        </w:rPr>
        <w:t>出决算表</w:t>
      </w:r>
      <w:bookmarkEnd w:id="57"/>
    </w:p>
    <w:p w14:paraId="208F0D2A">
      <w:pPr>
        <w:pStyle w:val="3"/>
        <w:rPr>
          <w:rFonts w:ascii="仿宋" w:hAnsi="仿宋" w:eastAsia="仿宋"/>
          <w:b w:val="0"/>
        </w:rPr>
      </w:pPr>
      <w:bookmarkStart w:id="58" w:name="_Toc15396622"/>
      <w:r>
        <w:rPr>
          <w:rStyle w:val="29"/>
          <w:rFonts w:hint="eastAsia" w:ascii="仿宋" w:hAnsi="仿宋" w:eastAsia="仿宋"/>
          <w:b w:val="0"/>
          <w:bCs w:val="0"/>
        </w:rPr>
        <w:t>四、</w:t>
      </w:r>
      <w:r>
        <w:rPr>
          <w:rFonts w:hint="eastAsia" w:ascii="仿宋" w:hAnsi="仿宋" w:eastAsia="仿宋"/>
          <w:b w:val="0"/>
        </w:rPr>
        <w:t>财</w:t>
      </w:r>
      <w:r>
        <w:rPr>
          <w:rStyle w:val="29"/>
          <w:rFonts w:hint="eastAsia" w:ascii="仿宋" w:hAnsi="仿宋" w:eastAsia="仿宋"/>
          <w:b w:val="0"/>
          <w:bCs w:val="0"/>
        </w:rPr>
        <w:t>政拨款收入支出决算总表</w:t>
      </w:r>
      <w:bookmarkEnd w:id="58"/>
    </w:p>
    <w:p w14:paraId="1F4B57B9">
      <w:pPr>
        <w:pStyle w:val="3"/>
        <w:rPr>
          <w:rStyle w:val="29"/>
          <w:rFonts w:ascii="仿宋" w:hAnsi="仿宋" w:eastAsia="仿宋"/>
          <w:b w:val="0"/>
          <w:bCs w:val="0"/>
        </w:rPr>
      </w:pPr>
      <w:bookmarkStart w:id="59" w:name="_Toc15396623"/>
      <w:r>
        <w:rPr>
          <w:rStyle w:val="29"/>
          <w:rFonts w:hint="eastAsia" w:ascii="仿宋" w:hAnsi="仿宋" w:eastAsia="仿宋"/>
          <w:b w:val="0"/>
          <w:bCs w:val="0"/>
        </w:rPr>
        <w:t>五、</w:t>
      </w:r>
      <w:r>
        <w:rPr>
          <w:rFonts w:hint="eastAsia" w:ascii="仿宋" w:hAnsi="仿宋" w:eastAsia="仿宋"/>
          <w:b w:val="0"/>
        </w:rPr>
        <w:t>财</w:t>
      </w:r>
      <w:r>
        <w:rPr>
          <w:rStyle w:val="29"/>
          <w:rFonts w:hint="eastAsia" w:ascii="仿宋" w:hAnsi="仿宋" w:eastAsia="仿宋"/>
          <w:b w:val="0"/>
          <w:bCs w:val="0"/>
        </w:rPr>
        <w:t>政拨款支出决算明细表</w:t>
      </w:r>
      <w:bookmarkEnd w:id="59"/>
      <w:bookmarkStart w:id="60" w:name="_Toc15396624"/>
    </w:p>
    <w:p w14:paraId="0A3E899F">
      <w:pPr>
        <w:pStyle w:val="3"/>
        <w:rPr>
          <w:rFonts w:ascii="仿宋" w:hAnsi="仿宋" w:eastAsia="仿宋"/>
        </w:rPr>
      </w:pPr>
      <w:r>
        <w:rPr>
          <w:rStyle w:val="29"/>
          <w:rFonts w:hint="eastAsia" w:ascii="仿宋" w:hAnsi="仿宋" w:eastAsia="仿宋"/>
          <w:b w:val="0"/>
          <w:bCs w:val="0"/>
        </w:rPr>
        <w:t>六、</w:t>
      </w:r>
      <w:r>
        <w:rPr>
          <w:rFonts w:hint="eastAsia" w:ascii="仿宋" w:hAnsi="仿宋" w:eastAsia="仿宋"/>
          <w:b w:val="0"/>
        </w:rPr>
        <w:t>一</w:t>
      </w:r>
      <w:r>
        <w:rPr>
          <w:rStyle w:val="29"/>
          <w:rFonts w:hint="eastAsia" w:ascii="仿宋" w:hAnsi="仿宋" w:eastAsia="仿宋"/>
          <w:b w:val="0"/>
          <w:bCs w:val="0"/>
        </w:rPr>
        <w:t>般公共预算财政拨款支出决算表</w:t>
      </w:r>
      <w:bookmarkEnd w:id="60"/>
    </w:p>
    <w:p w14:paraId="79266754">
      <w:pPr>
        <w:pStyle w:val="3"/>
        <w:rPr>
          <w:rFonts w:ascii="仿宋" w:hAnsi="仿宋" w:eastAsia="仿宋"/>
        </w:rPr>
      </w:pPr>
      <w:bookmarkStart w:id="61" w:name="_Toc15396625"/>
      <w:r>
        <w:rPr>
          <w:rStyle w:val="29"/>
          <w:rFonts w:hint="eastAsia" w:ascii="仿宋" w:hAnsi="仿宋" w:eastAsia="仿宋"/>
          <w:b w:val="0"/>
          <w:bCs w:val="0"/>
        </w:rPr>
        <w:t>七、</w:t>
      </w:r>
      <w:r>
        <w:rPr>
          <w:rFonts w:hint="eastAsia" w:ascii="仿宋" w:hAnsi="仿宋" w:eastAsia="仿宋"/>
          <w:b w:val="0"/>
        </w:rPr>
        <w:t>一</w:t>
      </w:r>
      <w:r>
        <w:rPr>
          <w:rStyle w:val="29"/>
          <w:rFonts w:hint="eastAsia" w:ascii="仿宋" w:hAnsi="仿宋" w:eastAsia="仿宋"/>
          <w:b w:val="0"/>
          <w:bCs w:val="0"/>
        </w:rPr>
        <w:t>般公共预算财政拨款支出决算明细表</w:t>
      </w:r>
      <w:bookmarkEnd w:id="61"/>
    </w:p>
    <w:p w14:paraId="06D04248">
      <w:pPr>
        <w:pStyle w:val="3"/>
        <w:rPr>
          <w:rFonts w:ascii="仿宋" w:hAnsi="仿宋" w:eastAsia="仿宋"/>
        </w:rPr>
      </w:pPr>
      <w:bookmarkStart w:id="62" w:name="_Toc15396626"/>
      <w:r>
        <w:rPr>
          <w:rStyle w:val="29"/>
          <w:rFonts w:hint="eastAsia" w:ascii="仿宋" w:hAnsi="仿宋" w:eastAsia="仿宋"/>
          <w:b w:val="0"/>
          <w:bCs w:val="0"/>
        </w:rPr>
        <w:t>八、</w:t>
      </w:r>
      <w:r>
        <w:rPr>
          <w:rFonts w:hint="eastAsia" w:ascii="仿宋" w:hAnsi="仿宋" w:eastAsia="仿宋"/>
          <w:b w:val="0"/>
        </w:rPr>
        <w:t>一</w:t>
      </w:r>
      <w:r>
        <w:rPr>
          <w:rStyle w:val="29"/>
          <w:rFonts w:hint="eastAsia" w:ascii="仿宋" w:hAnsi="仿宋" w:eastAsia="仿宋"/>
          <w:b w:val="0"/>
          <w:bCs w:val="0"/>
        </w:rPr>
        <w:t>般公共预算财政拨款基本支出决算表</w:t>
      </w:r>
      <w:bookmarkEnd w:id="62"/>
    </w:p>
    <w:p w14:paraId="13448351">
      <w:pPr>
        <w:pStyle w:val="3"/>
        <w:rPr>
          <w:rFonts w:ascii="仿宋" w:hAnsi="仿宋" w:eastAsia="仿宋"/>
        </w:rPr>
      </w:pPr>
      <w:bookmarkStart w:id="63" w:name="_Toc15396627"/>
      <w:r>
        <w:rPr>
          <w:rStyle w:val="29"/>
          <w:rFonts w:hint="eastAsia" w:ascii="仿宋" w:hAnsi="仿宋" w:eastAsia="仿宋"/>
          <w:b w:val="0"/>
          <w:bCs w:val="0"/>
        </w:rPr>
        <w:t>九、</w:t>
      </w:r>
      <w:r>
        <w:rPr>
          <w:rFonts w:hint="eastAsia" w:ascii="仿宋" w:hAnsi="仿宋" w:eastAsia="仿宋"/>
          <w:b w:val="0"/>
        </w:rPr>
        <w:t>一</w:t>
      </w:r>
      <w:r>
        <w:rPr>
          <w:rStyle w:val="29"/>
          <w:rFonts w:hint="eastAsia" w:ascii="仿宋" w:hAnsi="仿宋" w:eastAsia="仿宋"/>
          <w:b w:val="0"/>
          <w:bCs w:val="0"/>
        </w:rPr>
        <w:t>般公共预算财政拨款项目支出决算表</w:t>
      </w:r>
      <w:bookmarkEnd w:id="63"/>
    </w:p>
    <w:p w14:paraId="7834E9A3">
      <w:pPr>
        <w:pStyle w:val="3"/>
        <w:rPr>
          <w:rFonts w:ascii="仿宋" w:hAnsi="仿宋" w:eastAsia="仿宋"/>
        </w:rPr>
      </w:pPr>
      <w:bookmarkStart w:id="64" w:name="_Toc15396628"/>
      <w:r>
        <w:rPr>
          <w:rStyle w:val="29"/>
          <w:rFonts w:hint="eastAsia" w:ascii="仿宋" w:hAnsi="仿宋" w:eastAsia="仿宋"/>
          <w:b w:val="0"/>
          <w:bCs w:val="0"/>
        </w:rPr>
        <w:t>十、</w:t>
      </w:r>
      <w:bookmarkEnd w:id="64"/>
      <w:r>
        <w:rPr>
          <w:rFonts w:hint="eastAsia" w:ascii="仿宋" w:hAnsi="仿宋" w:eastAsia="仿宋"/>
          <w:b w:val="0"/>
        </w:rPr>
        <w:t>政</w:t>
      </w:r>
      <w:r>
        <w:rPr>
          <w:rStyle w:val="29"/>
          <w:rFonts w:hint="eastAsia" w:ascii="仿宋" w:hAnsi="仿宋" w:eastAsia="仿宋"/>
          <w:b w:val="0"/>
          <w:bCs w:val="0"/>
        </w:rPr>
        <w:t>府性基金预算财政拨款收入支出决算表</w:t>
      </w:r>
    </w:p>
    <w:p w14:paraId="3676B5FE">
      <w:pPr>
        <w:pStyle w:val="3"/>
        <w:rPr>
          <w:rFonts w:ascii="仿宋" w:hAnsi="仿宋" w:eastAsia="仿宋"/>
        </w:rPr>
      </w:pPr>
      <w:bookmarkStart w:id="65" w:name="_Toc15396629"/>
      <w:r>
        <w:rPr>
          <w:rStyle w:val="29"/>
          <w:rFonts w:hint="eastAsia" w:ascii="仿宋" w:hAnsi="仿宋" w:eastAsia="仿宋"/>
          <w:b w:val="0"/>
          <w:bCs w:val="0"/>
        </w:rPr>
        <w:t>十一、</w:t>
      </w:r>
      <w:bookmarkEnd w:id="65"/>
      <w:r>
        <w:rPr>
          <w:rFonts w:hint="eastAsia" w:ascii="仿宋" w:hAnsi="仿宋" w:eastAsia="仿宋"/>
          <w:b w:val="0"/>
        </w:rPr>
        <w:t>国</w:t>
      </w:r>
      <w:r>
        <w:rPr>
          <w:rStyle w:val="29"/>
          <w:rFonts w:hint="eastAsia" w:ascii="仿宋" w:hAnsi="仿宋" w:eastAsia="仿宋"/>
          <w:b w:val="0"/>
          <w:bCs w:val="0"/>
        </w:rPr>
        <w:t>有资本经营预算财政拨款收入支出决算表</w:t>
      </w:r>
    </w:p>
    <w:p w14:paraId="7FAEB62C">
      <w:pPr>
        <w:pStyle w:val="3"/>
        <w:rPr>
          <w:rFonts w:ascii="仿宋" w:hAnsi="仿宋" w:eastAsia="仿宋"/>
        </w:rPr>
      </w:pPr>
      <w:bookmarkStart w:id="66" w:name="_Toc15396630"/>
      <w:r>
        <w:rPr>
          <w:rStyle w:val="29"/>
          <w:rFonts w:hint="eastAsia" w:ascii="仿宋" w:hAnsi="仿宋" w:eastAsia="仿宋"/>
          <w:b w:val="0"/>
          <w:bCs w:val="0"/>
        </w:rPr>
        <w:t>十二、</w:t>
      </w:r>
      <w:bookmarkEnd w:id="66"/>
      <w:r>
        <w:rPr>
          <w:rStyle w:val="29"/>
          <w:rFonts w:hint="eastAsia" w:ascii="仿宋" w:hAnsi="仿宋" w:eastAsia="仿宋"/>
          <w:b w:val="0"/>
          <w:bCs w:val="0"/>
        </w:rPr>
        <w:t>国有资本经营预算财政拨款支出决算表</w:t>
      </w:r>
    </w:p>
    <w:p w14:paraId="5F4B32FD">
      <w:pPr>
        <w:pStyle w:val="3"/>
        <w:rPr>
          <w:rFonts w:eastAsia="仿宋"/>
        </w:rPr>
      </w:pPr>
      <w:bookmarkStart w:id="67" w:name="_Toc15396631"/>
      <w:r>
        <w:rPr>
          <w:rStyle w:val="29"/>
          <w:rFonts w:hint="eastAsia" w:ascii="仿宋" w:hAnsi="仿宋" w:eastAsia="仿宋"/>
          <w:b w:val="0"/>
          <w:bCs w:val="0"/>
        </w:rPr>
        <w:t>十三、</w:t>
      </w:r>
      <w:bookmarkEnd w:id="67"/>
      <w:r>
        <w:rPr>
          <w:rStyle w:val="29"/>
          <w:rFonts w:hint="eastAsia" w:ascii="仿宋" w:hAnsi="仿宋" w:eastAsia="仿宋"/>
          <w:b w:val="0"/>
          <w:bCs w:val="0"/>
        </w:rPr>
        <w:t>财政拨款“三公”经费支出决算表</w:t>
      </w:r>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FangSong_GB2312">
    <w:altName w:val="仿宋_GB2312"/>
    <w:panose1 w:val="02010609060101010101"/>
    <w:charset w:val="00"/>
    <w:family w:val="roman"/>
    <w:pitch w:val="default"/>
    <w:sig w:usb0="00000000" w:usb1="00000000" w:usb2="00000000" w:usb3="00000000" w:csb0="00000000"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0"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14:paraId="3C932705">
        <w:pPr>
          <w:pStyle w:val="9"/>
          <w:jc w:val="center"/>
        </w:pPr>
        <w:r>
          <w:fldChar w:fldCharType="begin"/>
        </w:r>
        <w:r>
          <w:instrText xml:space="preserve">PAGE   \* MERGEFORMAT</w:instrText>
        </w:r>
        <w:r>
          <w:fldChar w:fldCharType="separate"/>
        </w:r>
        <w:r>
          <w:rPr>
            <w:lang w:val="zh-CN"/>
          </w:rPr>
          <w:t>25</w:t>
        </w:r>
        <w:r>
          <w:rPr>
            <w:lang w:val="zh-CN"/>
          </w:rPr>
          <w:fldChar w:fldCharType="end"/>
        </w:r>
      </w:p>
    </w:sdtContent>
  </w:sdt>
  <w:p w14:paraId="6189D755">
    <w:pPr>
      <w:pStyle w:val="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E59BA1">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ECE41D8"/>
    <w:multiLevelType w:val="singleLevel"/>
    <w:tmpl w:val="8ECE41D8"/>
    <w:lvl w:ilvl="0" w:tentative="0">
      <w:start w:val="1"/>
      <w:numFmt w:val="chineseCounting"/>
      <w:suff w:val="nothing"/>
      <w:lvlText w:val="（%1）"/>
      <w:lvlJc w:val="left"/>
      <w:rPr>
        <w:rFonts w:hint="eastAsia"/>
      </w:rPr>
    </w:lvl>
  </w:abstractNum>
  <w:abstractNum w:abstractNumId="1">
    <w:nsid w:val="CF652CEC"/>
    <w:multiLevelType w:val="singleLevel"/>
    <w:tmpl w:val="CF652CEC"/>
    <w:lvl w:ilvl="0" w:tentative="0">
      <w:start w:val="9"/>
      <w:numFmt w:val="chineseCounting"/>
      <w:suff w:val="nothing"/>
      <w:lvlText w:val="%1、"/>
      <w:lvlJc w:val="left"/>
      <w:rPr>
        <w:rFonts w:hint="eastAsia"/>
      </w:rPr>
    </w:lvl>
  </w:abstractNum>
  <w:abstractNum w:abstractNumId="2">
    <w:nsid w:val="D610A823"/>
    <w:multiLevelType w:val="singleLevel"/>
    <w:tmpl w:val="D610A823"/>
    <w:lvl w:ilvl="0" w:tentative="0">
      <w:start w:val="11"/>
      <w:numFmt w:val="decimal"/>
      <w:suff w:val="nothing"/>
      <w:lvlText w:val="%1、"/>
      <w:lvlJc w:val="left"/>
    </w:lvl>
  </w:abstractNum>
  <w:abstractNum w:abstractNumId="3">
    <w:nsid w:val="E2FA047D"/>
    <w:multiLevelType w:val="singleLevel"/>
    <w:tmpl w:val="E2FA047D"/>
    <w:lvl w:ilvl="0" w:tentative="0">
      <w:start w:val="3"/>
      <w:numFmt w:val="chineseCounting"/>
      <w:suff w:val="space"/>
      <w:lvlText w:val="第%1部分"/>
      <w:lvlJc w:val="left"/>
      <w:rPr>
        <w:rFonts w:hint="eastAsia"/>
      </w:rPr>
    </w:lvl>
  </w:abstractNum>
  <w:abstractNum w:abstractNumId="4">
    <w:nsid w:val="0A4AE057"/>
    <w:multiLevelType w:val="singleLevel"/>
    <w:tmpl w:val="0A4AE057"/>
    <w:lvl w:ilvl="0" w:tentative="0">
      <w:start w:val="1"/>
      <w:numFmt w:val="chineseCounting"/>
      <w:suff w:val="nothing"/>
      <w:lvlText w:val="%1、"/>
      <w:lvlJc w:val="left"/>
      <w:rPr>
        <w:rFonts w:hint="eastAsia"/>
      </w:rPr>
    </w:lvl>
  </w:abstractNum>
  <w:abstractNum w:abstractNumId="5">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6">
    <w:nsid w:val="4A0FBF3F"/>
    <w:multiLevelType w:val="singleLevel"/>
    <w:tmpl w:val="4A0FBF3F"/>
    <w:lvl w:ilvl="0" w:tentative="0">
      <w:start w:val="2"/>
      <w:numFmt w:val="chineseCounting"/>
      <w:suff w:val="nothing"/>
      <w:lvlText w:val="（%1）"/>
      <w:lvlJc w:val="left"/>
      <w:rPr>
        <w:rFonts w:hint="eastAsia"/>
      </w:rPr>
    </w:lvl>
  </w:abstractNum>
  <w:num w:numId="1">
    <w:abstractNumId w:val="4"/>
  </w:num>
  <w:num w:numId="2">
    <w:abstractNumId w:val="5"/>
  </w:num>
  <w:num w:numId="3">
    <w:abstractNumId w:val="1"/>
  </w:num>
  <w:num w:numId="4">
    <w:abstractNumId w:val="3"/>
  </w:num>
  <w:num w:numId="5">
    <w:abstractNumId w:val="6"/>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172A27"/>
    <w:rsid w:val="00012351"/>
    <w:rsid w:val="0001274A"/>
    <w:rsid w:val="000222C6"/>
    <w:rsid w:val="0002549F"/>
    <w:rsid w:val="00034656"/>
    <w:rsid w:val="00035ABF"/>
    <w:rsid w:val="00043056"/>
    <w:rsid w:val="000468DB"/>
    <w:rsid w:val="0006487A"/>
    <w:rsid w:val="00065F8F"/>
    <w:rsid w:val="00067FB6"/>
    <w:rsid w:val="00070A43"/>
    <w:rsid w:val="000768F2"/>
    <w:rsid w:val="0009184B"/>
    <w:rsid w:val="00094236"/>
    <w:rsid w:val="0009593C"/>
    <w:rsid w:val="00097322"/>
    <w:rsid w:val="000A6A92"/>
    <w:rsid w:val="000B047F"/>
    <w:rsid w:val="000B5923"/>
    <w:rsid w:val="000B5A48"/>
    <w:rsid w:val="000B6855"/>
    <w:rsid w:val="000B6FF3"/>
    <w:rsid w:val="000C3467"/>
    <w:rsid w:val="000C3CA6"/>
    <w:rsid w:val="000D1267"/>
    <w:rsid w:val="000D1D50"/>
    <w:rsid w:val="000D3F40"/>
    <w:rsid w:val="000D5782"/>
    <w:rsid w:val="000E0777"/>
    <w:rsid w:val="000E2C46"/>
    <w:rsid w:val="000E6613"/>
    <w:rsid w:val="000E7119"/>
    <w:rsid w:val="000F04D5"/>
    <w:rsid w:val="001119BC"/>
    <w:rsid w:val="00114E9B"/>
    <w:rsid w:val="00142216"/>
    <w:rsid w:val="00144D6A"/>
    <w:rsid w:val="0014729F"/>
    <w:rsid w:val="00157BAB"/>
    <w:rsid w:val="001654D1"/>
    <w:rsid w:val="00165D9B"/>
    <w:rsid w:val="00172A27"/>
    <w:rsid w:val="00174518"/>
    <w:rsid w:val="0018106D"/>
    <w:rsid w:val="001877A7"/>
    <w:rsid w:val="00191536"/>
    <w:rsid w:val="00196687"/>
    <w:rsid w:val="001C0962"/>
    <w:rsid w:val="001D2F72"/>
    <w:rsid w:val="001D7531"/>
    <w:rsid w:val="001E737D"/>
    <w:rsid w:val="001F0592"/>
    <w:rsid w:val="001F0DEF"/>
    <w:rsid w:val="001F7506"/>
    <w:rsid w:val="002006CD"/>
    <w:rsid w:val="00202B36"/>
    <w:rsid w:val="00204B7A"/>
    <w:rsid w:val="00204CDE"/>
    <w:rsid w:val="0021101A"/>
    <w:rsid w:val="00212EA4"/>
    <w:rsid w:val="00220536"/>
    <w:rsid w:val="00235629"/>
    <w:rsid w:val="0024068C"/>
    <w:rsid w:val="002464CF"/>
    <w:rsid w:val="002576A7"/>
    <w:rsid w:val="00260C38"/>
    <w:rsid w:val="002616C0"/>
    <w:rsid w:val="00265372"/>
    <w:rsid w:val="002662AA"/>
    <w:rsid w:val="0027599A"/>
    <w:rsid w:val="00280496"/>
    <w:rsid w:val="002926F2"/>
    <w:rsid w:val="00294DC9"/>
    <w:rsid w:val="00295495"/>
    <w:rsid w:val="002A31DE"/>
    <w:rsid w:val="002A7321"/>
    <w:rsid w:val="002B2613"/>
    <w:rsid w:val="002D6D05"/>
    <w:rsid w:val="002F1818"/>
    <w:rsid w:val="002F567B"/>
    <w:rsid w:val="003216A9"/>
    <w:rsid w:val="00335A74"/>
    <w:rsid w:val="00363FA4"/>
    <w:rsid w:val="0036561B"/>
    <w:rsid w:val="0037013F"/>
    <w:rsid w:val="00375702"/>
    <w:rsid w:val="00380C92"/>
    <w:rsid w:val="003A484F"/>
    <w:rsid w:val="003A4883"/>
    <w:rsid w:val="003B0BE0"/>
    <w:rsid w:val="003B0C1B"/>
    <w:rsid w:val="003B688C"/>
    <w:rsid w:val="003C0291"/>
    <w:rsid w:val="003C39AE"/>
    <w:rsid w:val="003C723F"/>
    <w:rsid w:val="003C7B60"/>
    <w:rsid w:val="003D0C0F"/>
    <w:rsid w:val="003D1FB2"/>
    <w:rsid w:val="003D66DA"/>
    <w:rsid w:val="003E1310"/>
    <w:rsid w:val="003E6F55"/>
    <w:rsid w:val="003F1FBA"/>
    <w:rsid w:val="00403937"/>
    <w:rsid w:val="00406254"/>
    <w:rsid w:val="004223DE"/>
    <w:rsid w:val="00433DB1"/>
    <w:rsid w:val="00434489"/>
    <w:rsid w:val="00435E78"/>
    <w:rsid w:val="00437085"/>
    <w:rsid w:val="00443880"/>
    <w:rsid w:val="004464F4"/>
    <w:rsid w:val="0045600A"/>
    <w:rsid w:val="00464C2F"/>
    <w:rsid w:val="00471401"/>
    <w:rsid w:val="00473F31"/>
    <w:rsid w:val="0048263A"/>
    <w:rsid w:val="00487E5D"/>
    <w:rsid w:val="004A711F"/>
    <w:rsid w:val="004B199D"/>
    <w:rsid w:val="004B1C36"/>
    <w:rsid w:val="004B4690"/>
    <w:rsid w:val="004D31D4"/>
    <w:rsid w:val="004E0A2D"/>
    <w:rsid w:val="004E206B"/>
    <w:rsid w:val="004E6DF7"/>
    <w:rsid w:val="004F0FBD"/>
    <w:rsid w:val="00501B05"/>
    <w:rsid w:val="00503455"/>
    <w:rsid w:val="00505A47"/>
    <w:rsid w:val="00512FDA"/>
    <w:rsid w:val="00520DA0"/>
    <w:rsid w:val="00536665"/>
    <w:rsid w:val="005601CB"/>
    <w:rsid w:val="00565EA9"/>
    <w:rsid w:val="005664BB"/>
    <w:rsid w:val="00566FFA"/>
    <w:rsid w:val="0057481D"/>
    <w:rsid w:val="0058486E"/>
    <w:rsid w:val="00585B33"/>
    <w:rsid w:val="0059014D"/>
    <w:rsid w:val="005A3200"/>
    <w:rsid w:val="005A72F4"/>
    <w:rsid w:val="005B2CB2"/>
    <w:rsid w:val="005B5C64"/>
    <w:rsid w:val="005C5337"/>
    <w:rsid w:val="005C6BD0"/>
    <w:rsid w:val="005C7C6E"/>
    <w:rsid w:val="005D1C8B"/>
    <w:rsid w:val="005D383F"/>
    <w:rsid w:val="005D468D"/>
    <w:rsid w:val="005D5CED"/>
    <w:rsid w:val="005F1A4C"/>
    <w:rsid w:val="006049E6"/>
    <w:rsid w:val="00605688"/>
    <w:rsid w:val="006070AF"/>
    <w:rsid w:val="00607E6C"/>
    <w:rsid w:val="006101B1"/>
    <w:rsid w:val="00610C26"/>
    <w:rsid w:val="00614E44"/>
    <w:rsid w:val="00620BE9"/>
    <w:rsid w:val="0062130B"/>
    <w:rsid w:val="0062270A"/>
    <w:rsid w:val="00622830"/>
    <w:rsid w:val="00623DA0"/>
    <w:rsid w:val="00627B36"/>
    <w:rsid w:val="00630AEF"/>
    <w:rsid w:val="006325F8"/>
    <w:rsid w:val="00633463"/>
    <w:rsid w:val="00634C9A"/>
    <w:rsid w:val="0063716E"/>
    <w:rsid w:val="006440E4"/>
    <w:rsid w:val="00646473"/>
    <w:rsid w:val="0066343B"/>
    <w:rsid w:val="00664777"/>
    <w:rsid w:val="006748A4"/>
    <w:rsid w:val="00681A31"/>
    <w:rsid w:val="00683E73"/>
    <w:rsid w:val="00691797"/>
    <w:rsid w:val="006A3141"/>
    <w:rsid w:val="006A5E34"/>
    <w:rsid w:val="006B2422"/>
    <w:rsid w:val="006B2B9A"/>
    <w:rsid w:val="006C076D"/>
    <w:rsid w:val="006C1937"/>
    <w:rsid w:val="006D2BA0"/>
    <w:rsid w:val="006F020C"/>
    <w:rsid w:val="007127B7"/>
    <w:rsid w:val="0071798E"/>
    <w:rsid w:val="00720134"/>
    <w:rsid w:val="007416B6"/>
    <w:rsid w:val="00746F48"/>
    <w:rsid w:val="0075404D"/>
    <w:rsid w:val="0076182A"/>
    <w:rsid w:val="0076612E"/>
    <w:rsid w:val="00767B7E"/>
    <w:rsid w:val="007770C3"/>
    <w:rsid w:val="00784D24"/>
    <w:rsid w:val="00785D9E"/>
    <w:rsid w:val="00785FBA"/>
    <w:rsid w:val="00786E4A"/>
    <w:rsid w:val="007875EB"/>
    <w:rsid w:val="0079426B"/>
    <w:rsid w:val="007B3F61"/>
    <w:rsid w:val="007D1682"/>
    <w:rsid w:val="007D312A"/>
    <w:rsid w:val="007D3F19"/>
    <w:rsid w:val="007D61F0"/>
    <w:rsid w:val="007E0B87"/>
    <w:rsid w:val="007E23B0"/>
    <w:rsid w:val="007E23E5"/>
    <w:rsid w:val="007F1991"/>
    <w:rsid w:val="007F2C2F"/>
    <w:rsid w:val="007F506E"/>
    <w:rsid w:val="007F55FC"/>
    <w:rsid w:val="007F5665"/>
    <w:rsid w:val="007F71B4"/>
    <w:rsid w:val="00800112"/>
    <w:rsid w:val="00801044"/>
    <w:rsid w:val="008032A4"/>
    <w:rsid w:val="00805640"/>
    <w:rsid w:val="00813348"/>
    <w:rsid w:val="008253BB"/>
    <w:rsid w:val="00830F44"/>
    <w:rsid w:val="00836782"/>
    <w:rsid w:val="0083706E"/>
    <w:rsid w:val="008408F6"/>
    <w:rsid w:val="008423A5"/>
    <w:rsid w:val="00850625"/>
    <w:rsid w:val="00853718"/>
    <w:rsid w:val="00854DCF"/>
    <w:rsid w:val="00855221"/>
    <w:rsid w:val="00860645"/>
    <w:rsid w:val="00871F71"/>
    <w:rsid w:val="00872FD8"/>
    <w:rsid w:val="00885AF4"/>
    <w:rsid w:val="00890BF8"/>
    <w:rsid w:val="008939CD"/>
    <w:rsid w:val="008B35B2"/>
    <w:rsid w:val="008B768C"/>
    <w:rsid w:val="008C4BBA"/>
    <w:rsid w:val="008C4DB1"/>
    <w:rsid w:val="008C4EAF"/>
    <w:rsid w:val="008C5176"/>
    <w:rsid w:val="008C7FD0"/>
    <w:rsid w:val="008D3D39"/>
    <w:rsid w:val="008E1DE7"/>
    <w:rsid w:val="008E6E77"/>
    <w:rsid w:val="008E707C"/>
    <w:rsid w:val="00900B08"/>
    <w:rsid w:val="00901078"/>
    <w:rsid w:val="00902155"/>
    <w:rsid w:val="00902FA3"/>
    <w:rsid w:val="00922B95"/>
    <w:rsid w:val="00923564"/>
    <w:rsid w:val="0092392E"/>
    <w:rsid w:val="009315F9"/>
    <w:rsid w:val="00931D6B"/>
    <w:rsid w:val="009323EC"/>
    <w:rsid w:val="00933499"/>
    <w:rsid w:val="00935C98"/>
    <w:rsid w:val="00946945"/>
    <w:rsid w:val="00951248"/>
    <w:rsid w:val="0095152F"/>
    <w:rsid w:val="00954C49"/>
    <w:rsid w:val="00955E37"/>
    <w:rsid w:val="0097099F"/>
    <w:rsid w:val="00971997"/>
    <w:rsid w:val="00971FFC"/>
    <w:rsid w:val="0098660A"/>
    <w:rsid w:val="009931C3"/>
    <w:rsid w:val="00996FF6"/>
    <w:rsid w:val="009B058E"/>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4C68"/>
    <w:rsid w:val="00A268C4"/>
    <w:rsid w:val="00A307CD"/>
    <w:rsid w:val="00A31A5D"/>
    <w:rsid w:val="00A331C8"/>
    <w:rsid w:val="00A40A00"/>
    <w:rsid w:val="00A4142F"/>
    <w:rsid w:val="00A422EB"/>
    <w:rsid w:val="00A45BB7"/>
    <w:rsid w:val="00A56DF2"/>
    <w:rsid w:val="00A56E6E"/>
    <w:rsid w:val="00A67AB5"/>
    <w:rsid w:val="00A733B2"/>
    <w:rsid w:val="00A741C2"/>
    <w:rsid w:val="00A83A52"/>
    <w:rsid w:val="00A91760"/>
    <w:rsid w:val="00A93B00"/>
    <w:rsid w:val="00A93C21"/>
    <w:rsid w:val="00A967F1"/>
    <w:rsid w:val="00AA53EB"/>
    <w:rsid w:val="00AB64C9"/>
    <w:rsid w:val="00AC3C6A"/>
    <w:rsid w:val="00AD5620"/>
    <w:rsid w:val="00AD656B"/>
    <w:rsid w:val="00AD7C1B"/>
    <w:rsid w:val="00AE16BA"/>
    <w:rsid w:val="00AE1EBE"/>
    <w:rsid w:val="00B03C9D"/>
    <w:rsid w:val="00B060AE"/>
    <w:rsid w:val="00B10517"/>
    <w:rsid w:val="00B10529"/>
    <w:rsid w:val="00B145C7"/>
    <w:rsid w:val="00B14E76"/>
    <w:rsid w:val="00B161B8"/>
    <w:rsid w:val="00B2048C"/>
    <w:rsid w:val="00B310B9"/>
    <w:rsid w:val="00B35F3F"/>
    <w:rsid w:val="00B36CBB"/>
    <w:rsid w:val="00B425E0"/>
    <w:rsid w:val="00B440AA"/>
    <w:rsid w:val="00B44B70"/>
    <w:rsid w:val="00B523D8"/>
    <w:rsid w:val="00B53C56"/>
    <w:rsid w:val="00B57DAF"/>
    <w:rsid w:val="00B77EA6"/>
    <w:rsid w:val="00B81598"/>
    <w:rsid w:val="00B841F1"/>
    <w:rsid w:val="00B944D6"/>
    <w:rsid w:val="00BB2F87"/>
    <w:rsid w:val="00BB4DF0"/>
    <w:rsid w:val="00BC289F"/>
    <w:rsid w:val="00BC2D50"/>
    <w:rsid w:val="00BC4FA7"/>
    <w:rsid w:val="00BC5361"/>
    <w:rsid w:val="00BC5460"/>
    <w:rsid w:val="00BC6B50"/>
    <w:rsid w:val="00BD0E25"/>
    <w:rsid w:val="00BD17B9"/>
    <w:rsid w:val="00BF5BD6"/>
    <w:rsid w:val="00C03E31"/>
    <w:rsid w:val="00C06FD3"/>
    <w:rsid w:val="00C07A0B"/>
    <w:rsid w:val="00C26CE6"/>
    <w:rsid w:val="00C33E72"/>
    <w:rsid w:val="00C354B2"/>
    <w:rsid w:val="00C35554"/>
    <w:rsid w:val="00C42709"/>
    <w:rsid w:val="00C533CC"/>
    <w:rsid w:val="00C5751C"/>
    <w:rsid w:val="00C61BFC"/>
    <w:rsid w:val="00C62B85"/>
    <w:rsid w:val="00C65438"/>
    <w:rsid w:val="00C72478"/>
    <w:rsid w:val="00C87FD8"/>
    <w:rsid w:val="00C91381"/>
    <w:rsid w:val="00C91CBB"/>
    <w:rsid w:val="00CB0BEC"/>
    <w:rsid w:val="00CB4E70"/>
    <w:rsid w:val="00CC09B6"/>
    <w:rsid w:val="00CC666F"/>
    <w:rsid w:val="00CD1E3F"/>
    <w:rsid w:val="00CE0E61"/>
    <w:rsid w:val="00CE23BF"/>
    <w:rsid w:val="00CE369A"/>
    <w:rsid w:val="00CE44F6"/>
    <w:rsid w:val="00CE49DA"/>
    <w:rsid w:val="00CE7B61"/>
    <w:rsid w:val="00CF265B"/>
    <w:rsid w:val="00D00095"/>
    <w:rsid w:val="00D114F0"/>
    <w:rsid w:val="00D20620"/>
    <w:rsid w:val="00D254F7"/>
    <w:rsid w:val="00D26091"/>
    <w:rsid w:val="00D2685C"/>
    <w:rsid w:val="00D34E7C"/>
    <w:rsid w:val="00D35489"/>
    <w:rsid w:val="00D36AFE"/>
    <w:rsid w:val="00D4107A"/>
    <w:rsid w:val="00D51276"/>
    <w:rsid w:val="00D7035F"/>
    <w:rsid w:val="00D85279"/>
    <w:rsid w:val="00DA634F"/>
    <w:rsid w:val="00DA65AC"/>
    <w:rsid w:val="00DB1913"/>
    <w:rsid w:val="00DC21B2"/>
    <w:rsid w:val="00DC410D"/>
    <w:rsid w:val="00DC5A81"/>
    <w:rsid w:val="00DC68CA"/>
    <w:rsid w:val="00DC7CBA"/>
    <w:rsid w:val="00DD73B7"/>
    <w:rsid w:val="00DF28BC"/>
    <w:rsid w:val="00DF34B9"/>
    <w:rsid w:val="00E01053"/>
    <w:rsid w:val="00E07ACF"/>
    <w:rsid w:val="00E331A1"/>
    <w:rsid w:val="00E33202"/>
    <w:rsid w:val="00E336A9"/>
    <w:rsid w:val="00E37327"/>
    <w:rsid w:val="00E454D2"/>
    <w:rsid w:val="00E472B1"/>
    <w:rsid w:val="00E50624"/>
    <w:rsid w:val="00E5177C"/>
    <w:rsid w:val="00E518B6"/>
    <w:rsid w:val="00E568DF"/>
    <w:rsid w:val="00E63E1A"/>
    <w:rsid w:val="00E64269"/>
    <w:rsid w:val="00E65C67"/>
    <w:rsid w:val="00E67560"/>
    <w:rsid w:val="00E67A8D"/>
    <w:rsid w:val="00E82267"/>
    <w:rsid w:val="00E853CE"/>
    <w:rsid w:val="00E867B6"/>
    <w:rsid w:val="00E95997"/>
    <w:rsid w:val="00EA010F"/>
    <w:rsid w:val="00EA7E86"/>
    <w:rsid w:val="00ED1B63"/>
    <w:rsid w:val="00ED3C1F"/>
    <w:rsid w:val="00ED4085"/>
    <w:rsid w:val="00ED420E"/>
    <w:rsid w:val="00ED6FBE"/>
    <w:rsid w:val="00EE02B0"/>
    <w:rsid w:val="00EE2F57"/>
    <w:rsid w:val="00EF4C34"/>
    <w:rsid w:val="00EF77C6"/>
    <w:rsid w:val="00F05438"/>
    <w:rsid w:val="00F1361C"/>
    <w:rsid w:val="00F15257"/>
    <w:rsid w:val="00F156F0"/>
    <w:rsid w:val="00F160C7"/>
    <w:rsid w:val="00F2408F"/>
    <w:rsid w:val="00F240E9"/>
    <w:rsid w:val="00F31ADB"/>
    <w:rsid w:val="00F3493A"/>
    <w:rsid w:val="00F36D8F"/>
    <w:rsid w:val="00F417B1"/>
    <w:rsid w:val="00F45853"/>
    <w:rsid w:val="00F602DF"/>
    <w:rsid w:val="00F63B3A"/>
    <w:rsid w:val="00F754A1"/>
    <w:rsid w:val="00F81FD9"/>
    <w:rsid w:val="00F841AA"/>
    <w:rsid w:val="00F84A94"/>
    <w:rsid w:val="00F86A8E"/>
    <w:rsid w:val="00F87E96"/>
    <w:rsid w:val="00FA1408"/>
    <w:rsid w:val="00FA23E8"/>
    <w:rsid w:val="00FB1425"/>
    <w:rsid w:val="00FB1715"/>
    <w:rsid w:val="00FD3CC1"/>
    <w:rsid w:val="00FF1E02"/>
    <w:rsid w:val="00FF30B4"/>
    <w:rsid w:val="00FF6358"/>
    <w:rsid w:val="015975B8"/>
    <w:rsid w:val="02143E91"/>
    <w:rsid w:val="066E0107"/>
    <w:rsid w:val="0734342E"/>
    <w:rsid w:val="07996F6E"/>
    <w:rsid w:val="0A2032A3"/>
    <w:rsid w:val="0F98263C"/>
    <w:rsid w:val="101860EC"/>
    <w:rsid w:val="10C055FF"/>
    <w:rsid w:val="118107EC"/>
    <w:rsid w:val="11980389"/>
    <w:rsid w:val="13D50BC4"/>
    <w:rsid w:val="151424BA"/>
    <w:rsid w:val="16BB723D"/>
    <w:rsid w:val="1A5C7163"/>
    <w:rsid w:val="1B40281D"/>
    <w:rsid w:val="1BE8440E"/>
    <w:rsid w:val="1C5A616E"/>
    <w:rsid w:val="1D155CEE"/>
    <w:rsid w:val="1D62181B"/>
    <w:rsid w:val="1FF35744"/>
    <w:rsid w:val="23860B96"/>
    <w:rsid w:val="240371BF"/>
    <w:rsid w:val="29FD04D3"/>
    <w:rsid w:val="2C8A61B5"/>
    <w:rsid w:val="2DF04E50"/>
    <w:rsid w:val="2F040D46"/>
    <w:rsid w:val="319F7F4E"/>
    <w:rsid w:val="3304709D"/>
    <w:rsid w:val="36AA5135"/>
    <w:rsid w:val="376D39B2"/>
    <w:rsid w:val="37E16F03"/>
    <w:rsid w:val="38D469F0"/>
    <w:rsid w:val="3D98207C"/>
    <w:rsid w:val="3E78745D"/>
    <w:rsid w:val="40DA219D"/>
    <w:rsid w:val="44E268DA"/>
    <w:rsid w:val="4A627F82"/>
    <w:rsid w:val="4B0E749A"/>
    <w:rsid w:val="4B4F25DA"/>
    <w:rsid w:val="4BE068DB"/>
    <w:rsid w:val="4D577224"/>
    <w:rsid w:val="4EAB630A"/>
    <w:rsid w:val="4ECE2238"/>
    <w:rsid w:val="537E6D0A"/>
    <w:rsid w:val="590036EF"/>
    <w:rsid w:val="5AF92295"/>
    <w:rsid w:val="5CD71FC4"/>
    <w:rsid w:val="6147473A"/>
    <w:rsid w:val="65E725C6"/>
    <w:rsid w:val="6C4A05C8"/>
    <w:rsid w:val="6E7E3605"/>
    <w:rsid w:val="6F5F696E"/>
    <w:rsid w:val="6FF5CC65"/>
    <w:rsid w:val="715C0E4B"/>
    <w:rsid w:val="72734D90"/>
    <w:rsid w:val="73AD73D5"/>
    <w:rsid w:val="73B6EB34"/>
    <w:rsid w:val="744731E5"/>
    <w:rsid w:val="76E3355F"/>
    <w:rsid w:val="778769C8"/>
    <w:rsid w:val="7831249F"/>
    <w:rsid w:val="79EE5BA4"/>
    <w:rsid w:val="7A894339"/>
    <w:rsid w:val="7C6863EA"/>
    <w:rsid w:val="7EEF11D3"/>
    <w:rsid w:val="7FA30C79"/>
    <w:rsid w:val="7FB7269E"/>
    <w:rsid w:val="7FC96657"/>
    <w:rsid w:val="D8D6DB89"/>
    <w:rsid w:val="DB6F4CAB"/>
    <w:rsid w:val="DF6F9789"/>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8"/>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9"/>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32"/>
    <w:unhideWhenUsed/>
    <w:qFormat/>
    <w:uiPriority w:val="9"/>
    <w:pPr>
      <w:keepNext/>
      <w:keepLines/>
      <w:spacing w:before="260" w:after="260" w:line="416" w:lineRule="auto"/>
      <w:outlineLvl w:val="2"/>
    </w:pPr>
    <w:rPr>
      <w:b/>
      <w:bCs/>
      <w:sz w:val="32"/>
      <w:szCs w:val="32"/>
    </w:rPr>
  </w:style>
  <w:style w:type="character" w:default="1" w:styleId="16">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5">
    <w:name w:val="Body Text"/>
    <w:basedOn w:val="1"/>
    <w:link w:val="25"/>
    <w:qFormat/>
    <w:uiPriority w:val="99"/>
    <w:pPr>
      <w:spacing w:beforeLines="30"/>
    </w:pPr>
    <w:rPr>
      <w:rFonts w:ascii="FangSong_GB2312" w:eastAsia="FangSong_GB2312"/>
      <w:kern w:val="0"/>
      <w:sz w:val="30"/>
    </w:rPr>
  </w:style>
  <w:style w:type="paragraph" w:styleId="6">
    <w:name w:val="Body Text Indent"/>
    <w:basedOn w:val="1"/>
    <w:qFormat/>
    <w:uiPriority w:val="0"/>
    <w:pPr>
      <w:spacing w:after="120"/>
      <w:ind w:left="200" w:leftChars="200"/>
    </w:pPr>
    <w:rPr>
      <w:rFonts w:ascii="FangSong_GB2312"/>
      <w:szCs w:val="32"/>
    </w:rPr>
  </w:style>
  <w:style w:type="paragraph" w:styleId="7">
    <w:name w:val="toc 3"/>
    <w:basedOn w:val="1"/>
    <w:next w:val="1"/>
    <w:unhideWhenUsed/>
    <w:qFormat/>
    <w:uiPriority w:val="39"/>
    <w:pPr>
      <w:tabs>
        <w:tab w:val="right" w:leader="dot" w:pos="8296"/>
      </w:tabs>
      <w:ind w:left="840" w:leftChars="400"/>
    </w:pPr>
  </w:style>
  <w:style w:type="paragraph" w:styleId="8">
    <w:name w:val="Balloon Text"/>
    <w:basedOn w:val="1"/>
    <w:link w:val="31"/>
    <w:semiHidden/>
    <w:unhideWhenUsed/>
    <w:qFormat/>
    <w:uiPriority w:val="99"/>
    <w:rPr>
      <w:sz w:val="18"/>
      <w:szCs w:val="18"/>
    </w:rPr>
  </w:style>
  <w:style w:type="paragraph" w:styleId="9">
    <w:name w:val="footer"/>
    <w:basedOn w:val="1"/>
    <w:link w:val="23"/>
    <w:qFormat/>
    <w:uiPriority w:val="99"/>
    <w:pPr>
      <w:tabs>
        <w:tab w:val="center" w:pos="4153"/>
        <w:tab w:val="right" w:pos="8306"/>
      </w:tabs>
      <w:snapToGrid w:val="0"/>
      <w:jc w:val="left"/>
    </w:pPr>
    <w:rPr>
      <w:rFonts w:ascii="Calibri" w:hAnsi="Calibri"/>
      <w:kern w:val="0"/>
      <w:sz w:val="18"/>
      <w:szCs w:val="18"/>
    </w:rPr>
  </w:style>
  <w:style w:type="paragraph" w:styleId="10">
    <w:name w:val="header"/>
    <w:basedOn w:val="1"/>
    <w:link w:val="21"/>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1">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2">
    <w:name w:val="toc 2"/>
    <w:basedOn w:val="1"/>
    <w:next w:val="1"/>
    <w:unhideWhenUsed/>
    <w:qFormat/>
    <w:uiPriority w:val="39"/>
    <w:pPr>
      <w:tabs>
        <w:tab w:val="right" w:leader="dot" w:pos="8296"/>
      </w:tabs>
      <w:ind w:left="420" w:leftChars="200"/>
    </w:pPr>
  </w:style>
  <w:style w:type="paragraph" w:styleId="13">
    <w:name w:val="Normal (Web)"/>
    <w:basedOn w:val="1"/>
    <w:semiHidden/>
    <w:unhideWhenUsed/>
    <w:qFormat/>
    <w:uiPriority w:val="99"/>
    <w:pPr>
      <w:widowControl/>
      <w:spacing w:before="100" w:beforeAutospacing="1" w:after="100" w:afterAutospacing="1"/>
      <w:jc w:val="left"/>
    </w:pPr>
    <w:rPr>
      <w:rFonts w:ascii="宋体" w:hAnsi="宋体" w:cs="宋体"/>
      <w:kern w:val="0"/>
      <w:sz w:val="24"/>
    </w:rPr>
  </w:style>
  <w:style w:type="paragraph" w:styleId="14">
    <w:name w:val="Body Text First Indent 2"/>
    <w:basedOn w:val="6"/>
    <w:unhideWhenUsed/>
    <w:qFormat/>
    <w:uiPriority w:val="99"/>
    <w:pPr>
      <w:ind w:firstLine="420" w:firstLineChars="200"/>
    </w:pPr>
  </w:style>
  <w:style w:type="character" w:styleId="17">
    <w:name w:val="Strong"/>
    <w:basedOn w:val="16"/>
    <w:qFormat/>
    <w:uiPriority w:val="99"/>
    <w:rPr>
      <w:b/>
    </w:rPr>
  </w:style>
  <w:style w:type="character" w:styleId="18">
    <w:name w:val="Hyperlink"/>
    <w:basedOn w:val="16"/>
    <w:unhideWhenUsed/>
    <w:qFormat/>
    <w:uiPriority w:val="99"/>
    <w:rPr>
      <w:color w:val="0000FF" w:themeColor="hyperlink"/>
      <w:u w:val="single"/>
    </w:rPr>
  </w:style>
  <w:style w:type="paragraph" w:customStyle="1" w:styleId="19">
    <w:name w:val="标题 5（有编号）（绿盟科技）"/>
    <w:next w:val="1"/>
    <w:qFormat/>
    <w:uiPriority w:val="99"/>
    <w:pPr>
      <w:keepNext/>
      <w:keepLines/>
      <w:widowControl w:val="0"/>
      <w:spacing w:before="280" w:after="156" w:line="377" w:lineRule="auto"/>
      <w:outlineLvl w:val="4"/>
    </w:pPr>
    <w:rPr>
      <w:rFonts w:ascii="Arial" w:hAnsi="Arial" w:eastAsia="黑体" w:cs="Times New Roman"/>
      <w:b/>
      <w:kern w:val="2"/>
      <w:sz w:val="24"/>
      <w:szCs w:val="28"/>
      <w:lang w:val="en-US" w:eastAsia="zh-CN" w:bidi="ar-SA"/>
    </w:rPr>
  </w:style>
  <w:style w:type="character" w:customStyle="1" w:styleId="20">
    <w:name w:val="Header Char"/>
    <w:basedOn w:val="16"/>
    <w:semiHidden/>
    <w:qFormat/>
    <w:uiPriority w:val="99"/>
    <w:rPr>
      <w:rFonts w:ascii="Times New Roman" w:hAnsi="Times New Roman"/>
      <w:sz w:val="18"/>
      <w:szCs w:val="18"/>
    </w:rPr>
  </w:style>
  <w:style w:type="character" w:customStyle="1" w:styleId="21">
    <w:name w:val="页眉 Char"/>
    <w:link w:val="10"/>
    <w:semiHidden/>
    <w:qFormat/>
    <w:locked/>
    <w:uiPriority w:val="99"/>
    <w:rPr>
      <w:sz w:val="18"/>
    </w:rPr>
  </w:style>
  <w:style w:type="character" w:customStyle="1" w:styleId="22">
    <w:name w:val="Footer Char"/>
    <w:basedOn w:val="16"/>
    <w:semiHidden/>
    <w:qFormat/>
    <w:uiPriority w:val="99"/>
    <w:rPr>
      <w:rFonts w:ascii="Times New Roman" w:hAnsi="Times New Roman"/>
      <w:sz w:val="18"/>
      <w:szCs w:val="18"/>
    </w:rPr>
  </w:style>
  <w:style w:type="character" w:customStyle="1" w:styleId="23">
    <w:name w:val="页脚 Char"/>
    <w:link w:val="9"/>
    <w:qFormat/>
    <w:locked/>
    <w:uiPriority w:val="99"/>
    <w:rPr>
      <w:sz w:val="18"/>
    </w:rPr>
  </w:style>
  <w:style w:type="character" w:customStyle="1" w:styleId="24">
    <w:name w:val="Body Text Char"/>
    <w:basedOn w:val="16"/>
    <w:semiHidden/>
    <w:qFormat/>
    <w:uiPriority w:val="99"/>
    <w:rPr>
      <w:rFonts w:ascii="Times New Roman" w:hAnsi="Times New Roman"/>
      <w:szCs w:val="24"/>
    </w:rPr>
  </w:style>
  <w:style w:type="character" w:customStyle="1" w:styleId="25">
    <w:name w:val="正文文本 Char"/>
    <w:link w:val="5"/>
    <w:qFormat/>
    <w:locked/>
    <w:uiPriority w:val="99"/>
    <w:rPr>
      <w:rFonts w:ascii="FangSong_GB2312" w:hAnsi="Times New Roman" w:eastAsia="FangSong_GB2312"/>
      <w:sz w:val="24"/>
    </w:rPr>
  </w:style>
  <w:style w:type="paragraph" w:customStyle="1" w:styleId="26">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7">
    <w:name w:val="List Paragraph"/>
    <w:basedOn w:val="1"/>
    <w:qFormat/>
    <w:uiPriority w:val="34"/>
    <w:pPr>
      <w:ind w:firstLine="420" w:firstLineChars="200"/>
    </w:pPr>
  </w:style>
  <w:style w:type="character" w:customStyle="1" w:styleId="28">
    <w:name w:val="标题 1 Char"/>
    <w:basedOn w:val="16"/>
    <w:link w:val="2"/>
    <w:qFormat/>
    <w:uiPriority w:val="9"/>
    <w:rPr>
      <w:rFonts w:ascii="Times New Roman" w:hAnsi="Times New Roman"/>
      <w:b/>
      <w:bCs/>
      <w:kern w:val="44"/>
      <w:sz w:val="44"/>
      <w:szCs w:val="44"/>
    </w:rPr>
  </w:style>
  <w:style w:type="character" w:customStyle="1" w:styleId="29">
    <w:name w:val="标题 2 Char"/>
    <w:basedOn w:val="16"/>
    <w:link w:val="3"/>
    <w:qFormat/>
    <w:uiPriority w:val="9"/>
    <w:rPr>
      <w:rFonts w:asciiTheme="majorHAnsi" w:hAnsiTheme="majorHAnsi" w:eastAsiaTheme="majorEastAsia" w:cstheme="majorBidi"/>
      <w:b/>
      <w:bCs/>
      <w:kern w:val="2"/>
      <w:sz w:val="32"/>
      <w:szCs w:val="32"/>
    </w:rPr>
  </w:style>
  <w:style w:type="paragraph" w:customStyle="1" w:styleId="30">
    <w:name w:val="TOC 标题1"/>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character" w:customStyle="1" w:styleId="31">
    <w:name w:val="批注框文本 Char"/>
    <w:basedOn w:val="16"/>
    <w:link w:val="8"/>
    <w:semiHidden/>
    <w:qFormat/>
    <w:uiPriority w:val="99"/>
    <w:rPr>
      <w:rFonts w:ascii="Times New Roman" w:hAnsi="Times New Roman"/>
      <w:kern w:val="2"/>
      <w:sz w:val="18"/>
      <w:szCs w:val="18"/>
    </w:rPr>
  </w:style>
  <w:style w:type="character" w:customStyle="1" w:styleId="32">
    <w:name w:val="标题 3 Char"/>
    <w:basedOn w:val="16"/>
    <w:link w:val="4"/>
    <w:qFormat/>
    <w:uiPriority w:val="9"/>
    <w:rPr>
      <w:rFonts w:ascii="Times New Roman" w:hAnsi="Times New Roman"/>
      <w:b/>
      <w:bCs/>
      <w:kern w:val="2"/>
      <w:sz w:val="32"/>
      <w:szCs w:val="32"/>
    </w:rPr>
  </w:style>
  <w:style w:type="paragraph" w:customStyle="1" w:styleId="33">
    <w:name w:val="TOC 标题2"/>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paragraph" w:customStyle="1" w:styleId="34">
    <w:name w:val="四号正文"/>
    <w:basedOn w:val="1"/>
    <w:qFormat/>
    <w:uiPriority w:val="0"/>
    <w:pPr>
      <w:spacing w:line="360" w:lineRule="auto"/>
    </w:pPr>
    <w:rPr>
      <w:rFonts w:ascii="??" w:hAnsi="??"/>
      <w:color w:val="000000"/>
      <w:kern w:val="0"/>
      <w:sz w:val="28"/>
      <w:szCs w:val="21"/>
      <w:lang w:val="zh-CN"/>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四川省财政厅</Company>
  <Pages>43</Pages>
  <Words>17038</Words>
  <Characters>18177</Characters>
  <Lines>131</Lines>
  <Paragraphs>37</Paragraphs>
  <TotalTime>3509</TotalTime>
  <ScaleCrop>false</ScaleCrop>
  <LinksUpToDate>false</LinksUpToDate>
  <CharactersWithSpaces>18219</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2020-08-05T01:49:00Z</dcterms:created>
  <dc:creator>曹颖</dc:creator>
  <cp:lastModifiedBy>王蕾仪</cp:lastModifiedBy>
  <cp:lastPrinted>2023-07-31T02:35:00Z</cp:lastPrinted>
  <dcterms:modified xsi:type="dcterms:W3CDTF">2024-12-20T01:34:17Z</dcterms:modified>
  <dc:title>四川省***</dc:title>
  <cp:revision>119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661A7BA6A5304E559C05BEE35C715EB1</vt:lpwstr>
  </property>
</Properties>
</file>