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年度古树名木保护经费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完成113株名木古树保护，完成古树名木的调查、认定、抢救、复壮、养护及宣传，切实做好古树名木保护工作。2022年，项目计划完成古树名木管护和排危113株，加强古树名木保护宣传教育，完成宣传教育2次，全年完成森林病虫害防治至少1次，每季度开展1次对全县的古树名木进行监督检查，已挂牌古树名木保护覆盖率达到100%，项目区群众满意度达到96%，确保全县不发生大面积的林业有害生物危害。</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1、资金计划及到位。根据《四川省绿化委员会四川省林业和草原局 四川省住房和城乡建设厅关于印发〈四川省古树名木保护三年行动方案〉的通知》(川绿委〔2020〕1号)和《乐山市绿化委员会办公室关于进一步加强古树名木保护工作的通知》(乐市绿委办(2021)3号)文件精神，要求各级人民政府将古树名木保护资金列入同级财政预算，保障古树名木调查、认定、抢救、复壮、养护、宣传等经费。</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2022年，项目下达资金批复预算6.21万元，此项目资金全部来源于县本级财政资金。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2、资金使用。截止评价时点项目资金的实际支出3.93万元，资金开支范围、标准及支付进度严格按照规定，支付依据合规合法，资金支付与预算相符。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项目预算批复资金为6.21万元，资金实际支付为3.93万元，资金使用率63.3%，该项目实施按照据实审批报销，资金支出在项目支出控制额度内，按照厉行节约、从严从紧的要求进行支出。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2022年沐川县林业局完成113株古树名木的管护与排危，完成古树名木的调查、认定、抢救、复壮、养护及宣传。</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古树名木管护和排危113株，其中：一级古树2株，二级古树11株，三级古树100株，完成率100%；完成宣传教育3次，完成率150%；完成森林病虫害防治1次，完成率100%，每季度至少开展1次对全县的古树名木进行监督检查，完成率100%；已挂牌古树名木保护覆盖率达到100%；项目区群众满意度达到96%；绩效目标按时完成，项目经费共使用3.93万元，包括差旅费、委托业务费等、古树保护经费开支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项目通过对古树名木保护的宣传教育，增强了市民保护古树的意识，项目的实施倡导更多的群众参与到保护、救助古树中来，古树名木这个活标本得到了保护，沐川的生态环境得到了有效的改善。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2022年度项目自评得分为96.5分，该项目为长期每年开展项目，2023年建议继续预算此项目，每年绩效目标与预算同步批复、同步公开。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附件：1.2022年度古树名木保护经费项目绩效目标自评表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2.2022年度古树名木保护经费项目支出绩效评价</w:t>
      </w:r>
      <w:r>
        <w:rPr>
          <w:rFonts w:hint="eastAsia" w:ascii="Times New Roman" w:hAnsi="Times New Roman" w:eastAsia="仿宋_GB2312" w:cs="Times New Roman"/>
          <w:b/>
          <w:bCs/>
          <w:sz w:val="32"/>
          <w:szCs w:val="32"/>
        </w:rPr>
        <w:t>自评得分表</w:t>
      </w:r>
    </w:p>
    <w:p>
      <w:pPr>
        <w:pStyle w:val="2"/>
        <w:ind w:right="320"/>
        <w:jc w:val="right"/>
      </w:pPr>
      <w:r>
        <w:t>沐川县林</w:t>
      </w:r>
      <w:bookmarkStart w:id="0" w:name="_GoBack"/>
      <w:bookmarkEnd w:id="0"/>
      <w:r>
        <w:t>业局</w:t>
      </w:r>
    </w:p>
    <w:p>
      <w:pPr>
        <w:pStyle w:val="8"/>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2022年度古树名木保护经费项目绩效目标自评表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498"/>
        <w:gridCol w:w="1132"/>
        <w:gridCol w:w="1382"/>
        <w:gridCol w:w="1171"/>
        <w:gridCol w:w="1133"/>
        <w:gridCol w:w="1137"/>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06" w:type="pct"/>
            <w:gridSpan w:val="5"/>
            <w:vAlign w:val="center"/>
          </w:tcPr>
          <w:p>
            <w:pPr>
              <w:widowControl/>
              <w:spacing w:line="200" w:lineRule="exact"/>
              <w:jc w:val="center"/>
              <w:rPr>
                <w:color w:val="000000"/>
                <w:sz w:val="20"/>
                <w:szCs w:val="20"/>
              </w:rPr>
            </w:pPr>
            <w:r>
              <w:rPr>
                <w:color w:val="000000"/>
                <w:sz w:val="20"/>
                <w:szCs w:val="20"/>
              </w:rPr>
              <w:t>古树名木保护经费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97" w:type="pct"/>
            <w:gridSpan w:val="2"/>
            <w:vAlign w:val="center"/>
          </w:tcPr>
          <w:p>
            <w:pPr>
              <w:widowControl/>
              <w:spacing w:line="200" w:lineRule="exact"/>
              <w:jc w:val="center"/>
              <w:rPr>
                <w:color w:val="000000"/>
                <w:sz w:val="20"/>
                <w:szCs w:val="20"/>
              </w:rPr>
            </w:pPr>
            <w:r>
              <w:rPr>
                <w:color w:val="000000"/>
                <w:sz w:val="20"/>
                <w:szCs w:val="20"/>
              </w:rPr>
              <w:t>林业局</w:t>
            </w:r>
          </w:p>
        </w:tc>
        <w:tc>
          <w:tcPr>
            <w:tcW w:w="665"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1" w:type="pct"/>
            <w:vAlign w:val="center"/>
          </w:tcPr>
          <w:p>
            <w:pPr>
              <w:widowControl/>
              <w:spacing w:line="200" w:lineRule="exact"/>
              <w:jc w:val="center"/>
              <w:rPr>
                <w:color w:val="000000"/>
                <w:sz w:val="20"/>
                <w:szCs w:val="20"/>
              </w:rPr>
            </w:pPr>
          </w:p>
        </w:tc>
        <w:tc>
          <w:tcPr>
            <w:tcW w:w="686"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32"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86" w:type="pct"/>
            <w:vAlign w:val="center"/>
          </w:tcPr>
          <w:p>
            <w:pPr>
              <w:widowControl/>
              <w:spacing w:line="200" w:lineRule="exact"/>
              <w:jc w:val="center"/>
              <w:rPr>
                <w:color w:val="000000"/>
                <w:sz w:val="20"/>
                <w:szCs w:val="20"/>
              </w:rPr>
            </w:pPr>
            <w:r>
              <w:rPr>
                <w:color w:val="000000"/>
                <w:sz w:val="20"/>
                <w:szCs w:val="20"/>
              </w:rPr>
              <w:t>6.21</w:t>
            </w:r>
          </w:p>
        </w:tc>
        <w:tc>
          <w:tcPr>
            <w:tcW w:w="1332" w:type="pct"/>
            <w:gridSpan w:val="2"/>
            <w:vAlign w:val="center"/>
          </w:tcPr>
          <w:p>
            <w:pPr>
              <w:widowControl/>
              <w:spacing w:line="200" w:lineRule="exact"/>
              <w:jc w:val="center"/>
              <w:rPr>
                <w:color w:val="000000"/>
                <w:sz w:val="20"/>
                <w:szCs w:val="20"/>
              </w:rPr>
            </w:pPr>
            <w:r>
              <w:rPr>
                <w:color w:val="000000"/>
                <w:sz w:val="20"/>
                <w:szCs w:val="20"/>
              </w:rPr>
              <w:t>3.93</w:t>
            </w:r>
          </w:p>
        </w:tc>
        <w:tc>
          <w:tcPr>
            <w:tcW w:w="776" w:type="pct"/>
            <w:vAlign w:val="center"/>
          </w:tcPr>
          <w:p>
            <w:pPr>
              <w:widowControl/>
              <w:spacing w:line="200" w:lineRule="exact"/>
              <w:jc w:val="center"/>
              <w:rPr>
                <w:color w:val="000000"/>
                <w:sz w:val="20"/>
                <w:szCs w:val="20"/>
              </w:rPr>
            </w:pPr>
            <w:r>
              <w:rPr>
                <w:color w:val="000000"/>
                <w:sz w:val="20"/>
                <w:szCs w:val="20"/>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94" w:type="pct"/>
            <w:gridSpan w:val="3"/>
            <w:vMerge w:val="continue"/>
            <w:vAlign w:val="center"/>
          </w:tcPr>
          <w:p>
            <w:pPr>
              <w:widowControl/>
              <w:spacing w:line="200" w:lineRule="exact"/>
              <w:jc w:val="center"/>
              <w:rPr>
                <w:color w:val="000000"/>
                <w:sz w:val="20"/>
                <w:szCs w:val="20"/>
              </w:rPr>
            </w:pPr>
          </w:p>
        </w:tc>
        <w:tc>
          <w:tcPr>
            <w:tcW w:w="81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86" w:type="pct"/>
            <w:vAlign w:val="center"/>
          </w:tcPr>
          <w:p>
            <w:pPr>
              <w:widowControl/>
              <w:spacing w:line="200" w:lineRule="exact"/>
              <w:jc w:val="center"/>
              <w:rPr>
                <w:color w:val="000000"/>
                <w:sz w:val="20"/>
                <w:szCs w:val="20"/>
              </w:rPr>
            </w:pPr>
          </w:p>
        </w:tc>
        <w:tc>
          <w:tcPr>
            <w:tcW w:w="1332" w:type="pct"/>
            <w:gridSpan w:val="2"/>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54"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09"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vAlign w:val="center"/>
          </w:tcPr>
          <w:p>
            <w:pPr>
              <w:widowControl/>
              <w:spacing w:line="200" w:lineRule="exact"/>
              <w:jc w:val="center"/>
              <w:rPr>
                <w:color w:val="000000"/>
                <w:sz w:val="20"/>
                <w:szCs w:val="20"/>
              </w:rPr>
            </w:pPr>
          </w:p>
        </w:tc>
        <w:tc>
          <w:tcPr>
            <w:tcW w:w="2454" w:type="pct"/>
            <w:gridSpan w:val="4"/>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完成113株名木古树保护，完成古树名木的调查、认定、抢救、复壮、养护及宣传，切实做好古树名木保护工作。</w:t>
            </w:r>
          </w:p>
        </w:tc>
        <w:tc>
          <w:tcPr>
            <w:tcW w:w="2109" w:type="pct"/>
            <w:gridSpan w:val="3"/>
            <w:vAlign w:val="center"/>
          </w:tcPr>
          <w:p>
            <w:pPr>
              <w:widowControl/>
              <w:spacing w:line="200" w:lineRule="exact"/>
              <w:rPr>
                <w:color w:val="000000"/>
                <w:sz w:val="20"/>
                <w:szCs w:val="20"/>
              </w:rPr>
            </w:pPr>
            <w:r>
              <w:rPr>
                <w:color w:val="000000"/>
                <w:sz w:val="20"/>
                <w:szCs w:val="20"/>
              </w:rPr>
              <w:t>完成113株名木古树保护，完成古树名木的调查、认定、抢救、复壮、养护及宣传。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2"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97"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6"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97" w:type="pct"/>
            <w:gridSpan w:val="2"/>
            <w:vAlign w:val="center"/>
          </w:tcPr>
          <w:p>
            <w:pPr>
              <w:widowControl/>
              <w:spacing w:line="200" w:lineRule="exact"/>
              <w:jc w:val="center"/>
              <w:rPr>
                <w:color w:val="000000"/>
                <w:sz w:val="20"/>
                <w:szCs w:val="20"/>
              </w:rPr>
            </w:pPr>
            <w:r>
              <w:rPr>
                <w:color w:val="000000"/>
                <w:sz w:val="20"/>
                <w:szCs w:val="20"/>
              </w:rPr>
              <w:t>完成已挂牌古树名木保护</w:t>
            </w:r>
          </w:p>
        </w:tc>
        <w:tc>
          <w:tcPr>
            <w:tcW w:w="665" w:type="pct"/>
            <w:vAlign w:val="center"/>
          </w:tcPr>
          <w:p>
            <w:pPr>
              <w:widowControl/>
              <w:spacing w:line="200" w:lineRule="exact"/>
              <w:jc w:val="center"/>
              <w:rPr>
                <w:color w:val="000000"/>
                <w:sz w:val="20"/>
                <w:szCs w:val="20"/>
              </w:rPr>
            </w:pPr>
            <w:r>
              <w:rPr>
                <w:color w:val="000000"/>
                <w:sz w:val="20"/>
                <w:szCs w:val="20"/>
              </w:rPr>
              <w:t>＝113株</w:t>
            </w:r>
          </w:p>
        </w:tc>
        <w:tc>
          <w:tcPr>
            <w:tcW w:w="667" w:type="pct"/>
            <w:vAlign w:val="center"/>
          </w:tcPr>
          <w:p>
            <w:pPr>
              <w:widowControl/>
              <w:spacing w:line="200" w:lineRule="exact"/>
              <w:jc w:val="center"/>
              <w:rPr>
                <w:color w:val="000000"/>
                <w:sz w:val="20"/>
                <w:szCs w:val="20"/>
              </w:rPr>
            </w:pPr>
            <w:r>
              <w:rPr>
                <w:color w:val="000000"/>
                <w:sz w:val="20"/>
                <w:szCs w:val="20"/>
              </w:rPr>
              <w:t>113</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古树名木保护宣传教育</w:t>
            </w:r>
          </w:p>
        </w:tc>
        <w:tc>
          <w:tcPr>
            <w:tcW w:w="665" w:type="pct"/>
            <w:vAlign w:val="center"/>
          </w:tcPr>
          <w:p>
            <w:pPr>
              <w:widowControl/>
              <w:spacing w:line="200" w:lineRule="exact"/>
              <w:jc w:val="center"/>
              <w:rPr>
                <w:color w:val="000000"/>
                <w:sz w:val="20"/>
                <w:szCs w:val="20"/>
              </w:rPr>
            </w:pPr>
            <w:r>
              <w:rPr>
                <w:color w:val="000000"/>
                <w:sz w:val="20"/>
                <w:szCs w:val="20"/>
              </w:rPr>
              <w:t>≥2次</w:t>
            </w:r>
          </w:p>
        </w:tc>
        <w:tc>
          <w:tcPr>
            <w:tcW w:w="667" w:type="pct"/>
            <w:vAlign w:val="center"/>
          </w:tcPr>
          <w:p>
            <w:pPr>
              <w:widowControl/>
              <w:spacing w:line="200" w:lineRule="exact"/>
              <w:jc w:val="center"/>
              <w:rPr>
                <w:color w:val="000000"/>
                <w:sz w:val="20"/>
                <w:szCs w:val="20"/>
              </w:rPr>
            </w:pPr>
            <w:r>
              <w:rPr>
                <w:color w:val="000000"/>
                <w:sz w:val="20"/>
                <w:szCs w:val="20"/>
              </w:rPr>
              <w:t>3次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森林病虫害防治</w:t>
            </w:r>
          </w:p>
        </w:tc>
        <w:tc>
          <w:tcPr>
            <w:tcW w:w="665" w:type="pct"/>
            <w:vAlign w:val="center"/>
          </w:tcPr>
          <w:p>
            <w:pPr>
              <w:widowControl/>
              <w:spacing w:line="200" w:lineRule="exact"/>
              <w:jc w:val="center"/>
              <w:rPr>
                <w:color w:val="000000"/>
                <w:sz w:val="20"/>
                <w:szCs w:val="20"/>
              </w:rPr>
            </w:pPr>
            <w:r>
              <w:rPr>
                <w:color w:val="000000"/>
                <w:sz w:val="20"/>
                <w:szCs w:val="20"/>
              </w:rPr>
              <w:t>≥1次</w:t>
            </w:r>
          </w:p>
        </w:tc>
        <w:tc>
          <w:tcPr>
            <w:tcW w:w="667" w:type="pct"/>
            <w:vAlign w:val="center"/>
          </w:tcPr>
          <w:p>
            <w:pPr>
              <w:widowControl/>
              <w:spacing w:line="200" w:lineRule="exact"/>
              <w:jc w:val="center"/>
              <w:rPr>
                <w:color w:val="000000"/>
                <w:sz w:val="20"/>
                <w:szCs w:val="20"/>
              </w:rPr>
            </w:pPr>
            <w:r>
              <w:rPr>
                <w:color w:val="000000"/>
                <w:sz w:val="20"/>
                <w:szCs w:val="20"/>
              </w:rPr>
              <w:t>1次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古树名木监督检查</w:t>
            </w:r>
          </w:p>
        </w:tc>
        <w:tc>
          <w:tcPr>
            <w:tcW w:w="665" w:type="pct"/>
            <w:vAlign w:val="center"/>
          </w:tcPr>
          <w:p>
            <w:pPr>
              <w:widowControl/>
              <w:spacing w:line="200" w:lineRule="exact"/>
              <w:jc w:val="center"/>
              <w:rPr>
                <w:color w:val="000000"/>
                <w:sz w:val="20"/>
                <w:szCs w:val="20"/>
              </w:rPr>
            </w:pPr>
            <w:r>
              <w:rPr>
                <w:color w:val="000000"/>
                <w:sz w:val="20"/>
                <w:szCs w:val="20"/>
              </w:rPr>
              <w:t>≥4次</w:t>
            </w:r>
          </w:p>
        </w:tc>
        <w:tc>
          <w:tcPr>
            <w:tcW w:w="667" w:type="pct"/>
            <w:vAlign w:val="center"/>
          </w:tcPr>
          <w:p>
            <w:pPr>
              <w:widowControl/>
              <w:spacing w:line="200" w:lineRule="exact"/>
              <w:jc w:val="center"/>
              <w:rPr>
                <w:color w:val="000000"/>
                <w:sz w:val="20"/>
                <w:szCs w:val="20"/>
              </w:rPr>
            </w:pPr>
            <w:r>
              <w:rPr>
                <w:color w:val="000000"/>
                <w:sz w:val="20"/>
                <w:szCs w:val="20"/>
              </w:rPr>
              <w:t>4次</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97" w:type="pct"/>
            <w:gridSpan w:val="2"/>
            <w:vAlign w:val="center"/>
          </w:tcPr>
          <w:p>
            <w:pPr>
              <w:widowControl/>
              <w:spacing w:line="200" w:lineRule="exact"/>
              <w:jc w:val="center"/>
              <w:rPr>
                <w:color w:val="000000"/>
                <w:sz w:val="20"/>
                <w:szCs w:val="20"/>
              </w:rPr>
            </w:pPr>
            <w:r>
              <w:rPr>
                <w:color w:val="000000"/>
                <w:sz w:val="20"/>
                <w:szCs w:val="20"/>
              </w:rPr>
              <w:t>已挂牌古树名木保护覆盖率</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667" w:type="pct"/>
            <w:vAlign w:val="center"/>
          </w:tcPr>
          <w:p>
            <w:pPr>
              <w:widowControl/>
              <w:spacing w:line="200" w:lineRule="exact"/>
              <w:jc w:val="center"/>
              <w:rPr>
                <w:color w:val="000000"/>
                <w:sz w:val="20"/>
                <w:szCs w:val="20"/>
              </w:rPr>
            </w:pPr>
            <w:r>
              <w:rPr>
                <w:color w:val="000000"/>
                <w:sz w:val="20"/>
                <w:szCs w:val="20"/>
              </w:rPr>
              <w:t>100%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有害生物成灾率</w:t>
            </w:r>
          </w:p>
        </w:tc>
        <w:tc>
          <w:tcPr>
            <w:tcW w:w="665" w:type="pct"/>
            <w:vAlign w:val="center"/>
          </w:tcPr>
          <w:p>
            <w:pPr>
              <w:widowControl/>
              <w:spacing w:line="200" w:lineRule="exact"/>
              <w:jc w:val="center"/>
              <w:rPr>
                <w:color w:val="000000"/>
                <w:sz w:val="20"/>
                <w:szCs w:val="20"/>
              </w:rPr>
            </w:pPr>
            <w:r>
              <w:rPr>
                <w:color w:val="000000"/>
                <w:sz w:val="20"/>
                <w:szCs w:val="20"/>
              </w:rPr>
              <w:t>≤8.5‰</w:t>
            </w:r>
          </w:p>
        </w:tc>
        <w:tc>
          <w:tcPr>
            <w:tcW w:w="667" w:type="pct"/>
            <w:vAlign w:val="center"/>
          </w:tcPr>
          <w:p>
            <w:pPr>
              <w:widowControl/>
              <w:spacing w:line="200" w:lineRule="exact"/>
              <w:jc w:val="center"/>
              <w:rPr>
                <w:color w:val="000000"/>
                <w:sz w:val="20"/>
                <w:szCs w:val="20"/>
              </w:rPr>
            </w:pPr>
            <w:r>
              <w:rPr>
                <w:color w:val="000000"/>
                <w:sz w:val="20"/>
                <w:szCs w:val="20"/>
              </w:rPr>
              <w:t>≤8.5‰</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古树名木管护时间</w:t>
            </w:r>
          </w:p>
        </w:tc>
        <w:tc>
          <w:tcPr>
            <w:tcW w:w="665" w:type="pct"/>
            <w:vAlign w:val="center"/>
          </w:tcPr>
          <w:p>
            <w:pPr>
              <w:widowControl/>
              <w:spacing w:line="200" w:lineRule="exact"/>
              <w:jc w:val="center"/>
              <w:rPr>
                <w:color w:val="000000"/>
                <w:sz w:val="20"/>
                <w:szCs w:val="20"/>
              </w:rPr>
            </w:pPr>
            <w:r>
              <w:rPr>
                <w:color w:val="000000"/>
                <w:sz w:val="20"/>
                <w:szCs w:val="20"/>
              </w:rPr>
              <w:t>2022年底前</w:t>
            </w:r>
          </w:p>
        </w:tc>
        <w:tc>
          <w:tcPr>
            <w:tcW w:w="667" w:type="pct"/>
            <w:vAlign w:val="center"/>
          </w:tcPr>
          <w:p>
            <w:pPr>
              <w:widowControl/>
              <w:spacing w:line="200" w:lineRule="exact"/>
              <w:jc w:val="center"/>
              <w:rPr>
                <w:color w:val="000000"/>
                <w:sz w:val="20"/>
                <w:szCs w:val="20"/>
              </w:rPr>
            </w:pPr>
            <w:r>
              <w:rPr>
                <w:color w:val="000000"/>
                <w:sz w:val="20"/>
                <w:szCs w:val="20"/>
              </w:rPr>
              <w:t>2022年底前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开展宣传教育</w:t>
            </w:r>
          </w:p>
        </w:tc>
        <w:tc>
          <w:tcPr>
            <w:tcW w:w="665" w:type="pct"/>
            <w:vAlign w:val="center"/>
          </w:tcPr>
          <w:p>
            <w:pPr>
              <w:widowControl/>
              <w:spacing w:line="200" w:lineRule="exact"/>
              <w:jc w:val="center"/>
              <w:rPr>
                <w:color w:val="000000"/>
                <w:sz w:val="20"/>
                <w:szCs w:val="20"/>
              </w:rPr>
            </w:pPr>
            <w:r>
              <w:rPr>
                <w:color w:val="000000"/>
                <w:sz w:val="20"/>
                <w:szCs w:val="20"/>
              </w:rPr>
              <w:t>2022年8月前</w:t>
            </w:r>
          </w:p>
        </w:tc>
        <w:tc>
          <w:tcPr>
            <w:tcW w:w="667" w:type="pct"/>
            <w:vAlign w:val="center"/>
          </w:tcPr>
          <w:p>
            <w:pPr>
              <w:widowControl/>
              <w:spacing w:line="200" w:lineRule="exact"/>
              <w:jc w:val="center"/>
              <w:rPr>
                <w:color w:val="000000"/>
                <w:sz w:val="20"/>
                <w:szCs w:val="20"/>
              </w:rPr>
            </w:pPr>
            <w:r>
              <w:rPr>
                <w:color w:val="000000"/>
                <w:sz w:val="20"/>
                <w:szCs w:val="20"/>
              </w:rPr>
              <w:t>2022年8月前</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97" w:type="pct"/>
            <w:gridSpan w:val="2"/>
            <w:vAlign w:val="center"/>
          </w:tcPr>
          <w:p>
            <w:pPr>
              <w:widowControl/>
              <w:spacing w:line="200" w:lineRule="exact"/>
              <w:jc w:val="center"/>
              <w:rPr>
                <w:color w:val="000000"/>
                <w:sz w:val="20"/>
                <w:szCs w:val="20"/>
              </w:rPr>
            </w:pPr>
            <w:r>
              <w:rPr>
                <w:color w:val="000000"/>
                <w:sz w:val="20"/>
                <w:szCs w:val="20"/>
              </w:rPr>
              <w:t>古树名木保护</w:t>
            </w:r>
          </w:p>
        </w:tc>
        <w:tc>
          <w:tcPr>
            <w:tcW w:w="665" w:type="pct"/>
            <w:vAlign w:val="center"/>
          </w:tcPr>
          <w:p>
            <w:pPr>
              <w:widowControl/>
              <w:spacing w:line="200" w:lineRule="exact"/>
              <w:jc w:val="center"/>
              <w:rPr>
                <w:color w:val="000000"/>
                <w:sz w:val="20"/>
                <w:szCs w:val="20"/>
              </w:rPr>
            </w:pPr>
            <w:r>
              <w:rPr>
                <w:color w:val="000000"/>
                <w:sz w:val="20"/>
                <w:szCs w:val="20"/>
              </w:rPr>
              <w:t>≤30000</w:t>
            </w:r>
          </w:p>
        </w:tc>
        <w:tc>
          <w:tcPr>
            <w:tcW w:w="667" w:type="pct"/>
            <w:vAlign w:val="center"/>
          </w:tcPr>
          <w:p>
            <w:pPr>
              <w:widowControl/>
              <w:spacing w:line="200" w:lineRule="exact"/>
              <w:jc w:val="center"/>
              <w:rPr>
                <w:color w:val="000000"/>
                <w:sz w:val="20"/>
                <w:szCs w:val="20"/>
              </w:rPr>
            </w:pPr>
            <w:r>
              <w:rPr>
                <w:color w:val="000000"/>
                <w:sz w:val="20"/>
                <w:szCs w:val="20"/>
              </w:rPr>
              <w:t>≤30000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宣传教育</w:t>
            </w:r>
          </w:p>
        </w:tc>
        <w:tc>
          <w:tcPr>
            <w:tcW w:w="665" w:type="pct"/>
            <w:vAlign w:val="center"/>
          </w:tcPr>
          <w:p>
            <w:pPr>
              <w:widowControl/>
              <w:spacing w:line="200" w:lineRule="exact"/>
              <w:jc w:val="center"/>
              <w:rPr>
                <w:color w:val="000000"/>
                <w:sz w:val="20"/>
                <w:szCs w:val="20"/>
              </w:rPr>
            </w:pPr>
            <w:r>
              <w:rPr>
                <w:color w:val="000000"/>
                <w:sz w:val="20"/>
                <w:szCs w:val="20"/>
              </w:rPr>
              <w:t>≤9300</w:t>
            </w:r>
          </w:p>
        </w:tc>
        <w:tc>
          <w:tcPr>
            <w:tcW w:w="667" w:type="pct"/>
            <w:vAlign w:val="center"/>
          </w:tcPr>
          <w:p>
            <w:pPr>
              <w:widowControl/>
              <w:spacing w:line="200" w:lineRule="exact"/>
              <w:jc w:val="center"/>
              <w:rPr>
                <w:color w:val="000000"/>
                <w:sz w:val="20"/>
                <w:szCs w:val="20"/>
              </w:rPr>
            </w:pPr>
            <w:r>
              <w:rPr>
                <w:color w:val="000000"/>
                <w:sz w:val="20"/>
                <w:szCs w:val="20"/>
              </w:rPr>
              <w:t>≤9300</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有效提高古树名木资源保护</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Merge w:val="continue"/>
            <w:vAlign w:val="center"/>
          </w:tcPr>
          <w:p>
            <w:pPr>
              <w:widowControl/>
              <w:spacing w:line="200" w:lineRule="exact"/>
              <w:jc w:val="center"/>
              <w:rPr>
                <w:color w:val="000000"/>
                <w:sz w:val="20"/>
                <w:szCs w:val="20"/>
              </w:rPr>
            </w:pPr>
          </w:p>
        </w:tc>
        <w:tc>
          <w:tcPr>
            <w:tcW w:w="1497" w:type="pct"/>
            <w:gridSpan w:val="2"/>
            <w:vAlign w:val="center"/>
          </w:tcPr>
          <w:p>
            <w:pPr>
              <w:widowControl/>
              <w:spacing w:line="200" w:lineRule="exact"/>
              <w:jc w:val="center"/>
              <w:rPr>
                <w:color w:val="000000"/>
                <w:sz w:val="20"/>
                <w:szCs w:val="20"/>
              </w:rPr>
            </w:pPr>
            <w:r>
              <w:rPr>
                <w:color w:val="000000"/>
                <w:sz w:val="20"/>
                <w:szCs w:val="20"/>
              </w:rPr>
              <w:t>增强市民保护意识</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97" w:type="pct"/>
            <w:gridSpan w:val="2"/>
            <w:vAlign w:val="center"/>
          </w:tcPr>
          <w:p>
            <w:pPr>
              <w:widowControl/>
              <w:spacing w:line="200" w:lineRule="exact"/>
              <w:jc w:val="center"/>
              <w:rPr>
                <w:color w:val="000000"/>
                <w:sz w:val="20"/>
                <w:szCs w:val="20"/>
              </w:rPr>
            </w:pPr>
            <w:r>
              <w:rPr>
                <w:color w:val="000000"/>
                <w:sz w:val="20"/>
                <w:szCs w:val="20"/>
              </w:rPr>
              <w:t>改善生态环境</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667" w:type="pct"/>
            <w:vAlign w:val="center"/>
          </w:tcPr>
          <w:p>
            <w:pPr>
              <w:widowControl/>
              <w:spacing w:line="200" w:lineRule="exact"/>
              <w:jc w:val="center"/>
              <w:rPr>
                <w:color w:val="000000"/>
                <w:sz w:val="20"/>
                <w:szCs w:val="20"/>
              </w:rPr>
            </w:pPr>
            <w:r>
              <w:rPr>
                <w:color w:val="000000"/>
                <w:sz w:val="20"/>
                <w:szCs w:val="20"/>
              </w:rPr>
              <w:t>优</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可持续影响指标</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Merge w:val="continue"/>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97" w:type="pct"/>
            <w:gridSpan w:val="2"/>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667" w:type="pct"/>
            <w:vAlign w:val="center"/>
          </w:tcPr>
          <w:p>
            <w:pPr>
              <w:widowControl/>
              <w:spacing w:line="200" w:lineRule="exact"/>
              <w:jc w:val="center"/>
              <w:rPr>
                <w:color w:val="000000"/>
                <w:sz w:val="20"/>
                <w:szCs w:val="20"/>
              </w:rPr>
            </w:pP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Merge w:val="continue"/>
            <w:textDirection w:val="tbRlV"/>
            <w:vAlign w:val="center"/>
          </w:tcPr>
          <w:p>
            <w:pPr>
              <w:widowControl/>
              <w:spacing w:line="200" w:lineRule="exact"/>
              <w:jc w:val="center"/>
              <w:rPr>
                <w:color w:val="000000"/>
                <w:sz w:val="20"/>
                <w:szCs w:val="20"/>
              </w:rPr>
            </w:pPr>
          </w:p>
        </w:tc>
        <w:tc>
          <w:tcPr>
            <w:tcW w:w="292"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97" w:type="pct"/>
            <w:gridSpan w:val="2"/>
            <w:vAlign w:val="center"/>
          </w:tcPr>
          <w:p>
            <w:pPr>
              <w:widowControl/>
              <w:spacing w:line="200" w:lineRule="exact"/>
              <w:jc w:val="center"/>
              <w:rPr>
                <w:color w:val="000000"/>
                <w:sz w:val="20"/>
                <w:szCs w:val="20"/>
              </w:rPr>
            </w:pPr>
            <w:r>
              <w:rPr>
                <w:color w:val="000000"/>
                <w:sz w:val="20"/>
                <w:szCs w:val="20"/>
              </w:rPr>
              <w:t>项目区群众满意度</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667" w:type="pct"/>
            <w:vAlign w:val="center"/>
          </w:tcPr>
          <w:p>
            <w:pPr>
              <w:widowControl/>
              <w:spacing w:line="200" w:lineRule="exact"/>
              <w:jc w:val="center"/>
              <w:rPr>
                <w:color w:val="000000"/>
                <w:sz w:val="20"/>
                <w:szCs w:val="20"/>
              </w:rPr>
            </w:pPr>
            <w:r>
              <w:rPr>
                <w:color w:val="000000"/>
                <w:sz w:val="20"/>
                <w:szCs w:val="20"/>
              </w:rPr>
              <w:t>≥96%</w:t>
            </w:r>
          </w:p>
        </w:tc>
        <w:tc>
          <w:tcPr>
            <w:tcW w:w="776"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43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62" w:type="pct"/>
            <w:gridSpan w:val="7"/>
            <w:vAlign w:val="center"/>
          </w:tcPr>
          <w:p>
            <w:pPr>
              <w:widowControl/>
              <w:spacing w:line="200" w:lineRule="exact"/>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2022年度古树名木保护经费项目支出绩效评价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古树保护意识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群众对古树名木的保护意识</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考察项目实施后对群众对古树名木保护意识提高的情况，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96.5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3DFD17CC-89C8-4924-B873-80C764A299FB}" w:val="KUr9E1jDwoctlTxO78vqBJIM23/+6g0CQSWey4p=PHafNzhkLRYZiAVun5bsmFdXG"/>
    <w:docVar w:name="commondata" w:val="eyJoZGlkIjoiZTgxNTJkNDk3ZTBmZDg5MTJhMDY2NzllNjYwMWY1MWMifQ=="/>
    <w:docVar w:name="DocumentID" w:val="{CEB4C00E-1233-48CD-A47F-3BD9FEB85620}"/>
  </w:docVars>
  <w:rsids>
    <w:rsidRoot w:val="0B0634F0"/>
    <w:rsid w:val="0000701E"/>
    <w:rsid w:val="005009CB"/>
    <w:rsid w:val="006663E9"/>
    <w:rsid w:val="009334DB"/>
    <w:rsid w:val="00FC5A7F"/>
    <w:rsid w:val="0761435A"/>
    <w:rsid w:val="0B0634F0"/>
    <w:rsid w:val="0B725906"/>
    <w:rsid w:val="2101264B"/>
    <w:rsid w:val="22FD3CFF"/>
    <w:rsid w:val="2437126F"/>
    <w:rsid w:val="3282481C"/>
    <w:rsid w:val="49D50B1F"/>
    <w:rsid w:val="5D4B3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3928</Words>
  <Characters>4200</Characters>
  <Lines>404</Lines>
  <Paragraphs>314</Paragraphs>
  <TotalTime>4</TotalTime>
  <ScaleCrop>false</ScaleCrop>
  <LinksUpToDate>false</LinksUpToDate>
  <CharactersWithSpaces>4213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