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年度改革发展资金造林</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spacing w:line="360" w:lineRule="auto"/>
        <w:ind w:firstLine="640" w:firstLineChars="200"/>
      </w:pPr>
      <w:r>
        <w:rPr>
          <w:rFonts w:hint="eastAsia"/>
        </w:rPr>
        <w:t>根据《四川省财政厅 四川省林业和草原局关于下达2022年中央财政林业改革发展资金(第三批)预算的通知》（川财资环〔2022〕66号）下达我县造林补助资金745.38万元，完成任务清单为：油茶保障性苗圃建设150万元、沐川林竹发展有限公司贷款贴息121.58万元、四川永丰浆纸股份有限公司贷款贴息216.25万元、四川永丰纸业股份有限公司贷款贴息257.55万元。</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spacing w:line="360" w:lineRule="auto"/>
        <w:ind w:firstLine="640" w:firstLineChars="200"/>
      </w:pPr>
      <w:r>
        <w:t>根据《四川省财政厅 四川省林业和草原局关于下达2022年中央财政林业改革发展资金(第三批)预算的通知》（川财资环〔2022〕66号），下达我县林业改革发展资金造林补助745.38万元，资金到位率100%。</w:t>
      </w:r>
    </w:p>
    <w:p>
      <w:pPr>
        <w:spacing w:line="360" w:lineRule="auto"/>
        <w:ind w:firstLine="640" w:firstLineChars="200"/>
      </w:pPr>
      <w:r>
        <w:t>《沐川县林业局关于审定&lt;沐川县国有林场油茶保障性苗圃建设工程项目实施方案&gt;的请示》（沐林〔2022〕131号）申请使用林业改革发展资金</w:t>
      </w:r>
      <w:r>
        <w:rPr>
          <w:rFonts w:hint="eastAsia"/>
        </w:rPr>
        <w:t>150万元，</w:t>
      </w:r>
      <w:r>
        <w:t>建设油茶保障性苗圃150亩，请示得以同意批复。</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spacing w:line="360" w:lineRule="auto"/>
        <w:ind w:firstLine="640" w:firstLineChars="200"/>
      </w:pPr>
      <w:r>
        <w:t>项目预算批复资金为745.38万元，</w:t>
      </w:r>
      <w:r>
        <w:rPr>
          <w:rFonts w:hint="eastAsia"/>
        </w:rPr>
        <w:t>截至绩效自评日，预算基本全部执行，</w:t>
      </w:r>
      <w:r>
        <w:t>资金开支范围、标准及支付进度严格按照规定，支付依据合规合法，资金支付与预算相符。</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spacing w:line="360" w:lineRule="auto"/>
        <w:ind w:firstLine="640" w:firstLineChars="200"/>
      </w:pPr>
      <w:r>
        <w:rPr>
          <w:rFonts w:hint="eastAsia"/>
        </w:rPr>
        <w:t>该项目总体目标全部完成，完成贴息贷款和</w:t>
      </w:r>
      <w:r>
        <w:t>油茶保障性苗圃基地建设</w:t>
      </w:r>
      <w:r>
        <w:rPr>
          <w:rFonts w:hint="eastAsia"/>
        </w:rPr>
        <w:t>。</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spacing w:line="360" w:lineRule="auto"/>
        <w:ind w:firstLine="640" w:firstLineChars="200"/>
      </w:pPr>
      <w:r>
        <w:rPr>
          <w:rFonts w:hint="eastAsia"/>
        </w:rPr>
        <w:t>完成沐川林竹发展有限公司贷款贴息121.58万元、四川永丰浆纸股份有限公司贷款贴息216.25万元、四川永丰纸业股份有限公司贷款贴息257.55万元。此外，</w:t>
      </w:r>
      <w:r>
        <w:t>我县积极向上争取到乐山市唯一一处保障性苗圃基地，建成年产200万株良种油茶苗基地，2022年新建基地占地</w:t>
      </w:r>
      <w:r>
        <w:rPr>
          <w:rFonts w:hint="eastAsia"/>
        </w:rPr>
        <w:t>115.2</w:t>
      </w:r>
      <w:r>
        <w:t>亩，其中50亩位于国有林场凉风坳</w:t>
      </w:r>
      <w:r>
        <w:rPr>
          <w:rFonts w:hint="eastAsia"/>
        </w:rPr>
        <w:t>山王埂</w:t>
      </w:r>
      <w:r>
        <w:t>、</w:t>
      </w:r>
      <w:r>
        <w:rPr>
          <w:rFonts w:hint="eastAsia"/>
        </w:rPr>
        <w:t>65.2</w:t>
      </w:r>
      <w:r>
        <w:t>亩位于富新镇，项目总投资150万，</w:t>
      </w:r>
      <w:r>
        <w:rPr>
          <w:rFonts w:hint="eastAsia"/>
        </w:rPr>
        <w:t>目前油茶苗圃已完成项目验收</w:t>
      </w:r>
      <w:r>
        <w:t>。</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spacing w:line="360" w:lineRule="auto"/>
        <w:ind w:firstLine="640" w:firstLineChars="200"/>
      </w:pPr>
      <w:r>
        <w:rPr>
          <w:rFonts w:hint="eastAsia"/>
        </w:rPr>
        <w:t>项目的实施明显提高了森林质量，</w:t>
      </w:r>
      <w:r>
        <w:t>保障性苗圃建成后，每年外销优质油茶种苗200万株，可为25000亩油茶基地提供优质种苗，直接带动项目区农户发展油茶10000亩以上，辐射带动项目区周边区县农户发展油茶种植基地15000亩以上，直接带动项目区农户增加效益，同时，苗圃育苗生产每年需季节性劳动工日1万个，可就地解决剩余劳动力。</w:t>
      </w:r>
    </w:p>
    <w:p>
      <w:pPr>
        <w:pStyle w:val="3"/>
        <w:spacing w:before="0" w:after="0" w:line="360" w:lineRule="auto"/>
        <w:rPr>
          <w:rFonts w:eastAsia="黑体"/>
          <w:sz w:val="32"/>
        </w:rPr>
      </w:pPr>
      <w:r>
        <w:rPr>
          <w:rFonts w:eastAsia="黑体"/>
          <w:sz w:val="32"/>
        </w:rPr>
        <w:t>三、偏离绩效目标的原因和下一步改进措施</w:t>
      </w:r>
    </w:p>
    <w:p>
      <w:pPr>
        <w:spacing w:line="360" w:lineRule="auto"/>
        <w:ind w:firstLine="640" w:firstLineChars="200"/>
      </w:pPr>
      <w:r>
        <w:t>无</w:t>
      </w:r>
    </w:p>
    <w:p>
      <w:pPr>
        <w:pStyle w:val="3"/>
        <w:spacing w:before="0" w:after="0" w:line="360" w:lineRule="auto"/>
        <w:rPr>
          <w:rFonts w:eastAsia="黑体"/>
          <w:sz w:val="32"/>
        </w:rPr>
      </w:pPr>
      <w:r>
        <w:rPr>
          <w:rFonts w:eastAsia="黑体"/>
          <w:sz w:val="32"/>
        </w:rPr>
        <w:t>四、绩效自评结果拟应用和公开情况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2022年度项目自评得分为97分，绩效目标与预算同步批复、同步公开。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1"/>
        <w:spacing w:line="360" w:lineRule="auto"/>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1"/>
        <w:spacing w:line="360" w:lineRule="auto"/>
        <w:ind w:firstLine="643" w:firstLineChars="200"/>
        <w:rPr>
          <w:rFonts w:ascii="Times New Roman" w:hAnsi="Times New Roman" w:eastAsia="仿宋_GB2312" w:cs="Times New Roman"/>
          <w:b/>
          <w:bCs/>
          <w:sz w:val="32"/>
          <w:szCs w:val="32"/>
        </w:rPr>
      </w:pPr>
    </w:p>
    <w:p>
      <w:pPr>
        <w:pStyle w:val="11"/>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附件：1.2022年度改革发展资金造林项目绩效目标自评表</w:t>
      </w:r>
    </w:p>
    <w:p>
      <w:pPr>
        <w:pStyle w:val="11"/>
        <w:spacing w:line="360" w:lineRule="auto"/>
        <w:ind w:left="960" w:leftChars="300"/>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2.2022年度改革发展资金造林项目支出绩效评价</w:t>
      </w:r>
      <w:r>
        <w:rPr>
          <w:rFonts w:hint="eastAsia" w:ascii="Times New Roman" w:hAnsi="Times New Roman" w:eastAsia="仿宋_GB2312" w:cs="Times New Roman"/>
          <w:b/>
          <w:bCs/>
          <w:sz w:val="32"/>
          <w:szCs w:val="32"/>
        </w:rPr>
        <w:t>自评得分表</w:t>
      </w:r>
    </w:p>
    <w:p>
      <w:pPr>
        <w:pStyle w:val="2"/>
        <w:ind w:right="320"/>
        <w:jc w:val="right"/>
      </w:pPr>
    </w:p>
    <w:p>
      <w:pPr>
        <w:pStyle w:val="2"/>
        <w:ind w:right="320"/>
        <w:jc w:val="right"/>
      </w:pPr>
      <w:r>
        <w:t>沐川县</w:t>
      </w:r>
      <w:bookmarkStart w:id="0" w:name="_GoBack"/>
      <w:bookmarkEnd w:id="0"/>
      <w:r>
        <w:t>林业局</w:t>
      </w:r>
    </w:p>
    <w:p>
      <w:pPr>
        <w:pStyle w:val="11"/>
        <w:spacing w:line="360" w:lineRule="auto"/>
        <w:ind w:firstLine="1600" w:firstLineChars="500"/>
        <w:jc w:val="right"/>
        <w:rPr>
          <w:rFonts w:ascii="Times New Roman" w:hAnsi="Times New Roman" w:eastAsia="仿宋_GB2312" w:cs="Times New Roman"/>
          <w:b/>
          <w:bCs/>
          <w:sz w:val="32"/>
          <w:szCs w:val="32"/>
        </w:rPr>
      </w:pPr>
      <w:r>
        <w:rPr>
          <w:rFonts w:ascii="Times New Roman" w:hAnsi="Times New Roman" w:eastAsia="仿宋_GB2312" w:cs="Times New Roman"/>
          <w:sz w:val="32"/>
          <w:szCs w:val="32"/>
        </w:rPr>
        <w:t>2023年7月12日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2022年度改革发展资金造林项目绩效目标自评表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496"/>
        <w:gridCol w:w="1130"/>
        <w:gridCol w:w="1381"/>
        <w:gridCol w:w="1133"/>
        <w:gridCol w:w="1200"/>
        <w:gridCol w:w="1222"/>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5" w:type="pct"/>
            <w:gridSpan w:val="5"/>
            <w:vAlign w:val="center"/>
          </w:tcPr>
          <w:p>
            <w:pPr>
              <w:widowControl/>
              <w:spacing w:line="200" w:lineRule="exact"/>
              <w:jc w:val="center"/>
              <w:rPr>
                <w:color w:val="000000"/>
                <w:sz w:val="20"/>
                <w:szCs w:val="20"/>
              </w:rPr>
            </w:pPr>
            <w:r>
              <w:rPr>
                <w:color w:val="000000"/>
                <w:sz w:val="20"/>
                <w:szCs w:val="20"/>
              </w:rPr>
              <w:t>改革发展资金造林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704"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446"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421"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745.38</w:t>
            </w:r>
          </w:p>
        </w:tc>
        <w:tc>
          <w:tcPr>
            <w:tcW w:w="1421" w:type="pct"/>
            <w:gridSpan w:val="2"/>
            <w:vAlign w:val="center"/>
          </w:tcPr>
          <w:p>
            <w:pPr>
              <w:widowControl/>
              <w:spacing w:line="200" w:lineRule="exact"/>
              <w:jc w:val="center"/>
              <w:rPr>
                <w:color w:val="000000"/>
                <w:sz w:val="20"/>
                <w:szCs w:val="20"/>
              </w:rPr>
            </w:pPr>
            <w:r>
              <w:rPr>
                <w:rFonts w:hint="eastAsia"/>
                <w:color w:val="000000"/>
                <w:sz w:val="20"/>
                <w:szCs w:val="20"/>
              </w:rPr>
              <w:t>745.38</w:t>
            </w:r>
          </w:p>
        </w:tc>
        <w:tc>
          <w:tcPr>
            <w:tcW w:w="729" w:type="pct"/>
            <w:vAlign w:val="center"/>
          </w:tcPr>
          <w:p>
            <w:pPr>
              <w:widowControl/>
              <w:spacing w:line="200" w:lineRule="exact"/>
              <w:jc w:val="center"/>
              <w:rPr>
                <w:color w:val="000000"/>
                <w:sz w:val="20"/>
                <w:szCs w:val="20"/>
              </w:rPr>
            </w:pPr>
            <w:r>
              <w:rPr>
                <w:rFonts w:hint="eastAsia"/>
                <w:color w:val="000000"/>
                <w:sz w:val="20"/>
                <w:szCs w:val="20"/>
              </w:rPr>
              <w:t>100</w:t>
            </w:r>
            <w:r>
              <w:rPr>
                <w:color w:val="00000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其中：中央、省补助</w:t>
            </w:r>
          </w:p>
        </w:tc>
        <w:tc>
          <w:tcPr>
            <w:tcW w:w="664" w:type="pct"/>
            <w:vAlign w:val="center"/>
          </w:tcPr>
          <w:p>
            <w:pPr>
              <w:widowControl/>
              <w:spacing w:line="200" w:lineRule="exact"/>
              <w:jc w:val="center"/>
              <w:rPr>
                <w:color w:val="000000"/>
                <w:sz w:val="20"/>
                <w:szCs w:val="20"/>
              </w:rPr>
            </w:pPr>
            <w:r>
              <w:rPr>
                <w:color w:val="000000"/>
                <w:sz w:val="20"/>
                <w:szCs w:val="20"/>
              </w:rPr>
              <w:t>745.38</w:t>
            </w:r>
          </w:p>
        </w:tc>
        <w:tc>
          <w:tcPr>
            <w:tcW w:w="1421" w:type="pct"/>
            <w:gridSpan w:val="2"/>
            <w:vAlign w:val="center"/>
          </w:tcPr>
          <w:p>
            <w:pPr>
              <w:widowControl/>
              <w:spacing w:line="200" w:lineRule="exact"/>
              <w:jc w:val="center"/>
              <w:rPr>
                <w:color w:val="000000"/>
                <w:sz w:val="20"/>
                <w:szCs w:val="20"/>
              </w:rPr>
            </w:pPr>
            <w:r>
              <w:rPr>
                <w:rFonts w:hint="eastAsia"/>
                <w:color w:val="000000"/>
                <w:sz w:val="20"/>
                <w:szCs w:val="20"/>
              </w:rPr>
              <w:t>745.38</w:t>
            </w:r>
          </w:p>
        </w:tc>
        <w:tc>
          <w:tcPr>
            <w:tcW w:w="729" w:type="pct"/>
            <w:vAlign w:val="center"/>
          </w:tcPr>
          <w:p>
            <w:pPr>
              <w:widowControl/>
              <w:spacing w:line="200" w:lineRule="exact"/>
              <w:jc w:val="center"/>
              <w:rPr>
                <w:color w:val="000000"/>
                <w:sz w:val="20"/>
                <w:szCs w:val="20"/>
              </w:rPr>
            </w:pPr>
            <w:r>
              <w:rPr>
                <w:rFonts w:hint="eastAsia"/>
                <w:color w:val="000000"/>
                <w:sz w:val="20"/>
                <w:szCs w:val="20"/>
              </w:rPr>
              <w:t>100</w:t>
            </w:r>
            <w:r>
              <w:rPr>
                <w:color w:val="00000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50"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rFonts w:hint="eastAsia"/>
                <w:color w:val="000000"/>
                <w:sz w:val="20"/>
                <w:szCs w:val="20"/>
              </w:rPr>
              <w:t>油茶保障性苗圃建设、沐川林竹发展有限公司贷款贴息121.58万元、四川永丰浆纸股份有限公司贷款贴息216.25万元、四川永丰纸业股份有限公司贷款贴息257.55万元</w:t>
            </w:r>
            <w:r>
              <w:rPr>
                <w:color w:val="000000"/>
                <w:sz w:val="20"/>
                <w:szCs w:val="20"/>
              </w:rPr>
              <w:t>。</w:t>
            </w:r>
          </w:p>
        </w:tc>
        <w:tc>
          <w:tcPr>
            <w:tcW w:w="2150" w:type="pct"/>
            <w:gridSpan w:val="3"/>
            <w:vAlign w:val="center"/>
          </w:tcPr>
          <w:p>
            <w:pPr>
              <w:widowControl/>
              <w:spacing w:line="200" w:lineRule="exact"/>
              <w:rPr>
                <w:color w:val="000000"/>
                <w:sz w:val="20"/>
                <w:szCs w:val="20"/>
              </w:rPr>
            </w:pPr>
            <w:r>
              <w:rPr>
                <w:color w:val="000000"/>
                <w:sz w:val="20"/>
                <w:szCs w:val="20"/>
              </w:rPr>
              <w:t>完成年产200万株良种油茶苗保障性苗圃</w:t>
            </w:r>
            <w:r>
              <w:rPr>
                <w:rFonts w:hint="eastAsia"/>
                <w:color w:val="000000"/>
                <w:sz w:val="20"/>
                <w:szCs w:val="20"/>
              </w:rPr>
              <w:t>，完成贷款贴息项目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704"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716"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Merge w:val="restar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75" w:type="pct"/>
            <w:gridSpan w:val="2"/>
            <w:vAlign w:val="center"/>
          </w:tcPr>
          <w:p>
            <w:pPr>
              <w:widowControl/>
              <w:spacing w:line="200" w:lineRule="exact"/>
              <w:jc w:val="center"/>
              <w:rPr>
                <w:color w:val="000000"/>
                <w:sz w:val="20"/>
                <w:szCs w:val="20"/>
              </w:rPr>
            </w:pPr>
            <w:r>
              <w:rPr>
                <w:color w:val="000000"/>
                <w:sz w:val="20"/>
                <w:szCs w:val="20"/>
              </w:rPr>
              <w:t>建设面积</w:t>
            </w:r>
          </w:p>
        </w:tc>
        <w:tc>
          <w:tcPr>
            <w:tcW w:w="704" w:type="pct"/>
            <w:vAlign w:val="center"/>
          </w:tcPr>
          <w:p>
            <w:pPr>
              <w:widowControl/>
              <w:spacing w:line="200" w:lineRule="exact"/>
              <w:jc w:val="center"/>
              <w:rPr>
                <w:color w:val="000000"/>
                <w:sz w:val="20"/>
                <w:szCs w:val="20"/>
              </w:rPr>
            </w:pPr>
            <w:r>
              <w:rPr>
                <w:rFonts w:hint="eastAsia"/>
                <w:color w:val="000000"/>
                <w:sz w:val="20"/>
                <w:szCs w:val="20"/>
              </w:rPr>
              <w:t>=</w:t>
            </w:r>
            <w:r>
              <w:rPr>
                <w:color w:val="000000"/>
                <w:sz w:val="20"/>
                <w:szCs w:val="20"/>
              </w:rPr>
              <w:t>150亩</w:t>
            </w:r>
          </w:p>
        </w:tc>
        <w:tc>
          <w:tcPr>
            <w:tcW w:w="716" w:type="pct"/>
            <w:vAlign w:val="center"/>
          </w:tcPr>
          <w:p>
            <w:pPr>
              <w:widowControl/>
              <w:spacing w:line="200" w:lineRule="exact"/>
              <w:jc w:val="center"/>
              <w:rPr>
                <w:color w:val="000000"/>
                <w:sz w:val="20"/>
                <w:szCs w:val="20"/>
              </w:rPr>
            </w:pPr>
            <w:r>
              <w:rPr>
                <w:rFonts w:hint="eastAsia"/>
                <w:color w:val="000000"/>
                <w:sz w:val="20"/>
                <w:szCs w:val="20"/>
              </w:rPr>
              <w:t>=</w:t>
            </w:r>
            <w:r>
              <w:rPr>
                <w:color w:val="000000"/>
                <w:sz w:val="20"/>
                <w:szCs w:val="20"/>
              </w:rPr>
              <w:t>150亩</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Merge w:val="continue"/>
            <w:vAlign w:val="center"/>
          </w:tcPr>
          <w:p>
            <w:pPr>
              <w:widowControl/>
              <w:spacing w:line="200" w:lineRule="exact"/>
              <w:jc w:val="center"/>
              <w:textAlignment w:val="center"/>
              <w:rPr>
                <w:color w:val="000000"/>
                <w:kern w:val="0"/>
                <w:sz w:val="20"/>
                <w:szCs w:val="20"/>
              </w:rPr>
            </w:pPr>
          </w:p>
        </w:tc>
        <w:tc>
          <w:tcPr>
            <w:tcW w:w="1475" w:type="pct"/>
            <w:gridSpan w:val="2"/>
            <w:vAlign w:val="center"/>
          </w:tcPr>
          <w:p>
            <w:pPr>
              <w:widowControl/>
              <w:spacing w:line="200" w:lineRule="exact"/>
              <w:jc w:val="center"/>
              <w:rPr>
                <w:color w:val="000000"/>
                <w:sz w:val="20"/>
                <w:szCs w:val="20"/>
              </w:rPr>
            </w:pPr>
            <w:r>
              <w:rPr>
                <w:rFonts w:hint="eastAsia"/>
                <w:color w:val="000000"/>
                <w:sz w:val="20"/>
                <w:szCs w:val="20"/>
              </w:rPr>
              <w:t>贷款贴息公司数量</w:t>
            </w:r>
          </w:p>
        </w:tc>
        <w:tc>
          <w:tcPr>
            <w:tcW w:w="704" w:type="pct"/>
            <w:vAlign w:val="center"/>
          </w:tcPr>
          <w:p>
            <w:pPr>
              <w:widowControl/>
              <w:spacing w:line="200" w:lineRule="exact"/>
              <w:jc w:val="center"/>
              <w:rPr>
                <w:color w:val="000000"/>
                <w:sz w:val="20"/>
                <w:szCs w:val="20"/>
              </w:rPr>
            </w:pPr>
            <w:r>
              <w:rPr>
                <w:rFonts w:hint="eastAsia"/>
                <w:color w:val="000000"/>
                <w:sz w:val="20"/>
                <w:szCs w:val="20"/>
              </w:rPr>
              <w:t>=3家</w:t>
            </w:r>
          </w:p>
        </w:tc>
        <w:tc>
          <w:tcPr>
            <w:tcW w:w="716" w:type="pct"/>
            <w:vAlign w:val="center"/>
          </w:tcPr>
          <w:p>
            <w:pPr>
              <w:widowControl/>
              <w:spacing w:line="200" w:lineRule="exact"/>
              <w:jc w:val="center"/>
              <w:rPr>
                <w:color w:val="000000"/>
                <w:sz w:val="20"/>
                <w:szCs w:val="20"/>
              </w:rPr>
            </w:pPr>
            <w:r>
              <w:rPr>
                <w:rFonts w:hint="eastAsia"/>
                <w:color w:val="000000"/>
                <w:sz w:val="20"/>
                <w:szCs w:val="20"/>
              </w:rPr>
              <w:t>=3家</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竣工验收合格率</w:t>
            </w:r>
          </w:p>
        </w:tc>
        <w:tc>
          <w:tcPr>
            <w:tcW w:w="704" w:type="pct"/>
            <w:vAlign w:val="center"/>
          </w:tcPr>
          <w:p>
            <w:pPr>
              <w:widowControl/>
              <w:spacing w:line="200" w:lineRule="exact"/>
              <w:jc w:val="center"/>
              <w:rPr>
                <w:color w:val="000000"/>
                <w:sz w:val="20"/>
                <w:szCs w:val="20"/>
              </w:rPr>
            </w:pPr>
            <w:r>
              <w:rPr>
                <w:color w:val="000000"/>
                <w:sz w:val="20"/>
                <w:szCs w:val="20"/>
              </w:rPr>
              <w:t>＝100%</w:t>
            </w:r>
          </w:p>
        </w:tc>
        <w:tc>
          <w:tcPr>
            <w:tcW w:w="716" w:type="pct"/>
            <w:vAlign w:val="center"/>
          </w:tcPr>
          <w:p>
            <w:pPr>
              <w:widowControl/>
              <w:spacing w:line="200" w:lineRule="exact"/>
              <w:jc w:val="center"/>
              <w:rPr>
                <w:color w:val="000000"/>
                <w:sz w:val="20"/>
                <w:szCs w:val="20"/>
              </w:rPr>
            </w:pPr>
            <w:r>
              <w:rPr>
                <w:color w:val="000000"/>
                <w:sz w:val="20"/>
                <w:szCs w:val="20"/>
              </w:rPr>
              <w:t>=100%</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Merge w:val="restar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项目按计划完工率</w:t>
            </w:r>
          </w:p>
        </w:tc>
        <w:tc>
          <w:tcPr>
            <w:tcW w:w="704" w:type="pct"/>
            <w:vAlign w:val="center"/>
          </w:tcPr>
          <w:p>
            <w:pPr>
              <w:widowControl/>
              <w:spacing w:line="200" w:lineRule="exact"/>
              <w:jc w:val="center"/>
              <w:rPr>
                <w:color w:val="000000"/>
                <w:sz w:val="20"/>
                <w:szCs w:val="20"/>
              </w:rPr>
            </w:pPr>
            <w:r>
              <w:rPr>
                <w:color w:val="000000"/>
                <w:sz w:val="20"/>
                <w:szCs w:val="20"/>
              </w:rPr>
              <w:t>≥96%</w:t>
            </w:r>
          </w:p>
        </w:tc>
        <w:tc>
          <w:tcPr>
            <w:tcW w:w="716" w:type="pct"/>
            <w:vAlign w:val="center"/>
          </w:tcPr>
          <w:p>
            <w:pPr>
              <w:widowControl/>
              <w:spacing w:line="200" w:lineRule="exact"/>
              <w:jc w:val="center"/>
              <w:rPr>
                <w:color w:val="000000"/>
                <w:sz w:val="20"/>
                <w:szCs w:val="20"/>
              </w:rPr>
            </w:pPr>
            <w:r>
              <w:rPr>
                <w:color w:val="000000"/>
                <w:sz w:val="20"/>
                <w:szCs w:val="20"/>
              </w:rPr>
              <w:t>≥97%</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Merge w:val="continue"/>
            <w:vAlign w:val="center"/>
          </w:tcPr>
          <w:p>
            <w:pPr>
              <w:widowControl/>
              <w:spacing w:line="200" w:lineRule="exact"/>
              <w:jc w:val="center"/>
              <w:textAlignment w:val="center"/>
              <w:rPr>
                <w:color w:val="000000"/>
                <w:kern w:val="0"/>
                <w:sz w:val="20"/>
                <w:szCs w:val="20"/>
              </w:rPr>
            </w:pPr>
          </w:p>
        </w:tc>
        <w:tc>
          <w:tcPr>
            <w:tcW w:w="1475" w:type="pct"/>
            <w:gridSpan w:val="2"/>
            <w:vAlign w:val="center"/>
          </w:tcPr>
          <w:p>
            <w:pPr>
              <w:widowControl/>
              <w:spacing w:line="200" w:lineRule="exact"/>
              <w:jc w:val="center"/>
              <w:rPr>
                <w:color w:val="000000"/>
                <w:sz w:val="20"/>
                <w:szCs w:val="20"/>
              </w:rPr>
            </w:pPr>
            <w:r>
              <w:rPr>
                <w:rFonts w:hint="eastAsia"/>
                <w:color w:val="000000"/>
                <w:sz w:val="20"/>
                <w:szCs w:val="20"/>
              </w:rPr>
              <w:t>资金拨付及时率</w:t>
            </w:r>
          </w:p>
        </w:tc>
        <w:tc>
          <w:tcPr>
            <w:tcW w:w="704" w:type="pct"/>
            <w:vAlign w:val="center"/>
          </w:tcPr>
          <w:p>
            <w:pPr>
              <w:widowControl/>
              <w:spacing w:line="200" w:lineRule="exact"/>
              <w:jc w:val="center"/>
              <w:rPr>
                <w:color w:val="000000"/>
                <w:sz w:val="20"/>
                <w:szCs w:val="20"/>
              </w:rPr>
            </w:pPr>
            <w:r>
              <w:rPr>
                <w:rFonts w:hint="eastAsia"/>
                <w:color w:val="000000"/>
                <w:sz w:val="20"/>
                <w:szCs w:val="20"/>
              </w:rPr>
              <w:t>≥95%</w:t>
            </w:r>
          </w:p>
        </w:tc>
        <w:tc>
          <w:tcPr>
            <w:tcW w:w="716" w:type="pct"/>
            <w:vAlign w:val="center"/>
          </w:tcPr>
          <w:p>
            <w:pPr>
              <w:widowControl/>
              <w:spacing w:line="200" w:lineRule="exact"/>
              <w:jc w:val="center"/>
              <w:rPr>
                <w:color w:val="000000"/>
                <w:sz w:val="20"/>
                <w:szCs w:val="20"/>
              </w:rPr>
            </w:pPr>
            <w:r>
              <w:rPr>
                <w:rFonts w:hint="eastAsia"/>
                <w:color w:val="000000"/>
                <w:sz w:val="20"/>
                <w:szCs w:val="20"/>
              </w:rPr>
              <w:t>≥95%</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Merge w:val="restar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建设成本</w:t>
            </w:r>
          </w:p>
        </w:tc>
        <w:tc>
          <w:tcPr>
            <w:tcW w:w="704" w:type="pct"/>
            <w:vAlign w:val="center"/>
          </w:tcPr>
          <w:p>
            <w:pPr>
              <w:widowControl/>
              <w:spacing w:line="200" w:lineRule="exact"/>
              <w:jc w:val="center"/>
              <w:rPr>
                <w:color w:val="000000"/>
                <w:sz w:val="20"/>
                <w:szCs w:val="20"/>
              </w:rPr>
            </w:pPr>
            <w:r>
              <w:rPr>
                <w:color w:val="000000"/>
                <w:sz w:val="20"/>
                <w:szCs w:val="20"/>
              </w:rPr>
              <w:t>≤150万元</w:t>
            </w:r>
          </w:p>
        </w:tc>
        <w:tc>
          <w:tcPr>
            <w:tcW w:w="716" w:type="pct"/>
            <w:vAlign w:val="center"/>
          </w:tcPr>
          <w:p>
            <w:pPr>
              <w:widowControl/>
              <w:spacing w:line="200" w:lineRule="exact"/>
              <w:jc w:val="center"/>
              <w:rPr>
                <w:color w:val="000000"/>
                <w:sz w:val="20"/>
                <w:szCs w:val="20"/>
              </w:rPr>
            </w:pPr>
            <w:r>
              <w:rPr>
                <w:rFonts w:hint="eastAsia"/>
                <w:color w:val="000000"/>
                <w:sz w:val="20"/>
                <w:szCs w:val="20"/>
              </w:rPr>
              <w:t>≤150</w:t>
            </w:r>
            <w:r>
              <w:rPr>
                <w:color w:val="000000"/>
                <w:sz w:val="20"/>
                <w:szCs w:val="20"/>
              </w:rPr>
              <w:t>万元</w:t>
            </w:r>
          </w:p>
        </w:tc>
        <w:tc>
          <w:tcPr>
            <w:tcW w:w="729" w:type="pct"/>
            <w:vAlign w:val="center"/>
          </w:tcPr>
          <w:p>
            <w:pPr>
              <w:widowControl/>
              <w:spacing w:line="200" w:lineRule="exact"/>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Merge w:val="continue"/>
            <w:vAlign w:val="center"/>
          </w:tcPr>
          <w:p>
            <w:pPr>
              <w:widowControl/>
              <w:spacing w:line="200" w:lineRule="exact"/>
              <w:jc w:val="center"/>
              <w:textAlignment w:val="center"/>
              <w:rPr>
                <w:color w:val="000000"/>
                <w:kern w:val="0"/>
                <w:sz w:val="20"/>
                <w:szCs w:val="20"/>
              </w:rPr>
            </w:pPr>
          </w:p>
        </w:tc>
        <w:tc>
          <w:tcPr>
            <w:tcW w:w="1475" w:type="pct"/>
            <w:gridSpan w:val="2"/>
            <w:vAlign w:val="center"/>
          </w:tcPr>
          <w:p>
            <w:pPr>
              <w:widowControl/>
              <w:spacing w:line="200" w:lineRule="exact"/>
              <w:jc w:val="center"/>
              <w:rPr>
                <w:color w:val="000000"/>
                <w:sz w:val="20"/>
                <w:szCs w:val="20"/>
              </w:rPr>
            </w:pPr>
            <w:r>
              <w:rPr>
                <w:rFonts w:hint="eastAsia"/>
                <w:color w:val="000000"/>
                <w:sz w:val="20"/>
                <w:szCs w:val="20"/>
              </w:rPr>
              <w:t>贷款贴息金额</w:t>
            </w:r>
          </w:p>
        </w:tc>
        <w:tc>
          <w:tcPr>
            <w:tcW w:w="704" w:type="pct"/>
            <w:vAlign w:val="center"/>
          </w:tcPr>
          <w:p>
            <w:pPr>
              <w:widowControl/>
              <w:spacing w:line="200" w:lineRule="exact"/>
              <w:jc w:val="center"/>
              <w:rPr>
                <w:color w:val="000000"/>
                <w:sz w:val="20"/>
                <w:szCs w:val="20"/>
              </w:rPr>
            </w:pPr>
            <w:r>
              <w:rPr>
                <w:rFonts w:hint="eastAsia"/>
                <w:color w:val="000000"/>
                <w:sz w:val="20"/>
                <w:szCs w:val="20"/>
              </w:rPr>
              <w:t>=595.38万元</w:t>
            </w:r>
          </w:p>
        </w:tc>
        <w:tc>
          <w:tcPr>
            <w:tcW w:w="716" w:type="pct"/>
            <w:vAlign w:val="center"/>
          </w:tcPr>
          <w:p>
            <w:pPr>
              <w:widowControl/>
              <w:spacing w:line="200" w:lineRule="exact"/>
              <w:jc w:val="center"/>
              <w:rPr>
                <w:color w:val="000000"/>
                <w:sz w:val="20"/>
                <w:szCs w:val="20"/>
              </w:rPr>
            </w:pPr>
            <w:r>
              <w:rPr>
                <w:rFonts w:hint="eastAsia"/>
                <w:color w:val="000000"/>
                <w:sz w:val="20"/>
                <w:szCs w:val="20"/>
              </w:rPr>
              <w:t>=595.38万元</w:t>
            </w:r>
          </w:p>
        </w:tc>
        <w:tc>
          <w:tcPr>
            <w:tcW w:w="729" w:type="pct"/>
            <w:vAlign w:val="center"/>
          </w:tcPr>
          <w:p>
            <w:pPr>
              <w:widowControl/>
              <w:spacing w:line="200" w:lineRule="exact"/>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kern w:val="0"/>
                <w:sz w:val="20"/>
                <w:szCs w:val="20"/>
              </w:rPr>
            </w:pPr>
            <w:r>
              <w:rPr>
                <w:kern w:val="0"/>
                <w:sz w:val="20"/>
                <w:szCs w:val="20"/>
              </w:rPr>
              <w:t>社会效益</w:t>
            </w:r>
          </w:p>
          <w:p>
            <w:pPr>
              <w:widowControl/>
              <w:spacing w:line="200" w:lineRule="exact"/>
              <w:jc w:val="center"/>
              <w:textAlignment w:val="center"/>
              <w:rPr>
                <w:sz w:val="20"/>
                <w:szCs w:val="20"/>
              </w:rPr>
            </w:pPr>
            <w:r>
              <w:rPr>
                <w:kern w:val="0"/>
                <w:sz w:val="20"/>
                <w:szCs w:val="20"/>
              </w:rPr>
              <w:t>指标</w:t>
            </w:r>
          </w:p>
        </w:tc>
        <w:tc>
          <w:tcPr>
            <w:tcW w:w="1475" w:type="pct"/>
            <w:gridSpan w:val="2"/>
            <w:vAlign w:val="center"/>
          </w:tcPr>
          <w:p>
            <w:pPr>
              <w:widowControl/>
              <w:spacing w:line="200" w:lineRule="exact"/>
              <w:ind w:firstLine="200" w:firstLineChars="100"/>
              <w:jc w:val="center"/>
              <w:rPr>
                <w:color w:val="000000"/>
                <w:sz w:val="20"/>
                <w:szCs w:val="20"/>
              </w:rPr>
            </w:pPr>
            <w:r>
              <w:rPr>
                <w:color w:val="000000"/>
                <w:sz w:val="20"/>
                <w:szCs w:val="20"/>
              </w:rPr>
              <w:t>解决剩余劳动力</w:t>
            </w:r>
          </w:p>
        </w:tc>
        <w:tc>
          <w:tcPr>
            <w:tcW w:w="704" w:type="pct"/>
            <w:vAlign w:val="center"/>
          </w:tcPr>
          <w:p>
            <w:pPr>
              <w:widowControl/>
              <w:spacing w:line="200" w:lineRule="exact"/>
              <w:jc w:val="center"/>
              <w:rPr>
                <w:color w:val="000000"/>
                <w:sz w:val="20"/>
                <w:szCs w:val="20"/>
              </w:rPr>
            </w:pPr>
            <w:r>
              <w:rPr>
                <w:color w:val="000000"/>
                <w:sz w:val="20"/>
                <w:szCs w:val="20"/>
              </w:rPr>
              <w:t>优</w:t>
            </w:r>
          </w:p>
        </w:tc>
        <w:tc>
          <w:tcPr>
            <w:tcW w:w="716" w:type="pct"/>
            <w:vAlign w:val="center"/>
          </w:tcPr>
          <w:p>
            <w:pPr>
              <w:widowControl/>
              <w:spacing w:line="200" w:lineRule="exact"/>
              <w:jc w:val="center"/>
              <w:rPr>
                <w:color w:val="000000"/>
                <w:sz w:val="20"/>
                <w:szCs w:val="20"/>
              </w:rPr>
            </w:pPr>
            <w:r>
              <w:rPr>
                <w:color w:val="000000"/>
                <w:sz w:val="20"/>
                <w:szCs w:val="20"/>
              </w:rPr>
              <w:t>优</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textAlignment w:val="center"/>
              <w:rPr>
                <w:color w:val="000000"/>
                <w:kern w:val="0"/>
                <w:sz w:val="20"/>
                <w:szCs w:val="20"/>
              </w:rPr>
            </w:pPr>
          </w:p>
        </w:tc>
        <w:tc>
          <w:tcPr>
            <w:tcW w:w="662" w:type="pct"/>
            <w:vAlign w:val="center"/>
          </w:tcPr>
          <w:p>
            <w:pPr>
              <w:widowControl/>
              <w:spacing w:line="200" w:lineRule="exact"/>
              <w:jc w:val="center"/>
              <w:textAlignment w:val="center"/>
              <w:rPr>
                <w:kern w:val="0"/>
                <w:sz w:val="20"/>
                <w:szCs w:val="20"/>
              </w:rPr>
            </w:pPr>
            <w:r>
              <w:rPr>
                <w:kern w:val="0"/>
                <w:sz w:val="20"/>
                <w:szCs w:val="20"/>
              </w:rPr>
              <w:t>经济效益指标</w:t>
            </w:r>
          </w:p>
        </w:tc>
        <w:tc>
          <w:tcPr>
            <w:tcW w:w="1475" w:type="pct"/>
            <w:gridSpan w:val="2"/>
            <w:vAlign w:val="center"/>
          </w:tcPr>
          <w:p>
            <w:pPr>
              <w:widowControl/>
              <w:spacing w:line="200" w:lineRule="exact"/>
              <w:ind w:firstLine="200" w:firstLineChars="100"/>
              <w:jc w:val="center"/>
              <w:rPr>
                <w:color w:val="000000"/>
                <w:sz w:val="20"/>
                <w:szCs w:val="20"/>
              </w:rPr>
            </w:pPr>
            <w:r>
              <w:rPr>
                <w:color w:val="000000"/>
                <w:sz w:val="20"/>
                <w:szCs w:val="20"/>
              </w:rPr>
              <w:t>增加经济收入</w:t>
            </w:r>
          </w:p>
        </w:tc>
        <w:tc>
          <w:tcPr>
            <w:tcW w:w="704" w:type="pct"/>
            <w:vAlign w:val="center"/>
          </w:tcPr>
          <w:p>
            <w:pPr>
              <w:widowControl/>
              <w:spacing w:line="200" w:lineRule="exact"/>
              <w:jc w:val="center"/>
              <w:rPr>
                <w:color w:val="000000"/>
                <w:sz w:val="20"/>
                <w:szCs w:val="20"/>
              </w:rPr>
            </w:pPr>
            <w:r>
              <w:rPr>
                <w:color w:val="000000"/>
                <w:sz w:val="20"/>
                <w:szCs w:val="20"/>
              </w:rPr>
              <w:t>优</w:t>
            </w:r>
          </w:p>
        </w:tc>
        <w:tc>
          <w:tcPr>
            <w:tcW w:w="716" w:type="pct"/>
            <w:vAlign w:val="center"/>
          </w:tcPr>
          <w:p>
            <w:pPr>
              <w:widowControl/>
              <w:spacing w:line="200" w:lineRule="exact"/>
              <w:jc w:val="center"/>
              <w:rPr>
                <w:color w:val="000000"/>
                <w:sz w:val="20"/>
                <w:szCs w:val="20"/>
              </w:rPr>
            </w:pPr>
            <w:r>
              <w:rPr>
                <w:color w:val="000000"/>
                <w:sz w:val="20"/>
                <w:szCs w:val="20"/>
              </w:rPr>
              <w:t>优</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2" w:type="pct"/>
            <w:vAlign w:val="center"/>
          </w:tcPr>
          <w:p>
            <w:pPr>
              <w:widowControl/>
              <w:spacing w:line="200" w:lineRule="exact"/>
              <w:jc w:val="center"/>
              <w:textAlignment w:val="center"/>
              <w:rPr>
                <w:kern w:val="0"/>
                <w:sz w:val="20"/>
                <w:szCs w:val="20"/>
              </w:rPr>
            </w:pPr>
            <w:r>
              <w:rPr>
                <w:kern w:val="0"/>
                <w:sz w:val="20"/>
                <w:szCs w:val="20"/>
              </w:rPr>
              <w:t>服务对象</w:t>
            </w:r>
          </w:p>
          <w:p>
            <w:pPr>
              <w:widowControl/>
              <w:spacing w:line="200" w:lineRule="exact"/>
              <w:jc w:val="center"/>
              <w:textAlignment w:val="center"/>
              <w:rPr>
                <w:sz w:val="20"/>
                <w:szCs w:val="20"/>
              </w:rPr>
            </w:pPr>
            <w:r>
              <w:rPr>
                <w:kern w:val="0"/>
                <w:sz w:val="20"/>
                <w:szCs w:val="20"/>
              </w:rPr>
              <w:t>满意度指标</w:t>
            </w:r>
          </w:p>
        </w:tc>
        <w:tc>
          <w:tcPr>
            <w:tcW w:w="1475" w:type="pct"/>
            <w:gridSpan w:val="2"/>
            <w:vAlign w:val="center"/>
          </w:tcPr>
          <w:p>
            <w:pPr>
              <w:widowControl/>
              <w:spacing w:line="200" w:lineRule="exact"/>
              <w:jc w:val="center"/>
              <w:rPr>
                <w:sz w:val="20"/>
                <w:szCs w:val="20"/>
              </w:rPr>
            </w:pPr>
            <w:r>
              <w:rPr>
                <w:color w:val="000000"/>
                <w:sz w:val="20"/>
                <w:szCs w:val="20"/>
              </w:rPr>
              <w:t>茶农满意度</w:t>
            </w:r>
          </w:p>
        </w:tc>
        <w:tc>
          <w:tcPr>
            <w:tcW w:w="704" w:type="pct"/>
            <w:vAlign w:val="center"/>
          </w:tcPr>
          <w:p>
            <w:pPr>
              <w:widowControl/>
              <w:spacing w:line="200" w:lineRule="exact"/>
              <w:jc w:val="center"/>
              <w:rPr>
                <w:sz w:val="20"/>
                <w:szCs w:val="20"/>
              </w:rPr>
            </w:pPr>
            <w:r>
              <w:rPr>
                <w:color w:val="000000"/>
                <w:sz w:val="20"/>
                <w:szCs w:val="20"/>
              </w:rPr>
              <w:t>≥90%</w:t>
            </w:r>
          </w:p>
        </w:tc>
        <w:tc>
          <w:tcPr>
            <w:tcW w:w="716" w:type="pct"/>
            <w:vAlign w:val="center"/>
          </w:tcPr>
          <w:p>
            <w:pPr>
              <w:widowControl/>
              <w:spacing w:line="200" w:lineRule="exact"/>
              <w:jc w:val="center"/>
              <w:rPr>
                <w:sz w:val="20"/>
                <w:szCs w:val="20"/>
              </w:rPr>
            </w:pPr>
            <w:r>
              <w:rPr>
                <w:color w:val="000000"/>
                <w:sz w:val="20"/>
                <w:szCs w:val="20"/>
              </w:rPr>
              <w:t>≥90%</w:t>
            </w:r>
          </w:p>
        </w:tc>
        <w:tc>
          <w:tcPr>
            <w:tcW w:w="729" w:type="pct"/>
            <w:vAlign w:val="center"/>
          </w:tcPr>
          <w:p>
            <w:pPr>
              <w:widowControl/>
              <w:spacing w:line="200" w:lineRule="exact"/>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9"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2022年度改革发展资金造林项目支出绩效评价</w:t>
      </w:r>
      <w:r>
        <w:rPr>
          <w:rFonts w:hint="eastAsia" w:eastAsia="方正公文楷体"/>
          <w:color w:val="000000"/>
          <w:kern w:val="0"/>
          <w:sz w:val="24"/>
          <w:szCs w:val="24"/>
        </w:rPr>
        <w:t>自评得分表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431"/>
        <w:gridCol w:w="1402"/>
        <w:gridCol w:w="1140"/>
        <w:gridCol w:w="1071"/>
        <w:gridCol w:w="1880"/>
        <w:gridCol w:w="1127"/>
        <w:gridCol w:w="781"/>
        <w:gridCol w:w="584"/>
        <w:gridCol w:w="506"/>
        <w:gridCol w:w="609"/>
        <w:gridCol w:w="615"/>
        <w:gridCol w:w="4210"/>
        <w:gridCol w:w="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295"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60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352" w:type="pct"/>
            <w:gridSpan w:val="6"/>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48"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6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43"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602" w:type="pct"/>
            <w:vMerge w:val="continue"/>
            <w:vAlign w:val="center"/>
          </w:tcPr>
          <w:p>
            <w:pPr>
              <w:spacing w:line="400" w:lineRule="exact"/>
              <w:jc w:val="center"/>
              <w:rPr>
                <w:rFonts w:ascii="仿宋_GB2312" w:hAnsi="Arial Unicode MS" w:cs="Arial Unicode MS"/>
                <w:b/>
                <w:bCs/>
                <w:kern w:val="0"/>
                <w:sz w:val="18"/>
                <w:szCs w:val="18"/>
              </w:rPr>
            </w:pPr>
          </w:p>
        </w:tc>
        <w:tc>
          <w:tcPr>
            <w:tcW w:w="361"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991" w:type="pct"/>
            <w:gridSpan w:val="5"/>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48"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vMerge w:val="continue"/>
            <w:vAlign w:val="center"/>
          </w:tcPr>
          <w:p>
            <w:pPr>
              <w:spacing w:line="400" w:lineRule="exact"/>
              <w:jc w:val="center"/>
              <w:rPr>
                <w:rFonts w:ascii="仿宋_GB2312" w:hAnsi="Arial Unicode MS" w:cs="Arial Unicode MS"/>
                <w:kern w:val="0"/>
                <w:sz w:val="18"/>
                <w:szCs w:val="18"/>
              </w:rPr>
            </w:pPr>
          </w:p>
        </w:tc>
        <w:tc>
          <w:tcPr>
            <w:tcW w:w="365" w:type="pct"/>
            <w:vMerge w:val="continue"/>
            <w:vAlign w:val="center"/>
          </w:tcPr>
          <w:p>
            <w:pPr>
              <w:spacing w:line="400" w:lineRule="exact"/>
              <w:jc w:val="center"/>
              <w:rPr>
                <w:rFonts w:ascii="仿宋_GB2312" w:hAnsi="Arial Unicode MS" w:cs="Arial Unicode MS"/>
                <w:kern w:val="0"/>
                <w:sz w:val="18"/>
                <w:szCs w:val="18"/>
              </w:rPr>
            </w:pPr>
          </w:p>
        </w:tc>
        <w:tc>
          <w:tcPr>
            <w:tcW w:w="343" w:type="pct"/>
            <w:vMerge w:val="continue"/>
            <w:vAlign w:val="center"/>
          </w:tcPr>
          <w:p>
            <w:pPr>
              <w:spacing w:line="400" w:lineRule="exact"/>
              <w:jc w:val="center"/>
              <w:rPr>
                <w:rFonts w:ascii="仿宋_GB2312" w:hAnsi="Arial Unicode MS" w:cs="Arial Unicode MS"/>
                <w:kern w:val="0"/>
                <w:sz w:val="18"/>
                <w:szCs w:val="18"/>
              </w:rPr>
            </w:pPr>
          </w:p>
        </w:tc>
        <w:tc>
          <w:tcPr>
            <w:tcW w:w="602" w:type="pct"/>
            <w:vMerge w:val="continue"/>
            <w:vAlign w:val="center"/>
          </w:tcPr>
          <w:p>
            <w:pPr>
              <w:spacing w:line="400" w:lineRule="exact"/>
              <w:jc w:val="center"/>
              <w:rPr>
                <w:rFonts w:ascii="仿宋_GB2312" w:hAnsi="Arial Unicode MS" w:cs="Arial Unicode MS"/>
                <w:kern w:val="0"/>
                <w:sz w:val="18"/>
                <w:szCs w:val="18"/>
              </w:rPr>
            </w:pPr>
          </w:p>
        </w:tc>
        <w:tc>
          <w:tcPr>
            <w:tcW w:w="361"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95"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19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48"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95" w:type="pct"/>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产业发展项目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符合性</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项目实施效果是否与县委、县政府重大产业政策、规划布局、资金投向等匹配吻合</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指标地方=项目实施符合的点位数/所有选点总数×100%*指标分值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根据项目现场评价实施效果与绩效目标进行对比，汇总所有样本点情况综合分析政策整体吻合度</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成长性</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反映不同类型产业政策实施对相关行业企业成长性的促进作用，主要反映支持对象的创新、创造、创业能力情况，产业结构情况，持续盈利能力情况。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指标得分=各项具体指标得分的平均分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根据产业政策实施对象的总资产增长率、固定资产增长率、主营业务收入增长率、主营利润增长率、净利润增长率等情况综合判断，统计年鉴相关数据为准</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农业产业（包括林业产业）</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经济效益</w:t>
            </w: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增加值提升</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项目实施涉及产值增长情况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指标得分=三年产值平均增长率/标准值*指标分值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产值增长率=当年涉农产值增量/上一年度涉农产值总量×100%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重点查看项目实施区域涉农增加值变动情况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年均收入变动率</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项目实施后农户收入变动情况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指标得分=三年人均年收入增长率/标准值*指标分值（三年人均年收入增长率/标准值负值为0，＞1按1计算）</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人均年收入增长率=（项目实施后人均年收入-项目实施前人均年收入）/项目实施前人均年收入×100%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重点查看三年来农民人均年收入增长变化情况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满意度</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项目区域群体满意度</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89" w:type="pct"/>
            <w:gridSpan w:val="13"/>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97</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1"/>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微软雅黑"/>
    <w:panose1 w:val="000000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微软雅黑"/>
    <w:panose1 w:val="000000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- 7 -</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DDF8953C-9B8F-4D3B-BB6A-EFC5210FEDF8}" w:val="KUr9E1jDwoctlTxO78vqBJIM23/+6g0CQSWey4p=PHafNzhkLRYZiAVun5bsmFdXG"/>
    <w:docVar w:name="commondata" w:val="eyJoZGlkIjoiZTgxNTJkNDk3ZTBmZDg5MTJhMDY2NzllNjYwMWY1MWMifQ=="/>
    <w:docVar w:name="DocumentID" w:val="{7CF01B39-0BCB-496D-874A-48DC8132ED3A}"/>
  </w:docVars>
  <w:rsids>
    <w:rsidRoot w:val="0B0634F0"/>
    <w:rsid w:val="00082BB6"/>
    <w:rsid w:val="000F5A5A"/>
    <w:rsid w:val="001676F9"/>
    <w:rsid w:val="001D6460"/>
    <w:rsid w:val="00252BF5"/>
    <w:rsid w:val="002D4AFF"/>
    <w:rsid w:val="00360C56"/>
    <w:rsid w:val="003F3298"/>
    <w:rsid w:val="00427F86"/>
    <w:rsid w:val="004776FC"/>
    <w:rsid w:val="005E087A"/>
    <w:rsid w:val="00634FA8"/>
    <w:rsid w:val="006D4E0C"/>
    <w:rsid w:val="00B25794"/>
    <w:rsid w:val="00B26E11"/>
    <w:rsid w:val="00CB55A5"/>
    <w:rsid w:val="00F005FE"/>
    <w:rsid w:val="00F01F96"/>
    <w:rsid w:val="0890362F"/>
    <w:rsid w:val="0B0634F0"/>
    <w:rsid w:val="0D3E4DA6"/>
    <w:rsid w:val="10F772D2"/>
    <w:rsid w:val="128251CD"/>
    <w:rsid w:val="13BE1B79"/>
    <w:rsid w:val="1A395A32"/>
    <w:rsid w:val="2101264B"/>
    <w:rsid w:val="25755F61"/>
    <w:rsid w:val="2DEE510B"/>
    <w:rsid w:val="3E0844C2"/>
    <w:rsid w:val="3EA37F37"/>
    <w:rsid w:val="402D539C"/>
    <w:rsid w:val="4089585B"/>
    <w:rsid w:val="4FBB1C67"/>
    <w:rsid w:val="58102D59"/>
    <w:rsid w:val="5F021EAC"/>
    <w:rsid w:val="63335D92"/>
    <w:rsid w:val="6DED6A5F"/>
    <w:rsid w:val="6E881A5B"/>
    <w:rsid w:val="75562450"/>
    <w:rsid w:val="7E7350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9"/>
    <w:qFormat/>
    <w:uiPriority w:val="0"/>
    <w:pPr>
      <w:keepNext/>
      <w:keepLines/>
      <w:spacing w:before="340" w:after="330" w:line="576" w:lineRule="auto"/>
      <w:outlineLvl w:val="0"/>
    </w:pPr>
    <w:rPr>
      <w:b/>
      <w:kern w:val="44"/>
      <w:sz w:val="44"/>
    </w:rPr>
  </w:style>
  <w:style w:type="paragraph" w:styleId="4">
    <w:name w:val="heading 2"/>
    <w:basedOn w:val="1"/>
    <w:next w:val="1"/>
    <w:link w:val="20"/>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w:basedOn w:val="1"/>
    <w:qFormat/>
    <w:uiPriority w:val="1"/>
    <w:pPr>
      <w:ind w:left="492"/>
    </w:pPr>
    <w:rPr>
      <w:rFonts w:ascii="微软雅黑" w:hAnsi="微软雅黑" w:eastAsia="微软雅黑" w:cs="微软雅黑"/>
      <w:b/>
      <w:bCs/>
      <w:lang w:val="zh-CN" w:bidi="zh-CN"/>
    </w:rPr>
  </w:style>
  <w:style w:type="paragraph" w:styleId="8">
    <w:name w:val="Body Text Indent"/>
    <w:basedOn w:val="1"/>
    <w:next w:val="9"/>
    <w:semiHidden/>
    <w:unhideWhenUsed/>
    <w:qFormat/>
    <w:uiPriority w:val="99"/>
    <w:pPr>
      <w:spacing w:after="120"/>
      <w:ind w:left="420" w:leftChars="200"/>
    </w:p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2">
    <w:name w:val="Normal (Web)"/>
    <w:basedOn w:val="1"/>
    <w:qFormat/>
    <w:uiPriority w:val="0"/>
    <w:pPr>
      <w:spacing w:beforeAutospacing="1" w:afterAutospacing="1"/>
      <w:jc w:val="left"/>
    </w:pPr>
    <w:rPr>
      <w:kern w:val="0"/>
      <w:sz w:val="24"/>
    </w:rPr>
  </w:style>
  <w:style w:type="paragraph" w:styleId="13">
    <w:name w:val="Body Text First Indent 2"/>
    <w:basedOn w:val="8"/>
    <w:next w:val="6"/>
    <w:qFormat/>
    <w:uiPriority w:val="0"/>
    <w:pPr>
      <w:spacing w:after="0" w:line="440" w:lineRule="exact"/>
      <w:ind w:left="0" w:leftChars="0" w:firstLine="420" w:firstLineChars="200"/>
    </w:pPr>
    <w:rPr>
      <w:rFonts w:ascii="仿宋_GB2312"/>
    </w:rPr>
  </w:style>
  <w:style w:type="table" w:styleId="15">
    <w:name w:val="Table Grid"/>
    <w:basedOn w:val="14"/>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page number"/>
    <w:basedOn w:val="16"/>
    <w:qFormat/>
    <w:uiPriority w:val="0"/>
  </w:style>
  <w:style w:type="character" w:customStyle="1" w:styleId="18">
    <w:name w:val="font01"/>
    <w:basedOn w:val="16"/>
    <w:qFormat/>
    <w:uiPriority w:val="0"/>
    <w:rPr>
      <w:rFonts w:hint="eastAsia" w:ascii="宋体" w:hAnsi="宋体" w:eastAsia="宋体" w:cs="宋体"/>
      <w:color w:val="000000"/>
      <w:sz w:val="16"/>
      <w:szCs w:val="16"/>
      <w:u w:val="none"/>
    </w:rPr>
  </w:style>
  <w:style w:type="character" w:customStyle="1" w:styleId="19">
    <w:name w:val="标题 1 Char"/>
    <w:link w:val="3"/>
    <w:qFormat/>
    <w:uiPriority w:val="0"/>
    <w:rPr>
      <w:b/>
      <w:kern w:val="44"/>
      <w:sz w:val="44"/>
    </w:rPr>
  </w:style>
  <w:style w:type="character" w:customStyle="1" w:styleId="20">
    <w:name w:val="标题 2 Char"/>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3632</Words>
  <Characters>3923</Characters>
  <Lines>30</Lines>
  <Paragraphs>8</Paragraphs>
  <TotalTime>10</TotalTime>
  <ScaleCrop>false</ScaleCrop>
  <LinksUpToDate>false</LinksUpToDate>
  <CharactersWithSpaces>3937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cp:lastPrinted>2023-08-01T02:06:00Z</cp:lastPrinted>
  <dcterms:modified xsi:type="dcterms:W3CDTF">2023-10-17T02:12:44Z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