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年度朱</w:t>
      </w:r>
      <w:r>
        <w:rPr>
          <w:rFonts w:eastAsia="方正小标宋简体"/>
          <w:b/>
          <w:bCs/>
          <w:spacing w:val="1"/>
          <w:sz w:val="36"/>
          <w:szCs w:val="36"/>
        </w:rPr>
        <w:t>鹮</w:t>
      </w:r>
      <w:r>
        <w:rPr>
          <w:rFonts w:eastAsia="方正小标宋简体"/>
          <w:spacing w:val="1"/>
          <w:sz w:val="36"/>
          <w:szCs w:val="36"/>
        </w:rPr>
        <w:t>驯养繁育管理经费</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2022年该项目的总体绩效目标为保障朱</w:t>
      </w:r>
      <w:r>
        <w:rPr>
          <w:rFonts w:ascii="仿宋" w:hAnsi="仿宋" w:eastAsia="仿宋" w:cs="Times New Roman"/>
          <w:sz w:val="32"/>
          <w:szCs w:val="32"/>
        </w:rPr>
        <w:t>鹮</w:t>
      </w:r>
      <w:r>
        <w:rPr>
          <w:rFonts w:ascii="Times New Roman" w:hAnsi="Times New Roman" w:eastAsia="仿宋_GB2312" w:cs="Times New Roman"/>
          <w:sz w:val="32"/>
          <w:szCs w:val="32"/>
        </w:rPr>
        <w:t>的正常驯养繁育工作，保护好朱</w:t>
      </w:r>
      <w:r>
        <w:rPr>
          <w:rFonts w:ascii="仿宋" w:hAnsi="仿宋" w:eastAsia="仿宋" w:cs="Times New Roman"/>
          <w:sz w:val="32"/>
          <w:szCs w:val="32"/>
        </w:rPr>
        <w:t>鹮</w:t>
      </w:r>
      <w:r>
        <w:rPr>
          <w:rFonts w:ascii="Times New Roman" w:hAnsi="Times New Roman" w:eastAsia="仿宋_GB2312" w:cs="Times New Roman"/>
          <w:sz w:val="32"/>
          <w:szCs w:val="32"/>
        </w:rPr>
        <w:t>这一珍稀野生动物，保护好生态环境。2022年，项目计划完成朱</w:t>
      </w:r>
      <w:r>
        <w:rPr>
          <w:rFonts w:ascii="仿宋" w:hAnsi="仿宋" w:eastAsia="仿宋" w:cs="Times New Roman"/>
          <w:sz w:val="32"/>
          <w:szCs w:val="32"/>
        </w:rPr>
        <w:t>鹮</w:t>
      </w:r>
      <w:r>
        <w:rPr>
          <w:rFonts w:ascii="Times New Roman" w:hAnsi="Times New Roman" w:eastAsia="仿宋_GB2312" w:cs="Times New Roman"/>
          <w:sz w:val="32"/>
          <w:szCs w:val="32"/>
        </w:rPr>
        <w:t>繁育数量≥10只，完成宣传教育至少2次。</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1、资金计划及到位。为实现朱</w:t>
      </w:r>
      <w:r>
        <w:rPr>
          <w:rFonts w:ascii="仿宋" w:hAnsi="仿宋" w:eastAsia="仿宋" w:cs="Times New Roman"/>
          <w:sz w:val="32"/>
          <w:szCs w:val="32"/>
        </w:rPr>
        <w:t>鹮</w:t>
      </w:r>
      <w:r>
        <w:rPr>
          <w:rFonts w:ascii="Times New Roman" w:hAnsi="Times New Roman" w:eastAsia="仿宋_GB2312" w:cs="Times New Roman"/>
          <w:sz w:val="32"/>
          <w:szCs w:val="32"/>
        </w:rPr>
        <w:t>繁育中心日常运转我单位特别向县政府申请朱</w:t>
      </w:r>
      <w:r>
        <w:rPr>
          <w:rFonts w:ascii="仿宋" w:hAnsi="仿宋" w:eastAsia="仿宋" w:cs="Times New Roman"/>
          <w:sz w:val="32"/>
          <w:szCs w:val="32"/>
        </w:rPr>
        <w:t>鹮</w:t>
      </w:r>
      <w:r>
        <w:rPr>
          <w:rFonts w:ascii="Times New Roman" w:hAnsi="Times New Roman" w:eastAsia="仿宋_GB2312" w:cs="Times New Roman"/>
          <w:sz w:val="32"/>
          <w:szCs w:val="32"/>
        </w:rPr>
        <w:t>驯养繁育管理经费（沐林</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19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51号），县人民政府批示同意朱</w:t>
      </w:r>
      <w:r>
        <w:rPr>
          <w:rFonts w:ascii="仿宋" w:hAnsi="仿宋" w:eastAsia="仿宋" w:cs="Times New Roman"/>
          <w:sz w:val="32"/>
          <w:szCs w:val="32"/>
        </w:rPr>
        <w:t>鹮</w:t>
      </w:r>
      <w:r>
        <w:rPr>
          <w:rFonts w:ascii="Times New Roman" w:hAnsi="Times New Roman" w:eastAsia="仿宋_GB2312" w:cs="Times New Roman"/>
          <w:sz w:val="32"/>
          <w:szCs w:val="32"/>
        </w:rPr>
        <w:t>驯养繁育管理经费纳入年初预算（政府批示单收文</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19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第347号），保障朱</w:t>
      </w:r>
      <w:r>
        <w:rPr>
          <w:rFonts w:ascii="仿宋" w:hAnsi="仿宋" w:eastAsia="仿宋" w:cs="Times New Roman"/>
          <w:sz w:val="32"/>
          <w:szCs w:val="32"/>
        </w:rPr>
        <w:t>鹮</w:t>
      </w:r>
      <w:r>
        <w:rPr>
          <w:rFonts w:ascii="Times New Roman" w:hAnsi="Times New Roman" w:eastAsia="仿宋_GB2312" w:cs="Times New Roman"/>
          <w:sz w:val="32"/>
          <w:szCs w:val="32"/>
        </w:rPr>
        <w:t>中心朱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的饲养、繁育、管理。2022年，项目下达资金预算40万元，资金到位率100%。</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2、资金使用。截止评价时点项目资金的实际支出35.54万元，资金开支范围、标准及支付进度严格按照规定，支付依据合规合法，资金支付与预算相符。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项目预算批复资金为40万元，资金实际支付为35.54万元，预算执行率88.85%，该项目实施按照据实审批报销，资金支出在项目支出控制额度内，按照厉行节约、从严从紧的要求进行支出。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2022年沐川县林业局完成对朱</w:t>
      </w:r>
      <w:r>
        <w:rPr>
          <w:rFonts w:ascii="仿宋" w:hAnsi="仿宋" w:eastAsia="仿宋" w:cs="Times New Roman"/>
          <w:sz w:val="32"/>
          <w:szCs w:val="32"/>
        </w:rPr>
        <w:t>鹮</w:t>
      </w:r>
      <w:r>
        <w:rPr>
          <w:rFonts w:ascii="Times New Roman" w:hAnsi="Times New Roman" w:eastAsia="仿宋_GB2312" w:cs="Times New Roman"/>
          <w:sz w:val="32"/>
          <w:szCs w:val="32"/>
        </w:rPr>
        <w:t>进行饲养、繁育、监测、管理、宣传等工作，成功繁育出朱</w:t>
      </w:r>
      <w:r>
        <w:rPr>
          <w:rFonts w:ascii="仿宋" w:hAnsi="仿宋" w:eastAsia="仿宋" w:cs="Times New Roman"/>
          <w:sz w:val="32"/>
          <w:szCs w:val="32"/>
        </w:rPr>
        <w:t>鹮</w:t>
      </w:r>
      <w:r>
        <w:rPr>
          <w:rFonts w:ascii="Times New Roman" w:hAnsi="Times New Roman" w:eastAsia="仿宋_GB2312" w:cs="Times New Roman"/>
          <w:sz w:val="32"/>
          <w:szCs w:val="32"/>
        </w:rPr>
        <w:t>15只。</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2022年成功繁育出朱</w:t>
      </w:r>
      <w:r>
        <w:rPr>
          <w:rFonts w:ascii="Times New Roman" w:hAnsi="Times New Roman" w:cs="Times New Roman"/>
          <w:sz w:val="32"/>
          <w:szCs w:val="32"/>
        </w:rPr>
        <w:t>鹮</w:t>
      </w:r>
      <w:r>
        <w:rPr>
          <w:rFonts w:ascii="Times New Roman" w:hAnsi="Times New Roman" w:eastAsia="仿宋_GB2312" w:cs="Times New Roman"/>
          <w:sz w:val="32"/>
          <w:szCs w:val="32"/>
        </w:rPr>
        <w:t>15只，使沐川县朱</w:t>
      </w:r>
      <w:r>
        <w:rPr>
          <w:rFonts w:ascii="仿宋" w:hAnsi="仿宋" w:eastAsia="仿宋" w:cs="Times New Roman"/>
          <w:sz w:val="32"/>
          <w:szCs w:val="32"/>
        </w:rPr>
        <w:t>鹮</w:t>
      </w:r>
      <w:r>
        <w:rPr>
          <w:rFonts w:ascii="Times New Roman" w:hAnsi="Times New Roman" w:eastAsia="仿宋_GB2312" w:cs="Times New Roman"/>
          <w:sz w:val="32"/>
          <w:szCs w:val="32"/>
        </w:rPr>
        <w:t>种群数量达到了</w:t>
      </w:r>
      <w:r>
        <w:rPr>
          <w:rFonts w:hint="eastAsia" w:ascii="Times New Roman" w:hAnsi="Times New Roman" w:eastAsia="仿宋_GB2312" w:cs="Times New Roman"/>
          <w:sz w:val="32"/>
          <w:szCs w:val="32"/>
        </w:rPr>
        <w:t>80</w:t>
      </w:r>
      <w:r>
        <w:rPr>
          <w:rFonts w:ascii="Times New Roman" w:hAnsi="Times New Roman" w:eastAsia="仿宋_GB2312" w:cs="Times New Roman"/>
          <w:sz w:val="32"/>
          <w:szCs w:val="32"/>
        </w:rPr>
        <w:t>只，加强了朱</w:t>
      </w:r>
      <w:r>
        <w:rPr>
          <w:rFonts w:ascii="仿宋" w:hAnsi="仿宋" w:eastAsia="仿宋" w:cs="Times New Roman"/>
          <w:sz w:val="32"/>
          <w:szCs w:val="32"/>
        </w:rPr>
        <w:t>鹮</w:t>
      </w:r>
      <w:r>
        <w:rPr>
          <w:rFonts w:ascii="Times New Roman" w:hAnsi="Times New Roman" w:eastAsia="仿宋_GB2312" w:cs="Times New Roman"/>
          <w:sz w:val="32"/>
          <w:szCs w:val="32"/>
        </w:rPr>
        <w:t>繁育中心管理，不定时对繁育中心开展工作检查，每月召开工作会议，2022年完成朱</w:t>
      </w:r>
      <w:r>
        <w:rPr>
          <w:rFonts w:ascii="Times New Roman" w:hAnsi="Times New Roman" w:cs="Times New Roman"/>
          <w:sz w:val="32"/>
          <w:szCs w:val="32"/>
        </w:rPr>
        <w:t>鹮</w:t>
      </w:r>
      <w:r>
        <w:rPr>
          <w:rFonts w:ascii="Times New Roman" w:hAnsi="Times New Roman" w:eastAsia="仿宋_GB2312" w:cs="Times New Roman"/>
          <w:sz w:val="32"/>
          <w:szCs w:val="32"/>
        </w:rPr>
        <w:t>野化放飞基地地勘、设计等工作，完成3次朱</w:t>
      </w:r>
      <w:r>
        <w:rPr>
          <w:rFonts w:ascii="仿宋" w:hAnsi="仿宋" w:eastAsia="仿宋" w:cs="Times New Roman"/>
          <w:sz w:val="32"/>
          <w:szCs w:val="32"/>
        </w:rPr>
        <w:t>鹮</w:t>
      </w:r>
      <w:r>
        <w:rPr>
          <w:rFonts w:ascii="Times New Roman" w:hAnsi="Times New Roman" w:eastAsia="仿宋_GB2312" w:cs="Times New Roman"/>
          <w:sz w:val="32"/>
          <w:szCs w:val="32"/>
        </w:rPr>
        <w:t>保护宣传，通过设置警示牌、粘贴保护宣传单、播放保护宣传片等方式，加强群众对朱</w:t>
      </w:r>
      <w:r>
        <w:rPr>
          <w:rFonts w:ascii="仿宋" w:hAnsi="仿宋" w:eastAsia="仿宋" w:cs="Times New Roman"/>
          <w:sz w:val="32"/>
          <w:szCs w:val="32"/>
        </w:rPr>
        <w:t>鹮</w:t>
      </w:r>
      <w:r>
        <w:rPr>
          <w:rFonts w:ascii="Times New Roman" w:hAnsi="Times New Roman" w:eastAsia="仿宋_GB2312" w:cs="Times New Roman"/>
          <w:sz w:val="32"/>
          <w:szCs w:val="32"/>
        </w:rPr>
        <w:t>的认识，项目经费共使用35.54万元，保障了朱</w:t>
      </w:r>
      <w:r>
        <w:rPr>
          <w:rFonts w:ascii="仿宋" w:hAnsi="仿宋" w:eastAsia="仿宋" w:cs="Times New Roman"/>
          <w:sz w:val="32"/>
          <w:szCs w:val="32"/>
        </w:rPr>
        <w:t>鹮</w:t>
      </w:r>
      <w:r>
        <w:rPr>
          <w:rFonts w:ascii="Times New Roman" w:hAnsi="Times New Roman" w:eastAsia="仿宋_GB2312" w:cs="Times New Roman"/>
          <w:sz w:val="32"/>
          <w:szCs w:val="32"/>
        </w:rPr>
        <w:t>繁育中心日常运转，朱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的饲养、繁育、管理得以正常进行。</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项目保障了朱</w:t>
      </w:r>
      <w:r>
        <w:rPr>
          <w:rFonts w:ascii="仿宋" w:hAnsi="仿宋" w:eastAsia="仿宋" w:cs="Times New Roman"/>
          <w:sz w:val="32"/>
          <w:szCs w:val="32"/>
        </w:rPr>
        <w:t>鹮</w:t>
      </w:r>
      <w:r>
        <w:rPr>
          <w:rFonts w:ascii="Times New Roman" w:hAnsi="Times New Roman" w:eastAsia="仿宋_GB2312" w:cs="Times New Roman"/>
          <w:sz w:val="32"/>
          <w:szCs w:val="32"/>
        </w:rPr>
        <w:t>中心朱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的饲养、繁育、管理；朱</w:t>
      </w:r>
      <w:r>
        <w:rPr>
          <w:rFonts w:ascii="仿宋" w:hAnsi="仿宋" w:eastAsia="仿宋" w:cs="Times New Roman"/>
          <w:sz w:val="32"/>
          <w:szCs w:val="32"/>
        </w:rPr>
        <w:t>鹮</w:t>
      </w:r>
      <w:r>
        <w:rPr>
          <w:rFonts w:ascii="Times New Roman" w:hAnsi="Times New Roman" w:eastAsia="仿宋_GB2312" w:cs="Times New Roman"/>
          <w:sz w:val="32"/>
          <w:szCs w:val="32"/>
        </w:rPr>
        <w:t>得到了保护，增强了群众对朱</w:t>
      </w:r>
      <w:r>
        <w:rPr>
          <w:rFonts w:ascii="仿宋" w:hAnsi="仿宋" w:eastAsia="仿宋" w:cs="Times New Roman"/>
          <w:sz w:val="32"/>
          <w:szCs w:val="32"/>
        </w:rPr>
        <w:t>鹮</w:t>
      </w:r>
      <w:r>
        <w:rPr>
          <w:rFonts w:ascii="Times New Roman" w:hAnsi="Times New Roman" w:eastAsia="仿宋_GB2312" w:cs="Times New Roman"/>
          <w:sz w:val="32"/>
          <w:szCs w:val="32"/>
        </w:rPr>
        <w:t>的保护意识，朱</w:t>
      </w:r>
      <w:r>
        <w:rPr>
          <w:rFonts w:ascii="仿宋" w:hAnsi="仿宋" w:eastAsia="仿宋" w:cs="Times New Roman"/>
          <w:sz w:val="32"/>
          <w:szCs w:val="32"/>
        </w:rPr>
        <w:t>鹮</w:t>
      </w:r>
      <w:r>
        <w:rPr>
          <w:rFonts w:ascii="Times New Roman" w:hAnsi="Times New Roman" w:eastAsia="仿宋_GB2312" w:cs="Times New Roman"/>
          <w:sz w:val="32"/>
          <w:szCs w:val="32"/>
        </w:rPr>
        <w:t>得到有效的繁衍，生态环境得以改善。</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2022年度项目自评得分为97.5分，该项目为长期每年开展项目，2023年建议继续预算此项目，每年绩效目标与预算同步批复、同步公开。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附件：1.2022年度朱</w:t>
      </w:r>
      <w:r>
        <w:rPr>
          <w:rFonts w:ascii="仿宋" w:hAnsi="仿宋" w:eastAsia="仿宋" w:cs="Times New Roman"/>
          <w:b/>
          <w:bCs/>
          <w:sz w:val="32"/>
          <w:szCs w:val="32"/>
        </w:rPr>
        <w:t>鹮</w:t>
      </w:r>
      <w:r>
        <w:rPr>
          <w:rFonts w:ascii="Times New Roman" w:hAnsi="Times New Roman" w:eastAsia="仿宋_GB2312" w:cs="Times New Roman"/>
          <w:b/>
          <w:bCs/>
          <w:sz w:val="32"/>
          <w:szCs w:val="32"/>
        </w:rPr>
        <w:t>驯养繁育管理经费项目绩效目标自评表</w:t>
      </w:r>
    </w:p>
    <w:p>
      <w:pPr>
        <w:pStyle w:val="8"/>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2.2022年度朱</w:t>
      </w:r>
      <w:r>
        <w:rPr>
          <w:rFonts w:ascii="仿宋" w:hAnsi="仿宋" w:eastAsia="仿宋" w:cs="Times New Roman"/>
          <w:b/>
          <w:bCs/>
          <w:sz w:val="32"/>
          <w:szCs w:val="32"/>
        </w:rPr>
        <w:t>鹮</w:t>
      </w:r>
      <w:r>
        <w:rPr>
          <w:rFonts w:ascii="Times New Roman" w:hAnsi="Times New Roman" w:eastAsia="仿宋_GB2312" w:cs="Times New Roman"/>
          <w:b/>
          <w:bCs/>
          <w:sz w:val="32"/>
          <w:szCs w:val="32"/>
        </w:rPr>
        <w:t>驯养繁育管理经费项目支出绩效评价</w:t>
      </w:r>
      <w:r>
        <w:rPr>
          <w:rFonts w:hint="eastAsia" w:ascii="Times New Roman" w:hAnsi="Times New Roman" w:eastAsia="仿宋_GB2312" w:cs="Times New Roman"/>
          <w:b/>
          <w:bCs/>
          <w:sz w:val="32"/>
          <w:szCs w:val="32"/>
        </w:rPr>
        <w:t>自评得分表</w:t>
      </w:r>
    </w:p>
    <w:p>
      <w:pPr>
        <w:pStyle w:val="8"/>
        <w:spacing w:line="360" w:lineRule="auto"/>
        <w:ind w:right="320" w:firstLine="1600" w:firstLineChars="500"/>
        <w:jc w:val="right"/>
        <w:rPr>
          <w:rFonts w:ascii="Times New Roman" w:hAnsi="Times New Roman" w:eastAsia="仿宋_GB2312" w:cs="Times New Roman"/>
          <w:sz w:val="32"/>
          <w:szCs w:val="32"/>
        </w:rPr>
      </w:pPr>
    </w:p>
    <w:p>
      <w:pPr>
        <w:pStyle w:val="8"/>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8"/>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月13日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2022年度朱鹮驯养繁育管理经费项目绩效目标自评表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496"/>
        <w:gridCol w:w="1029"/>
        <w:gridCol w:w="1485"/>
        <w:gridCol w:w="1133"/>
        <w:gridCol w:w="989"/>
        <w:gridCol w:w="1036"/>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朱鹮驯养繁育管理经费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536" w:type="pct"/>
            <w:gridSpan w:val="2"/>
            <w:vAlign w:val="center"/>
          </w:tcPr>
          <w:p>
            <w:pPr>
              <w:widowControl/>
              <w:spacing w:line="200" w:lineRule="exact"/>
              <w:jc w:val="center"/>
              <w:rPr>
                <w:color w:val="000000"/>
                <w:sz w:val="20"/>
                <w:szCs w:val="20"/>
              </w:rPr>
            </w:pPr>
            <w:r>
              <w:rPr>
                <w:color w:val="000000"/>
                <w:sz w:val="20"/>
                <w:szCs w:val="20"/>
              </w:rPr>
              <w:t>林业局</w:t>
            </w:r>
          </w:p>
        </w:tc>
        <w:tc>
          <w:tcPr>
            <w:tcW w:w="58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60"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71"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188"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40</w:t>
            </w:r>
          </w:p>
        </w:tc>
        <w:tc>
          <w:tcPr>
            <w:tcW w:w="1188" w:type="pct"/>
            <w:gridSpan w:val="2"/>
            <w:vAlign w:val="center"/>
          </w:tcPr>
          <w:p>
            <w:pPr>
              <w:widowControl/>
              <w:spacing w:line="200" w:lineRule="exact"/>
              <w:jc w:val="center"/>
              <w:rPr>
                <w:color w:val="000000"/>
                <w:sz w:val="20"/>
                <w:szCs w:val="20"/>
              </w:rPr>
            </w:pPr>
            <w:r>
              <w:rPr>
                <w:color w:val="000000"/>
                <w:sz w:val="20"/>
                <w:szCs w:val="20"/>
              </w:rPr>
              <w:t>35.54</w:t>
            </w:r>
          </w:p>
        </w:tc>
        <w:tc>
          <w:tcPr>
            <w:tcW w:w="952" w:type="pct"/>
            <w:vAlign w:val="center"/>
          </w:tcPr>
          <w:p>
            <w:pPr>
              <w:widowControl/>
              <w:spacing w:line="200" w:lineRule="exact"/>
              <w:jc w:val="center"/>
              <w:rPr>
                <w:color w:val="000000"/>
                <w:sz w:val="20"/>
                <w:szCs w:val="20"/>
              </w:rPr>
            </w:pPr>
            <w:r>
              <w:rPr>
                <w:color w:val="000000"/>
                <w:sz w:val="20"/>
                <w:szCs w:val="20"/>
              </w:rPr>
              <w:t>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r>
              <w:rPr>
                <w:color w:val="000000"/>
                <w:sz w:val="20"/>
                <w:szCs w:val="20"/>
              </w:rPr>
              <w:t>40</w:t>
            </w:r>
          </w:p>
        </w:tc>
        <w:tc>
          <w:tcPr>
            <w:tcW w:w="1188" w:type="pct"/>
            <w:gridSpan w:val="2"/>
            <w:vAlign w:val="center"/>
          </w:tcPr>
          <w:p>
            <w:pPr>
              <w:widowControl/>
              <w:spacing w:line="200" w:lineRule="exact"/>
              <w:jc w:val="center"/>
              <w:rPr>
                <w:color w:val="000000"/>
                <w:sz w:val="20"/>
                <w:szCs w:val="20"/>
              </w:rPr>
            </w:pPr>
            <w:r>
              <w:rPr>
                <w:color w:val="000000"/>
                <w:sz w:val="20"/>
                <w:szCs w:val="20"/>
              </w:rPr>
              <w:t>35.54</w:t>
            </w:r>
          </w:p>
        </w:tc>
        <w:tc>
          <w:tcPr>
            <w:tcW w:w="952" w:type="pct"/>
            <w:vAlign w:val="center"/>
          </w:tcPr>
          <w:p>
            <w:pPr>
              <w:widowControl/>
              <w:spacing w:line="200" w:lineRule="exact"/>
              <w:jc w:val="center"/>
              <w:rPr>
                <w:color w:val="000000"/>
                <w:sz w:val="20"/>
                <w:szCs w:val="20"/>
              </w:rPr>
            </w:pPr>
            <w:r>
              <w:rPr>
                <w:color w:val="000000"/>
                <w:sz w:val="20"/>
                <w:szCs w:val="20"/>
              </w:rPr>
              <w:t>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30"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vAlign w:val="center"/>
          </w:tcPr>
          <w:p>
            <w:pPr>
              <w:widowControl/>
              <w:spacing w:line="200" w:lineRule="exact"/>
              <w:jc w:val="center"/>
              <w:rPr>
                <w:color w:val="000000"/>
                <w:sz w:val="20"/>
                <w:szCs w:val="20"/>
              </w:rPr>
            </w:pPr>
          </w:p>
        </w:tc>
        <w:tc>
          <w:tcPr>
            <w:tcW w:w="2430" w:type="pct"/>
            <w:gridSpan w:val="4"/>
            <w:vAlign w:val="center"/>
          </w:tcPr>
          <w:p>
            <w:pPr>
              <w:widowControl/>
              <w:spacing w:line="200" w:lineRule="exact"/>
              <w:rPr>
                <w:color w:val="000000"/>
                <w:sz w:val="20"/>
                <w:szCs w:val="20"/>
              </w:rPr>
            </w:pPr>
            <w:r>
              <w:rPr>
                <w:color w:val="000000"/>
                <w:sz w:val="20"/>
                <w:szCs w:val="20"/>
              </w:rPr>
              <w:t>保障朱鹮的正常驯养繁育工作，保护好朱鹮这一珍稀野生动物，保护好生态环境</w:t>
            </w:r>
          </w:p>
        </w:tc>
        <w:tc>
          <w:tcPr>
            <w:tcW w:w="2140" w:type="pct"/>
            <w:gridSpan w:val="3"/>
            <w:vAlign w:val="center"/>
          </w:tcPr>
          <w:p>
            <w:pPr>
              <w:widowControl/>
              <w:spacing w:line="200" w:lineRule="exact"/>
              <w:rPr>
                <w:color w:val="000000"/>
                <w:sz w:val="20"/>
                <w:szCs w:val="20"/>
              </w:rPr>
            </w:pPr>
            <w:r>
              <w:rPr>
                <w:color w:val="000000"/>
                <w:sz w:val="20"/>
                <w:szCs w:val="20"/>
              </w:rPr>
              <w:t>保障了朱鹮的正常驯养繁育工作，保护好朱鹮这一珍稀野生动物，保护好生态环境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536"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58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0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536" w:type="pct"/>
            <w:gridSpan w:val="2"/>
            <w:vAlign w:val="center"/>
          </w:tcPr>
          <w:p>
            <w:pPr>
              <w:widowControl/>
              <w:spacing w:line="200" w:lineRule="exact"/>
              <w:jc w:val="center"/>
              <w:rPr>
                <w:color w:val="000000"/>
                <w:sz w:val="20"/>
                <w:szCs w:val="20"/>
              </w:rPr>
            </w:pPr>
            <w:r>
              <w:rPr>
                <w:color w:val="000000"/>
                <w:sz w:val="20"/>
                <w:szCs w:val="20"/>
              </w:rPr>
              <w:t>朱</w:t>
            </w:r>
            <w:r>
              <w:rPr>
                <w:rFonts w:ascii="仿宋" w:hAnsi="仿宋" w:eastAsia="仿宋"/>
                <w:color w:val="000000"/>
                <w:sz w:val="20"/>
                <w:szCs w:val="20"/>
              </w:rPr>
              <w:t>鹮</w:t>
            </w:r>
            <w:r>
              <w:rPr>
                <w:color w:val="000000"/>
                <w:sz w:val="20"/>
                <w:szCs w:val="20"/>
              </w:rPr>
              <w:t>繁育数量</w:t>
            </w:r>
          </w:p>
        </w:tc>
        <w:tc>
          <w:tcPr>
            <w:tcW w:w="580" w:type="pct"/>
            <w:vAlign w:val="center"/>
          </w:tcPr>
          <w:p>
            <w:pPr>
              <w:widowControl/>
              <w:spacing w:line="200" w:lineRule="exact"/>
              <w:jc w:val="center"/>
              <w:rPr>
                <w:color w:val="000000"/>
                <w:sz w:val="20"/>
                <w:szCs w:val="20"/>
              </w:rPr>
            </w:pPr>
            <w:r>
              <w:rPr>
                <w:color w:val="000000"/>
                <w:sz w:val="20"/>
                <w:szCs w:val="20"/>
              </w:rPr>
              <w:t>≥10只</w:t>
            </w:r>
          </w:p>
        </w:tc>
        <w:tc>
          <w:tcPr>
            <w:tcW w:w="607" w:type="pct"/>
            <w:vAlign w:val="center"/>
          </w:tcPr>
          <w:p>
            <w:pPr>
              <w:widowControl/>
              <w:spacing w:line="200" w:lineRule="exact"/>
              <w:jc w:val="center"/>
              <w:rPr>
                <w:color w:val="000000"/>
                <w:sz w:val="20"/>
                <w:szCs w:val="20"/>
              </w:rPr>
            </w:pPr>
            <w:r>
              <w:rPr>
                <w:color w:val="000000"/>
                <w:sz w:val="20"/>
                <w:szCs w:val="20"/>
              </w:rPr>
              <w:t>15只</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03" w:type="pct"/>
            <w:vMerge w:val="continue"/>
            <w:vAlign w:val="center"/>
          </w:tcPr>
          <w:p>
            <w:pPr>
              <w:widowControl/>
              <w:spacing w:line="200" w:lineRule="exact"/>
              <w:jc w:val="center"/>
              <w:textAlignment w:val="center"/>
              <w:rPr>
                <w:color w:val="000000"/>
                <w:kern w:val="0"/>
                <w:sz w:val="20"/>
                <w:szCs w:val="20"/>
              </w:rPr>
            </w:pPr>
          </w:p>
        </w:tc>
        <w:tc>
          <w:tcPr>
            <w:tcW w:w="1536" w:type="pct"/>
            <w:gridSpan w:val="2"/>
            <w:vAlign w:val="center"/>
          </w:tcPr>
          <w:p>
            <w:pPr>
              <w:widowControl/>
              <w:spacing w:line="200" w:lineRule="exact"/>
              <w:jc w:val="center"/>
              <w:rPr>
                <w:color w:val="000000"/>
                <w:sz w:val="20"/>
                <w:szCs w:val="20"/>
              </w:rPr>
            </w:pPr>
            <w:r>
              <w:rPr>
                <w:color w:val="000000"/>
                <w:sz w:val="20"/>
                <w:szCs w:val="20"/>
              </w:rPr>
              <w:t>宣传教育</w:t>
            </w:r>
          </w:p>
        </w:tc>
        <w:tc>
          <w:tcPr>
            <w:tcW w:w="580" w:type="pct"/>
            <w:vAlign w:val="center"/>
          </w:tcPr>
          <w:p>
            <w:pPr>
              <w:widowControl/>
              <w:spacing w:line="200" w:lineRule="exact"/>
              <w:jc w:val="center"/>
              <w:rPr>
                <w:color w:val="000000"/>
                <w:sz w:val="20"/>
                <w:szCs w:val="20"/>
              </w:rPr>
            </w:pPr>
            <w:r>
              <w:rPr>
                <w:color w:val="000000"/>
                <w:sz w:val="20"/>
                <w:szCs w:val="20"/>
              </w:rPr>
              <w:t>≥2次</w:t>
            </w:r>
          </w:p>
        </w:tc>
        <w:tc>
          <w:tcPr>
            <w:tcW w:w="607" w:type="pct"/>
            <w:vAlign w:val="center"/>
          </w:tcPr>
          <w:p>
            <w:pPr>
              <w:widowControl/>
              <w:spacing w:line="200" w:lineRule="exact"/>
              <w:jc w:val="center"/>
              <w:rPr>
                <w:color w:val="000000"/>
                <w:sz w:val="20"/>
                <w:szCs w:val="20"/>
              </w:rPr>
            </w:pPr>
            <w:r>
              <w:rPr>
                <w:color w:val="000000"/>
                <w:sz w:val="20"/>
                <w:szCs w:val="20"/>
              </w:rPr>
              <w:t>3次</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繁育存活率</w:t>
            </w:r>
          </w:p>
        </w:tc>
        <w:tc>
          <w:tcPr>
            <w:tcW w:w="580" w:type="pct"/>
            <w:vAlign w:val="center"/>
          </w:tcPr>
          <w:p>
            <w:pPr>
              <w:widowControl/>
              <w:spacing w:line="200" w:lineRule="exact"/>
              <w:jc w:val="center"/>
              <w:rPr>
                <w:color w:val="000000"/>
                <w:sz w:val="20"/>
                <w:szCs w:val="20"/>
              </w:rPr>
            </w:pPr>
            <w:r>
              <w:rPr>
                <w:color w:val="000000"/>
                <w:sz w:val="20"/>
                <w:szCs w:val="20"/>
              </w:rPr>
              <w:t>≥85%</w:t>
            </w:r>
          </w:p>
        </w:tc>
        <w:tc>
          <w:tcPr>
            <w:tcW w:w="607" w:type="pct"/>
            <w:vAlign w:val="center"/>
          </w:tcPr>
          <w:p>
            <w:pPr>
              <w:widowControl/>
              <w:spacing w:line="200" w:lineRule="exact"/>
              <w:jc w:val="center"/>
              <w:rPr>
                <w:color w:val="000000"/>
                <w:sz w:val="20"/>
                <w:szCs w:val="20"/>
              </w:rPr>
            </w:pPr>
            <w:r>
              <w:rPr>
                <w:color w:val="000000"/>
                <w:sz w:val="20"/>
                <w:szCs w:val="20"/>
              </w:rPr>
              <w:t>86%</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繁育完成时间</w:t>
            </w:r>
          </w:p>
        </w:tc>
        <w:tc>
          <w:tcPr>
            <w:tcW w:w="580" w:type="pct"/>
            <w:vAlign w:val="center"/>
          </w:tcPr>
          <w:p>
            <w:pPr>
              <w:widowControl/>
              <w:spacing w:line="200" w:lineRule="exact"/>
              <w:jc w:val="center"/>
              <w:rPr>
                <w:color w:val="000000"/>
                <w:sz w:val="20"/>
                <w:szCs w:val="20"/>
              </w:rPr>
            </w:pPr>
            <w:r>
              <w:rPr>
                <w:color w:val="000000"/>
                <w:sz w:val="20"/>
                <w:szCs w:val="20"/>
              </w:rPr>
              <w:t>2022年底前</w:t>
            </w:r>
          </w:p>
        </w:tc>
        <w:tc>
          <w:tcPr>
            <w:tcW w:w="607" w:type="pct"/>
            <w:vAlign w:val="center"/>
          </w:tcPr>
          <w:p>
            <w:pPr>
              <w:widowControl/>
              <w:spacing w:line="200" w:lineRule="exact"/>
              <w:jc w:val="center"/>
              <w:rPr>
                <w:color w:val="000000"/>
                <w:sz w:val="20"/>
                <w:szCs w:val="20"/>
              </w:rPr>
            </w:pPr>
            <w:r>
              <w:rPr>
                <w:color w:val="000000"/>
                <w:sz w:val="20"/>
                <w:szCs w:val="20"/>
              </w:rPr>
              <w:t>2022年底前</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繁育中心日常运转费</w:t>
            </w:r>
          </w:p>
        </w:tc>
        <w:tc>
          <w:tcPr>
            <w:tcW w:w="580" w:type="pct"/>
            <w:vAlign w:val="center"/>
          </w:tcPr>
          <w:p>
            <w:pPr>
              <w:widowControl/>
              <w:spacing w:line="200" w:lineRule="exact"/>
              <w:jc w:val="center"/>
              <w:rPr>
                <w:color w:val="000000"/>
                <w:sz w:val="20"/>
                <w:szCs w:val="20"/>
              </w:rPr>
            </w:pPr>
            <w:r>
              <w:rPr>
                <w:color w:val="000000"/>
                <w:sz w:val="20"/>
                <w:szCs w:val="20"/>
              </w:rPr>
              <w:t>≤40万元</w:t>
            </w:r>
          </w:p>
        </w:tc>
        <w:tc>
          <w:tcPr>
            <w:tcW w:w="607" w:type="pct"/>
            <w:vAlign w:val="center"/>
          </w:tcPr>
          <w:p>
            <w:pPr>
              <w:widowControl/>
              <w:spacing w:line="200" w:lineRule="exact"/>
              <w:jc w:val="center"/>
              <w:rPr>
                <w:color w:val="000000"/>
                <w:sz w:val="20"/>
                <w:szCs w:val="20"/>
              </w:rPr>
            </w:pPr>
            <w:r>
              <w:rPr>
                <w:color w:val="000000"/>
                <w:sz w:val="20"/>
                <w:szCs w:val="20"/>
              </w:rPr>
              <w:t>35.54万元</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社会效益</w:t>
            </w:r>
          </w:p>
        </w:tc>
        <w:tc>
          <w:tcPr>
            <w:tcW w:w="1536" w:type="pct"/>
            <w:gridSpan w:val="2"/>
            <w:vAlign w:val="center"/>
          </w:tcPr>
          <w:p>
            <w:pPr>
              <w:widowControl/>
              <w:spacing w:line="200" w:lineRule="exact"/>
              <w:jc w:val="center"/>
              <w:rPr>
                <w:color w:val="000000"/>
                <w:sz w:val="20"/>
                <w:szCs w:val="20"/>
              </w:rPr>
            </w:pPr>
            <w:r>
              <w:rPr>
                <w:color w:val="000000"/>
                <w:sz w:val="20"/>
                <w:szCs w:val="20"/>
              </w:rPr>
              <w:t>增强群众对野生动物的保护意识</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jc w:val="center"/>
              <w:rPr>
                <w:color w:val="000000"/>
                <w:sz w:val="20"/>
                <w:szCs w:val="20"/>
              </w:rPr>
            </w:pPr>
            <w:r>
              <w:rPr>
                <w:color w:val="000000"/>
                <w:sz w:val="20"/>
                <w:szCs w:val="20"/>
              </w:rPr>
              <w:t>维持自然生态平衡</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536" w:type="pct"/>
            <w:gridSpan w:val="2"/>
            <w:vAlign w:val="center"/>
          </w:tcPr>
          <w:p>
            <w:pPr>
              <w:widowControl/>
              <w:spacing w:line="200" w:lineRule="exact"/>
              <w:jc w:val="center"/>
              <w:rPr>
                <w:color w:val="000000"/>
                <w:sz w:val="20"/>
                <w:szCs w:val="20"/>
              </w:rPr>
            </w:pPr>
          </w:p>
        </w:tc>
        <w:tc>
          <w:tcPr>
            <w:tcW w:w="580" w:type="pct"/>
            <w:vAlign w:val="center"/>
          </w:tcPr>
          <w:p>
            <w:pPr>
              <w:widowControl/>
              <w:spacing w:line="200" w:lineRule="exact"/>
              <w:jc w:val="center"/>
              <w:rPr>
                <w:color w:val="000000"/>
                <w:sz w:val="20"/>
                <w:szCs w:val="20"/>
              </w:rPr>
            </w:pPr>
          </w:p>
        </w:tc>
        <w:tc>
          <w:tcPr>
            <w:tcW w:w="607" w:type="pct"/>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繁育中心工作人员满意度</w:t>
            </w:r>
          </w:p>
        </w:tc>
        <w:tc>
          <w:tcPr>
            <w:tcW w:w="580" w:type="pct"/>
            <w:vAlign w:val="center"/>
          </w:tcPr>
          <w:p>
            <w:pPr>
              <w:widowControl/>
              <w:spacing w:line="200" w:lineRule="exact"/>
              <w:jc w:val="center"/>
              <w:rPr>
                <w:color w:val="000000"/>
                <w:sz w:val="20"/>
                <w:szCs w:val="20"/>
              </w:rPr>
            </w:pPr>
            <w:r>
              <w:rPr>
                <w:color w:val="000000"/>
                <w:sz w:val="20"/>
                <w:szCs w:val="20"/>
              </w:rPr>
              <w:t>≥96%</w:t>
            </w:r>
          </w:p>
        </w:tc>
        <w:tc>
          <w:tcPr>
            <w:tcW w:w="607" w:type="pct"/>
            <w:vAlign w:val="center"/>
          </w:tcPr>
          <w:p>
            <w:pPr>
              <w:widowControl/>
              <w:spacing w:line="200" w:lineRule="exact"/>
              <w:jc w:val="center"/>
              <w:rPr>
                <w:color w:val="000000"/>
                <w:sz w:val="20"/>
                <w:szCs w:val="20"/>
              </w:rPr>
            </w:pPr>
            <w:r>
              <w:rPr>
                <w:color w:val="000000"/>
                <w:sz w:val="20"/>
                <w:szCs w:val="20"/>
              </w:rPr>
              <w:t>97%</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1"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2022年度朱鹮驯养繁育管理经费项目支出绩效评价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584"/>
        <w:gridCol w:w="506"/>
        <w:gridCol w:w="609"/>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繁育中心工作人员满意度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繁育存活率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朱鹮繁育存活率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按根据实际存活率与目标存活率的比率计算指标得分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考察朱鹮繁育存活情况。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公文楷体">
    <w:altName w:val="楷体_GB2312"/>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- 4 -</w:t>
                </w:r>
                <w:r>
                  <w:rPr>
                    <w:b/>
                    <w:bCs/>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079F796B-43B6-4A6E-BB76-F31C5853BD57}" w:val="KUr9E1jDwoctlTxO78vqBJIM23/+6g0CQSWey4p=PHafNzhkLRYZiAVun5bsmFdXG"/>
    <w:docVar w:name="commondata" w:val="eyJoZGlkIjoiZTgxNTJkNDk3ZTBmZDg5MTJhMDY2NzllNjYwMWY1MWMifQ=="/>
    <w:docVar w:name="DocumentID" w:val="{C7365E4E-4F1D-4850-B6FC-D085AFD4F13E}"/>
  </w:docVars>
  <w:rsids>
    <w:rsidRoot w:val="0B0634F0"/>
    <w:rsid w:val="000B01A5"/>
    <w:rsid w:val="00231D7C"/>
    <w:rsid w:val="00322BB3"/>
    <w:rsid w:val="00342DD9"/>
    <w:rsid w:val="00463FD2"/>
    <w:rsid w:val="004F7FF2"/>
    <w:rsid w:val="005F0130"/>
    <w:rsid w:val="00610314"/>
    <w:rsid w:val="0062775A"/>
    <w:rsid w:val="006C0D57"/>
    <w:rsid w:val="007636F9"/>
    <w:rsid w:val="008A35A7"/>
    <w:rsid w:val="008C6EE9"/>
    <w:rsid w:val="00A47B7F"/>
    <w:rsid w:val="00A61D92"/>
    <w:rsid w:val="00A67D85"/>
    <w:rsid w:val="00A769F0"/>
    <w:rsid w:val="00AB5D82"/>
    <w:rsid w:val="00CA58BC"/>
    <w:rsid w:val="00D74BEA"/>
    <w:rsid w:val="00DF3687"/>
    <w:rsid w:val="00E8180A"/>
    <w:rsid w:val="00F54A88"/>
    <w:rsid w:val="0B0634F0"/>
    <w:rsid w:val="2101264B"/>
    <w:rsid w:val="24E10E1F"/>
    <w:rsid w:val="30B800D3"/>
    <w:rsid w:val="366028D9"/>
    <w:rsid w:val="55650701"/>
    <w:rsid w:val="6DED6A5F"/>
    <w:rsid w:val="7C655A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Char"/>
    <w:link w:val="3"/>
    <w:qFormat/>
    <w:uiPriority w:val="0"/>
    <w:rPr>
      <w:b/>
      <w:kern w:val="44"/>
      <w:sz w:val="44"/>
    </w:rPr>
  </w:style>
  <w:style w:type="character" w:customStyle="1" w:styleId="16">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3614</Words>
  <Characters>3823</Characters>
  <Lines>5</Lines>
  <Paragraphs>8</Paragraphs>
  <TotalTime>17</TotalTime>
  <ScaleCrop>false</ScaleCrop>
  <LinksUpToDate>false</LinksUpToDate>
  <CharactersWithSpaces>3835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cp:lastPrinted>2023-07-21T03:18:00Z</cp:lastPrinted>
  <dcterms:modified xsi:type="dcterms:W3CDTF">2023-10-17T02:15:27Z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