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年度森林生态效益补偿</w:t>
      </w:r>
    </w:p>
    <w:p>
      <w:pPr>
        <w:kinsoku w:val="0"/>
        <w:overflowPunct w:val="0"/>
        <w:spacing w:line="700" w:lineRule="exact"/>
        <w:jc w:val="center"/>
        <w:rPr>
          <w:rFonts w:eastAsia="方正小标宋简体"/>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项目总体目标是对本县生态公益林实施森林生态效益补偿。2022年的具体目标为：</w:t>
      </w:r>
    </w:p>
    <w:p>
      <w:pPr>
        <w:pStyle w:val="10"/>
        <w:spacing w:line="360" w:lineRule="auto"/>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根据《四川省财政厅四川省林业和草原局关于下达2022年中央财政林业改革发展资金预算(第一批)的通知》（川财资环〔2022〕34号），下达我县公益林生态效益补偿资金371.26万元，绩效目标为用于国家公园外非国有国家级公益林生态效益补偿249263亩</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根据《四川省财政厅 四川省林业和草原局关于下达2022年中央财政林业改革发展资金预算(第二批)的通知》（川财资环〔2022〕44号），下达我县公益林生态效益补偿资金45.97万元，绩效目标为完成非国有国家级公益林生态效益补偿</w:t>
      </w:r>
      <w:r>
        <w:rPr>
          <w:rFonts w:hint="eastAsia" w:ascii="Times New Roman" w:hAnsi="Times New Roman" w:eastAsia="仿宋_GB2312" w:cs="Times New Roman"/>
          <w:sz w:val="32"/>
          <w:szCs w:val="32"/>
        </w:rPr>
        <w:t>249263亩</w:t>
      </w:r>
      <w:r>
        <w:rPr>
          <w:rFonts w:ascii="Times New Roman" w:hAnsi="Times New Roman" w:eastAsia="仿宋_GB2312" w:cs="Times New Roman"/>
          <w:sz w:val="32"/>
          <w:szCs w:val="32"/>
        </w:rPr>
        <w:t>和非国有省级公益林生态效益补偿61383亩</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根据《四川省财政厅四川省林业和草原局关于下达2022年省级林业草原改革发展专项资金(第二批)预算的通知》（川财资环〔2022〕68号），下达我县公益林生态效益补偿资金79.8万元，绩效目标为省级公益林生态效益补偿61383亩。</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资金计划及到位。根据《四川省财政厅四川省林业和草原局关于下达2022年中央财政林业改革发展资金预算(第一批)的通知》（川财资环〔2022〕34号）、（川财资环〔2022〕44号）、（川财资环〔2022〕68号）等文件精神，下达我县公益林生态效益补偿资金共计497.03万元，其中:中央资金417.23万元，省级资金79.8万元，资金下达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2、资金使用。截止评价时点项目资金的实际支出492.4128万元，资金开支范围、标准及支付进度严格按照规定，支付依据合规合法，资金支付与预算相符。</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项目预算批复资金为497.03万元，上述资金已财政分解预算指标下达各受益乡镇，按照16元/亩标准兑现到户，资金通过“一卡通”的形式拨付，资金实际支付为492.4128万元，预算执行率99.07%</w:t>
      </w:r>
      <w:r>
        <w:rPr>
          <w:rFonts w:hint="eastAsia" w:ascii="Times New Roman" w:hAnsi="Times New Roman" w:eastAsia="仿宋_GB2312" w:cs="Times New Roman"/>
          <w:sz w:val="32"/>
          <w:szCs w:val="32"/>
        </w:rPr>
        <w:t>。</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我县根据生态公益林补偿项目和省级林业专项资金管理使用要求，各项目资金使用科学合理，做到专款专用，拨付及时，不存在虚列项目支出，截留、挤占、挪用、超标准开支等情况。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完成全县2022年度31.06万亩生态公益林的管护、核查、验收工作，并于2022年底前将补偿资金发放到位。</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1、数量指标：国家级公益林生态效益管护249263亩，非国有省级公益林生态效益管护61383亩，年度任务已完成。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2、质量指标：管护任务完成合格率≥92%。</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3、时效指标：项目当期任务完成率100%。</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4、成本指标：16元/亩。</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5、满意度指标：满意度≥92%</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1、生态效益：国家级公益林、省级公益林对生态环境改善情况明显，促进林分结构改善程度明显。</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2、社会效益：生态效益林管护带动了就业人数</w:t>
      </w:r>
      <w:r>
        <w:rPr>
          <w:rFonts w:hint="eastAsia" w:ascii="Times New Roman" w:hAnsi="Times New Roman" w:eastAsia="仿宋_GB2312" w:cs="Times New Roman"/>
          <w:sz w:val="32"/>
          <w:szCs w:val="32"/>
        </w:rPr>
        <w:t>200</w:t>
      </w:r>
      <w:r>
        <w:rPr>
          <w:rFonts w:ascii="Times New Roman" w:hAnsi="Times New Roman" w:eastAsia="仿宋_GB2312" w:cs="Times New Roman"/>
          <w:sz w:val="32"/>
          <w:szCs w:val="32"/>
        </w:rPr>
        <w:t>人。</w:t>
      </w:r>
    </w:p>
    <w:p>
      <w:pPr>
        <w:pStyle w:val="3"/>
        <w:spacing w:before="0" w:after="0" w:line="360" w:lineRule="auto"/>
        <w:rPr>
          <w:rFonts w:eastAsia="黑体"/>
          <w:sz w:val="32"/>
        </w:rPr>
      </w:pPr>
      <w:r>
        <w:rPr>
          <w:rFonts w:eastAsia="黑体"/>
          <w:sz w:val="32"/>
        </w:rPr>
        <w:t>三、偏离绩效目标的原因和下一步改进措施</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无。</w:t>
      </w:r>
    </w:p>
    <w:p>
      <w:pPr>
        <w:pStyle w:val="3"/>
        <w:spacing w:before="0" w:after="0" w:line="360" w:lineRule="auto"/>
        <w:rPr>
          <w:rFonts w:eastAsia="黑体"/>
          <w:sz w:val="32"/>
        </w:rPr>
      </w:pPr>
      <w:r>
        <w:rPr>
          <w:rFonts w:eastAsia="黑体"/>
          <w:sz w:val="32"/>
        </w:rPr>
        <w:t>四、绩效自评结果拟应用和公开情况</w:t>
      </w:r>
    </w:p>
    <w:p>
      <w:pPr>
        <w:pStyle w:val="10"/>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2022年度项目自评得分为98.5分，每年绩效目标与预算同步批复、同步公开。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0"/>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0"/>
        <w:spacing w:line="360" w:lineRule="auto"/>
        <w:ind w:firstLine="643" w:firstLineChars="200"/>
        <w:rPr>
          <w:rFonts w:ascii="Times New Roman" w:hAnsi="Times New Roman" w:eastAsia="仿宋_GB2312" w:cs="Times New Roman"/>
          <w:b/>
          <w:bCs/>
          <w:sz w:val="32"/>
          <w:szCs w:val="32"/>
        </w:rPr>
      </w:pPr>
    </w:p>
    <w:p>
      <w:pPr>
        <w:pStyle w:val="10"/>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附件：1.2022年度森林生态效益补偿项目绩效目标自评表</w:t>
      </w:r>
    </w:p>
    <w:p>
      <w:pPr>
        <w:pStyle w:val="10"/>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2.2022年度森林生态效益补偿项目支出绩效评价</w:t>
      </w:r>
      <w:r>
        <w:rPr>
          <w:rFonts w:hint="eastAsia" w:ascii="Times New Roman" w:hAnsi="Times New Roman" w:eastAsia="仿宋_GB2312" w:cs="Times New Roman"/>
          <w:b/>
          <w:bCs/>
          <w:sz w:val="32"/>
          <w:szCs w:val="32"/>
        </w:rPr>
        <w:t>自评得分表</w:t>
      </w:r>
    </w:p>
    <w:p>
      <w:pPr>
        <w:pStyle w:val="10"/>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沐川县林业局</w:t>
      </w:r>
    </w:p>
    <w:p>
      <w:pPr>
        <w:pStyle w:val="10"/>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w:t>
      </w:r>
      <w:bookmarkStart w:id="1" w:name="_GoBack"/>
      <w:bookmarkEnd w:id="1"/>
      <w:r>
        <w:rPr>
          <w:rFonts w:ascii="Times New Roman" w:hAnsi="Times New Roman" w:eastAsia="仿宋_GB2312" w:cs="Times New Roman"/>
          <w:sz w:val="32"/>
          <w:szCs w:val="32"/>
        </w:rPr>
        <w:t>月1</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日</w:t>
      </w:r>
    </w:p>
    <w:p>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2022年度森林生态效益补偿项目绩效目标自评表</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1"/>
        <w:gridCol w:w="496"/>
        <w:gridCol w:w="1130"/>
        <w:gridCol w:w="1381"/>
        <w:gridCol w:w="1133"/>
        <w:gridCol w:w="1091"/>
        <w:gridCol w:w="1149"/>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2" w:type="pct"/>
            <w:gridSpan w:val="5"/>
            <w:vAlign w:val="center"/>
          </w:tcPr>
          <w:p>
            <w:pPr>
              <w:widowControl/>
              <w:spacing w:line="200" w:lineRule="exact"/>
              <w:jc w:val="center"/>
              <w:rPr>
                <w:color w:val="000000"/>
                <w:sz w:val="20"/>
                <w:szCs w:val="20"/>
              </w:rPr>
            </w:pPr>
            <w:r>
              <w:rPr>
                <w:color w:val="000000"/>
                <w:sz w:val="20"/>
                <w:szCs w:val="20"/>
              </w:rPr>
              <w:t>森林生态效益补偿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640"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507"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314"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497.03</w:t>
            </w:r>
          </w:p>
        </w:tc>
        <w:tc>
          <w:tcPr>
            <w:tcW w:w="1314" w:type="pct"/>
            <w:gridSpan w:val="2"/>
            <w:vAlign w:val="center"/>
          </w:tcPr>
          <w:p>
            <w:pPr>
              <w:widowControl/>
              <w:spacing w:line="200" w:lineRule="exact"/>
              <w:jc w:val="center"/>
              <w:rPr>
                <w:color w:val="000000"/>
                <w:sz w:val="20"/>
                <w:szCs w:val="20"/>
              </w:rPr>
            </w:pPr>
            <w:r>
              <w:rPr>
                <w:color w:val="000000"/>
                <w:sz w:val="20"/>
                <w:szCs w:val="20"/>
              </w:rPr>
              <w:t>492.4128</w:t>
            </w:r>
          </w:p>
        </w:tc>
        <w:tc>
          <w:tcPr>
            <w:tcW w:w="833" w:type="pct"/>
            <w:vAlign w:val="center"/>
          </w:tcPr>
          <w:p>
            <w:pPr>
              <w:widowControl/>
              <w:spacing w:line="200" w:lineRule="exact"/>
              <w:jc w:val="center"/>
              <w:rPr>
                <w:color w:val="000000"/>
                <w:sz w:val="20"/>
                <w:szCs w:val="20"/>
              </w:rPr>
            </w:pPr>
            <w:r>
              <w:rPr>
                <w:color w:val="000000"/>
                <w:sz w:val="20"/>
                <w:szCs w:val="20"/>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其中：中央、省补助</w:t>
            </w:r>
          </w:p>
        </w:tc>
        <w:tc>
          <w:tcPr>
            <w:tcW w:w="1133" w:type="dxa"/>
            <w:vAlign w:val="center"/>
          </w:tcPr>
          <w:p>
            <w:pPr>
              <w:widowControl/>
              <w:spacing w:line="200" w:lineRule="exact"/>
              <w:jc w:val="center"/>
              <w:rPr>
                <w:color w:val="000000"/>
                <w:sz w:val="20"/>
                <w:szCs w:val="20"/>
              </w:rPr>
            </w:pPr>
            <w:r>
              <w:rPr>
                <w:color w:val="000000"/>
                <w:sz w:val="20"/>
                <w:szCs w:val="20"/>
              </w:rPr>
              <w:t>497.03</w:t>
            </w:r>
          </w:p>
        </w:tc>
        <w:tc>
          <w:tcPr>
            <w:tcW w:w="2240" w:type="dxa"/>
            <w:gridSpan w:val="2"/>
            <w:vAlign w:val="center"/>
          </w:tcPr>
          <w:p>
            <w:pPr>
              <w:widowControl/>
              <w:spacing w:line="200" w:lineRule="exact"/>
              <w:jc w:val="center"/>
              <w:rPr>
                <w:color w:val="000000"/>
                <w:sz w:val="20"/>
                <w:szCs w:val="20"/>
              </w:rPr>
            </w:pPr>
            <w:r>
              <w:rPr>
                <w:color w:val="000000"/>
                <w:sz w:val="20"/>
                <w:szCs w:val="20"/>
              </w:rPr>
              <w:t>492.4128</w:t>
            </w:r>
          </w:p>
        </w:tc>
        <w:tc>
          <w:tcPr>
            <w:tcW w:w="1421" w:type="dxa"/>
            <w:vAlign w:val="center"/>
          </w:tcPr>
          <w:p>
            <w:pPr>
              <w:widowControl/>
              <w:spacing w:line="200" w:lineRule="exact"/>
              <w:jc w:val="center"/>
              <w:rPr>
                <w:color w:val="000000"/>
                <w:sz w:val="20"/>
                <w:szCs w:val="20"/>
              </w:rPr>
            </w:pPr>
            <w:r>
              <w:rPr>
                <w:color w:val="000000"/>
                <w:sz w:val="20"/>
                <w:szCs w:val="20"/>
              </w:rPr>
              <w:t>99.07%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7"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7"/>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314" w:type="pct"/>
            <w:gridSpan w:val="2"/>
            <w:vAlign w:val="center"/>
          </w:tcPr>
          <w:p>
            <w:pPr>
              <w:widowControl/>
              <w:spacing w:line="200" w:lineRule="exact"/>
              <w:jc w:val="center"/>
              <w:rPr>
                <w:color w:val="000000"/>
                <w:sz w:val="20"/>
                <w:szCs w:val="20"/>
              </w:rPr>
            </w:pP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47"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423"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对本县生态公益林实施森林生态效益补偿。</w:t>
            </w:r>
          </w:p>
        </w:tc>
        <w:tc>
          <w:tcPr>
            <w:tcW w:w="2147" w:type="pct"/>
            <w:gridSpan w:val="3"/>
            <w:vAlign w:val="center"/>
          </w:tcPr>
          <w:p>
            <w:pPr>
              <w:widowControl/>
              <w:spacing w:line="200" w:lineRule="exact"/>
              <w:rPr>
                <w:color w:val="000000"/>
                <w:sz w:val="20"/>
                <w:szCs w:val="20"/>
              </w:rPr>
            </w:pPr>
            <w:r>
              <w:rPr>
                <w:color w:val="000000"/>
                <w:sz w:val="20"/>
                <w:szCs w:val="20"/>
              </w:rPr>
              <w:t>完成全县31.06万亩生态公益林生态效益补偿。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640"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674"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833"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国家级公益林面积</w:t>
            </w:r>
          </w:p>
        </w:tc>
        <w:tc>
          <w:tcPr>
            <w:tcW w:w="640" w:type="pct"/>
            <w:vAlign w:val="center"/>
          </w:tcPr>
          <w:p>
            <w:pPr>
              <w:widowControl/>
              <w:spacing w:line="200" w:lineRule="exact"/>
              <w:jc w:val="center"/>
              <w:rPr>
                <w:color w:val="000000"/>
                <w:sz w:val="20"/>
                <w:szCs w:val="20"/>
              </w:rPr>
            </w:pPr>
            <w:r>
              <w:rPr>
                <w:color w:val="000000"/>
                <w:sz w:val="20"/>
                <w:szCs w:val="20"/>
              </w:rPr>
              <w:t>＝249263亩</w:t>
            </w:r>
          </w:p>
        </w:tc>
        <w:tc>
          <w:tcPr>
            <w:tcW w:w="674" w:type="pct"/>
            <w:vAlign w:val="center"/>
          </w:tcPr>
          <w:p>
            <w:pPr>
              <w:widowControl/>
              <w:spacing w:line="200" w:lineRule="exact"/>
              <w:jc w:val="center"/>
              <w:rPr>
                <w:color w:val="000000"/>
                <w:sz w:val="20"/>
                <w:szCs w:val="20"/>
              </w:rPr>
            </w:pPr>
            <w:r>
              <w:rPr>
                <w:color w:val="000000"/>
                <w:sz w:val="20"/>
                <w:szCs w:val="20"/>
              </w:rPr>
              <w:t>＝249263亩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color w:val="000000"/>
                <w:sz w:val="20"/>
                <w:szCs w:val="20"/>
              </w:rPr>
              <w:t>省级公益林面积</w:t>
            </w:r>
          </w:p>
        </w:tc>
        <w:tc>
          <w:tcPr>
            <w:tcW w:w="640" w:type="pct"/>
            <w:vAlign w:val="center"/>
          </w:tcPr>
          <w:p>
            <w:pPr>
              <w:widowControl/>
              <w:spacing w:line="200" w:lineRule="exact"/>
              <w:jc w:val="center"/>
              <w:rPr>
                <w:color w:val="000000"/>
                <w:sz w:val="20"/>
                <w:szCs w:val="20"/>
              </w:rPr>
            </w:pPr>
            <w:r>
              <w:rPr>
                <w:color w:val="000000"/>
                <w:sz w:val="20"/>
                <w:szCs w:val="20"/>
              </w:rPr>
              <w:t>＝61383亩</w:t>
            </w:r>
          </w:p>
        </w:tc>
        <w:tc>
          <w:tcPr>
            <w:tcW w:w="674" w:type="pct"/>
            <w:vAlign w:val="center"/>
          </w:tcPr>
          <w:p>
            <w:pPr>
              <w:widowControl/>
              <w:spacing w:line="200" w:lineRule="exact"/>
              <w:jc w:val="center"/>
              <w:rPr>
                <w:color w:val="000000"/>
                <w:sz w:val="20"/>
                <w:szCs w:val="20"/>
              </w:rPr>
            </w:pPr>
            <w:r>
              <w:rPr>
                <w:color w:val="000000"/>
                <w:sz w:val="20"/>
                <w:szCs w:val="20"/>
              </w:rPr>
              <w:t>＝61383亩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管护任务完成合格率</w:t>
            </w:r>
          </w:p>
        </w:tc>
        <w:tc>
          <w:tcPr>
            <w:tcW w:w="640" w:type="pct"/>
            <w:vAlign w:val="center"/>
          </w:tcPr>
          <w:p>
            <w:pPr>
              <w:widowControl/>
              <w:spacing w:line="200" w:lineRule="exact"/>
              <w:jc w:val="center"/>
              <w:rPr>
                <w:color w:val="000000"/>
                <w:sz w:val="20"/>
                <w:szCs w:val="20"/>
              </w:rPr>
            </w:pPr>
            <w:r>
              <w:rPr>
                <w:color w:val="000000"/>
                <w:sz w:val="20"/>
                <w:szCs w:val="20"/>
              </w:rPr>
              <w:t>≥90%</w:t>
            </w:r>
          </w:p>
        </w:tc>
        <w:tc>
          <w:tcPr>
            <w:tcW w:w="674" w:type="pct"/>
            <w:vAlign w:val="center"/>
          </w:tcPr>
          <w:p>
            <w:pPr>
              <w:widowControl/>
              <w:spacing w:line="200" w:lineRule="exact"/>
              <w:jc w:val="center"/>
              <w:rPr>
                <w:color w:val="000000"/>
                <w:sz w:val="20"/>
                <w:szCs w:val="20"/>
              </w:rPr>
            </w:pPr>
            <w:r>
              <w:rPr>
                <w:color w:val="000000"/>
                <w:sz w:val="20"/>
                <w:szCs w:val="20"/>
              </w:rPr>
              <w:t>≥92%;</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项目当期任务完成率</w:t>
            </w:r>
          </w:p>
        </w:tc>
        <w:tc>
          <w:tcPr>
            <w:tcW w:w="640" w:type="pct"/>
            <w:vAlign w:val="center"/>
          </w:tcPr>
          <w:p>
            <w:pPr>
              <w:widowControl/>
              <w:spacing w:line="200" w:lineRule="exact"/>
              <w:jc w:val="center"/>
              <w:rPr>
                <w:color w:val="000000"/>
                <w:sz w:val="20"/>
                <w:szCs w:val="20"/>
              </w:rPr>
            </w:pPr>
            <w:r>
              <w:rPr>
                <w:color w:val="000000"/>
                <w:sz w:val="20"/>
                <w:szCs w:val="20"/>
              </w:rPr>
              <w:t>＝100%</w:t>
            </w:r>
          </w:p>
        </w:tc>
        <w:tc>
          <w:tcPr>
            <w:tcW w:w="674" w:type="pct"/>
            <w:vAlign w:val="center"/>
          </w:tcPr>
          <w:p>
            <w:pPr>
              <w:widowControl/>
              <w:spacing w:line="200" w:lineRule="exact"/>
              <w:jc w:val="center"/>
              <w:rPr>
                <w:color w:val="000000"/>
                <w:sz w:val="20"/>
                <w:szCs w:val="20"/>
              </w:rPr>
            </w:pPr>
            <w:r>
              <w:rPr>
                <w:color w:val="000000"/>
                <w:sz w:val="20"/>
                <w:szCs w:val="20"/>
              </w:rPr>
              <w:t>＝100%</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补助标准</w:t>
            </w:r>
          </w:p>
        </w:tc>
        <w:tc>
          <w:tcPr>
            <w:tcW w:w="640" w:type="pct"/>
            <w:vAlign w:val="center"/>
          </w:tcPr>
          <w:p>
            <w:pPr>
              <w:widowControl/>
              <w:spacing w:line="200" w:lineRule="exact"/>
              <w:jc w:val="center"/>
              <w:rPr>
                <w:color w:val="000000"/>
                <w:sz w:val="20"/>
                <w:szCs w:val="20"/>
              </w:rPr>
            </w:pPr>
            <w:r>
              <w:rPr>
                <w:color w:val="000000"/>
                <w:sz w:val="20"/>
                <w:szCs w:val="20"/>
              </w:rPr>
              <w:t>≤16元/亩</w:t>
            </w:r>
          </w:p>
        </w:tc>
        <w:tc>
          <w:tcPr>
            <w:tcW w:w="674" w:type="pct"/>
            <w:vAlign w:val="center"/>
          </w:tcPr>
          <w:p>
            <w:pPr>
              <w:widowControl/>
              <w:spacing w:line="200" w:lineRule="exact"/>
              <w:jc w:val="center"/>
              <w:rPr>
                <w:color w:val="000000"/>
                <w:sz w:val="20"/>
                <w:szCs w:val="20"/>
              </w:rPr>
            </w:pPr>
            <w:r>
              <w:rPr>
                <w:color w:val="000000"/>
                <w:sz w:val="20"/>
                <w:szCs w:val="20"/>
              </w:rPr>
              <w:t>=16元/亩</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生态效益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ind w:firstLine="200" w:firstLineChars="100"/>
              <w:rPr>
                <w:color w:val="000000"/>
                <w:sz w:val="20"/>
                <w:szCs w:val="20"/>
              </w:rPr>
            </w:pPr>
            <w:r>
              <w:rPr>
                <w:color w:val="000000"/>
                <w:sz w:val="20"/>
                <w:szCs w:val="20"/>
              </w:rPr>
              <w:t>改善生态环境，促进林分结构改善</w:t>
            </w:r>
          </w:p>
        </w:tc>
        <w:tc>
          <w:tcPr>
            <w:tcW w:w="640" w:type="pct"/>
            <w:vAlign w:val="center"/>
          </w:tcPr>
          <w:p>
            <w:pPr>
              <w:widowControl/>
              <w:spacing w:line="200" w:lineRule="exact"/>
              <w:jc w:val="center"/>
              <w:rPr>
                <w:color w:val="000000"/>
                <w:sz w:val="20"/>
                <w:szCs w:val="20"/>
              </w:rPr>
            </w:pPr>
            <w:r>
              <w:rPr>
                <w:color w:val="000000"/>
                <w:sz w:val="20"/>
                <w:szCs w:val="20"/>
              </w:rPr>
              <w:t>优</w:t>
            </w:r>
          </w:p>
        </w:tc>
        <w:tc>
          <w:tcPr>
            <w:tcW w:w="674" w:type="pct"/>
            <w:vAlign w:val="center"/>
          </w:tcPr>
          <w:p>
            <w:pPr>
              <w:widowControl/>
              <w:spacing w:line="200" w:lineRule="exact"/>
              <w:jc w:val="center"/>
              <w:rPr>
                <w:color w:val="000000"/>
                <w:sz w:val="20"/>
                <w:szCs w:val="20"/>
              </w:rPr>
            </w:pPr>
            <w:r>
              <w:rPr>
                <w:color w:val="000000"/>
                <w:sz w:val="20"/>
                <w:szCs w:val="20"/>
              </w:rPr>
              <w:t>优</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社会效益</w:t>
            </w:r>
          </w:p>
          <w:p>
            <w:pPr>
              <w:widowControl/>
              <w:spacing w:line="200" w:lineRule="exact"/>
              <w:jc w:val="center"/>
              <w:textAlignment w:val="center"/>
              <w:rPr>
                <w:color w:val="000000"/>
                <w:sz w:val="20"/>
                <w:szCs w:val="20"/>
              </w:rPr>
            </w:pPr>
            <w:r>
              <w:rPr>
                <w:color w:val="000000"/>
                <w:kern w:val="0"/>
                <w:sz w:val="20"/>
                <w:szCs w:val="20"/>
              </w:rPr>
              <w:t>指标</w:t>
            </w:r>
          </w:p>
        </w:tc>
        <w:tc>
          <w:tcPr>
            <w:tcW w:w="1475" w:type="pct"/>
            <w:gridSpan w:val="2"/>
            <w:vAlign w:val="center"/>
          </w:tcPr>
          <w:p>
            <w:pPr>
              <w:widowControl/>
              <w:spacing w:line="200" w:lineRule="exact"/>
              <w:jc w:val="center"/>
              <w:rPr>
                <w:color w:val="000000"/>
                <w:sz w:val="20"/>
                <w:szCs w:val="20"/>
              </w:rPr>
            </w:pPr>
            <w:r>
              <w:rPr>
                <w:color w:val="000000"/>
                <w:sz w:val="20"/>
                <w:szCs w:val="20"/>
              </w:rPr>
              <w:t>增加就业人数</w:t>
            </w:r>
          </w:p>
        </w:tc>
        <w:tc>
          <w:tcPr>
            <w:tcW w:w="640" w:type="pct"/>
            <w:vAlign w:val="center"/>
          </w:tcPr>
          <w:p>
            <w:pPr>
              <w:widowControl/>
              <w:spacing w:line="200" w:lineRule="exact"/>
              <w:jc w:val="center"/>
              <w:rPr>
                <w:color w:val="000000"/>
                <w:sz w:val="20"/>
                <w:szCs w:val="20"/>
              </w:rPr>
            </w:pPr>
            <w:r>
              <w:rPr>
                <w:color w:val="000000"/>
                <w:sz w:val="20"/>
                <w:szCs w:val="20"/>
              </w:rPr>
              <w:t>≥1</w:t>
            </w:r>
            <w:r>
              <w:rPr>
                <w:rFonts w:hint="eastAsia"/>
                <w:color w:val="000000"/>
                <w:sz w:val="20"/>
                <w:szCs w:val="20"/>
              </w:rPr>
              <w:t>50</w:t>
            </w:r>
            <w:r>
              <w:rPr>
                <w:color w:val="000000"/>
                <w:sz w:val="20"/>
                <w:szCs w:val="20"/>
              </w:rPr>
              <w:t>人</w:t>
            </w:r>
          </w:p>
        </w:tc>
        <w:tc>
          <w:tcPr>
            <w:tcW w:w="674" w:type="pct"/>
            <w:vAlign w:val="center"/>
          </w:tcPr>
          <w:p>
            <w:pPr>
              <w:widowControl/>
              <w:spacing w:line="200" w:lineRule="exact"/>
              <w:jc w:val="center"/>
              <w:rPr>
                <w:color w:val="000000"/>
                <w:sz w:val="20"/>
                <w:szCs w:val="20"/>
              </w:rPr>
            </w:pPr>
            <w:r>
              <w:rPr>
                <w:rFonts w:hint="eastAsia"/>
                <w:color w:val="000000"/>
                <w:sz w:val="20"/>
                <w:szCs w:val="20"/>
              </w:rPr>
              <w:t>200</w:t>
            </w:r>
            <w:r>
              <w:rPr>
                <w:color w:val="000000"/>
                <w:sz w:val="20"/>
                <w:szCs w:val="20"/>
              </w:rPr>
              <w:t>人</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color w:val="000000"/>
                <w:kern w:val="0"/>
                <w:sz w:val="20"/>
                <w:szCs w:val="20"/>
              </w:rPr>
            </w:pPr>
            <w:r>
              <w:rPr>
                <w:color w:val="000000"/>
                <w:kern w:val="0"/>
                <w:sz w:val="20"/>
                <w:szCs w:val="20"/>
              </w:rPr>
              <w:t>服务对象</w:t>
            </w:r>
          </w:p>
          <w:p>
            <w:pPr>
              <w:widowControl/>
              <w:spacing w:line="200" w:lineRule="exact"/>
              <w:jc w:val="center"/>
              <w:textAlignment w:val="center"/>
              <w:rPr>
                <w:color w:val="000000"/>
                <w:sz w:val="20"/>
                <w:szCs w:val="20"/>
              </w:rPr>
            </w:pPr>
            <w:r>
              <w:rPr>
                <w:color w:val="000000"/>
                <w:kern w:val="0"/>
                <w:sz w:val="20"/>
                <w:szCs w:val="20"/>
              </w:rPr>
              <w:t>满意度指标</w:t>
            </w:r>
          </w:p>
        </w:tc>
        <w:tc>
          <w:tcPr>
            <w:tcW w:w="1475" w:type="pct"/>
            <w:gridSpan w:val="2"/>
            <w:vAlign w:val="center"/>
          </w:tcPr>
          <w:p>
            <w:pPr>
              <w:widowControl/>
              <w:spacing w:line="200" w:lineRule="exact"/>
              <w:jc w:val="center"/>
              <w:rPr>
                <w:color w:val="000000"/>
                <w:sz w:val="20"/>
                <w:szCs w:val="20"/>
              </w:rPr>
            </w:pPr>
            <w:r>
              <w:rPr>
                <w:color w:val="000000"/>
                <w:sz w:val="20"/>
                <w:szCs w:val="20"/>
              </w:rPr>
              <w:t>管护员满意度</w:t>
            </w:r>
          </w:p>
        </w:tc>
        <w:tc>
          <w:tcPr>
            <w:tcW w:w="640" w:type="pct"/>
            <w:vAlign w:val="center"/>
          </w:tcPr>
          <w:p>
            <w:pPr>
              <w:widowControl/>
              <w:spacing w:line="200" w:lineRule="exact"/>
              <w:jc w:val="center"/>
              <w:rPr>
                <w:color w:val="000000"/>
                <w:sz w:val="20"/>
                <w:szCs w:val="20"/>
              </w:rPr>
            </w:pPr>
            <w:r>
              <w:rPr>
                <w:color w:val="000000"/>
                <w:sz w:val="20"/>
                <w:szCs w:val="20"/>
              </w:rPr>
              <w:t>≥92%</w:t>
            </w:r>
          </w:p>
        </w:tc>
        <w:tc>
          <w:tcPr>
            <w:tcW w:w="674" w:type="pct"/>
            <w:vAlign w:val="center"/>
          </w:tcPr>
          <w:p>
            <w:pPr>
              <w:widowControl/>
              <w:spacing w:line="200" w:lineRule="exact"/>
              <w:jc w:val="center"/>
              <w:rPr>
                <w:color w:val="000000"/>
                <w:sz w:val="20"/>
                <w:szCs w:val="20"/>
              </w:rPr>
            </w:pPr>
            <w:r>
              <w:rPr>
                <w:color w:val="000000"/>
                <w:sz w:val="20"/>
                <w:szCs w:val="20"/>
              </w:rPr>
              <w:t>≥92%</w:t>
            </w:r>
          </w:p>
        </w:tc>
        <w:tc>
          <w:tcPr>
            <w:tcW w:w="833"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3"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6"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2022年度森林生态效益补偿项目支出绩效评价</w:t>
      </w:r>
      <w:r>
        <w:rPr>
          <w:rFonts w:hint="eastAsia" w:eastAsia="方正公文楷体"/>
          <w:color w:val="000000"/>
          <w:kern w:val="0"/>
          <w:sz w:val="24"/>
          <w:szCs w:val="24"/>
        </w:rPr>
        <w:t>自评得分表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397"/>
        <w:gridCol w:w="1109"/>
        <w:gridCol w:w="1109"/>
        <w:gridCol w:w="1175"/>
        <w:gridCol w:w="1296"/>
        <w:gridCol w:w="1128"/>
        <w:gridCol w:w="1181"/>
        <w:gridCol w:w="193"/>
        <w:gridCol w:w="203"/>
        <w:gridCol w:w="426"/>
        <w:gridCol w:w="489"/>
        <w:gridCol w:w="306"/>
        <w:gridCol w:w="183"/>
        <w:gridCol w:w="1235"/>
        <w:gridCol w:w="4070"/>
        <w:gridCol w:w="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22"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41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700" w:type="pct"/>
            <w:gridSpan w:val="9"/>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06"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17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b/>
                <w:bCs/>
                <w:kern w:val="0"/>
                <w:sz w:val="18"/>
                <w:szCs w:val="18"/>
              </w:rPr>
            </w:pPr>
          </w:p>
        </w:tc>
        <w:tc>
          <w:tcPr>
            <w:tcW w:w="127"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58"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418" w:type="pct"/>
            <w:vMerge w:val="continue"/>
            <w:vAlign w:val="center"/>
          </w:tcPr>
          <w:p>
            <w:pPr>
              <w:spacing w:line="400" w:lineRule="exact"/>
              <w:jc w:val="center"/>
              <w:rPr>
                <w:rFonts w:ascii="仿宋_GB2312" w:hAnsi="Arial Unicode MS" w:cs="Arial Unicode MS"/>
                <w:b/>
                <w:bCs/>
                <w:kern w:val="0"/>
                <w:sz w:val="18"/>
                <w:szCs w:val="18"/>
              </w:rPr>
            </w:pPr>
          </w:p>
        </w:tc>
        <w:tc>
          <w:tcPr>
            <w:tcW w:w="364"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1337" w:type="pct"/>
            <w:gridSpan w:val="8"/>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06" w:type="pct"/>
            <w:vMerge w:val="continue"/>
            <w:vAlign w:val="center"/>
          </w:tcPr>
          <w:p>
            <w:pPr>
              <w:spacing w:line="400" w:lineRule="exact"/>
              <w:rPr>
                <w:rFonts w:ascii="仿宋_GB2312" w:hAnsi="Arial Unicode MS" w:cs="Arial Unicode MS"/>
                <w:b/>
                <w:bCs/>
                <w:kern w:val="0"/>
                <w:sz w:val="18"/>
                <w:szCs w:val="18"/>
              </w:rPr>
            </w:pPr>
          </w:p>
        </w:tc>
        <w:tc>
          <w:tcPr>
            <w:tcW w:w="179"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400" w:lineRule="exact"/>
              <w:jc w:val="center"/>
              <w:rPr>
                <w:rFonts w:ascii="仿宋_GB2312" w:hAnsi="Arial Unicode MS" w:cs="Arial Unicode MS"/>
                <w:kern w:val="0"/>
                <w:sz w:val="18"/>
                <w:szCs w:val="18"/>
              </w:rPr>
            </w:pPr>
          </w:p>
        </w:tc>
        <w:tc>
          <w:tcPr>
            <w:tcW w:w="127"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58" w:type="pct"/>
            <w:vMerge w:val="continue"/>
            <w:vAlign w:val="center"/>
          </w:tcPr>
          <w:p>
            <w:pPr>
              <w:spacing w:line="400" w:lineRule="exact"/>
              <w:jc w:val="center"/>
              <w:rPr>
                <w:rFonts w:ascii="仿宋_GB2312" w:hAnsi="Arial Unicode MS" w:cs="Arial Unicode MS"/>
                <w:kern w:val="0"/>
                <w:sz w:val="18"/>
                <w:szCs w:val="18"/>
              </w:rPr>
            </w:pPr>
          </w:p>
        </w:tc>
        <w:tc>
          <w:tcPr>
            <w:tcW w:w="379" w:type="pct"/>
            <w:vMerge w:val="continue"/>
            <w:vAlign w:val="center"/>
          </w:tcPr>
          <w:p>
            <w:pPr>
              <w:spacing w:line="400" w:lineRule="exact"/>
              <w:jc w:val="center"/>
              <w:rPr>
                <w:rFonts w:ascii="仿宋_GB2312" w:hAnsi="Arial Unicode MS" w:cs="Arial Unicode MS"/>
                <w:kern w:val="0"/>
                <w:sz w:val="18"/>
                <w:szCs w:val="18"/>
              </w:rPr>
            </w:pPr>
          </w:p>
        </w:tc>
        <w:tc>
          <w:tcPr>
            <w:tcW w:w="418" w:type="pct"/>
            <w:vMerge w:val="continue"/>
            <w:vAlign w:val="center"/>
          </w:tcPr>
          <w:p>
            <w:pPr>
              <w:spacing w:line="400" w:lineRule="exact"/>
              <w:jc w:val="center"/>
              <w:rPr>
                <w:rFonts w:ascii="仿宋_GB2312" w:hAnsi="Arial Unicode MS" w:cs="Arial Unicode MS"/>
                <w:kern w:val="0"/>
                <w:sz w:val="18"/>
                <w:szCs w:val="18"/>
              </w:rPr>
            </w:pPr>
          </w:p>
        </w:tc>
        <w:tc>
          <w:tcPr>
            <w:tcW w:w="364" w:type="pct"/>
            <w:vMerge w:val="continue"/>
            <w:vAlign w:val="center"/>
          </w:tcPr>
          <w:p>
            <w:pPr>
              <w:spacing w:line="400" w:lineRule="exact"/>
              <w:jc w:val="center"/>
              <w:rPr>
                <w:rFonts w:ascii="仿宋_GB2312" w:hAnsi="Arial Unicode MS" w:cs="Arial Unicode MS"/>
                <w:kern w:val="0"/>
                <w:sz w:val="18"/>
                <w:szCs w:val="18"/>
              </w:rPr>
            </w:pPr>
          </w:p>
        </w:tc>
        <w:tc>
          <w:tcPr>
            <w:tcW w:w="381"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269" w:type="pct"/>
            <w:gridSpan w:val="3"/>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4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42" w:type="pct"/>
            <w:gridSpan w:val="2"/>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398"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06" w:type="pct"/>
            <w:vMerge w:val="continue"/>
            <w:vAlign w:val="center"/>
          </w:tcPr>
          <w:p>
            <w:pPr>
              <w:spacing w:line="400" w:lineRule="exact"/>
              <w:rPr>
                <w:rFonts w:ascii="仿宋_GB2312" w:hAnsi="Arial Unicode MS" w:cs="Arial Unicode MS"/>
                <w:kern w:val="0"/>
                <w:sz w:val="18"/>
                <w:szCs w:val="18"/>
              </w:rPr>
            </w:pPr>
          </w:p>
        </w:tc>
        <w:tc>
          <w:tcPr>
            <w:tcW w:w="179"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bookmarkStart w:id="0" w:name="OLE_LINK1" w:colFirst="13" w:colLast="13"/>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269" w:type="pct"/>
            <w:gridSpan w:val="3"/>
            <w:vAlign w:val="center"/>
          </w:tcPr>
          <w:p>
            <w:pPr>
              <w:spacing w:line="300" w:lineRule="exact"/>
              <w:jc w:val="center"/>
              <w:rPr>
                <w:rFonts w:ascii="仿宋_GB2312" w:hAnsi="Arial Unicode MS" w:cs="Arial Unicode MS"/>
                <w:kern w:val="0"/>
                <w:sz w:val="18"/>
                <w:szCs w:val="18"/>
              </w:rPr>
            </w:pPr>
          </w:p>
        </w:tc>
        <w:tc>
          <w:tcPr>
            <w:tcW w:w="147" w:type="pct"/>
            <w:vAlign w:val="center"/>
          </w:tcPr>
          <w:p>
            <w:pPr>
              <w:spacing w:line="300" w:lineRule="exact"/>
              <w:jc w:val="center"/>
              <w:rPr>
                <w:rFonts w:ascii="仿宋_GB2312" w:hAnsi="Arial Unicode MS" w:cs="Arial Unicode MS"/>
                <w:kern w:val="0"/>
                <w:sz w:val="18"/>
                <w:szCs w:val="18"/>
              </w:rPr>
            </w:pPr>
          </w:p>
        </w:tc>
        <w:tc>
          <w:tcPr>
            <w:tcW w:w="142" w:type="pct"/>
            <w:gridSpan w:val="2"/>
            <w:vAlign w:val="center"/>
          </w:tcPr>
          <w:p>
            <w:pPr>
              <w:spacing w:line="300" w:lineRule="exact"/>
              <w:jc w:val="center"/>
              <w:rPr>
                <w:rFonts w:ascii="仿宋_GB2312" w:hAnsi="Arial Unicode MS" w:cs="Arial Unicode MS"/>
                <w:kern w:val="0"/>
                <w:sz w:val="18"/>
                <w:szCs w:val="18"/>
              </w:rPr>
            </w:pP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269" w:type="pct"/>
            <w:gridSpan w:val="3"/>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4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42" w:type="pct"/>
            <w:gridSpan w:val="2"/>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民生保障项目</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区域均衡性</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项目资金分配体现的均衡公平情况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不均衡</w:t>
            </w:r>
          </w:p>
        </w:tc>
        <w:tc>
          <w:tcPr>
            <w:tcW w:w="416" w:type="pct"/>
            <w:gridSpan w:val="4"/>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较均衡</w:t>
            </w:r>
          </w:p>
        </w:tc>
        <w:tc>
          <w:tcPr>
            <w:tcW w:w="540" w:type="pct"/>
            <w:gridSpan w:val="3"/>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均衡</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按实际分配结果选择客观因素测算验证资金分配方法制定、分配要素设定、基础数据应用、测算依据选取等是否科学合理。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对象公平性</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项目资金分配结果是否公平合理，是否充分考虑地域条件、经济条件等</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38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不公平</w:t>
            </w:r>
          </w:p>
        </w:tc>
        <w:tc>
          <w:tcPr>
            <w:tcW w:w="127"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较差</w:t>
            </w:r>
          </w:p>
        </w:tc>
        <w:tc>
          <w:tcPr>
            <w:tcW w:w="289"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一般</w:t>
            </w:r>
          </w:p>
        </w:tc>
        <w:tc>
          <w:tcPr>
            <w:tcW w:w="142" w:type="pct"/>
            <w:gridSpan w:val="2"/>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较好</w:t>
            </w:r>
          </w:p>
        </w:tc>
        <w:tc>
          <w:tcPr>
            <w:tcW w:w="39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公平</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主要查看项目资金分配和实施结果是否体现公平公正性，是否存在明显的排他性和歧视性规定，是否做到大多数和少数的协调统一，统筹兼顾</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社会满意度</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相关群体满意度调查情况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27"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社会保障与就业</w:t>
            </w: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基础管理</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审核把关</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项目申报是否真实准确</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指标得分=基础数据真实客观的人数/项目受益总人数×100%*指标分值，基础数据真实客观的人数/项目受益总人数小于70%不得分</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主要查看项目受益人群的精准性和客观性，是否存在因制度机制缺陷或管理疏漏导致审核把关不严的情况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79"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对象覆盖全面</w:t>
            </w:r>
          </w:p>
        </w:tc>
        <w:tc>
          <w:tcPr>
            <w:tcW w:w="418"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项目区域范围内实施对象覆盖情况</w:t>
            </w:r>
          </w:p>
        </w:tc>
        <w:tc>
          <w:tcPr>
            <w:tcW w:w="364" w:type="pct"/>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分级评分法</w:t>
            </w:r>
          </w:p>
        </w:tc>
        <w:tc>
          <w:tcPr>
            <w:tcW w:w="443"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明显疏漏</w:t>
            </w:r>
          </w:p>
        </w:tc>
        <w:tc>
          <w:tcPr>
            <w:tcW w:w="443" w:type="pct"/>
            <w:gridSpan w:val="4"/>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基本覆盖</w:t>
            </w:r>
          </w:p>
        </w:tc>
        <w:tc>
          <w:tcPr>
            <w:tcW w:w="451" w:type="pct"/>
            <w:gridSpan w:val="2"/>
            <w:vAlign w:val="center"/>
          </w:tcPr>
          <w:p>
            <w:pPr>
              <w:spacing w:line="276" w:lineRule="auto"/>
              <w:jc w:val="center"/>
              <w:rPr>
                <w:rFonts w:ascii="仿宋_GB2312" w:hAnsi="Arial Unicode MS" w:cs="Arial Unicode MS"/>
                <w:sz w:val="15"/>
                <w:szCs w:val="15"/>
              </w:rPr>
            </w:pPr>
            <w:r>
              <w:rPr>
                <w:rFonts w:ascii="仿宋_GB2312" w:hAnsi="Arial Unicode MS" w:cs="Arial Unicode MS"/>
                <w:sz w:val="15"/>
                <w:szCs w:val="15"/>
              </w:rPr>
              <w:t>全覆盖</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sz w:val="15"/>
                <w:szCs w:val="15"/>
              </w:rPr>
              <w:t>主要查看项目实施对相关群体覆盖的情况，是否充分考虑到主要群体和特殊个体的统一，做到全面覆盖。</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资金使用率</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项目资金支付使用情况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指标得分=资金实际使用金额/资金实际拨付金额×100%*指标分值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主要查看财政资金实际支付使用，是否存在因制度机制、操作流程、管理疏漏、数据缺失等导致的资金结余，闲置浪费的情况</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rPr>
                <w:rFonts w:ascii="仿宋_GB2312" w:hAnsi="Arial Unicode MS" w:cs="Arial Unicode MS"/>
                <w:kern w:val="0"/>
                <w:sz w:val="18"/>
                <w:szCs w:val="18"/>
              </w:rPr>
            </w:pP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41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06"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5" w:type="pct"/>
            <w:vMerge w:val="continue"/>
            <w:vAlign w:val="center"/>
          </w:tcPr>
          <w:p>
            <w:pPr>
              <w:spacing w:line="300" w:lineRule="exact"/>
              <w:jc w:val="center"/>
              <w:rPr>
                <w:rFonts w:ascii="仿宋_GB2312" w:hAnsi="Arial Unicode MS" w:cs="Arial Unicode MS"/>
                <w:kern w:val="0"/>
                <w:sz w:val="18"/>
                <w:szCs w:val="18"/>
              </w:rPr>
            </w:pPr>
          </w:p>
        </w:tc>
        <w:tc>
          <w:tcPr>
            <w:tcW w:w="127" w:type="pct"/>
            <w:vMerge w:val="continue"/>
            <w:vAlign w:val="center"/>
          </w:tcPr>
          <w:p>
            <w:pPr>
              <w:spacing w:line="300" w:lineRule="exact"/>
              <w:jc w:val="center"/>
              <w:rPr>
                <w:rFonts w:ascii="仿宋_GB2312" w:hAnsi="Arial Unicode MS" w:cs="Arial Unicode MS"/>
                <w:kern w:val="0"/>
                <w:sz w:val="18"/>
                <w:szCs w:val="18"/>
              </w:rPr>
            </w:pPr>
          </w:p>
        </w:tc>
        <w:tc>
          <w:tcPr>
            <w:tcW w:w="358" w:type="pct"/>
            <w:vMerge w:val="continue"/>
            <w:vAlign w:val="center"/>
          </w:tcPr>
          <w:p>
            <w:pPr>
              <w:spacing w:line="300" w:lineRule="exact"/>
              <w:jc w:val="center"/>
              <w:rPr>
                <w:rFonts w:ascii="仿宋_GB2312" w:hAnsi="Arial Unicode MS" w:cs="Arial Unicode MS"/>
                <w:kern w:val="0"/>
                <w:sz w:val="18"/>
                <w:szCs w:val="18"/>
              </w:rPr>
            </w:pPr>
          </w:p>
        </w:tc>
        <w:tc>
          <w:tcPr>
            <w:tcW w:w="35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完成质量</w:t>
            </w:r>
          </w:p>
        </w:tc>
        <w:tc>
          <w:tcPr>
            <w:tcW w:w="3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质量达标</w:t>
            </w:r>
          </w:p>
        </w:tc>
        <w:tc>
          <w:tcPr>
            <w:tcW w:w="418"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考核森林管护质量符合验收标准</w:t>
            </w:r>
          </w:p>
        </w:tc>
        <w:tc>
          <w:tcPr>
            <w:tcW w:w="364"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1337" w:type="pct"/>
            <w:gridSpan w:val="8"/>
            <w:vAlign w:val="center"/>
          </w:tcPr>
          <w:p>
            <w:pPr>
              <w:spacing w:line="276" w:lineRule="auto"/>
              <w:jc w:val="center"/>
              <w:rPr>
                <w:rFonts w:ascii="仿宋_GB2312" w:hAnsi="Arial Unicode MS" w:cs="Arial Unicode MS"/>
                <w:sz w:val="15"/>
                <w:szCs w:val="15"/>
              </w:rPr>
            </w:pPr>
            <w:r>
              <w:rPr>
                <w:rFonts w:ascii="仿宋_GB2312" w:hAnsi="Arial Unicode MS" w:cs="Arial Unicode MS"/>
                <w:kern w:val="0"/>
                <w:sz w:val="18"/>
                <w:szCs w:val="18"/>
              </w:rPr>
              <w:t>指标得分=项目达标数/实施项目总数*100%*指标分值</w:t>
            </w:r>
          </w:p>
        </w:tc>
        <w:tc>
          <w:tcPr>
            <w:tcW w:w="1306" w:type="pct"/>
            <w:vAlign w:val="center"/>
          </w:tcPr>
          <w:p>
            <w:pPr>
              <w:spacing w:line="276" w:lineRule="auto"/>
              <w:rPr>
                <w:rFonts w:ascii="仿宋_GB2312" w:hAnsi="Arial Unicode MS" w:cs="Arial Unicode MS"/>
                <w:sz w:val="15"/>
                <w:szCs w:val="15"/>
              </w:rPr>
            </w:pPr>
            <w:r>
              <w:rPr>
                <w:rFonts w:ascii="仿宋_GB2312" w:hAnsi="Arial Unicode MS" w:cs="Arial Unicode MS"/>
                <w:kern w:val="0"/>
                <w:sz w:val="18"/>
                <w:szCs w:val="18"/>
              </w:rPr>
              <w:t>质量达标率＞100时按100%计算，当质量达标率＜90%时，不得分。</w:t>
            </w:r>
          </w:p>
        </w:tc>
        <w:tc>
          <w:tcPr>
            <w:tcW w:w="179"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821" w:type="pct"/>
            <w:gridSpan w:val="16"/>
            <w:vAlign w:val="center"/>
          </w:tcPr>
          <w:p>
            <w:pPr>
              <w:spacing w:line="276" w:lineRule="auto"/>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179"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98.5</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0"/>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8"/>
                </w:pPr>
                <w:r>
                  <w:fldChar w:fldCharType="begin"/>
                </w:r>
                <w:r>
                  <w:instrText xml:space="preserve"> PAGE  \* MERGEFORMAT </w:instrText>
                </w:r>
                <w:r>
                  <w:fldChar w:fldCharType="separate"/>
                </w:r>
                <w:r>
                  <w:t>- 3 -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EAF8F92-5B0E-4D9A-9295-4BFD4A967ED8}" w:val="KUr9E1jDwoctlTxO78vqBJIM23/+6g0CQSWey4p=PHafNzhkLRYZiAVun5bsmFdXG"/>
    <w:docVar w:name="commondata" w:val="eyJoZGlkIjoiZTgxNTJkNDk3ZTBmZDg5MTJhMDY2NzllNjYwMWY1MWMifQ=="/>
    <w:docVar w:name="DocumentID" w:val="{4136F846-F1DF-4842-8D0D-32D95C9BCBAC}"/>
  </w:docVars>
  <w:rsids>
    <w:rsidRoot w:val="0B0634F0"/>
    <w:rsid w:val="0014252C"/>
    <w:rsid w:val="001A5359"/>
    <w:rsid w:val="002F4EDE"/>
    <w:rsid w:val="0035442F"/>
    <w:rsid w:val="003D5303"/>
    <w:rsid w:val="004662CA"/>
    <w:rsid w:val="00472D10"/>
    <w:rsid w:val="004B0321"/>
    <w:rsid w:val="00796703"/>
    <w:rsid w:val="00954317"/>
    <w:rsid w:val="0095729A"/>
    <w:rsid w:val="00AE51E3"/>
    <w:rsid w:val="00BC5518"/>
    <w:rsid w:val="00D06549"/>
    <w:rsid w:val="00D80C71"/>
    <w:rsid w:val="00E13A44"/>
    <w:rsid w:val="00EC5126"/>
    <w:rsid w:val="00F47E92"/>
    <w:rsid w:val="0B0634F0"/>
    <w:rsid w:val="19E32190"/>
    <w:rsid w:val="2101264B"/>
    <w:rsid w:val="3E0844C2"/>
    <w:rsid w:val="402D539C"/>
    <w:rsid w:val="50643591"/>
    <w:rsid w:val="58102D59"/>
    <w:rsid w:val="5B631F7E"/>
    <w:rsid w:val="5F021EAC"/>
    <w:rsid w:val="60F04042"/>
    <w:rsid w:val="63335D92"/>
    <w:rsid w:val="6D106ACA"/>
    <w:rsid w:val="6DED6A5F"/>
    <w:rsid w:val="6E881A5B"/>
    <w:rsid w:val="6ECB3C21"/>
    <w:rsid w:val="755624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8"/>
    <w:qFormat/>
    <w:uiPriority w:val="0"/>
    <w:pPr>
      <w:keepNext/>
      <w:keepLines/>
      <w:spacing w:before="340" w:after="330" w:line="576" w:lineRule="auto"/>
      <w:outlineLvl w:val="0"/>
    </w:pPr>
    <w:rPr>
      <w:b/>
      <w:kern w:val="44"/>
      <w:sz w:val="44"/>
    </w:rPr>
  </w:style>
  <w:style w:type="paragraph" w:styleId="4">
    <w:name w:val="heading 2"/>
    <w:basedOn w:val="1"/>
    <w:next w:val="1"/>
    <w:link w:val="19"/>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Indent"/>
    <w:basedOn w:val="1"/>
    <w:next w:val="8"/>
    <w:semiHidden/>
    <w:unhideWhenUsed/>
    <w:qFormat/>
    <w:uiPriority w:val="99"/>
    <w:pPr>
      <w:spacing w:after="120"/>
      <w:ind w:left="420" w:leftChars="200"/>
    </w:p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7"/>
    <w:next w:val="6"/>
    <w:qFormat/>
    <w:uiPriority w:val="0"/>
    <w:pPr>
      <w:spacing w:after="0" w:line="440" w:lineRule="exact"/>
      <w:ind w:left="0" w:leftChars="0" w:firstLine="420" w:firstLineChars="200"/>
    </w:pPr>
    <w:rPr>
      <w:rFonts w:ascii="仿宋_GB2312"/>
    </w:rPr>
  </w:style>
  <w:style w:type="table" w:styleId="14">
    <w:name w:val="Table Grid"/>
    <w:basedOn w:val="13"/>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style>
  <w:style w:type="character" w:customStyle="1" w:styleId="17">
    <w:name w:val="font01"/>
    <w:basedOn w:val="15"/>
    <w:qFormat/>
    <w:uiPriority w:val="0"/>
    <w:rPr>
      <w:rFonts w:hint="eastAsia" w:ascii="宋体" w:hAnsi="宋体" w:eastAsia="宋体" w:cs="宋体"/>
      <w:color w:val="000000"/>
      <w:sz w:val="16"/>
      <w:szCs w:val="16"/>
      <w:u w:val="none"/>
    </w:rPr>
  </w:style>
  <w:style w:type="character" w:customStyle="1" w:styleId="18">
    <w:name w:val="标题 1 Char"/>
    <w:link w:val="3"/>
    <w:qFormat/>
    <w:uiPriority w:val="0"/>
    <w:rPr>
      <w:b/>
      <w:kern w:val="44"/>
      <w:sz w:val="44"/>
    </w:rPr>
  </w:style>
  <w:style w:type="character" w:customStyle="1" w:styleId="19">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3886</Words>
  <Characters>4228</Characters>
  <Lines>33</Lines>
  <Paragraphs>9</Paragraphs>
  <TotalTime>10</TotalTime>
  <ScaleCrop>false</ScaleCrop>
  <LinksUpToDate>false</LinksUpToDate>
  <CharactersWithSpaces>4241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2023-10-17T02:13:32Z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