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年度生态护林员</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沐川县森林植被丰富，全县林地面积161万亩，森林覆盖率高达77.34%，其中集体和个人所有的生态公益林面积53.07万亩，涉及19个乡镇，190多个村。为切实加强森林资源管理，保护生态建设成果，我县积极利用生态补偿和生态保护工程资金解决部分贫困人口兼职生态护林员。</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总体目标是实现“山有人管、林有人护、火有人防、责有人担”的总体要求，更好保障我县森林资源安全。2022年的具体目标为：根据《四川省财政厅四川省林业和草原局关于下达2022年中央财政林业草原生态保护恢复资金预算(第一批)的通知》（川财资环〔2022〕35号），下达我县生态护林员补助167万元，任务为生态护林员不低于167人，对生态护林员进行网格化管理，日常巡查覆盖率≥95%</w:t>
      </w:r>
      <w:r>
        <w:rPr>
          <w:rFonts w:hint="eastAsia" w:ascii="Times New Roman" w:hAnsi="Times New Roman" w:eastAsia="仿宋_GB2312" w:cs="Times New Roman"/>
          <w:sz w:val="32"/>
          <w:szCs w:val="32"/>
        </w:rPr>
        <w:t>。</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1、资金计划及到位。《四川省财政厅四川省林业和草原局关于下达2022年中央财政林业草原生态保护恢复资金预算(第一批)的通知》（川财资环〔2022〕35号），下达我县生态护林员补助167万元，资金下达率100%。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w:t>
      </w:r>
      <w:r>
        <w:rPr>
          <w:rFonts w:hint="eastAsia" w:ascii="Times New Roman" w:hAnsi="Times New Roman" w:eastAsia="仿宋_GB2312" w:cs="Times New Roman"/>
          <w:sz w:val="32"/>
          <w:szCs w:val="32"/>
        </w:rPr>
        <w:t>2022年12月底</w:t>
      </w:r>
      <w:r>
        <w:rPr>
          <w:rFonts w:ascii="Times New Roman" w:hAnsi="Times New Roman" w:eastAsia="仿宋_GB2312" w:cs="Times New Roman"/>
          <w:sz w:val="32"/>
          <w:szCs w:val="32"/>
        </w:rPr>
        <w:t>项目资金的实际支出146.12万元，资金开支范围、标准及支付进度严格按照规定，支付依据合规合法，资金支付与预算相符。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项目预算批复资金为167万元，按照每月400元/人的标准，每季度发放，资金实际支付为146.12万元，预算执行率87.5%，资金主要用于生态护林员的管护劳务报酬等支出。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在脱贫人口中续聘生态护林员609名，对所在区域内的森林进行管护。</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1、数量指标：在脱贫人口中续聘生态护林员609名，以下为具体乡镇人数：</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695"/>
        <w:gridCol w:w="1758"/>
        <w:gridCol w:w="235"/>
        <w:gridCol w:w="769"/>
        <w:gridCol w:w="1678"/>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序号</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乡镇名称</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护林员人数</w:t>
            </w:r>
          </w:p>
        </w:tc>
        <w:tc>
          <w:tcPr>
            <w:tcW w:w="138" w:type="pct"/>
            <w:vMerge w:val="restart"/>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序号</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乡镇名称</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护林员人数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沐溪镇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82</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8</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底堡乡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2</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大楠镇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72</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9</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杨村乡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箭板镇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32</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10</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高笋乡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舟坝镇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45</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11</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茨竹乡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5</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黄丹镇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40</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12</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武圣乡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6</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利店镇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67</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13</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永福镇</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7</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富新镇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40</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14</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合计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609</w:t>
            </w:r>
          </w:p>
        </w:tc>
      </w:tr>
    </w:tbl>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2、质量指标：日常巡查覆盖率≥95%。</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3、时效指标：生态护林员补助兑现率≥85%，管护时间为2022年1月5日至2022年12月31日。</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4、成本指标：400元/人/月，由乡镇人民政府委托村两委与生态护林员签订管护劳务协议。</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5、满意度指标：护林员满意度≥92%。</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将全县609名护林员管护区域分解落实到山头地块，确保山有人管，绿有人护，每名护林员均安装并上线使用熊猫护林员APP，据实填写巡山记录，并积极参与森防卡口值班检查，指导全县609名护林员熟练使用“数字熊猫监测”即报系统，加大森林防火巡护力度，重点时段在护林员巡护的基础上增加村组干部巡护，发现火灾隐患及时正确处置。</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护林员对森林进行管护，确保山有人管，绿有人护，减少了森林火灾、乱砍滥伐、偷捕盗猎的现象，项目的实施，增加就业岗位609个，建档立卡人口护林员年收入增加，减轻了生活负担。</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2022年度项目自评得分为98.5分，每年绩效目标与预算同步批复、同步公开。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附件：1.2022年度生态护林员项目绩效目标自评表</w:t>
      </w:r>
    </w:p>
    <w:p>
      <w:pPr>
        <w:pStyle w:val="11"/>
        <w:spacing w:line="360" w:lineRule="auto"/>
        <w:ind w:left="960" w:leftChars="3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2.2022年度生态护林员项目支出绩效评价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w:t>
      </w:r>
      <w:bookmarkStart w:id="0" w:name="_GoBack"/>
      <w:bookmarkEnd w:id="0"/>
      <w:r>
        <w:rPr>
          <w:rFonts w:ascii="Times New Roman" w:hAnsi="Times New Roman" w:eastAsia="仿宋_GB2312" w:cs="Times New Roman"/>
          <w:sz w:val="32"/>
          <w:szCs w:val="32"/>
        </w:rPr>
        <w:t>县林业局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2023年7月15日</w:t>
      </w:r>
    </w:p>
    <w:p>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2022年度生态护林员项目绩效目标自评表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96"/>
        <w:gridCol w:w="1130"/>
        <w:gridCol w:w="1381"/>
        <w:gridCol w:w="1133"/>
        <w:gridCol w:w="1091"/>
        <w:gridCol w:w="1149"/>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2" w:type="pct"/>
            <w:gridSpan w:val="5"/>
            <w:vAlign w:val="center"/>
          </w:tcPr>
          <w:p>
            <w:pPr>
              <w:widowControl/>
              <w:spacing w:line="200" w:lineRule="exact"/>
              <w:jc w:val="center"/>
              <w:rPr>
                <w:color w:val="000000"/>
                <w:sz w:val="20"/>
                <w:szCs w:val="20"/>
              </w:rPr>
            </w:pPr>
            <w:r>
              <w:rPr>
                <w:color w:val="000000"/>
                <w:sz w:val="20"/>
                <w:szCs w:val="20"/>
              </w:rPr>
              <w:t>生态护林员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7"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167</w:t>
            </w:r>
          </w:p>
        </w:tc>
        <w:tc>
          <w:tcPr>
            <w:tcW w:w="1314" w:type="pct"/>
            <w:gridSpan w:val="2"/>
            <w:vAlign w:val="center"/>
          </w:tcPr>
          <w:p>
            <w:pPr>
              <w:widowControl/>
              <w:spacing w:line="200" w:lineRule="exact"/>
              <w:jc w:val="center"/>
              <w:rPr>
                <w:color w:val="000000"/>
                <w:sz w:val="20"/>
                <w:szCs w:val="20"/>
              </w:rPr>
            </w:pPr>
            <w:r>
              <w:rPr>
                <w:color w:val="000000"/>
                <w:sz w:val="20"/>
                <w:szCs w:val="20"/>
              </w:rPr>
              <w:t>146.12</w:t>
            </w:r>
          </w:p>
        </w:tc>
        <w:tc>
          <w:tcPr>
            <w:tcW w:w="833" w:type="pct"/>
            <w:vAlign w:val="center"/>
          </w:tcPr>
          <w:p>
            <w:pPr>
              <w:widowControl/>
              <w:spacing w:line="200" w:lineRule="exact"/>
              <w:jc w:val="center"/>
              <w:rPr>
                <w:color w:val="000000"/>
                <w:sz w:val="20"/>
                <w:szCs w:val="20"/>
              </w:rPr>
            </w:pPr>
            <w:r>
              <w:rPr>
                <w:color w:val="000000"/>
                <w:sz w:val="20"/>
                <w:szCs w:val="20"/>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1133" w:type="dxa"/>
            <w:vAlign w:val="center"/>
          </w:tcPr>
          <w:p>
            <w:pPr>
              <w:widowControl/>
              <w:spacing w:line="200" w:lineRule="exact"/>
              <w:jc w:val="center"/>
              <w:rPr>
                <w:color w:val="000000"/>
                <w:sz w:val="20"/>
                <w:szCs w:val="20"/>
              </w:rPr>
            </w:pPr>
            <w:r>
              <w:rPr>
                <w:color w:val="000000"/>
                <w:sz w:val="20"/>
                <w:szCs w:val="20"/>
              </w:rPr>
              <w:t>167</w:t>
            </w:r>
          </w:p>
        </w:tc>
        <w:tc>
          <w:tcPr>
            <w:tcW w:w="2240" w:type="dxa"/>
            <w:gridSpan w:val="2"/>
            <w:vAlign w:val="center"/>
          </w:tcPr>
          <w:p>
            <w:pPr>
              <w:widowControl/>
              <w:spacing w:line="200" w:lineRule="exact"/>
              <w:jc w:val="center"/>
              <w:rPr>
                <w:color w:val="000000"/>
                <w:sz w:val="20"/>
                <w:szCs w:val="20"/>
              </w:rPr>
            </w:pPr>
            <w:r>
              <w:rPr>
                <w:color w:val="000000"/>
                <w:sz w:val="20"/>
                <w:szCs w:val="20"/>
              </w:rPr>
              <w:t>146.12</w:t>
            </w:r>
          </w:p>
        </w:tc>
        <w:tc>
          <w:tcPr>
            <w:tcW w:w="833" w:type="pct"/>
            <w:vAlign w:val="center"/>
          </w:tcPr>
          <w:p>
            <w:pPr>
              <w:widowControl/>
              <w:spacing w:line="200" w:lineRule="exact"/>
              <w:jc w:val="center"/>
              <w:rPr>
                <w:color w:val="000000"/>
                <w:sz w:val="20"/>
                <w:szCs w:val="20"/>
              </w:rPr>
            </w:pPr>
            <w:r>
              <w:rPr>
                <w:color w:val="000000"/>
                <w:sz w:val="20"/>
                <w:szCs w:val="20"/>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7"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实现“山有人管、林有人护、火有人防、责有人担”的总体要求，更好保障我县森林资源安全。</w:t>
            </w:r>
          </w:p>
        </w:tc>
        <w:tc>
          <w:tcPr>
            <w:tcW w:w="2147" w:type="pct"/>
            <w:gridSpan w:val="3"/>
            <w:vAlign w:val="center"/>
          </w:tcPr>
          <w:p>
            <w:pPr>
              <w:widowControl/>
              <w:spacing w:line="200" w:lineRule="exact"/>
              <w:rPr>
                <w:color w:val="000000"/>
                <w:sz w:val="20"/>
                <w:szCs w:val="20"/>
              </w:rPr>
            </w:pPr>
            <w:r>
              <w:rPr>
                <w:color w:val="000000"/>
                <w:sz w:val="20"/>
                <w:szCs w:val="20"/>
              </w:rPr>
              <w:t>在脱贫人口中续聘生态护林员609名，对所在区域内的森林进行管护。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74"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生态护林员</w:t>
            </w:r>
          </w:p>
        </w:tc>
        <w:tc>
          <w:tcPr>
            <w:tcW w:w="640" w:type="pct"/>
            <w:vAlign w:val="center"/>
          </w:tcPr>
          <w:p>
            <w:pPr>
              <w:widowControl/>
              <w:spacing w:line="200" w:lineRule="exact"/>
              <w:jc w:val="center"/>
              <w:rPr>
                <w:color w:val="000000"/>
                <w:sz w:val="20"/>
                <w:szCs w:val="20"/>
              </w:rPr>
            </w:pPr>
            <w:r>
              <w:rPr>
                <w:color w:val="000000"/>
                <w:sz w:val="20"/>
                <w:szCs w:val="20"/>
              </w:rPr>
              <w:t>≥167人</w:t>
            </w:r>
          </w:p>
        </w:tc>
        <w:tc>
          <w:tcPr>
            <w:tcW w:w="674" w:type="pct"/>
            <w:vAlign w:val="center"/>
          </w:tcPr>
          <w:p>
            <w:pPr>
              <w:widowControl/>
              <w:spacing w:line="200" w:lineRule="exact"/>
              <w:jc w:val="center"/>
              <w:rPr>
                <w:color w:val="000000"/>
                <w:sz w:val="20"/>
                <w:szCs w:val="20"/>
              </w:rPr>
            </w:pPr>
            <w:r>
              <w:rPr>
                <w:color w:val="000000"/>
                <w:sz w:val="20"/>
                <w:szCs w:val="20"/>
              </w:rPr>
              <w:t>＝609人</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日常巡查覆盖率</w:t>
            </w:r>
          </w:p>
        </w:tc>
        <w:tc>
          <w:tcPr>
            <w:tcW w:w="640" w:type="pct"/>
            <w:vAlign w:val="center"/>
          </w:tcPr>
          <w:p>
            <w:pPr>
              <w:widowControl/>
              <w:spacing w:line="200" w:lineRule="exact"/>
              <w:jc w:val="center"/>
              <w:rPr>
                <w:color w:val="000000"/>
                <w:sz w:val="20"/>
                <w:szCs w:val="20"/>
              </w:rPr>
            </w:pPr>
            <w:r>
              <w:rPr>
                <w:color w:val="000000"/>
                <w:sz w:val="20"/>
                <w:szCs w:val="20"/>
              </w:rPr>
              <w:t>≥95%</w:t>
            </w:r>
          </w:p>
        </w:tc>
        <w:tc>
          <w:tcPr>
            <w:tcW w:w="674" w:type="pct"/>
            <w:vAlign w:val="center"/>
          </w:tcPr>
          <w:p>
            <w:pPr>
              <w:widowControl/>
              <w:spacing w:line="200" w:lineRule="exact"/>
              <w:jc w:val="center"/>
              <w:rPr>
                <w:color w:val="000000"/>
                <w:sz w:val="20"/>
                <w:szCs w:val="20"/>
              </w:rPr>
            </w:pPr>
            <w:r>
              <w:rPr>
                <w:color w:val="000000"/>
                <w:sz w:val="20"/>
                <w:szCs w:val="20"/>
              </w:rPr>
              <w:t>≥96%;</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管护开展时间</w:t>
            </w:r>
          </w:p>
        </w:tc>
        <w:tc>
          <w:tcPr>
            <w:tcW w:w="640" w:type="pct"/>
            <w:vAlign w:val="center"/>
          </w:tcPr>
          <w:p>
            <w:pPr>
              <w:widowControl/>
              <w:spacing w:line="200" w:lineRule="exact"/>
              <w:jc w:val="center"/>
              <w:rPr>
                <w:color w:val="000000"/>
                <w:sz w:val="20"/>
                <w:szCs w:val="20"/>
              </w:rPr>
            </w:pPr>
            <w:r>
              <w:rPr>
                <w:color w:val="000000"/>
                <w:sz w:val="20"/>
                <w:szCs w:val="20"/>
              </w:rPr>
              <w:t>2022年全年</w:t>
            </w:r>
          </w:p>
        </w:tc>
        <w:tc>
          <w:tcPr>
            <w:tcW w:w="674" w:type="pct"/>
            <w:vAlign w:val="center"/>
          </w:tcPr>
          <w:p>
            <w:pPr>
              <w:widowControl/>
              <w:spacing w:line="200" w:lineRule="exact"/>
              <w:jc w:val="center"/>
              <w:rPr>
                <w:color w:val="000000"/>
                <w:sz w:val="20"/>
                <w:szCs w:val="20"/>
              </w:rPr>
            </w:pPr>
            <w:r>
              <w:rPr>
                <w:color w:val="000000"/>
                <w:sz w:val="20"/>
                <w:szCs w:val="20"/>
              </w:rPr>
              <w:t>2022年全年</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补助标准</w:t>
            </w:r>
          </w:p>
        </w:tc>
        <w:tc>
          <w:tcPr>
            <w:tcW w:w="640" w:type="pct"/>
            <w:vAlign w:val="center"/>
          </w:tcPr>
          <w:p>
            <w:pPr>
              <w:widowControl/>
              <w:spacing w:line="200" w:lineRule="exact"/>
              <w:jc w:val="center"/>
              <w:rPr>
                <w:color w:val="000000"/>
                <w:sz w:val="20"/>
                <w:szCs w:val="20"/>
              </w:rPr>
            </w:pPr>
            <w:r>
              <w:rPr>
                <w:color w:val="000000"/>
                <w:sz w:val="20"/>
                <w:szCs w:val="20"/>
              </w:rPr>
              <w:t>＝400元/人/月</w:t>
            </w:r>
          </w:p>
        </w:tc>
        <w:tc>
          <w:tcPr>
            <w:tcW w:w="674" w:type="pct"/>
            <w:vAlign w:val="center"/>
          </w:tcPr>
          <w:p>
            <w:pPr>
              <w:widowControl/>
              <w:spacing w:line="200" w:lineRule="exact"/>
              <w:jc w:val="center"/>
              <w:rPr>
                <w:color w:val="000000"/>
                <w:sz w:val="20"/>
                <w:szCs w:val="20"/>
              </w:rPr>
            </w:pPr>
            <w:r>
              <w:rPr>
                <w:color w:val="000000"/>
                <w:sz w:val="20"/>
                <w:szCs w:val="20"/>
              </w:rPr>
              <w:t>＝400元/人/月</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减少森林火灾、乱砍滥伐</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sz w:val="20"/>
                <w:szCs w:val="20"/>
              </w:rPr>
            </w:pPr>
          </w:p>
        </w:tc>
        <w:tc>
          <w:tcPr>
            <w:tcW w:w="1475" w:type="pct"/>
            <w:gridSpan w:val="2"/>
            <w:vAlign w:val="center"/>
          </w:tcPr>
          <w:p>
            <w:pPr>
              <w:widowControl/>
              <w:spacing w:line="200" w:lineRule="exact"/>
              <w:jc w:val="center"/>
              <w:rPr>
                <w:sz w:val="20"/>
                <w:szCs w:val="20"/>
              </w:rPr>
            </w:pPr>
            <w:r>
              <w:rPr>
                <w:sz w:val="20"/>
                <w:szCs w:val="20"/>
              </w:rPr>
              <w:t>解决就业岗位</w:t>
            </w:r>
          </w:p>
        </w:tc>
        <w:tc>
          <w:tcPr>
            <w:tcW w:w="640" w:type="pct"/>
            <w:vAlign w:val="center"/>
          </w:tcPr>
          <w:p>
            <w:pPr>
              <w:widowControl/>
              <w:spacing w:line="200" w:lineRule="exact"/>
              <w:jc w:val="center"/>
              <w:rPr>
                <w:sz w:val="20"/>
                <w:szCs w:val="20"/>
              </w:rPr>
            </w:pPr>
            <w:r>
              <w:rPr>
                <w:sz w:val="20"/>
                <w:szCs w:val="20"/>
              </w:rPr>
              <w:t>≥167个</w:t>
            </w:r>
          </w:p>
        </w:tc>
        <w:tc>
          <w:tcPr>
            <w:tcW w:w="674" w:type="pct"/>
            <w:vAlign w:val="center"/>
          </w:tcPr>
          <w:p>
            <w:pPr>
              <w:widowControl/>
              <w:spacing w:line="200" w:lineRule="exact"/>
              <w:jc w:val="center"/>
              <w:rPr>
                <w:sz w:val="20"/>
                <w:szCs w:val="20"/>
              </w:rPr>
            </w:pPr>
            <w:r>
              <w:rPr>
                <w:sz w:val="20"/>
                <w:szCs w:val="20"/>
              </w:rPr>
              <w:t>609</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sz w:val="20"/>
                <w:szCs w:val="20"/>
              </w:rPr>
              <w:t>护林员满意度</w:t>
            </w:r>
          </w:p>
        </w:tc>
        <w:tc>
          <w:tcPr>
            <w:tcW w:w="640" w:type="pct"/>
            <w:vAlign w:val="center"/>
          </w:tcPr>
          <w:p>
            <w:pPr>
              <w:widowControl/>
              <w:spacing w:line="200" w:lineRule="exact"/>
              <w:jc w:val="center"/>
              <w:rPr>
                <w:sz w:val="20"/>
                <w:szCs w:val="20"/>
              </w:rPr>
            </w:pPr>
            <w:r>
              <w:rPr>
                <w:sz w:val="20"/>
                <w:szCs w:val="20"/>
              </w:rPr>
              <w:t>≥92%</w:t>
            </w:r>
          </w:p>
        </w:tc>
        <w:tc>
          <w:tcPr>
            <w:tcW w:w="674" w:type="pct"/>
            <w:vAlign w:val="center"/>
          </w:tcPr>
          <w:p>
            <w:pPr>
              <w:widowControl/>
              <w:spacing w:line="200" w:lineRule="exact"/>
              <w:jc w:val="center"/>
              <w:rPr>
                <w:sz w:val="20"/>
                <w:szCs w:val="20"/>
              </w:rPr>
            </w:pPr>
            <w:r>
              <w:rPr>
                <w:sz w:val="20"/>
                <w:szCs w:val="20"/>
              </w:rPr>
              <w:t>≥92%</w:t>
            </w:r>
          </w:p>
        </w:tc>
        <w:tc>
          <w:tcPr>
            <w:tcW w:w="833"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6"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2022年度生态护林员项目支出绩效评价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397"/>
        <w:gridCol w:w="1109"/>
        <w:gridCol w:w="1109"/>
        <w:gridCol w:w="1175"/>
        <w:gridCol w:w="1296"/>
        <w:gridCol w:w="1128"/>
        <w:gridCol w:w="1181"/>
        <w:gridCol w:w="193"/>
        <w:gridCol w:w="203"/>
        <w:gridCol w:w="426"/>
        <w:gridCol w:w="489"/>
        <w:gridCol w:w="306"/>
        <w:gridCol w:w="183"/>
        <w:gridCol w:w="1235"/>
        <w:gridCol w:w="4070"/>
        <w:gridCol w:w="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22"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1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00"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18" w:type="pct"/>
            <w:vMerge w:val="continue"/>
            <w:vAlign w:val="center"/>
          </w:tcPr>
          <w:p>
            <w:pPr>
              <w:spacing w:line="400" w:lineRule="exact"/>
              <w:jc w:val="center"/>
              <w:rPr>
                <w:rFonts w:ascii="仿宋_GB2312" w:hAnsi="Arial Unicode MS" w:cs="Arial Unicode MS"/>
                <w:b/>
                <w:bCs/>
                <w:kern w:val="0"/>
                <w:sz w:val="18"/>
                <w:szCs w:val="18"/>
              </w:rPr>
            </w:pPr>
          </w:p>
        </w:tc>
        <w:tc>
          <w:tcPr>
            <w:tcW w:w="364"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37"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6" w:type="pct"/>
            <w:vMerge w:val="continue"/>
            <w:vAlign w:val="center"/>
          </w:tcPr>
          <w:p>
            <w:pPr>
              <w:spacing w:line="400" w:lineRule="exact"/>
              <w:rPr>
                <w:rFonts w:ascii="仿宋_GB2312" w:hAnsi="Arial Unicode MS" w:cs="Arial Unicode MS"/>
                <w:b/>
                <w:bCs/>
                <w:kern w:val="0"/>
                <w:sz w:val="18"/>
                <w:szCs w:val="18"/>
              </w:rPr>
            </w:pPr>
          </w:p>
        </w:tc>
        <w:tc>
          <w:tcPr>
            <w:tcW w:w="179"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79" w:type="pct"/>
            <w:vMerge w:val="continue"/>
            <w:vAlign w:val="center"/>
          </w:tcPr>
          <w:p>
            <w:pPr>
              <w:spacing w:line="400" w:lineRule="exact"/>
              <w:jc w:val="center"/>
              <w:rPr>
                <w:rFonts w:ascii="仿宋_GB2312" w:hAnsi="Arial Unicode MS" w:cs="Arial Unicode MS"/>
                <w:kern w:val="0"/>
                <w:sz w:val="18"/>
                <w:szCs w:val="18"/>
              </w:rPr>
            </w:pPr>
          </w:p>
        </w:tc>
        <w:tc>
          <w:tcPr>
            <w:tcW w:w="418" w:type="pct"/>
            <w:vMerge w:val="continue"/>
            <w:vAlign w:val="center"/>
          </w:tcPr>
          <w:p>
            <w:pPr>
              <w:spacing w:line="400" w:lineRule="exact"/>
              <w:jc w:val="center"/>
              <w:rPr>
                <w:rFonts w:ascii="仿宋_GB2312" w:hAnsi="Arial Unicode MS" w:cs="Arial Unicode MS"/>
                <w:kern w:val="0"/>
                <w:sz w:val="18"/>
                <w:szCs w:val="18"/>
              </w:rPr>
            </w:pPr>
          </w:p>
        </w:tc>
        <w:tc>
          <w:tcPr>
            <w:tcW w:w="364" w:type="pct"/>
            <w:vMerge w:val="continue"/>
            <w:vAlign w:val="center"/>
          </w:tcPr>
          <w:p>
            <w:pPr>
              <w:spacing w:line="400" w:lineRule="exact"/>
              <w:jc w:val="center"/>
              <w:rPr>
                <w:rFonts w:ascii="仿宋_GB2312" w:hAnsi="Arial Unicode MS" w:cs="Arial Unicode MS"/>
                <w:kern w:val="0"/>
                <w:sz w:val="18"/>
                <w:szCs w:val="18"/>
              </w:rPr>
            </w:pPr>
          </w:p>
        </w:tc>
        <w:tc>
          <w:tcPr>
            <w:tcW w:w="381"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9"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4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42"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398"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6" w:type="pct"/>
            <w:vMerge w:val="continue"/>
            <w:vAlign w:val="center"/>
          </w:tcPr>
          <w:p>
            <w:pPr>
              <w:spacing w:line="400" w:lineRule="exact"/>
              <w:rPr>
                <w:rFonts w:ascii="仿宋_GB2312" w:hAnsi="Arial Unicode MS" w:cs="Arial Unicode MS"/>
                <w:kern w:val="0"/>
                <w:sz w:val="18"/>
                <w:szCs w:val="18"/>
              </w:rPr>
            </w:pPr>
          </w:p>
        </w:tc>
        <w:tc>
          <w:tcPr>
            <w:tcW w:w="179"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9"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4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42"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16"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40"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89"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42"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18"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4"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3"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43"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1"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考核护林员工作完成质量</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276" w:lineRule="auto"/>
              <w:jc w:val="center"/>
              <w:rPr>
                <w:rFonts w:ascii="仿宋_GB2312" w:hAnsi="Arial Unicode MS" w:cs="Arial Unicode MS"/>
                <w:sz w:val="15"/>
                <w:szCs w:val="15"/>
              </w:rPr>
            </w:pPr>
            <w:r>
              <w:rPr>
                <w:rFonts w:ascii="仿宋_GB2312" w:hAnsi="Arial Unicode MS" w:cs="Arial Unicode MS"/>
                <w:kern w:val="0"/>
                <w:sz w:val="18"/>
                <w:szCs w:val="18"/>
              </w:rPr>
              <w:t>指标得分=项目达标数/实施项目总数*100%*指标分值</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kern w:val="0"/>
                <w:sz w:val="18"/>
                <w:szCs w:val="18"/>
              </w:rPr>
              <w:t>质量达标率＞100时按100%计算，当质量达标率＜90%时，不得分。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21" w:type="pct"/>
            <w:gridSpan w:val="16"/>
            <w:vAlign w:val="center"/>
          </w:tcPr>
          <w:p>
            <w:pPr>
              <w:spacing w:line="276" w:lineRule="auto"/>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r>
              <w:rPr>
                <w:rFonts w:ascii="仿宋_GB2312" w:hAnsi="Arial Unicode MS" w:cs="Arial Unicode MS"/>
                <w:kern w:val="0"/>
                <w:sz w:val="18"/>
                <w:szCs w:val="18"/>
              </w:rPr>
              <w:t>8.5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- 1 -</w:t>
                </w:r>
                <w:r>
                  <w:rPr>
                    <w:b/>
                    <w:bCs/>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E0812652-3B99-404F-921F-0E9302C8925A}" w:val="KUr9E1jDwoctlTxO78vqBJIM23/+6g0CQSWey4p=PHafNzhkLRYZiAVun5bsmFdXG"/>
    <w:docVar w:name="commondata" w:val="eyJoZGlkIjoiZTgxNTJkNDk3ZTBmZDg5MTJhMDY2NzllNjYwMWY1MWMifQ=="/>
    <w:docVar w:name="DocumentID" w:val="{E573543A-3BB8-4CD0-858C-FA1563895B45}"/>
  </w:docVars>
  <w:rsids>
    <w:rsidRoot w:val="0B0634F0"/>
    <w:rsid w:val="00076E61"/>
    <w:rsid w:val="001562ED"/>
    <w:rsid w:val="00183F39"/>
    <w:rsid w:val="00301576"/>
    <w:rsid w:val="004054C5"/>
    <w:rsid w:val="004C0288"/>
    <w:rsid w:val="00602662"/>
    <w:rsid w:val="00620980"/>
    <w:rsid w:val="006D6FA9"/>
    <w:rsid w:val="007665A5"/>
    <w:rsid w:val="007E03EF"/>
    <w:rsid w:val="009F24FD"/>
    <w:rsid w:val="00A15DF5"/>
    <w:rsid w:val="00A74300"/>
    <w:rsid w:val="00AA21C1"/>
    <w:rsid w:val="00BC518D"/>
    <w:rsid w:val="00C9181E"/>
    <w:rsid w:val="00D31287"/>
    <w:rsid w:val="00EF582F"/>
    <w:rsid w:val="00F26A9C"/>
    <w:rsid w:val="00F4674C"/>
    <w:rsid w:val="0890362F"/>
    <w:rsid w:val="0A7B4BF3"/>
    <w:rsid w:val="0B0634F0"/>
    <w:rsid w:val="1BB91216"/>
    <w:rsid w:val="2101264B"/>
    <w:rsid w:val="2BF66D18"/>
    <w:rsid w:val="3E0844C2"/>
    <w:rsid w:val="402D539C"/>
    <w:rsid w:val="49544D62"/>
    <w:rsid w:val="4DE5387F"/>
    <w:rsid w:val="4FBB1C67"/>
    <w:rsid w:val="58102D59"/>
    <w:rsid w:val="5F021EAC"/>
    <w:rsid w:val="63335D92"/>
    <w:rsid w:val="662D285C"/>
    <w:rsid w:val="6DED6A5F"/>
    <w:rsid w:val="6E881A5B"/>
    <w:rsid w:val="755624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3945</Words>
  <Characters>4239</Characters>
  <Lines>33</Lines>
  <Paragraphs>9</Paragraphs>
  <TotalTime>7</TotalTime>
  <ScaleCrop>false</ScaleCrop>
  <LinksUpToDate>false</LinksUpToDate>
  <CharactersWithSpaces>4251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2023-10-17T02:13:44Z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