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年度禁食野生动物繁育主体退出补偿</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1、项目基本情况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为贯彻落实全国人大常委会《关于全面禁止非法野生动物交易、革除滥食野生动物陋习、切实保障人民群众生命健康安全的决定》精神，沐川县制定了《禁食陆生野生动物人工繁育主体退出补偿及动物处置工作方案》决定依法退出陆生野生动物人工繁育主体，按照“关闭退出一批、转变用途一批、移交管理一批”要求，依法查处超范围养殖、非法养殖的行为。</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对依法取得人工驯养繁殖许可证并依法封控的养殖场给予补偿，补偿标准按照《四川省林业和草原局关于印发四川省禁食陆生野生动物退出补偿指导标准的函》(川林护函〔2020〕565号)规定退出补偿指导标准给予补偿。</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2022年该项目的总体绩效目标为全面禁止和惩治非法野生动物交易，合理补偿群众因退出野生动物养殖受到的财产损失。</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2022年，沐川林业局计划完成退出人工驯养物种数量6种，补助标准达标率达100%，补偿资金兑付及时率≥90%，养殖户满意度≥90%。</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1、资金计划及到位。根据（沐财预追</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22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总057第0422号）2022年项目预算资金为</w:t>
      </w:r>
      <w:r>
        <w:rPr>
          <w:rFonts w:hint="eastAsia" w:ascii="Times New Roman" w:hAnsi="Times New Roman" w:eastAsia="仿宋_GB2312" w:cs="Times New Roman"/>
          <w:sz w:val="32"/>
          <w:szCs w:val="32"/>
        </w:rPr>
        <w:t>19.34</w:t>
      </w:r>
      <w:r>
        <w:rPr>
          <w:rFonts w:ascii="Times New Roman" w:hAnsi="Times New Roman" w:eastAsia="仿宋_GB2312" w:cs="Times New Roman"/>
          <w:sz w:val="32"/>
          <w:szCs w:val="32"/>
        </w:rPr>
        <w:t>万元。</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2、资金使用。截止评价时点项目资金的实际支出19.34万元，用于解决沐川县禁食陆生野生动物人工繁育主体退出补偿，资金开支范围、标准及支付进度严格按照规定，支付依据合规合法，资金支付与预算相符。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w:t>
      </w:r>
      <w:r>
        <w:rPr>
          <w:rFonts w:hint="eastAsia" w:ascii="Times New Roman" w:hAnsi="Times New Roman" w:eastAsia="仿宋_GB2312" w:cs="Times New Roman"/>
          <w:sz w:val="32"/>
          <w:szCs w:val="32"/>
        </w:rPr>
        <w:t>19.34</w:t>
      </w:r>
      <w:r>
        <w:rPr>
          <w:rFonts w:ascii="Times New Roman" w:hAnsi="Times New Roman" w:eastAsia="仿宋_GB2312" w:cs="Times New Roman"/>
          <w:sz w:val="32"/>
          <w:szCs w:val="32"/>
        </w:rPr>
        <w:t>万元，资金实际支付为19.34万元，资金使用率</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2022年沐川县林业局加强对野生动物的保护管理，联合市场监管、公安、网信等部门开展野生动物专项执法，严厉打击线上、线下违法经营、销售野生动物行为。</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对全县野生动物人工繁育主体转型退出的养殖户，按补偿标准发放补偿资金，补助标准达标率达100%，补偿资金兑付及时率达到92%，资金发放及时，完成预期补偿范围，全县野生动物养殖户情绪平稳，未发生上访事件，我局联合其它相关部门积极开展野生动物专项执法，严厉打击野生动物销售行为，此外，我局积极关注退出养殖户的后续情况，科学引导养殖户转型转产。</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的实施有利于全面禁止非法野生动物交易、革除滥食野生动物陋习，保障人民群众的生命安全，退出的养殖场（户）在有关部门的帮助下，积极利用现有的生产设施设备，科学转产转型，实现了二次创业就业，本项目主要采用放生和无害化处置的方式实施，能够最大程度降低对环境的影响，有利于生态环境的可持续发展。</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10"/>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0"/>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1.2022年度禁食野生动物繁育主体退出补偿项目绩效目标自评表</w:t>
      </w:r>
    </w:p>
    <w:p>
      <w:pPr>
        <w:pStyle w:val="10"/>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2.2022年度禁食野生动物繁育主体退出补偿项目支出绩效评价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7月15日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ascii="方正公文楷体" w:hAnsi="方正公文楷体" w:eastAsia="方正公文楷体" w:cs="方正公文楷体"/>
          <w:sz w:val="24"/>
          <w:szCs w:val="24"/>
        </w:rPr>
      </w:pPr>
      <w:r>
        <w:rPr>
          <w:rFonts w:hint="eastAsia" w:ascii="方正公文楷体" w:hAnsi="方正公文楷体" w:eastAsia="方正公文楷体" w:cs="方正公文楷体"/>
          <w:color w:val="000000"/>
          <w:kern w:val="0"/>
          <w:sz w:val="24"/>
          <w:szCs w:val="24"/>
        </w:rPr>
        <w:t>2022年度禁食野生动物繁育主体退出补偿项目绩效目标自评表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496"/>
        <w:gridCol w:w="1028"/>
        <w:gridCol w:w="1485"/>
        <w:gridCol w:w="1133"/>
        <w:gridCol w:w="989"/>
        <w:gridCol w:w="1036"/>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项目（政策）名称</w:t>
            </w:r>
          </w:p>
        </w:tc>
        <w:tc>
          <w:tcPr>
            <w:tcW w:w="3676" w:type="pct"/>
            <w:gridSpan w:val="5"/>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禁食野生动物繁育主体退出补偿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项目主管部门</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c>
          <w:tcPr>
            <w:tcW w:w="580"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资金使用单位</w:t>
            </w:r>
          </w:p>
        </w:tc>
        <w:tc>
          <w:tcPr>
            <w:tcW w:w="1560"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项目资金</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（万元）</w:t>
            </w:r>
          </w:p>
        </w:tc>
        <w:tc>
          <w:tcPr>
            <w:tcW w:w="871" w:type="pct"/>
            <w:vAlign w:val="center"/>
          </w:tcPr>
          <w:p>
            <w:pPr>
              <w:widowControl/>
              <w:spacing w:line="200" w:lineRule="exact"/>
              <w:jc w:val="center"/>
              <w:rPr>
                <w:rFonts w:ascii="仿宋_GB2312" w:hAnsi="仿宋_GB2312" w:cs="仿宋_GB2312"/>
                <w:color w:val="000000"/>
                <w:sz w:val="20"/>
                <w:szCs w:val="20"/>
              </w:rPr>
            </w:pPr>
          </w:p>
        </w:tc>
        <w:tc>
          <w:tcPr>
            <w:tcW w:w="664"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全年预算数</w:t>
            </w:r>
          </w:p>
        </w:tc>
        <w:tc>
          <w:tcPr>
            <w:tcW w:w="1188"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全年执行数</w:t>
            </w:r>
          </w:p>
        </w:tc>
        <w:tc>
          <w:tcPr>
            <w:tcW w:w="952"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年度资金总额：</w:t>
            </w:r>
          </w:p>
        </w:tc>
        <w:tc>
          <w:tcPr>
            <w:tcW w:w="66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1188"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952"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Style w:val="17"/>
                <w:rFonts w:hint="default" w:ascii="仿宋_GB2312" w:hAnsi="仿宋_GB2312" w:eastAsia="仿宋_GB2312" w:cs="仿宋_GB2312"/>
                <w:sz w:val="20"/>
                <w:szCs w:val="20"/>
              </w:rPr>
              <w:t>其中：中央、省补助</w:t>
            </w:r>
          </w:p>
        </w:tc>
        <w:tc>
          <w:tcPr>
            <w:tcW w:w="664" w:type="pct"/>
            <w:vAlign w:val="center"/>
          </w:tcPr>
          <w:p>
            <w:pPr>
              <w:widowControl/>
              <w:spacing w:line="200" w:lineRule="exact"/>
              <w:jc w:val="center"/>
              <w:rPr>
                <w:rFonts w:ascii="仿宋_GB2312" w:hAnsi="仿宋_GB2312" w:cs="仿宋_GB2312"/>
                <w:color w:val="000000"/>
                <w:sz w:val="20"/>
                <w:szCs w:val="20"/>
              </w:rPr>
            </w:pPr>
          </w:p>
        </w:tc>
        <w:tc>
          <w:tcPr>
            <w:tcW w:w="1188" w:type="pct"/>
            <w:gridSpan w:val="2"/>
            <w:vAlign w:val="center"/>
          </w:tcPr>
          <w:p>
            <w:pPr>
              <w:widowControl/>
              <w:spacing w:line="200" w:lineRule="exact"/>
              <w:jc w:val="center"/>
              <w:rPr>
                <w:rFonts w:ascii="仿宋_GB2312" w:hAnsi="仿宋_GB2312" w:cs="仿宋_GB2312"/>
                <w:color w:val="000000"/>
                <w:sz w:val="20"/>
                <w:szCs w:val="20"/>
              </w:rPr>
            </w:pP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Style w:val="17"/>
                <w:rFonts w:hint="default" w:ascii="仿宋_GB2312" w:hAnsi="仿宋_GB2312" w:eastAsia="仿宋_GB2312" w:cs="仿宋_GB2312"/>
                <w:sz w:val="20"/>
                <w:szCs w:val="20"/>
              </w:rPr>
              <w:t>市级财政资</w:t>
            </w:r>
          </w:p>
        </w:tc>
        <w:tc>
          <w:tcPr>
            <w:tcW w:w="664" w:type="pct"/>
            <w:vAlign w:val="center"/>
          </w:tcPr>
          <w:p>
            <w:pPr>
              <w:widowControl/>
              <w:spacing w:line="200" w:lineRule="exact"/>
              <w:jc w:val="center"/>
              <w:rPr>
                <w:rFonts w:ascii="仿宋_GB2312" w:hAnsi="仿宋_GB2312" w:cs="仿宋_GB2312"/>
                <w:color w:val="000000"/>
                <w:sz w:val="20"/>
                <w:szCs w:val="20"/>
              </w:rPr>
            </w:pPr>
          </w:p>
        </w:tc>
        <w:tc>
          <w:tcPr>
            <w:tcW w:w="1188" w:type="pct"/>
            <w:gridSpan w:val="2"/>
            <w:vAlign w:val="center"/>
          </w:tcPr>
          <w:p>
            <w:pPr>
              <w:widowControl/>
              <w:spacing w:line="200" w:lineRule="exact"/>
              <w:jc w:val="center"/>
              <w:rPr>
                <w:rFonts w:ascii="仿宋_GB2312" w:hAnsi="仿宋_GB2312" w:cs="仿宋_GB2312"/>
                <w:color w:val="000000"/>
                <w:sz w:val="20"/>
                <w:szCs w:val="20"/>
              </w:rPr>
            </w:pP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县级财政资</w:t>
            </w:r>
          </w:p>
        </w:tc>
        <w:tc>
          <w:tcPr>
            <w:tcW w:w="1133" w:type="dxa"/>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2025" w:type="dxa"/>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1624" w:type="dxa"/>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Style w:val="17"/>
                <w:rFonts w:hint="default" w:ascii="仿宋_GB2312" w:hAnsi="仿宋_GB2312" w:eastAsia="仿宋_GB2312" w:cs="仿宋_GB2312"/>
                <w:sz w:val="20"/>
                <w:szCs w:val="20"/>
              </w:rPr>
              <w:t>其他资金</w:t>
            </w:r>
          </w:p>
        </w:tc>
        <w:tc>
          <w:tcPr>
            <w:tcW w:w="664" w:type="pct"/>
            <w:vAlign w:val="center"/>
          </w:tcPr>
          <w:p>
            <w:pPr>
              <w:widowControl/>
              <w:spacing w:line="200" w:lineRule="exact"/>
              <w:jc w:val="center"/>
              <w:rPr>
                <w:rFonts w:ascii="仿宋_GB2312" w:hAnsi="仿宋_GB2312" w:cs="仿宋_GB2312"/>
                <w:color w:val="000000"/>
                <w:sz w:val="20"/>
                <w:szCs w:val="20"/>
              </w:rPr>
            </w:pPr>
          </w:p>
        </w:tc>
        <w:tc>
          <w:tcPr>
            <w:tcW w:w="1188" w:type="pct"/>
            <w:gridSpan w:val="2"/>
            <w:vAlign w:val="center"/>
          </w:tcPr>
          <w:p>
            <w:pPr>
              <w:widowControl/>
              <w:spacing w:line="200" w:lineRule="exact"/>
              <w:jc w:val="center"/>
              <w:rPr>
                <w:rFonts w:ascii="仿宋_GB2312" w:hAnsi="仿宋_GB2312" w:cs="仿宋_GB2312"/>
                <w:color w:val="000000"/>
                <w:sz w:val="20"/>
                <w:szCs w:val="20"/>
              </w:rPr>
            </w:pP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总体目标完成情况</w:t>
            </w:r>
          </w:p>
        </w:tc>
        <w:tc>
          <w:tcPr>
            <w:tcW w:w="2430" w:type="pct"/>
            <w:gridSpan w:val="4"/>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w:t>
            </w:r>
          </w:p>
        </w:tc>
        <w:tc>
          <w:tcPr>
            <w:tcW w:w="2140"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jc w:val="center"/>
        </w:trPr>
        <w:tc>
          <w:tcPr>
            <w:tcW w:w="429" w:type="pct"/>
            <w:vMerge w:val="continue"/>
            <w:vAlign w:val="center"/>
          </w:tcPr>
          <w:p>
            <w:pPr>
              <w:widowControl/>
              <w:spacing w:line="200" w:lineRule="exact"/>
              <w:jc w:val="center"/>
              <w:rPr>
                <w:rFonts w:ascii="仿宋_GB2312" w:hAnsi="仿宋_GB2312" w:cs="仿宋_GB2312"/>
                <w:color w:val="000000"/>
                <w:sz w:val="20"/>
                <w:szCs w:val="20"/>
              </w:rPr>
            </w:pPr>
          </w:p>
        </w:tc>
        <w:tc>
          <w:tcPr>
            <w:tcW w:w="2430" w:type="pct"/>
            <w:gridSpan w:val="4"/>
            <w:vAlign w:val="center"/>
          </w:tcPr>
          <w:p>
            <w:pPr>
              <w:widowControl/>
              <w:spacing w:line="200" w:lineRule="exact"/>
              <w:rPr>
                <w:rFonts w:ascii="仿宋_GB2312" w:hAnsi="仿宋_GB2312" w:cs="仿宋_GB2312"/>
                <w:color w:val="000000"/>
                <w:sz w:val="20"/>
                <w:szCs w:val="20"/>
              </w:rPr>
            </w:pPr>
            <w:r>
              <w:rPr>
                <w:rFonts w:hint="eastAsia" w:ascii="仿宋_GB2312" w:hAnsi="仿宋_GB2312" w:cs="仿宋_GB2312"/>
                <w:color w:val="000000"/>
                <w:sz w:val="20"/>
                <w:szCs w:val="20"/>
              </w:rPr>
              <w:t>全面禁止和惩治非法野生动物交易，合理补偿群众因退出野生动物养殖受到的财产损失.</w:t>
            </w:r>
          </w:p>
        </w:tc>
        <w:tc>
          <w:tcPr>
            <w:tcW w:w="2140" w:type="pct"/>
            <w:gridSpan w:val="3"/>
            <w:vAlign w:val="center"/>
          </w:tcPr>
          <w:p>
            <w:pPr>
              <w:widowControl/>
              <w:spacing w:line="200" w:lineRule="exact"/>
              <w:rPr>
                <w:rFonts w:ascii="仿宋_GB2312" w:hAnsi="仿宋_GB2312" w:cs="仿宋_GB2312"/>
                <w:color w:val="000000"/>
                <w:sz w:val="20"/>
                <w:szCs w:val="20"/>
              </w:rPr>
            </w:pPr>
            <w:r>
              <w:rPr>
                <w:rFonts w:hint="eastAsia" w:ascii="仿宋_GB2312" w:hAnsi="仿宋_GB2312" w:cs="仿宋_GB2312"/>
                <w:color w:val="000000"/>
                <w:sz w:val="20"/>
                <w:szCs w:val="20"/>
              </w:rPr>
              <w:t>开展野生动物专项执法，严厉打击线上、线下违法经营、销售野生动物行为，对全县野生动物人工繁育主体转型退出的养殖户，按补偿标准发放补偿资金。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textDirection w:val="tbRlV"/>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绩效指标</w:t>
            </w:r>
          </w:p>
        </w:tc>
        <w:tc>
          <w:tcPr>
            <w:tcW w:w="291" w:type="pct"/>
            <w:vAlign w:val="center"/>
          </w:tcPr>
          <w:p>
            <w:pPr>
              <w:widowControl/>
              <w:spacing w:line="18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一级</w:t>
            </w:r>
          </w:p>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二级指标</w:t>
            </w:r>
          </w:p>
        </w:tc>
        <w:tc>
          <w:tcPr>
            <w:tcW w:w="1536"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三级指标</w:t>
            </w:r>
          </w:p>
        </w:tc>
        <w:tc>
          <w:tcPr>
            <w:tcW w:w="58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指标值</w:t>
            </w:r>
          </w:p>
        </w:tc>
        <w:tc>
          <w:tcPr>
            <w:tcW w:w="607"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全年实际完成值</w:t>
            </w:r>
          </w:p>
        </w:tc>
        <w:tc>
          <w:tcPr>
            <w:tcW w:w="952"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产</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出</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数量指标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退出人工驯养物种数量</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=6种</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=6种</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质量指标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补助标准达标率</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时效指标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补偿资金兑付及时率</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≥90%</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=92%</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成本指标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补偿金额</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≤19.34万元</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=19.34万元</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效</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益</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603"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经济效益</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1536" w:type="pct"/>
            <w:gridSpan w:val="2"/>
            <w:vAlign w:val="center"/>
          </w:tcPr>
          <w:p>
            <w:pPr>
              <w:widowControl/>
              <w:spacing w:line="200" w:lineRule="exact"/>
              <w:ind w:firstLine="200" w:firstLineChars="100"/>
              <w:rPr>
                <w:rFonts w:ascii="仿宋_GB2312" w:hAnsi="仿宋_GB2312" w:cs="仿宋_GB2312"/>
                <w:color w:val="000000"/>
                <w:sz w:val="20"/>
                <w:szCs w:val="20"/>
              </w:rPr>
            </w:pPr>
            <w:r>
              <w:rPr>
                <w:rFonts w:ascii="仿宋_GB2312" w:hAnsi="仿宋_GB2312" w:cs="仿宋_GB2312"/>
                <w:color w:val="000000"/>
                <w:sz w:val="20"/>
                <w:szCs w:val="20"/>
              </w:rPr>
              <w:t>有序有效转产转型升级</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社会效益</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改善</w:t>
            </w:r>
            <w:r>
              <w:rPr>
                <w:rFonts w:ascii="仿宋_GB2312" w:hAnsi="仿宋_GB2312" w:cs="仿宋_GB2312"/>
                <w:color w:val="000000"/>
                <w:sz w:val="20"/>
                <w:szCs w:val="20"/>
              </w:rPr>
              <w:t>滥食野生动物陋习</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满意度指标</w:t>
            </w:r>
          </w:p>
        </w:tc>
        <w:tc>
          <w:tcPr>
            <w:tcW w:w="603"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服务对象</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满意度指标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养殖户满意度</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≥90%</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＝92%</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说明</w:t>
            </w:r>
          </w:p>
        </w:tc>
        <w:tc>
          <w:tcPr>
            <w:tcW w:w="4570" w:type="pct"/>
            <w:gridSpan w:val="7"/>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ascii="方正公文楷体" w:hAnsi="方正公文楷体" w:eastAsia="方正公文楷体" w:cs="方正公文楷体"/>
          <w:color w:val="000000"/>
          <w:kern w:val="0"/>
          <w:sz w:val="24"/>
          <w:szCs w:val="24"/>
        </w:rPr>
      </w:pPr>
      <w:r>
        <w:rPr>
          <w:rFonts w:ascii="方正公文楷体" w:hAnsi="方正公文楷体" w:eastAsia="方正公文楷体" w:cs="方正公文楷体"/>
          <w:color w:val="000000"/>
          <w:kern w:val="0"/>
          <w:sz w:val="24"/>
          <w:szCs w:val="24"/>
        </w:rPr>
        <w:t>2022年度禁食野生动物繁育主体退出补偿项目支出绩效评价</w:t>
      </w:r>
      <w:r>
        <w:rPr>
          <w:rFonts w:hint="eastAsia" w:ascii="方正公文楷体" w:hAnsi="方正公文楷体" w:eastAsia="方正公文楷体" w:cs="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355"/>
        <w:gridCol w:w="1596"/>
        <w:gridCol w:w="1127"/>
        <w:gridCol w:w="781"/>
        <w:gridCol w:w="259"/>
        <w:gridCol w:w="325"/>
        <w:gridCol w:w="506"/>
        <w:gridCol w:w="209"/>
        <w:gridCol w:w="400"/>
        <w:gridCol w:w="615"/>
        <w:gridCol w:w="4210"/>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86"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8"/>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43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11"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7"/>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433" w:type="pct"/>
            <w:vMerge w:val="continue"/>
            <w:vAlign w:val="center"/>
          </w:tcPr>
          <w:p>
            <w:pPr>
              <w:spacing w:line="400" w:lineRule="exact"/>
              <w:jc w:val="center"/>
              <w:rPr>
                <w:rFonts w:ascii="仿宋_GB2312" w:hAnsi="Arial Unicode MS" w:cs="Arial Unicode MS"/>
                <w:kern w:val="0"/>
                <w:sz w:val="18"/>
                <w:szCs w:val="18"/>
              </w:rPr>
            </w:pPr>
          </w:p>
        </w:tc>
        <w:tc>
          <w:tcPr>
            <w:tcW w:w="511"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gridSpan w:val="2"/>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满意度</w:t>
            </w:r>
          </w:p>
        </w:tc>
        <w:tc>
          <w:tcPr>
            <w:tcW w:w="511" w:type="pct"/>
            <w:vAlign w:val="center"/>
          </w:tcPr>
          <w:p>
            <w:pPr>
              <w:spacing w:line="300" w:lineRule="exact"/>
              <w:rPr>
                <w:rFonts w:ascii="仿宋_GB2312" w:hAnsi="Arial Unicode MS" w:cs="Arial Unicode MS"/>
                <w:kern w:val="0"/>
                <w:sz w:val="18"/>
                <w:szCs w:val="18"/>
              </w:rPr>
            </w:pPr>
            <w:r>
              <w:rPr>
                <w:rFonts w:hint="eastAsia" w:ascii="仿宋_GB2312" w:hAnsi="Arial Unicode MS" w:cs="Arial Unicode MS"/>
                <w:kern w:val="0"/>
                <w:sz w:val="18"/>
                <w:szCs w:val="18"/>
              </w:rPr>
              <w:t>养殖户满意度</w:t>
            </w:r>
          </w:p>
        </w:tc>
        <w:tc>
          <w:tcPr>
            <w:tcW w:w="36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r>
              <w:rPr>
                <w:rFonts w:hint="eastAsia" w:ascii="仿宋_GB2312" w:hAnsi="Arial Unicode MS" w:cs="Arial Unicode MS"/>
                <w:kern w:val="0"/>
                <w:sz w:val="18"/>
                <w:szCs w:val="18"/>
              </w:rPr>
              <w:t>。</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资金拨付及时性</w:t>
            </w:r>
          </w:p>
        </w:tc>
        <w:tc>
          <w:tcPr>
            <w:tcW w:w="511" w:type="pct"/>
            <w:vAlign w:val="center"/>
          </w:tcPr>
          <w:p>
            <w:pPr>
              <w:spacing w:line="300" w:lineRule="exact"/>
              <w:rPr>
                <w:rFonts w:ascii="仿宋_GB2312" w:hAnsi="Arial Unicode MS" w:cs="Arial Unicode MS"/>
                <w:kern w:val="0"/>
                <w:sz w:val="18"/>
                <w:szCs w:val="18"/>
              </w:rPr>
            </w:pPr>
            <w:r>
              <w:rPr>
                <w:rFonts w:hint="eastAsia" w:ascii="仿宋_GB2312" w:hAnsi="Arial Unicode MS" w:cs="Arial Unicode MS"/>
                <w:kern w:val="0"/>
                <w:sz w:val="18"/>
                <w:szCs w:val="18"/>
              </w:rPr>
              <w:t>补偿资金兑付及时性</w:t>
            </w:r>
          </w:p>
        </w:tc>
        <w:tc>
          <w:tcPr>
            <w:tcW w:w="36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分级评分法</w:t>
            </w:r>
          </w:p>
        </w:tc>
        <w:tc>
          <w:tcPr>
            <w:tcW w:w="333" w:type="pct"/>
            <w:gridSpan w:val="2"/>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差</w:t>
            </w:r>
          </w:p>
        </w:tc>
        <w:tc>
          <w:tcPr>
            <w:tcW w:w="333" w:type="pct"/>
            <w:gridSpan w:val="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一般</w:t>
            </w:r>
          </w:p>
        </w:tc>
        <w:tc>
          <w:tcPr>
            <w:tcW w:w="325" w:type="pct"/>
            <w:gridSpan w:val="2"/>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好</w:t>
            </w:r>
          </w:p>
        </w:tc>
        <w:tc>
          <w:tcPr>
            <w:tcW w:w="1348" w:type="pct"/>
            <w:vAlign w:val="center"/>
          </w:tcPr>
          <w:p>
            <w:pPr>
              <w:spacing w:line="300" w:lineRule="exact"/>
              <w:rPr>
                <w:rFonts w:ascii="仿宋_GB2312" w:hAnsi="Arial Unicode MS" w:cs="Arial Unicode MS"/>
                <w:kern w:val="0"/>
                <w:sz w:val="18"/>
                <w:szCs w:val="18"/>
              </w:rPr>
            </w:pPr>
            <w:r>
              <w:rPr>
                <w:rFonts w:hint="eastAsia" w:ascii="仿宋_GB2312" w:hAnsi="Arial Unicode MS" w:cs="Arial Unicode MS"/>
                <w:kern w:val="0"/>
                <w:sz w:val="18"/>
                <w:szCs w:val="18"/>
              </w:rPr>
              <w:t>考察对养殖户补偿资金兑付的情况。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9" w:type="pct"/>
            <w:gridSpan w:val="1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微软雅黑"/>
    <w:panose1 w:val="000000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微软雅黑"/>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- 2 -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B358B245-69B5-4E66-BF26-5EFF38C317DA}" w:val="KUr9E1jDwoctlTxO78vqBJIM23/+6g0CQSWey4p=PHafNzhkLRYZiAVun5bsmFdXG"/>
    <w:docVar w:name="commondata" w:val="eyJoZGlkIjoiZTgxNTJkNDk3ZTBmZDg5MTJhMDY2NzllNjYwMWY1MWMifQ=="/>
    <w:docVar w:name="DocumentID" w:val="{D74392EA-8A6E-4449-BFF3-E9685FE8A4FA}"/>
  </w:docVars>
  <w:rsids>
    <w:rsidRoot w:val="0B0634F0"/>
    <w:rsid w:val="000E56E1"/>
    <w:rsid w:val="00195771"/>
    <w:rsid w:val="00261431"/>
    <w:rsid w:val="002C7BDD"/>
    <w:rsid w:val="004110E9"/>
    <w:rsid w:val="00450AE5"/>
    <w:rsid w:val="00455E80"/>
    <w:rsid w:val="00762B12"/>
    <w:rsid w:val="00891641"/>
    <w:rsid w:val="009713F3"/>
    <w:rsid w:val="00BC50C3"/>
    <w:rsid w:val="00C27CA0"/>
    <w:rsid w:val="00CF7CA5"/>
    <w:rsid w:val="00D8036F"/>
    <w:rsid w:val="00DC4B03"/>
    <w:rsid w:val="00F61DBF"/>
    <w:rsid w:val="0A0A62C8"/>
    <w:rsid w:val="0B0634F0"/>
    <w:rsid w:val="10DA2AE9"/>
    <w:rsid w:val="20E66F93"/>
    <w:rsid w:val="2101264B"/>
    <w:rsid w:val="2A7C0F8E"/>
    <w:rsid w:val="402D539C"/>
    <w:rsid w:val="5223675F"/>
    <w:rsid w:val="55294BB3"/>
    <w:rsid w:val="58102D59"/>
    <w:rsid w:val="6DED6A5F"/>
    <w:rsid w:val="6E881A5B"/>
    <w:rsid w:val="7CF75F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Char"/>
    <w:link w:val="3"/>
    <w:qFormat/>
    <w:uiPriority w:val="0"/>
    <w:rPr>
      <w:b/>
      <w:kern w:val="44"/>
      <w:sz w:val="44"/>
    </w:rPr>
  </w:style>
  <w:style w:type="character" w:customStyle="1" w:styleId="19">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3949</Words>
  <Characters>4156</Characters>
  <Lines>32</Lines>
  <Paragraphs>9</Paragraphs>
  <TotalTime>14</TotalTime>
  <ScaleCrop>false</ScaleCrop>
  <LinksUpToDate>false</LinksUpToDate>
  <CharactersWithSpaces>4168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2023-10-17T02:13:07Z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