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年度退耕森林抚育</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总体目标：2022年落实完善退耕还林政策、巩固退耕还林成果；完成前一轮退耕还生态林140110.1亩抚育管护。</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具体目标：组织开展完善退耕还林项目实施计划，对本年度退耕还林140110.1进行抚育管护，验收合格后按照20元/亩的标准发放项目资金，森林抚育质量合格率达90%以上，退耕还林资金兑付率95%以上。</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四川省财政厅四川省林业和草原局关于下达2022年中央财政林业改革发展资金预算(第一批)的通知》(川财资环〔2022〕34号)精神，下达我县前一轮退耕还生态林抚育140110.1亩的森林抚育费280.22万元，抚育费标准20元/亩，资金到位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项目预算批复资金为280.22万元，资金实际支付为275.85496万元，预算执行率98.44%，资金通过四川省惠民惠农财政补贴项目资格审批支撑平台和沐川县惠民惠农财政补贴“一卡通”兑现到退耕农户。</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实现对14.01万亩退耕还林实施常规管护，基本完成资金补助。</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1、数量指标：完成退耕还生态林面积≥13.79万亩，完成资金补助发放≥275万元。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2、质量指标：退耕还林合格率≥90%。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3、时效指标：退耕还林补助兑现率≥98%。</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4、成本指标：20元/亩。</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5、满意度指标：退耕农户满意度≥95%。</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此资金用于前一轮退耕还生态林抚育，补助给前一轮退耕还林农户，能够更进一步巩固好前一轮退耕还林成果，提高生态效益。</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预算执行率98.44%，部分资金未发放主要是因为一卡通出现异常或退耕森林抚育死绝户补助资金未兑现。下一步我局将督促乡镇加快项目实施进度，尽快把资金发放到位。</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附件：1.2022年度退耕森林抚育项目绩效目标自评表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2.2022年度退耕森林抚育项目支出绩效评价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2022年度退耕森林抚育项目绩效目标自评表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退耕森林抚育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280.22</w:t>
            </w:r>
          </w:p>
        </w:tc>
        <w:tc>
          <w:tcPr>
            <w:tcW w:w="1421" w:type="pct"/>
            <w:gridSpan w:val="2"/>
            <w:vAlign w:val="center"/>
          </w:tcPr>
          <w:p>
            <w:pPr>
              <w:widowControl/>
              <w:spacing w:line="200" w:lineRule="exact"/>
              <w:jc w:val="center"/>
              <w:rPr>
                <w:color w:val="000000"/>
                <w:sz w:val="20"/>
                <w:szCs w:val="20"/>
              </w:rPr>
            </w:pPr>
            <w:r>
              <w:rPr>
                <w:color w:val="000000"/>
                <w:sz w:val="20"/>
                <w:szCs w:val="20"/>
              </w:rPr>
              <w:t>275.85496</w:t>
            </w:r>
          </w:p>
        </w:tc>
        <w:tc>
          <w:tcPr>
            <w:tcW w:w="729" w:type="pct"/>
            <w:vAlign w:val="center"/>
          </w:tcPr>
          <w:p>
            <w:pPr>
              <w:widowControl/>
              <w:spacing w:line="200" w:lineRule="exact"/>
              <w:jc w:val="center"/>
              <w:rPr>
                <w:color w:val="000000"/>
                <w:sz w:val="20"/>
                <w:szCs w:val="20"/>
              </w:rPr>
            </w:pPr>
            <w:r>
              <w:rPr>
                <w:color w:val="000000"/>
                <w:sz w:val="20"/>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280.22</w:t>
            </w:r>
          </w:p>
        </w:tc>
        <w:tc>
          <w:tcPr>
            <w:tcW w:w="1421" w:type="pct"/>
            <w:gridSpan w:val="2"/>
            <w:vAlign w:val="center"/>
          </w:tcPr>
          <w:p>
            <w:pPr>
              <w:widowControl/>
              <w:spacing w:line="200" w:lineRule="exact"/>
              <w:jc w:val="center"/>
              <w:rPr>
                <w:color w:val="000000"/>
                <w:sz w:val="20"/>
                <w:szCs w:val="20"/>
              </w:rPr>
            </w:pPr>
            <w:r>
              <w:rPr>
                <w:color w:val="000000"/>
                <w:sz w:val="20"/>
                <w:szCs w:val="20"/>
              </w:rPr>
              <w:t>275.85496</w:t>
            </w:r>
          </w:p>
        </w:tc>
        <w:tc>
          <w:tcPr>
            <w:tcW w:w="729" w:type="pct"/>
            <w:vAlign w:val="center"/>
          </w:tcPr>
          <w:p>
            <w:pPr>
              <w:widowControl/>
              <w:spacing w:line="200" w:lineRule="exact"/>
              <w:jc w:val="center"/>
              <w:rPr>
                <w:color w:val="000000"/>
                <w:sz w:val="20"/>
                <w:szCs w:val="20"/>
              </w:rPr>
            </w:pPr>
            <w:r>
              <w:rPr>
                <w:color w:val="000000"/>
                <w:sz w:val="20"/>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完成资金补助发放280.22万元。</w:t>
            </w:r>
          </w:p>
        </w:tc>
        <w:tc>
          <w:tcPr>
            <w:tcW w:w="2150" w:type="pct"/>
            <w:gridSpan w:val="3"/>
            <w:vAlign w:val="center"/>
          </w:tcPr>
          <w:p>
            <w:pPr>
              <w:widowControl/>
              <w:spacing w:line="200" w:lineRule="exact"/>
              <w:rPr>
                <w:color w:val="000000"/>
                <w:sz w:val="20"/>
                <w:szCs w:val="20"/>
              </w:rPr>
            </w:pPr>
            <w:r>
              <w:rPr>
                <w:color w:val="000000"/>
                <w:sz w:val="20"/>
                <w:szCs w:val="20"/>
              </w:rPr>
              <w:t>完成资金补助发放≥275万元。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完成退耕还生态林面积</w:t>
            </w:r>
          </w:p>
        </w:tc>
        <w:tc>
          <w:tcPr>
            <w:tcW w:w="704" w:type="pct"/>
            <w:vAlign w:val="center"/>
          </w:tcPr>
          <w:p>
            <w:pPr>
              <w:widowControl/>
              <w:spacing w:line="200" w:lineRule="exact"/>
              <w:jc w:val="center"/>
              <w:rPr>
                <w:color w:val="000000"/>
                <w:sz w:val="20"/>
                <w:szCs w:val="20"/>
              </w:rPr>
            </w:pPr>
            <w:r>
              <w:rPr>
                <w:color w:val="000000"/>
                <w:sz w:val="20"/>
                <w:szCs w:val="20"/>
              </w:rPr>
              <w:t>＝14.01万亩</w:t>
            </w:r>
          </w:p>
        </w:tc>
        <w:tc>
          <w:tcPr>
            <w:tcW w:w="716" w:type="pct"/>
            <w:vAlign w:val="center"/>
          </w:tcPr>
          <w:p>
            <w:pPr>
              <w:widowControl/>
              <w:spacing w:line="200" w:lineRule="exact"/>
              <w:jc w:val="center"/>
              <w:rPr>
                <w:color w:val="000000"/>
                <w:sz w:val="20"/>
                <w:szCs w:val="20"/>
              </w:rPr>
            </w:pPr>
            <w:r>
              <w:rPr>
                <w:color w:val="000000"/>
                <w:sz w:val="20"/>
                <w:szCs w:val="20"/>
              </w:rPr>
              <w:t>≥13.79万亩</w:t>
            </w:r>
          </w:p>
        </w:tc>
        <w:tc>
          <w:tcPr>
            <w:tcW w:w="729" w:type="pct"/>
            <w:vAlign w:val="center"/>
          </w:tcPr>
          <w:p>
            <w:pPr>
              <w:widowControl/>
              <w:spacing w:line="200" w:lineRule="exact"/>
              <w:jc w:val="center"/>
              <w:rPr>
                <w:color w:val="000000"/>
                <w:sz w:val="20"/>
                <w:szCs w:val="20"/>
              </w:rPr>
            </w:pPr>
            <w:r>
              <w:rPr>
                <w:color w:val="000000"/>
                <w:sz w:val="20"/>
                <w:szCs w:val="20"/>
              </w:rPr>
              <w:t>一卡通出现异常或退耕森林抚育死绝户补助资金未兑现，尽快发放。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完成资金补助发放</w:t>
            </w:r>
          </w:p>
        </w:tc>
        <w:tc>
          <w:tcPr>
            <w:tcW w:w="704" w:type="pct"/>
            <w:vAlign w:val="center"/>
          </w:tcPr>
          <w:p>
            <w:pPr>
              <w:widowControl/>
              <w:spacing w:line="200" w:lineRule="exact"/>
              <w:jc w:val="center"/>
              <w:rPr>
                <w:color w:val="000000"/>
                <w:sz w:val="20"/>
                <w:szCs w:val="20"/>
              </w:rPr>
            </w:pPr>
            <w:r>
              <w:rPr>
                <w:color w:val="000000"/>
                <w:sz w:val="20"/>
                <w:szCs w:val="20"/>
              </w:rPr>
              <w:t>＝280.22万元</w:t>
            </w:r>
          </w:p>
        </w:tc>
        <w:tc>
          <w:tcPr>
            <w:tcW w:w="716" w:type="pct"/>
            <w:vAlign w:val="center"/>
          </w:tcPr>
          <w:p>
            <w:pPr>
              <w:widowControl/>
              <w:spacing w:line="200" w:lineRule="exact"/>
              <w:jc w:val="center"/>
              <w:rPr>
                <w:color w:val="000000"/>
                <w:sz w:val="20"/>
                <w:szCs w:val="20"/>
              </w:rPr>
            </w:pPr>
            <w:r>
              <w:rPr>
                <w:color w:val="000000"/>
                <w:sz w:val="20"/>
                <w:szCs w:val="20"/>
              </w:rPr>
              <w:t>≥275万元</w:t>
            </w:r>
          </w:p>
        </w:tc>
        <w:tc>
          <w:tcPr>
            <w:tcW w:w="729" w:type="pct"/>
            <w:vAlign w:val="center"/>
          </w:tcPr>
          <w:p>
            <w:pPr>
              <w:widowControl/>
              <w:spacing w:line="200" w:lineRule="exact"/>
              <w:jc w:val="center"/>
              <w:rPr>
                <w:color w:val="000000"/>
                <w:sz w:val="20"/>
                <w:szCs w:val="20"/>
              </w:rPr>
            </w:pPr>
            <w:r>
              <w:rPr>
                <w:color w:val="000000"/>
                <w:sz w:val="20"/>
                <w:szCs w:val="20"/>
              </w:rPr>
              <w:t>一卡通出现异常或退耕森林抚育死绝户补助资金未兑现，尽快发放。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退耕还林合格率</w:t>
            </w:r>
          </w:p>
        </w:tc>
        <w:tc>
          <w:tcPr>
            <w:tcW w:w="704" w:type="pct"/>
            <w:vAlign w:val="center"/>
          </w:tcPr>
          <w:p>
            <w:pPr>
              <w:widowControl/>
              <w:spacing w:line="200" w:lineRule="exact"/>
              <w:jc w:val="center"/>
              <w:rPr>
                <w:color w:val="000000"/>
                <w:sz w:val="20"/>
                <w:szCs w:val="20"/>
              </w:rPr>
            </w:pPr>
            <w:r>
              <w:rPr>
                <w:color w:val="000000"/>
                <w:sz w:val="20"/>
                <w:szCs w:val="20"/>
              </w:rPr>
              <w:t>≥90%</w:t>
            </w:r>
          </w:p>
        </w:tc>
        <w:tc>
          <w:tcPr>
            <w:tcW w:w="716" w:type="pct"/>
            <w:vAlign w:val="center"/>
          </w:tcPr>
          <w:p>
            <w:pPr>
              <w:widowControl/>
              <w:spacing w:line="200" w:lineRule="exact"/>
              <w:jc w:val="center"/>
              <w:rPr>
                <w:color w:val="000000"/>
                <w:sz w:val="20"/>
                <w:szCs w:val="20"/>
              </w:rPr>
            </w:pPr>
            <w:r>
              <w:rPr>
                <w:color w:val="000000"/>
                <w:sz w:val="20"/>
                <w:szCs w:val="20"/>
              </w:rPr>
              <w:t>≥90%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退耕还林补助兑现率</w:t>
            </w:r>
          </w:p>
        </w:tc>
        <w:tc>
          <w:tcPr>
            <w:tcW w:w="704" w:type="pct"/>
            <w:vAlign w:val="center"/>
          </w:tcPr>
          <w:p>
            <w:pPr>
              <w:widowControl/>
              <w:spacing w:line="200" w:lineRule="exact"/>
              <w:jc w:val="center"/>
              <w:rPr>
                <w:color w:val="000000"/>
                <w:sz w:val="20"/>
                <w:szCs w:val="20"/>
              </w:rPr>
            </w:pPr>
            <w:r>
              <w:rPr>
                <w:color w:val="000000"/>
                <w:sz w:val="20"/>
                <w:szCs w:val="20"/>
              </w:rPr>
              <w:t>≥95%</w:t>
            </w:r>
          </w:p>
        </w:tc>
        <w:tc>
          <w:tcPr>
            <w:tcW w:w="716" w:type="pct"/>
            <w:vAlign w:val="center"/>
          </w:tcPr>
          <w:p>
            <w:pPr>
              <w:widowControl/>
              <w:spacing w:line="200" w:lineRule="exact"/>
              <w:jc w:val="center"/>
              <w:rPr>
                <w:color w:val="000000"/>
                <w:sz w:val="20"/>
                <w:szCs w:val="20"/>
              </w:rPr>
            </w:pPr>
            <w:r>
              <w:rPr>
                <w:color w:val="000000"/>
                <w:sz w:val="20"/>
                <w:szCs w:val="20"/>
              </w:rPr>
              <w:t>≥98%</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704" w:type="pct"/>
            <w:vAlign w:val="center"/>
          </w:tcPr>
          <w:p>
            <w:pPr>
              <w:widowControl/>
              <w:spacing w:line="200" w:lineRule="exact"/>
              <w:jc w:val="center"/>
              <w:rPr>
                <w:color w:val="000000"/>
                <w:sz w:val="20"/>
                <w:szCs w:val="20"/>
              </w:rPr>
            </w:pPr>
            <w:r>
              <w:rPr>
                <w:color w:val="000000"/>
                <w:sz w:val="20"/>
                <w:szCs w:val="20"/>
              </w:rPr>
              <w:t>＝20元/亩</w:t>
            </w:r>
          </w:p>
        </w:tc>
        <w:tc>
          <w:tcPr>
            <w:tcW w:w="716" w:type="pct"/>
            <w:vAlign w:val="center"/>
          </w:tcPr>
          <w:p>
            <w:pPr>
              <w:widowControl/>
              <w:spacing w:line="200" w:lineRule="exact"/>
              <w:jc w:val="center"/>
              <w:rPr>
                <w:color w:val="000000"/>
                <w:sz w:val="20"/>
                <w:szCs w:val="20"/>
              </w:rPr>
            </w:pPr>
            <w:r>
              <w:rPr>
                <w:color w:val="000000"/>
                <w:sz w:val="20"/>
                <w:szCs w:val="20"/>
              </w:rPr>
              <w:t>＝20元/亩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提高退耕农户巩固退耕还林成果的积极性</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sz w:val="20"/>
                <w:szCs w:val="20"/>
              </w:rPr>
              <w:t>退耕农户满意度</w:t>
            </w:r>
          </w:p>
        </w:tc>
        <w:tc>
          <w:tcPr>
            <w:tcW w:w="704" w:type="pct"/>
            <w:vAlign w:val="center"/>
          </w:tcPr>
          <w:p>
            <w:pPr>
              <w:widowControl/>
              <w:spacing w:line="200" w:lineRule="exact"/>
              <w:jc w:val="center"/>
              <w:rPr>
                <w:sz w:val="20"/>
                <w:szCs w:val="20"/>
              </w:rPr>
            </w:pPr>
            <w:r>
              <w:rPr>
                <w:sz w:val="20"/>
                <w:szCs w:val="20"/>
              </w:rPr>
              <w:t>≥95%</w:t>
            </w:r>
          </w:p>
        </w:tc>
        <w:tc>
          <w:tcPr>
            <w:tcW w:w="716" w:type="pct"/>
            <w:vAlign w:val="center"/>
          </w:tcPr>
          <w:p>
            <w:pPr>
              <w:widowControl/>
              <w:spacing w:line="200" w:lineRule="exact"/>
              <w:jc w:val="center"/>
              <w:rPr>
                <w:sz w:val="20"/>
                <w:szCs w:val="20"/>
              </w:rPr>
            </w:pPr>
            <w:r>
              <w:rPr>
                <w:sz w:val="20"/>
                <w:szCs w:val="20"/>
              </w:rPr>
              <w:t>≥95%</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2022年度退耕森林抚育项目支出绩效评价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397"/>
        <w:gridCol w:w="1112"/>
        <w:gridCol w:w="1112"/>
        <w:gridCol w:w="1065"/>
        <w:gridCol w:w="1412"/>
        <w:gridCol w:w="1124"/>
        <w:gridCol w:w="1184"/>
        <w:gridCol w:w="190"/>
        <w:gridCol w:w="206"/>
        <w:gridCol w:w="437"/>
        <w:gridCol w:w="490"/>
        <w:gridCol w:w="303"/>
        <w:gridCol w:w="187"/>
        <w:gridCol w:w="1249"/>
        <w:gridCol w:w="4069"/>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180"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5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18"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3"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52" w:type="pct"/>
            <w:vMerge w:val="continue"/>
            <w:vAlign w:val="center"/>
          </w:tcPr>
          <w:p>
            <w:pPr>
              <w:spacing w:line="400" w:lineRule="exact"/>
              <w:jc w:val="center"/>
              <w:rPr>
                <w:rFonts w:ascii="仿宋_GB2312" w:hAnsi="Arial Unicode MS" w:cs="Arial Unicode MS"/>
                <w:b/>
                <w:bCs/>
                <w:kern w:val="0"/>
                <w:sz w:val="18"/>
                <w:szCs w:val="18"/>
              </w:rPr>
            </w:pPr>
          </w:p>
        </w:tc>
        <w:tc>
          <w:tcPr>
            <w:tcW w:w="360"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58"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3" w:type="pct"/>
            <w:vMerge w:val="continue"/>
            <w:vAlign w:val="center"/>
          </w:tcPr>
          <w:p>
            <w:pPr>
              <w:spacing w:line="400" w:lineRule="exact"/>
              <w:rPr>
                <w:rFonts w:ascii="仿宋_GB2312" w:hAnsi="Arial Unicode MS" w:cs="Arial Unicode MS"/>
                <w:b/>
                <w:bCs/>
                <w:kern w:val="0"/>
                <w:sz w:val="18"/>
                <w:szCs w:val="18"/>
              </w:rPr>
            </w:pPr>
          </w:p>
        </w:tc>
        <w:tc>
          <w:tcPr>
            <w:tcW w:w="177"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41" w:type="pct"/>
            <w:vMerge w:val="continue"/>
            <w:vAlign w:val="center"/>
          </w:tcPr>
          <w:p>
            <w:pPr>
              <w:spacing w:line="400" w:lineRule="exact"/>
              <w:jc w:val="center"/>
              <w:rPr>
                <w:rFonts w:ascii="仿宋_GB2312" w:hAnsi="Arial Unicode MS" w:cs="Arial Unicode MS"/>
                <w:kern w:val="0"/>
                <w:sz w:val="18"/>
                <w:szCs w:val="18"/>
              </w:rPr>
            </w:pPr>
          </w:p>
        </w:tc>
        <w:tc>
          <w:tcPr>
            <w:tcW w:w="452" w:type="pct"/>
            <w:vMerge w:val="continue"/>
            <w:vAlign w:val="center"/>
          </w:tcPr>
          <w:p>
            <w:pPr>
              <w:spacing w:line="400" w:lineRule="exact"/>
              <w:jc w:val="center"/>
              <w:rPr>
                <w:rFonts w:ascii="仿宋_GB2312" w:hAnsi="Arial Unicode MS" w:cs="Arial Unicode MS"/>
                <w:kern w:val="0"/>
                <w:sz w:val="18"/>
                <w:szCs w:val="18"/>
              </w:rPr>
            </w:pPr>
          </w:p>
        </w:tc>
        <w:tc>
          <w:tcPr>
            <w:tcW w:w="360" w:type="pct"/>
            <w:vMerge w:val="continue"/>
            <w:vAlign w:val="center"/>
          </w:tcPr>
          <w:p>
            <w:pPr>
              <w:spacing w:line="400" w:lineRule="exact"/>
              <w:jc w:val="center"/>
              <w:rPr>
                <w:rFonts w:ascii="仿宋_GB2312" w:hAnsi="Arial Unicode MS" w:cs="Arial Unicode MS"/>
                <w:kern w:val="0"/>
                <w:sz w:val="18"/>
                <w:szCs w:val="18"/>
              </w:rPr>
            </w:pPr>
          </w:p>
        </w:tc>
        <w:tc>
          <w:tcPr>
            <w:tcW w:w="379"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7"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5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5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4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3" w:type="pct"/>
            <w:vMerge w:val="continue"/>
            <w:vAlign w:val="center"/>
          </w:tcPr>
          <w:p>
            <w:pPr>
              <w:spacing w:line="400" w:lineRule="exact"/>
              <w:rPr>
                <w:rFonts w:ascii="仿宋_GB2312" w:hAnsi="Arial Unicode MS" w:cs="Arial Unicode MS"/>
                <w:kern w:val="0"/>
                <w:sz w:val="18"/>
                <w:szCs w:val="18"/>
              </w:rPr>
            </w:pPr>
          </w:p>
        </w:tc>
        <w:tc>
          <w:tcPr>
            <w:tcW w:w="177"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7"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5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57"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2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56"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96"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5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52"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0"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0"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60"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8"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4823" w:type="pct"/>
            <w:gridSpan w:val="16"/>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7"/>
      </w:rPr>
      <w:id w:val="-1235926658"/>
      <w:docPartObj>
        <w:docPartGallery w:val="autotext"/>
      </w:docPartObj>
    </w:sdtPr>
    <w:sdtEndPr>
      <w:rPr>
        <w:rStyle w:val="17"/>
      </w:rPr>
    </w:sdtEndPr>
    <w:sdtContent>
      <w:p>
        <w:pPr>
          <w:pStyle w:val="9"/>
          <w:framePr w:wrap="around"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- 1 -</w:t>
        </w:r>
        <w:r>
          <w:rPr>
            <w:rStyle w:val="17"/>
          </w:rP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7"/>
      </w:rPr>
      <w:id w:val="-1237860541"/>
      <w:docPartObj>
        <w:docPartGallery w:val="autotext"/>
      </w:docPartObj>
    </w:sdtPr>
    <w:sdtEndPr>
      <w:rPr>
        <w:rStyle w:val="17"/>
      </w:rPr>
    </w:sdtEndPr>
    <w:sdtContent>
      <w:p>
        <w:pPr>
          <w:pStyle w:val="9"/>
          <w:framePr w:wrap="around"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- 6 -</w:t>
        </w:r>
        <w:r>
          <w:rPr>
            <w:rStyle w:val="17"/>
          </w:rP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C70E8C8-1F60-4DF4-886C-9EFC4EB1C116}" w:val="KUr9E1jDwoctlTxO78vqBJIM23/+6g0CQSWey4p=PHafNzhkLRYZiAVun5bsmFdXG"/>
    <w:docVar w:name="commondata" w:val="eyJoZGlkIjoiZTgxNTJkNDk3ZTBmZDg5MTJhMDY2NzllNjYwMWY1MWMifQ=="/>
    <w:docVar w:name="DocumentID" w:val="{A90C1FA8-56B7-4450-9401-6283926D6467}"/>
  </w:docVars>
  <w:rsids>
    <w:rsidRoot w:val="0B0634F0"/>
    <w:rsid w:val="00060D37"/>
    <w:rsid w:val="00237B37"/>
    <w:rsid w:val="007314D2"/>
    <w:rsid w:val="00790AE4"/>
    <w:rsid w:val="0093457B"/>
    <w:rsid w:val="00B11E21"/>
    <w:rsid w:val="00B67626"/>
    <w:rsid w:val="00C74D78"/>
    <w:rsid w:val="00CE1A8A"/>
    <w:rsid w:val="00E66726"/>
    <w:rsid w:val="00EB1DE0"/>
    <w:rsid w:val="045E517C"/>
    <w:rsid w:val="0890362F"/>
    <w:rsid w:val="08F7717F"/>
    <w:rsid w:val="0B0634F0"/>
    <w:rsid w:val="10F772D2"/>
    <w:rsid w:val="14B46DFD"/>
    <w:rsid w:val="2101264B"/>
    <w:rsid w:val="3E0844C2"/>
    <w:rsid w:val="3E7976EC"/>
    <w:rsid w:val="402D539C"/>
    <w:rsid w:val="4C550464"/>
    <w:rsid w:val="4FBB1C67"/>
    <w:rsid w:val="58102D59"/>
    <w:rsid w:val="5F021EAC"/>
    <w:rsid w:val="63335D92"/>
    <w:rsid w:val="6DED6A5F"/>
    <w:rsid w:val="6E881A5B"/>
    <w:rsid w:val="75562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3356</Words>
  <Characters>3633</Characters>
  <Lines>347</Lines>
  <Paragraphs>269</Paragraphs>
  <TotalTime>7</TotalTime>
  <ScaleCrop>false</ScaleCrop>
  <LinksUpToDate>false</LinksUpToDate>
  <CharactersWithSpaces>3645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2023-10-17T02:14:08Z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