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年度野生动物致害政府救助责任保险经费</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1、项目基本情况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近年来，我县境内野生动物栖息环境不断改善，森林资源持续增长，野生动物得到了良好的保护，但是，也出现了野猴、野猪、黑熊等野生动物不定时到农户家里伤害家禽，危害农作物，甚至出现野生动物伤人事件。为了长效治理野生动物伤害家禽、农作物情况损失，保障受灾群众的合法权益，化解社会矛盾，沐川县引入县内保险机制，设立野生动物致害政府救助责任保险，实行政府统保，由县财政每年全额安排投保资金。</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2、项目绩效目标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长效治理野生动物危害家禽、农作物情况损失，切实保护受灾群众合法权益，化解社会矛盾，提高补偿效益。2022年，沐川林业局计划择优选定一家保险公司进行投保，保障对野生动物致害达到100%的赔偿，理赔速度要及时，林农满意度达95%以上，同时，要建立完善野生动物肇事损害赔偿制度和野生动物伤害保险制度。</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2021年，《沐川县林业局关于投保野生动物致害政府救助责任保险的请示》（沐林〔2021〕84号）提出设立野生动物致害政府救助责任保险，2021年7月，县政府同意批复，并提出保险费用从2022年起列入部门年初预算。2022年，项目下达资金预算20万元，项目资金全部来源于县本级财政资金，资金到位率100%。</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2022年，经招投标确定由中国人民财产保险股份有限公司乐山市分公司承保，2022年3月，将20万元保费支付给人保财险乐山分公司，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20万元，用于支付人保财险乐山分公司保费，资金实际支付为20万元，资金使用率100%，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2022年沐川县林业局通过招投标确定由中国人民财产保险股份有限公司乐山市分公司承保，对因野生动物损害农作物、家禽等损失进行理赔。</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我县将野生动物损坏农林作物事件引入保险机制，建立完善了野生动物肇事损害赔偿制度和野生动物伤害保险制度，择优选定人保财险乐山分公司承保，凡发生野生动物损害农林作物及家禽家畜的情况，由保险公司赔偿，从而保障了全县受损群众财产损失，对野生动物致害达到100%的赔偿，理赔速度，林农满意度达96%。</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野生动物致害政府救助责任保险有效转嫁了野生动物的侵害风险，减轻了野生动物危害造成人身伤害和财产损失，充分保障林区周边人民群众生命安全和财产利益。</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2022年度项目自评得分为99分，该项目为长期每年开展项目，2023年建议继续预算此项目，每年绩效目标与预算同步批复、同步公开。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1.2022年度野生动物致害政府救助责任保险经费项目绩效目标自评表</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2.2022年度野生动物致害政府救助责任保险经费项目支出绩效评价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0" w:name="_GoBack"/>
      <w:bookmarkEnd w:id="0"/>
      <w:r>
        <w:rPr>
          <w:rFonts w:ascii="Times New Roman" w:hAnsi="Times New Roman" w:eastAsia="仿宋_GB2312" w:cs="Times New Roman"/>
          <w:sz w:val="32"/>
          <w:szCs w:val="32"/>
        </w:rPr>
        <w:t>月1</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2022年度野生动物致害政府救助责任保险经费项目绩效目标自评表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96"/>
        <w:gridCol w:w="1028"/>
        <w:gridCol w:w="1485"/>
        <w:gridCol w:w="1133"/>
        <w:gridCol w:w="989"/>
        <w:gridCol w:w="1036"/>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76" w:type="pct"/>
            <w:gridSpan w:val="5"/>
            <w:vAlign w:val="center"/>
          </w:tcPr>
          <w:p>
            <w:pPr>
              <w:widowControl/>
              <w:spacing w:line="200" w:lineRule="exact"/>
              <w:jc w:val="center"/>
              <w:rPr>
                <w:color w:val="000000"/>
                <w:sz w:val="20"/>
                <w:szCs w:val="20"/>
              </w:rPr>
            </w:pPr>
            <w:r>
              <w:rPr>
                <w:color w:val="000000"/>
                <w:sz w:val="20"/>
                <w:szCs w:val="20"/>
              </w:rPr>
              <w:t>野生动物致害政府救助责任保险经费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536" w:type="pct"/>
            <w:gridSpan w:val="2"/>
            <w:vAlign w:val="center"/>
          </w:tcPr>
          <w:p>
            <w:pPr>
              <w:widowControl/>
              <w:spacing w:line="200" w:lineRule="exact"/>
              <w:jc w:val="center"/>
              <w:rPr>
                <w:color w:val="000000"/>
                <w:sz w:val="20"/>
                <w:szCs w:val="20"/>
              </w:rPr>
            </w:pPr>
            <w:r>
              <w:rPr>
                <w:color w:val="000000"/>
                <w:sz w:val="20"/>
                <w:szCs w:val="20"/>
              </w:rPr>
              <w:t>林业局</w:t>
            </w:r>
          </w:p>
        </w:tc>
        <w:tc>
          <w:tcPr>
            <w:tcW w:w="58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60"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71"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188"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20</w:t>
            </w:r>
          </w:p>
        </w:tc>
        <w:tc>
          <w:tcPr>
            <w:tcW w:w="1188" w:type="pct"/>
            <w:gridSpan w:val="2"/>
            <w:vAlign w:val="center"/>
          </w:tcPr>
          <w:p>
            <w:pPr>
              <w:widowControl/>
              <w:spacing w:line="200" w:lineRule="exact"/>
              <w:jc w:val="center"/>
              <w:rPr>
                <w:color w:val="000000"/>
                <w:sz w:val="20"/>
                <w:szCs w:val="20"/>
              </w:rPr>
            </w:pPr>
            <w:r>
              <w:rPr>
                <w:color w:val="000000"/>
                <w:sz w:val="20"/>
                <w:szCs w:val="20"/>
              </w:rPr>
              <w:t>20</w:t>
            </w:r>
          </w:p>
        </w:tc>
        <w:tc>
          <w:tcPr>
            <w:tcW w:w="952"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r>
              <w:rPr>
                <w:color w:val="000000"/>
                <w:sz w:val="20"/>
                <w:szCs w:val="20"/>
              </w:rPr>
              <w:t>20</w:t>
            </w:r>
          </w:p>
        </w:tc>
        <w:tc>
          <w:tcPr>
            <w:tcW w:w="1188" w:type="pct"/>
            <w:gridSpan w:val="2"/>
            <w:vAlign w:val="center"/>
          </w:tcPr>
          <w:p>
            <w:pPr>
              <w:widowControl/>
              <w:spacing w:line="200" w:lineRule="exact"/>
              <w:jc w:val="center"/>
              <w:rPr>
                <w:color w:val="000000"/>
                <w:sz w:val="20"/>
                <w:szCs w:val="20"/>
              </w:rPr>
            </w:pPr>
            <w:r>
              <w:rPr>
                <w:color w:val="000000"/>
                <w:sz w:val="20"/>
                <w:szCs w:val="20"/>
              </w:rPr>
              <w:t>20</w:t>
            </w:r>
          </w:p>
        </w:tc>
        <w:tc>
          <w:tcPr>
            <w:tcW w:w="952"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30"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vAlign w:val="center"/>
          </w:tcPr>
          <w:p>
            <w:pPr>
              <w:widowControl/>
              <w:spacing w:line="200" w:lineRule="exact"/>
              <w:jc w:val="center"/>
              <w:rPr>
                <w:color w:val="000000"/>
                <w:sz w:val="20"/>
                <w:szCs w:val="20"/>
              </w:rPr>
            </w:pPr>
          </w:p>
        </w:tc>
        <w:tc>
          <w:tcPr>
            <w:tcW w:w="2430" w:type="pct"/>
            <w:gridSpan w:val="4"/>
            <w:vAlign w:val="center"/>
          </w:tcPr>
          <w:p>
            <w:pPr>
              <w:widowControl/>
              <w:spacing w:line="200" w:lineRule="exact"/>
              <w:rPr>
                <w:color w:val="000000"/>
                <w:sz w:val="20"/>
                <w:szCs w:val="20"/>
              </w:rPr>
            </w:pPr>
            <w:r>
              <w:rPr>
                <w:color w:val="000000"/>
                <w:sz w:val="20"/>
                <w:szCs w:val="20"/>
              </w:rPr>
              <w:t>长效治理野生动物危害家禽、农作物情况损失，切实保护受灾群众合法权益，化解社会矛盾，提高补偿效益。</w:t>
            </w:r>
          </w:p>
        </w:tc>
        <w:tc>
          <w:tcPr>
            <w:tcW w:w="2140" w:type="pct"/>
            <w:gridSpan w:val="3"/>
            <w:vAlign w:val="center"/>
          </w:tcPr>
          <w:p>
            <w:pPr>
              <w:widowControl/>
              <w:spacing w:line="200" w:lineRule="exact"/>
              <w:rPr>
                <w:color w:val="000000"/>
                <w:sz w:val="20"/>
                <w:szCs w:val="20"/>
              </w:rPr>
            </w:pPr>
            <w:r>
              <w:rPr>
                <w:color w:val="000000"/>
                <w:sz w:val="20"/>
                <w:szCs w:val="20"/>
              </w:rPr>
              <w:t>通过招投标确定由中国人民财产保险股份有限公司乐山市分公司承保，对因野生动物损害农作物、家禽等损失进行理赔，保护了受灾群众的合法权益。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536"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58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07"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536" w:type="pct"/>
            <w:gridSpan w:val="2"/>
            <w:vAlign w:val="center"/>
          </w:tcPr>
          <w:p>
            <w:pPr>
              <w:widowControl/>
              <w:spacing w:line="200" w:lineRule="exact"/>
              <w:jc w:val="center"/>
              <w:rPr>
                <w:color w:val="000000"/>
                <w:sz w:val="20"/>
                <w:szCs w:val="20"/>
              </w:rPr>
            </w:pPr>
            <w:r>
              <w:rPr>
                <w:color w:val="000000"/>
                <w:sz w:val="20"/>
                <w:szCs w:val="20"/>
              </w:rPr>
              <w:t>野生动物致害保险承保公司</w:t>
            </w:r>
          </w:p>
        </w:tc>
        <w:tc>
          <w:tcPr>
            <w:tcW w:w="580" w:type="pct"/>
            <w:vAlign w:val="center"/>
          </w:tcPr>
          <w:p>
            <w:pPr>
              <w:widowControl/>
              <w:spacing w:line="200" w:lineRule="exact"/>
              <w:jc w:val="center"/>
              <w:rPr>
                <w:color w:val="000000"/>
                <w:sz w:val="20"/>
                <w:szCs w:val="20"/>
              </w:rPr>
            </w:pPr>
            <w:r>
              <w:rPr>
                <w:color w:val="000000"/>
                <w:sz w:val="20"/>
                <w:szCs w:val="20"/>
              </w:rPr>
              <w:t>=1家</w:t>
            </w:r>
          </w:p>
        </w:tc>
        <w:tc>
          <w:tcPr>
            <w:tcW w:w="607" w:type="pct"/>
            <w:vAlign w:val="center"/>
          </w:tcPr>
          <w:p>
            <w:pPr>
              <w:widowControl/>
              <w:spacing w:line="200" w:lineRule="exact"/>
              <w:jc w:val="center"/>
              <w:rPr>
                <w:color w:val="000000"/>
                <w:sz w:val="20"/>
                <w:szCs w:val="20"/>
              </w:rPr>
            </w:pPr>
            <w:r>
              <w:rPr>
                <w:color w:val="000000"/>
                <w:sz w:val="20"/>
                <w:szCs w:val="20"/>
              </w:rPr>
              <w:t>1家</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536" w:type="pct"/>
            <w:gridSpan w:val="2"/>
            <w:vAlign w:val="center"/>
          </w:tcPr>
          <w:p>
            <w:pPr>
              <w:widowControl/>
              <w:spacing w:line="200" w:lineRule="exact"/>
              <w:jc w:val="center"/>
              <w:rPr>
                <w:color w:val="000000"/>
                <w:sz w:val="20"/>
                <w:szCs w:val="20"/>
              </w:rPr>
            </w:pPr>
            <w:r>
              <w:rPr>
                <w:color w:val="000000"/>
                <w:sz w:val="20"/>
                <w:szCs w:val="20"/>
              </w:rPr>
              <w:t>损失补偿覆盖率</w:t>
            </w:r>
          </w:p>
        </w:tc>
        <w:tc>
          <w:tcPr>
            <w:tcW w:w="580" w:type="pct"/>
            <w:vAlign w:val="center"/>
          </w:tcPr>
          <w:p>
            <w:pPr>
              <w:widowControl/>
              <w:spacing w:line="200" w:lineRule="exact"/>
              <w:jc w:val="center"/>
              <w:rPr>
                <w:color w:val="000000"/>
                <w:sz w:val="20"/>
                <w:szCs w:val="20"/>
              </w:rPr>
            </w:pPr>
            <w:r>
              <w:rPr>
                <w:color w:val="000000"/>
                <w:sz w:val="20"/>
                <w:szCs w:val="20"/>
              </w:rPr>
              <w:t>＝100%</w:t>
            </w:r>
          </w:p>
        </w:tc>
        <w:tc>
          <w:tcPr>
            <w:tcW w:w="607" w:type="pct"/>
            <w:vAlign w:val="center"/>
          </w:tcPr>
          <w:p>
            <w:pPr>
              <w:widowControl/>
              <w:spacing w:line="200" w:lineRule="exact"/>
              <w:jc w:val="center"/>
              <w:rPr>
                <w:color w:val="000000"/>
                <w:sz w:val="20"/>
                <w:szCs w:val="20"/>
              </w:rPr>
            </w:pPr>
            <w:r>
              <w:rPr>
                <w:color w:val="000000"/>
                <w:sz w:val="20"/>
                <w:szCs w:val="20"/>
              </w:rPr>
              <w:t>＝100%</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536" w:type="pct"/>
            <w:gridSpan w:val="2"/>
            <w:vAlign w:val="center"/>
          </w:tcPr>
          <w:p>
            <w:pPr>
              <w:widowControl/>
              <w:spacing w:line="200" w:lineRule="exact"/>
              <w:jc w:val="center"/>
              <w:rPr>
                <w:color w:val="000000"/>
                <w:sz w:val="20"/>
                <w:szCs w:val="20"/>
              </w:rPr>
            </w:pPr>
            <w:r>
              <w:rPr>
                <w:color w:val="000000"/>
                <w:sz w:val="20"/>
                <w:szCs w:val="20"/>
              </w:rPr>
              <w:t>理赔时间</w:t>
            </w:r>
          </w:p>
        </w:tc>
        <w:tc>
          <w:tcPr>
            <w:tcW w:w="580" w:type="pct"/>
            <w:vAlign w:val="center"/>
          </w:tcPr>
          <w:p>
            <w:pPr>
              <w:widowControl/>
              <w:spacing w:line="200" w:lineRule="exact"/>
              <w:jc w:val="center"/>
              <w:rPr>
                <w:color w:val="000000"/>
                <w:sz w:val="20"/>
                <w:szCs w:val="20"/>
              </w:rPr>
            </w:pPr>
            <w:r>
              <w:rPr>
                <w:color w:val="000000"/>
                <w:sz w:val="20"/>
                <w:szCs w:val="20"/>
              </w:rPr>
              <w:t>≤30天</w:t>
            </w:r>
          </w:p>
        </w:tc>
        <w:tc>
          <w:tcPr>
            <w:tcW w:w="607" w:type="pct"/>
            <w:vAlign w:val="center"/>
          </w:tcPr>
          <w:p>
            <w:pPr>
              <w:widowControl/>
              <w:spacing w:line="200" w:lineRule="exact"/>
              <w:jc w:val="center"/>
              <w:rPr>
                <w:color w:val="000000"/>
                <w:sz w:val="20"/>
                <w:szCs w:val="20"/>
              </w:rPr>
            </w:pPr>
            <w:r>
              <w:rPr>
                <w:color w:val="000000"/>
                <w:sz w:val="20"/>
                <w:szCs w:val="20"/>
              </w:rPr>
              <w:t>≤30天</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536" w:type="pct"/>
            <w:gridSpan w:val="2"/>
            <w:vAlign w:val="center"/>
          </w:tcPr>
          <w:p>
            <w:pPr>
              <w:widowControl/>
              <w:spacing w:line="200" w:lineRule="exact"/>
              <w:jc w:val="center"/>
              <w:rPr>
                <w:color w:val="000000"/>
                <w:sz w:val="20"/>
                <w:szCs w:val="20"/>
              </w:rPr>
            </w:pPr>
            <w:r>
              <w:rPr>
                <w:color w:val="000000"/>
                <w:sz w:val="20"/>
                <w:szCs w:val="20"/>
              </w:rPr>
              <w:t>保险保费</w:t>
            </w:r>
          </w:p>
        </w:tc>
        <w:tc>
          <w:tcPr>
            <w:tcW w:w="580" w:type="pct"/>
            <w:vAlign w:val="center"/>
          </w:tcPr>
          <w:p>
            <w:pPr>
              <w:widowControl/>
              <w:spacing w:line="200" w:lineRule="exact"/>
              <w:jc w:val="center"/>
              <w:rPr>
                <w:color w:val="000000"/>
                <w:sz w:val="20"/>
                <w:szCs w:val="20"/>
              </w:rPr>
            </w:pPr>
            <w:r>
              <w:rPr>
                <w:color w:val="000000"/>
                <w:sz w:val="20"/>
                <w:szCs w:val="20"/>
              </w:rPr>
              <w:t>=20万元</w:t>
            </w:r>
          </w:p>
        </w:tc>
        <w:tc>
          <w:tcPr>
            <w:tcW w:w="607" w:type="pct"/>
            <w:vAlign w:val="center"/>
          </w:tcPr>
          <w:p>
            <w:pPr>
              <w:widowControl/>
              <w:spacing w:line="200" w:lineRule="exact"/>
              <w:jc w:val="center"/>
              <w:rPr>
                <w:color w:val="000000"/>
                <w:sz w:val="20"/>
                <w:szCs w:val="20"/>
              </w:rPr>
            </w:pPr>
            <w:r>
              <w:rPr>
                <w:color w:val="000000"/>
                <w:sz w:val="20"/>
                <w:szCs w:val="20"/>
              </w:rPr>
              <w:t>=20万元</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经济效益</w:t>
            </w:r>
          </w:p>
          <w:p>
            <w:pPr>
              <w:widowControl/>
              <w:spacing w:line="200" w:lineRule="exact"/>
              <w:jc w:val="center"/>
              <w:textAlignment w:val="center"/>
              <w:rPr>
                <w:color w:val="000000"/>
                <w:sz w:val="20"/>
                <w:szCs w:val="20"/>
              </w:rPr>
            </w:pPr>
            <w:r>
              <w:rPr>
                <w:color w:val="000000"/>
                <w:kern w:val="0"/>
                <w:sz w:val="20"/>
                <w:szCs w:val="20"/>
              </w:rPr>
              <w:t>指标</w:t>
            </w:r>
          </w:p>
        </w:tc>
        <w:tc>
          <w:tcPr>
            <w:tcW w:w="1536" w:type="pct"/>
            <w:gridSpan w:val="2"/>
            <w:vAlign w:val="center"/>
          </w:tcPr>
          <w:p>
            <w:pPr>
              <w:widowControl/>
              <w:spacing w:line="200" w:lineRule="exact"/>
              <w:rPr>
                <w:color w:val="000000"/>
                <w:sz w:val="20"/>
                <w:szCs w:val="20"/>
              </w:rPr>
            </w:pPr>
            <w:r>
              <w:rPr>
                <w:color w:val="000000"/>
                <w:sz w:val="20"/>
                <w:szCs w:val="20"/>
              </w:rPr>
              <w:t>保障家禽、农作物的正常生长</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536" w:type="pct"/>
            <w:gridSpan w:val="2"/>
            <w:vAlign w:val="center"/>
          </w:tcPr>
          <w:p>
            <w:pPr>
              <w:widowControl/>
              <w:spacing w:line="200" w:lineRule="exact"/>
              <w:jc w:val="center"/>
              <w:rPr>
                <w:color w:val="000000"/>
                <w:sz w:val="20"/>
                <w:szCs w:val="20"/>
              </w:rPr>
            </w:pPr>
            <w:r>
              <w:rPr>
                <w:color w:val="000000"/>
                <w:sz w:val="20"/>
                <w:szCs w:val="20"/>
              </w:rPr>
              <w:t>保障群众人身、财产安全</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536" w:type="pct"/>
            <w:gridSpan w:val="2"/>
            <w:vAlign w:val="center"/>
          </w:tcPr>
          <w:p>
            <w:pPr>
              <w:widowControl/>
              <w:spacing w:line="200" w:lineRule="exact"/>
              <w:jc w:val="center"/>
              <w:rPr>
                <w:color w:val="000000"/>
                <w:sz w:val="20"/>
                <w:szCs w:val="20"/>
              </w:rPr>
            </w:pPr>
            <w:r>
              <w:rPr>
                <w:color w:val="000000"/>
                <w:sz w:val="20"/>
                <w:szCs w:val="20"/>
              </w:rPr>
              <w:t>林农满意度</w:t>
            </w:r>
          </w:p>
        </w:tc>
        <w:tc>
          <w:tcPr>
            <w:tcW w:w="580" w:type="pct"/>
            <w:vAlign w:val="center"/>
          </w:tcPr>
          <w:p>
            <w:pPr>
              <w:widowControl/>
              <w:spacing w:line="200" w:lineRule="exact"/>
              <w:jc w:val="center"/>
              <w:rPr>
                <w:color w:val="000000"/>
                <w:sz w:val="20"/>
                <w:szCs w:val="20"/>
              </w:rPr>
            </w:pPr>
            <w:r>
              <w:rPr>
                <w:color w:val="000000"/>
                <w:sz w:val="20"/>
                <w:szCs w:val="20"/>
              </w:rPr>
              <w:t>≥95%</w:t>
            </w:r>
          </w:p>
        </w:tc>
        <w:tc>
          <w:tcPr>
            <w:tcW w:w="607" w:type="pct"/>
            <w:vAlign w:val="center"/>
          </w:tcPr>
          <w:p>
            <w:pPr>
              <w:widowControl/>
              <w:spacing w:line="200" w:lineRule="exact"/>
              <w:jc w:val="center"/>
              <w:rPr>
                <w:color w:val="000000"/>
                <w:sz w:val="20"/>
                <w:szCs w:val="20"/>
              </w:rPr>
            </w:pPr>
            <w:r>
              <w:rPr>
                <w:color w:val="000000"/>
                <w:sz w:val="20"/>
                <w:szCs w:val="20"/>
              </w:rPr>
              <w:t>＝96%</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0"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2022年度野生动物致害政府救助责任保险经费项目支出绩效评价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397"/>
        <w:gridCol w:w="1109"/>
        <w:gridCol w:w="1112"/>
        <w:gridCol w:w="1209"/>
        <w:gridCol w:w="1277"/>
        <w:gridCol w:w="1130"/>
        <w:gridCol w:w="1184"/>
        <w:gridCol w:w="190"/>
        <w:gridCol w:w="206"/>
        <w:gridCol w:w="437"/>
        <w:gridCol w:w="490"/>
        <w:gridCol w:w="303"/>
        <w:gridCol w:w="187"/>
        <w:gridCol w:w="1234"/>
        <w:gridCol w:w="4069"/>
        <w:gridCol w:w="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25"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0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15"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3"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87"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09" w:type="pct"/>
            <w:vMerge w:val="continue"/>
            <w:vAlign w:val="center"/>
          </w:tcPr>
          <w:p>
            <w:pPr>
              <w:spacing w:line="400" w:lineRule="exact"/>
              <w:jc w:val="center"/>
              <w:rPr>
                <w:rFonts w:ascii="仿宋_GB2312" w:hAnsi="Arial Unicode MS" w:cs="Arial Unicode MS"/>
                <w:b/>
                <w:bCs/>
                <w:kern w:val="0"/>
                <w:sz w:val="18"/>
                <w:szCs w:val="18"/>
              </w:rPr>
            </w:pPr>
          </w:p>
        </w:tc>
        <w:tc>
          <w:tcPr>
            <w:tcW w:w="36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54"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3" w:type="pct"/>
            <w:vMerge w:val="continue"/>
            <w:vAlign w:val="center"/>
          </w:tcPr>
          <w:p>
            <w:pPr>
              <w:spacing w:line="400" w:lineRule="exact"/>
              <w:rPr>
                <w:rFonts w:ascii="仿宋_GB2312" w:hAnsi="Arial Unicode MS" w:cs="Arial Unicode MS"/>
                <w:b/>
                <w:bCs/>
                <w:kern w:val="0"/>
                <w:sz w:val="18"/>
                <w:szCs w:val="18"/>
              </w:rPr>
            </w:pPr>
          </w:p>
        </w:tc>
        <w:tc>
          <w:tcPr>
            <w:tcW w:w="177"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5" w:type="pct"/>
            <w:vMerge w:val="continue"/>
            <w:vAlign w:val="center"/>
          </w:tcPr>
          <w:p>
            <w:pPr>
              <w:spacing w:line="400" w:lineRule="exact"/>
              <w:jc w:val="center"/>
              <w:rPr>
                <w:rFonts w:ascii="仿宋_GB2312" w:hAnsi="Arial Unicode MS" w:cs="Arial Unicode MS"/>
                <w:kern w:val="0"/>
                <w:sz w:val="18"/>
                <w:szCs w:val="18"/>
              </w:rPr>
            </w:pPr>
          </w:p>
        </w:tc>
        <w:tc>
          <w:tcPr>
            <w:tcW w:w="356" w:type="pct"/>
            <w:vMerge w:val="continue"/>
            <w:vAlign w:val="center"/>
          </w:tcPr>
          <w:p>
            <w:pPr>
              <w:spacing w:line="400" w:lineRule="exact"/>
              <w:jc w:val="center"/>
              <w:rPr>
                <w:rFonts w:ascii="仿宋_GB2312" w:hAnsi="Arial Unicode MS" w:cs="Arial Unicode MS"/>
                <w:kern w:val="0"/>
                <w:sz w:val="18"/>
                <w:szCs w:val="18"/>
              </w:rPr>
            </w:pPr>
          </w:p>
        </w:tc>
        <w:tc>
          <w:tcPr>
            <w:tcW w:w="387" w:type="pct"/>
            <w:vMerge w:val="continue"/>
            <w:vAlign w:val="center"/>
          </w:tcPr>
          <w:p>
            <w:pPr>
              <w:spacing w:line="400" w:lineRule="exact"/>
              <w:jc w:val="center"/>
              <w:rPr>
                <w:rFonts w:ascii="仿宋_GB2312" w:hAnsi="Arial Unicode MS" w:cs="Arial Unicode MS"/>
                <w:kern w:val="0"/>
                <w:sz w:val="18"/>
                <w:szCs w:val="18"/>
              </w:rPr>
            </w:pPr>
          </w:p>
        </w:tc>
        <w:tc>
          <w:tcPr>
            <w:tcW w:w="409" w:type="pct"/>
            <w:vMerge w:val="continue"/>
            <w:vAlign w:val="center"/>
          </w:tcPr>
          <w:p>
            <w:pPr>
              <w:spacing w:line="400" w:lineRule="exact"/>
              <w:jc w:val="center"/>
              <w:rPr>
                <w:rFonts w:ascii="仿宋_GB2312" w:hAnsi="Arial Unicode MS" w:cs="Arial Unicode MS"/>
                <w:kern w:val="0"/>
                <w:sz w:val="18"/>
                <w:szCs w:val="18"/>
              </w:rPr>
            </w:pPr>
          </w:p>
        </w:tc>
        <w:tc>
          <w:tcPr>
            <w:tcW w:w="362" w:type="pct"/>
            <w:vMerge w:val="continue"/>
            <w:vAlign w:val="center"/>
          </w:tcPr>
          <w:p>
            <w:pPr>
              <w:spacing w:line="400" w:lineRule="exact"/>
              <w:jc w:val="center"/>
              <w:rPr>
                <w:rFonts w:ascii="仿宋_GB2312" w:hAnsi="Arial Unicode MS" w:cs="Arial Unicode MS"/>
                <w:kern w:val="0"/>
                <w:sz w:val="18"/>
                <w:szCs w:val="18"/>
              </w:rPr>
            </w:pPr>
          </w:p>
        </w:tc>
        <w:tc>
          <w:tcPr>
            <w:tcW w:w="379"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7"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5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5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3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3" w:type="pct"/>
            <w:vMerge w:val="continue"/>
            <w:vAlign w:val="center"/>
          </w:tcPr>
          <w:p>
            <w:pPr>
              <w:spacing w:line="400" w:lineRule="exact"/>
              <w:rPr>
                <w:rFonts w:ascii="仿宋_GB2312" w:hAnsi="Arial Unicode MS" w:cs="Arial Unicode MS"/>
                <w:kern w:val="0"/>
                <w:sz w:val="18"/>
                <w:szCs w:val="18"/>
              </w:rPr>
            </w:pPr>
          </w:p>
        </w:tc>
        <w:tc>
          <w:tcPr>
            <w:tcW w:w="177"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7"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5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57"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23"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51"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96"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5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09"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2"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0"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60"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3"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3"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保险受益度</w:t>
            </w:r>
          </w:p>
        </w:tc>
        <w:tc>
          <w:tcPr>
            <w:tcW w:w="409"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反映受益群体对保险受益的程度</w:t>
            </w:r>
          </w:p>
        </w:tc>
        <w:tc>
          <w:tcPr>
            <w:tcW w:w="362" w:type="pct"/>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sz w:val="15"/>
                <w:szCs w:val="15"/>
              </w:rPr>
              <w:t>比率分值法</w:t>
            </w:r>
          </w:p>
        </w:tc>
        <w:tc>
          <w:tcPr>
            <w:tcW w:w="1354" w:type="pct"/>
            <w:gridSpan w:val="8"/>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sz w:val="15"/>
                <w:szCs w:val="15"/>
              </w:rPr>
              <w:t>已获得实际理赔总额/已获得理赔人员的保费总额</w:t>
            </w:r>
          </w:p>
        </w:tc>
        <w:tc>
          <w:tcPr>
            <w:tcW w:w="1303"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考察本项目实施对相关群体的受益情况。已获得实际理赔总额/已获得理赔人员的保费总额&gt;1时按1计算。</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理赔速度</w:t>
            </w:r>
          </w:p>
        </w:tc>
        <w:tc>
          <w:tcPr>
            <w:tcW w:w="409"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考核承保公司理赔速度、质量等</w:t>
            </w:r>
          </w:p>
        </w:tc>
        <w:tc>
          <w:tcPr>
            <w:tcW w:w="362"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缺（错）项扣分法</w:t>
            </w:r>
          </w:p>
        </w:tc>
        <w:tc>
          <w:tcPr>
            <w:tcW w:w="1354" w:type="pct"/>
            <w:gridSpan w:val="8"/>
            <w:vAlign w:val="center"/>
          </w:tcPr>
          <w:p>
            <w:pPr>
              <w:spacing w:line="276" w:lineRule="auto"/>
              <w:jc w:val="center"/>
              <w:rPr>
                <w:rFonts w:ascii="仿宋_GB2312" w:hAnsi="Arial Unicode MS" w:cs="Arial Unicode MS"/>
                <w:sz w:val="15"/>
                <w:szCs w:val="15"/>
              </w:rPr>
            </w:pPr>
            <w:r>
              <w:rPr>
                <w:rFonts w:ascii="仿宋_GB2312" w:hAnsi="Arial Unicode MS" w:cs="Arial Unicode MS"/>
                <w:kern w:val="0"/>
                <w:sz w:val="18"/>
                <w:szCs w:val="18"/>
              </w:rPr>
              <w:t>发现一处扣0.5分，直至扣完</w:t>
            </w:r>
          </w:p>
        </w:tc>
        <w:tc>
          <w:tcPr>
            <w:tcW w:w="1303"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发现承保公司理赔速度不及时或理赔事实不符合等情况，发现一处扣0.5分。</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23" w:type="pct"/>
            <w:gridSpan w:val="16"/>
            <w:vAlign w:val="center"/>
          </w:tcPr>
          <w:p>
            <w:pPr>
              <w:spacing w:line="276" w:lineRule="auto"/>
              <w:jc w:val="center"/>
              <w:rPr>
                <w:rFonts w:ascii="仿宋_GB2312" w:hAnsi="Arial Unicode MS" w:cs="Arial Unicode MS"/>
                <w:sz w:val="15"/>
                <w:szCs w:val="15"/>
              </w:rPr>
            </w:pPr>
            <w:r>
              <w:rPr>
                <w:rFonts w:hint="eastAsia" w:ascii="仿宋_GB2312" w:hAnsi="Arial Unicode MS" w:cs="Arial Unicode MS"/>
                <w:sz w:val="15"/>
                <w:szCs w:val="15"/>
              </w:rPr>
              <w:t>合计</w:t>
            </w:r>
          </w:p>
        </w:tc>
        <w:tc>
          <w:tcPr>
            <w:tcW w:w="17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r>
              <w:rPr>
                <w:rFonts w:ascii="仿宋_GB2312" w:hAnsi="Arial Unicode MS" w:cs="Arial Unicode MS"/>
                <w:kern w:val="0"/>
                <w:sz w:val="18"/>
                <w:szCs w:val="18"/>
              </w:rPr>
              <w:t>9</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454"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00000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- 5 -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538FFCCB-260C-499F-B0E4-B65923593CE2}" w:val="KUr9E1jDwoctlTxO78vqBJIM23/+6g0CQSWey4p=PHafNzhkLRYZiAVun5bsmFdXG"/>
    <w:docVar w:name="commondata" w:val="eyJoZGlkIjoiZTgxNTJkNDk3ZTBmZDg5MTJhMDY2NzllNjYwMWY1MWMifQ=="/>
    <w:docVar w:name="DocumentID" w:val="{B29683A8-35F4-4AB8-AD6E-E58D541243E6}"/>
  </w:docVars>
  <w:rsids>
    <w:rsidRoot w:val="0B0634F0"/>
    <w:rsid w:val="00020B84"/>
    <w:rsid w:val="00024ADE"/>
    <w:rsid w:val="00113EF9"/>
    <w:rsid w:val="0013009D"/>
    <w:rsid w:val="0020388C"/>
    <w:rsid w:val="002C3435"/>
    <w:rsid w:val="004A2E79"/>
    <w:rsid w:val="004D2611"/>
    <w:rsid w:val="0060534E"/>
    <w:rsid w:val="00683FC7"/>
    <w:rsid w:val="006A5223"/>
    <w:rsid w:val="007066F5"/>
    <w:rsid w:val="00942183"/>
    <w:rsid w:val="0098584D"/>
    <w:rsid w:val="00A57BCD"/>
    <w:rsid w:val="00B22A0A"/>
    <w:rsid w:val="00B372E0"/>
    <w:rsid w:val="00F52417"/>
    <w:rsid w:val="0B0634F0"/>
    <w:rsid w:val="2101264B"/>
    <w:rsid w:val="2ED91046"/>
    <w:rsid w:val="381C52AC"/>
    <w:rsid w:val="3A176A57"/>
    <w:rsid w:val="47AB6F79"/>
    <w:rsid w:val="58102D59"/>
    <w:rsid w:val="6D524E4E"/>
    <w:rsid w:val="6DED6A5F"/>
    <w:rsid w:val="6E881A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Char"/>
    <w:link w:val="3"/>
    <w:qFormat/>
    <w:uiPriority w:val="0"/>
    <w:rPr>
      <w:b/>
      <w:kern w:val="44"/>
      <w:sz w:val="44"/>
    </w:rPr>
  </w:style>
  <w:style w:type="character" w:customStyle="1" w:styleId="19">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4050</Words>
  <Characters>4241</Characters>
  <Lines>5</Lines>
  <Paragraphs>9</Paragraphs>
  <TotalTime>6</TotalTime>
  <ScaleCrop>false</ScaleCrop>
  <LinksUpToDate>false</LinksUpToDate>
  <CharactersWithSpaces>4253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2023-10-17T02:14:52Z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