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3264" w:firstLineChars="739"/>
        <w:rPr>
          <w:rFonts w:ascii="方正小标宋简体" w:hAnsi="宋体" w:eastAsia="方正小标宋简体"/>
          <w:b/>
          <w:sz w:val="44"/>
          <w:szCs w:val="44"/>
        </w:rPr>
      </w:pPr>
      <w:r>
        <w:rPr>
          <w:rFonts w:ascii="方正小标宋简体" w:hAnsi="宋体" w:eastAsia="方正小标宋简体"/>
          <w:b/>
          <w:sz w:val="44"/>
          <w:szCs w:val="44"/>
        </w:rPr>
        <w:t>2022</w:t>
      </w:r>
      <w:r>
        <w:rPr>
          <w:rFonts w:hint="eastAsia" w:ascii="方正小标宋简体" w:hAnsi="宋体" w:eastAsia="方正小标宋简体"/>
          <w:b/>
          <w:sz w:val="44"/>
          <w:szCs w:val="44"/>
        </w:rPr>
        <w:t>年度</w:t>
      </w:r>
    </w:p>
    <w:p>
      <w:pPr>
        <w:spacing w:line="560" w:lineRule="exact"/>
        <w:ind w:firstLine="883" w:firstLineChars="200"/>
        <w:jc w:val="center"/>
        <w:rPr>
          <w:rFonts w:ascii="方正小标宋简体" w:hAnsi="宋体" w:eastAsia="方正小标宋简体"/>
          <w:b/>
          <w:sz w:val="44"/>
          <w:szCs w:val="44"/>
        </w:rPr>
      </w:pPr>
      <w:r>
        <w:rPr>
          <w:rFonts w:hint="eastAsia" w:ascii="方正小标宋简体" w:hAnsi="宋体" w:eastAsia="方正小标宋简体"/>
          <w:b/>
          <w:sz w:val="44"/>
          <w:szCs w:val="44"/>
        </w:rPr>
        <w:t>中国共产党沐川县委员会组织部部门决  算</w:t>
      </w:r>
    </w:p>
    <w:p>
      <w:pPr>
        <w:jc w:val="center"/>
        <w:rPr>
          <w:rFonts w:ascii="黑体" w:eastAsia="黑体" w:cs="黑体"/>
          <w:sz w:val="48"/>
          <w:szCs w:val="48"/>
          <w:lang w:val="zh-CN"/>
        </w:rPr>
      </w:pPr>
    </w:p>
    <w:p>
      <w:pPr>
        <w:jc w:val="center"/>
        <w:rPr>
          <w:rFonts w:ascii="黑体" w:eastAsia="黑体" w:cs="黑体"/>
          <w:sz w:val="48"/>
          <w:szCs w:val="48"/>
          <w:lang w:val="zh-CN"/>
        </w:rPr>
      </w:pPr>
      <w:r>
        <w:rPr>
          <w:rFonts w:hint="eastAsia" w:ascii="黑体" w:eastAsia="黑体" w:cs="黑体"/>
          <w:sz w:val="48"/>
          <w:szCs w:val="48"/>
          <w:lang w:val="zh-CN"/>
        </w:rPr>
        <w:t>目录</w:t>
      </w:r>
    </w:p>
    <w:p>
      <w:pPr>
        <w:jc w:val="center"/>
        <w:rPr>
          <w:rFonts w:ascii="黑体" w:eastAsia="黑体" w:cs="黑体"/>
          <w:sz w:val="28"/>
          <w:szCs w:val="28"/>
          <w:lang w:val="zh-CN"/>
        </w:rPr>
      </w:pPr>
    </w:p>
    <w:p>
      <w:pPr>
        <w:tabs>
          <w:tab w:val="right" w:leader="dot" w:pos="8296"/>
        </w:tabs>
        <w:spacing w:before="93"/>
        <w:jc w:val="center"/>
        <w:rPr>
          <w:rFonts w:ascii="仿宋" w:eastAsia="仿宋" w:cs="仿宋"/>
          <w:sz w:val="28"/>
          <w:szCs w:val="28"/>
          <w:lang w:val="zh-CN"/>
        </w:rPr>
      </w:pPr>
      <w:r>
        <w:rPr>
          <w:rFonts w:hint="eastAsia" w:ascii="仿宋" w:eastAsia="仿宋" w:cs="仿宋"/>
          <w:sz w:val="28"/>
          <w:szCs w:val="28"/>
          <w:lang w:val="zh-CN"/>
        </w:rPr>
        <w:t>公开时间：</w:t>
      </w:r>
      <w:r>
        <w:rPr>
          <w:rFonts w:ascii="仿宋" w:eastAsia="仿宋" w:cs="仿宋"/>
          <w:sz w:val="28"/>
          <w:szCs w:val="28"/>
          <w:lang w:val="zh-CN"/>
        </w:rPr>
        <w:t>2023</w:t>
      </w:r>
      <w:r>
        <w:rPr>
          <w:rFonts w:hint="eastAsia" w:ascii="仿宋" w:eastAsia="仿宋" w:cs="仿宋"/>
          <w:sz w:val="28"/>
          <w:szCs w:val="28"/>
          <w:lang w:val="zh-CN"/>
        </w:rPr>
        <w:t>年10月13日</w:t>
      </w:r>
    </w:p>
    <w:p>
      <w:pPr>
        <w:rPr>
          <w:rFonts w:ascii="Times New Roman" w:hAnsi="Times New Roman" w:eastAsia="仿宋"/>
          <w:szCs w:val="21"/>
          <w:lang w:val="zh-CN"/>
        </w:rPr>
      </w:pPr>
    </w:p>
    <w:p>
      <w:pPr>
        <w:tabs>
          <w:tab w:val="right" w:leader="dot" w:pos="8296"/>
        </w:tabs>
        <w:spacing w:line="440" w:lineRule="exact"/>
        <w:rPr>
          <w:rFonts w:ascii="仿宋_GB2312" w:hAnsi="Times New Roman" w:eastAsia="仿宋_GB2312" w:cs="仿宋"/>
          <w:sz w:val="32"/>
          <w:szCs w:val="32"/>
          <w:lang w:val="zh-CN"/>
        </w:rPr>
      </w:pPr>
      <w:r>
        <w:rPr>
          <w:rFonts w:hint="eastAsia" w:ascii="仿宋_GB2312" w:hAnsi="Times New Roman" w:eastAsia="仿宋_GB2312" w:cs="仿宋"/>
          <w:sz w:val="32"/>
          <w:szCs w:val="32"/>
          <w:lang w:val="zh-CN"/>
        </w:rPr>
        <w:t>第一部分 部门概况</w:t>
      </w:r>
    </w:p>
    <w:p>
      <w:pPr>
        <w:tabs>
          <w:tab w:val="right" w:leader="dot" w:pos="8296"/>
        </w:tabs>
        <w:spacing w:line="440" w:lineRule="exact"/>
        <w:ind w:left="420"/>
        <w:rPr>
          <w:rFonts w:ascii="仿宋_GB2312" w:hAnsi="Times New Roman" w:eastAsia="仿宋_GB2312" w:cs="仿宋"/>
          <w:sz w:val="32"/>
          <w:szCs w:val="32"/>
          <w:lang w:val="zh-CN"/>
        </w:rPr>
      </w:pPr>
      <w:r>
        <w:rPr>
          <w:rFonts w:hint="eastAsia" w:ascii="仿宋_GB2312" w:hAnsi="Times New Roman" w:eastAsia="仿宋_GB2312" w:cs="宋体"/>
          <w:sz w:val="32"/>
          <w:szCs w:val="32"/>
          <w:lang w:val="zh-CN"/>
        </w:rPr>
        <w:t>一、部门职责</w:t>
      </w:r>
    </w:p>
    <w:p>
      <w:pPr>
        <w:tabs>
          <w:tab w:val="right" w:leader="dot" w:pos="8296"/>
        </w:tabs>
        <w:spacing w:line="440" w:lineRule="exact"/>
        <w:ind w:left="420"/>
        <w:rPr>
          <w:rFonts w:ascii="仿宋_GB2312" w:hAnsi="Times New Roman" w:eastAsia="仿宋_GB2312" w:cs="仿宋"/>
          <w:sz w:val="32"/>
          <w:szCs w:val="32"/>
          <w:lang w:val="zh-CN"/>
        </w:rPr>
      </w:pPr>
      <w:r>
        <w:rPr>
          <w:rFonts w:hint="eastAsia" w:ascii="仿宋_GB2312" w:hAnsi="Times New Roman" w:eastAsia="仿宋_GB2312" w:cs="宋体"/>
          <w:sz w:val="32"/>
          <w:szCs w:val="32"/>
          <w:lang w:val="zh-CN"/>
        </w:rPr>
        <w:t>二、机构设置</w:t>
      </w:r>
    </w:p>
    <w:p>
      <w:pPr>
        <w:tabs>
          <w:tab w:val="right" w:leader="dot" w:pos="8296"/>
        </w:tabs>
        <w:spacing w:line="440" w:lineRule="exact"/>
        <w:rPr>
          <w:rFonts w:ascii="仿宋_GB2312" w:hAnsi="Times New Roman" w:eastAsia="仿宋_GB2312" w:cs="仿宋"/>
          <w:sz w:val="32"/>
          <w:szCs w:val="32"/>
          <w:lang w:val="zh-CN"/>
        </w:rPr>
      </w:pPr>
      <w:r>
        <w:rPr>
          <w:rFonts w:hint="eastAsia" w:ascii="仿宋_GB2312" w:hAnsi="Times New Roman" w:eastAsia="仿宋_GB2312" w:cs="仿宋"/>
          <w:sz w:val="32"/>
          <w:szCs w:val="32"/>
          <w:lang w:val="zh-CN"/>
        </w:rPr>
        <w:t>第二部分 2022年度部门决算情况说明</w:t>
      </w:r>
    </w:p>
    <w:p>
      <w:pPr>
        <w:tabs>
          <w:tab w:val="right" w:leader="dot" w:pos="8296"/>
        </w:tabs>
        <w:spacing w:line="440" w:lineRule="exact"/>
        <w:ind w:left="420"/>
        <w:rPr>
          <w:rFonts w:ascii="仿宋_GB2312" w:hAnsi="Times New Roman" w:eastAsia="仿宋_GB2312" w:cs="仿宋"/>
          <w:sz w:val="32"/>
          <w:szCs w:val="32"/>
          <w:lang w:val="zh-CN"/>
        </w:rPr>
      </w:pPr>
      <w:r>
        <w:rPr>
          <w:rFonts w:hint="eastAsia" w:ascii="仿宋_GB2312" w:hAnsi="Times New Roman" w:eastAsia="仿宋_GB2312" w:cs="宋体"/>
          <w:sz w:val="32"/>
          <w:szCs w:val="32"/>
          <w:lang w:val="zh-CN"/>
        </w:rPr>
        <w:t>一、收入支出决算总体情况说明</w:t>
      </w:r>
    </w:p>
    <w:p>
      <w:pPr>
        <w:tabs>
          <w:tab w:val="right" w:leader="dot" w:pos="8296"/>
        </w:tabs>
        <w:spacing w:line="440" w:lineRule="exact"/>
        <w:ind w:left="420"/>
        <w:rPr>
          <w:rFonts w:ascii="仿宋_GB2312" w:hAnsi="Times New Roman" w:eastAsia="仿宋_GB2312" w:cs="仿宋"/>
          <w:sz w:val="32"/>
          <w:szCs w:val="32"/>
          <w:lang w:val="zh-CN"/>
        </w:rPr>
      </w:pPr>
      <w:r>
        <w:rPr>
          <w:rFonts w:hint="eastAsia" w:ascii="仿宋_GB2312" w:hAnsi="Times New Roman" w:eastAsia="仿宋_GB2312" w:cs="宋体"/>
          <w:sz w:val="32"/>
          <w:szCs w:val="32"/>
          <w:lang w:val="zh-CN"/>
        </w:rPr>
        <w:t>二、收入决算情况说明</w:t>
      </w:r>
    </w:p>
    <w:p>
      <w:pPr>
        <w:tabs>
          <w:tab w:val="right" w:leader="dot" w:pos="8296"/>
        </w:tabs>
        <w:spacing w:line="440" w:lineRule="exact"/>
        <w:ind w:left="420"/>
        <w:rPr>
          <w:rFonts w:ascii="仿宋_GB2312" w:hAnsi="Times New Roman" w:eastAsia="仿宋_GB2312" w:cs="仿宋"/>
          <w:sz w:val="32"/>
          <w:szCs w:val="32"/>
          <w:lang w:val="zh-CN"/>
        </w:rPr>
      </w:pPr>
      <w:r>
        <w:rPr>
          <w:rFonts w:hint="eastAsia" w:ascii="仿宋_GB2312" w:hAnsi="Times New Roman" w:eastAsia="仿宋_GB2312" w:cs="宋体"/>
          <w:sz w:val="32"/>
          <w:szCs w:val="32"/>
          <w:lang w:val="zh-CN"/>
        </w:rPr>
        <w:t>三、支出决算情况说明</w:t>
      </w:r>
    </w:p>
    <w:p>
      <w:pPr>
        <w:tabs>
          <w:tab w:val="right" w:leader="dot" w:pos="8296"/>
        </w:tabs>
        <w:spacing w:line="440" w:lineRule="exact"/>
        <w:ind w:left="420"/>
        <w:rPr>
          <w:rFonts w:ascii="仿宋_GB2312" w:hAnsi="Times New Roman" w:eastAsia="仿宋_GB2312" w:cs="仿宋"/>
          <w:sz w:val="32"/>
          <w:szCs w:val="32"/>
          <w:lang w:val="zh-CN"/>
        </w:rPr>
      </w:pPr>
      <w:r>
        <w:rPr>
          <w:rFonts w:hint="eastAsia" w:ascii="仿宋_GB2312" w:hAnsi="Times New Roman" w:eastAsia="仿宋_GB2312" w:cs="宋体"/>
          <w:sz w:val="32"/>
          <w:szCs w:val="32"/>
          <w:lang w:val="zh-CN"/>
        </w:rPr>
        <w:t>四、财政拨款收入支出决算总体情况说明</w:t>
      </w:r>
    </w:p>
    <w:p>
      <w:pPr>
        <w:tabs>
          <w:tab w:val="right" w:leader="dot" w:pos="8296"/>
        </w:tabs>
        <w:spacing w:line="440" w:lineRule="exact"/>
        <w:ind w:left="420"/>
        <w:rPr>
          <w:rFonts w:ascii="仿宋_GB2312" w:hAnsi="Times New Roman" w:eastAsia="仿宋_GB2312" w:cs="仿宋"/>
          <w:sz w:val="32"/>
          <w:szCs w:val="32"/>
          <w:lang w:val="zh-CN"/>
        </w:rPr>
      </w:pPr>
      <w:r>
        <w:rPr>
          <w:rFonts w:hint="eastAsia" w:ascii="仿宋_GB2312" w:hAnsi="Times New Roman" w:eastAsia="仿宋_GB2312" w:cs="宋体"/>
          <w:sz w:val="32"/>
          <w:szCs w:val="32"/>
          <w:lang w:val="zh-CN"/>
        </w:rPr>
        <w:t>五、一般公共预算财政拨款支出决算情况说明</w:t>
      </w:r>
    </w:p>
    <w:p>
      <w:pPr>
        <w:tabs>
          <w:tab w:val="right" w:leader="dot" w:pos="8296"/>
        </w:tabs>
        <w:spacing w:line="440" w:lineRule="exact"/>
        <w:ind w:left="420"/>
        <w:rPr>
          <w:rFonts w:ascii="仿宋_GB2312" w:hAnsi="Times New Roman" w:eastAsia="仿宋_GB2312" w:cs="仿宋"/>
          <w:sz w:val="32"/>
          <w:szCs w:val="32"/>
          <w:lang w:val="zh-CN"/>
        </w:rPr>
      </w:pPr>
      <w:r>
        <w:rPr>
          <w:rFonts w:hint="eastAsia" w:ascii="仿宋_GB2312" w:hAnsi="Times New Roman" w:eastAsia="仿宋_GB2312" w:cs="宋体"/>
          <w:sz w:val="32"/>
          <w:szCs w:val="32"/>
          <w:lang w:val="zh-CN"/>
        </w:rPr>
        <w:t>六、一般公共预算财政拨款基本支出决算情况说明</w:t>
      </w:r>
    </w:p>
    <w:p>
      <w:pPr>
        <w:tabs>
          <w:tab w:val="right" w:leader="dot" w:pos="8296"/>
        </w:tabs>
        <w:spacing w:line="440" w:lineRule="exact"/>
        <w:ind w:left="420"/>
        <w:rPr>
          <w:rFonts w:ascii="仿宋_GB2312" w:hAnsi="Times New Roman" w:eastAsia="仿宋_GB2312" w:cs="仿宋"/>
          <w:sz w:val="32"/>
          <w:szCs w:val="32"/>
          <w:lang w:val="zh-CN"/>
        </w:rPr>
      </w:pPr>
      <w:r>
        <w:rPr>
          <w:rFonts w:hint="eastAsia" w:ascii="仿宋_GB2312" w:hAnsi="Times New Roman" w:eastAsia="仿宋_GB2312" w:cs="宋体"/>
          <w:sz w:val="32"/>
          <w:szCs w:val="32"/>
          <w:lang w:val="zh-CN"/>
        </w:rPr>
        <w:t>七、财政拨款“三公”经费支出决算情况说明</w:t>
      </w:r>
    </w:p>
    <w:p>
      <w:pPr>
        <w:tabs>
          <w:tab w:val="right" w:leader="dot" w:pos="8296"/>
        </w:tabs>
        <w:spacing w:line="440" w:lineRule="exact"/>
        <w:ind w:left="420"/>
        <w:rPr>
          <w:rFonts w:ascii="仿宋_GB2312" w:hAnsi="Times New Roman" w:eastAsia="仿宋_GB2312" w:cs="仿宋"/>
          <w:sz w:val="32"/>
          <w:szCs w:val="32"/>
          <w:lang w:val="zh-CN"/>
        </w:rPr>
      </w:pPr>
      <w:r>
        <w:rPr>
          <w:rFonts w:hint="eastAsia" w:ascii="仿宋_GB2312" w:hAnsi="Times New Roman" w:eastAsia="仿宋_GB2312" w:cs="宋体"/>
          <w:sz w:val="32"/>
          <w:szCs w:val="32"/>
          <w:lang w:val="zh-CN"/>
        </w:rPr>
        <w:t>八、政府性基金预算支出决算情况说明</w:t>
      </w:r>
    </w:p>
    <w:p>
      <w:pPr>
        <w:tabs>
          <w:tab w:val="right" w:leader="dot" w:pos="8296"/>
        </w:tabs>
        <w:spacing w:line="440" w:lineRule="exact"/>
        <w:ind w:left="420"/>
        <w:rPr>
          <w:rFonts w:ascii="仿宋_GB2312" w:hAnsi="Times New Roman" w:eastAsia="仿宋_GB2312" w:cs="宋体"/>
          <w:sz w:val="32"/>
          <w:szCs w:val="32"/>
          <w:lang w:val="zh-CN"/>
        </w:rPr>
      </w:pPr>
      <w:r>
        <w:rPr>
          <w:rFonts w:hint="eastAsia" w:ascii="仿宋_GB2312" w:hAnsi="Times New Roman" w:eastAsia="仿宋_GB2312" w:cs="宋体"/>
          <w:sz w:val="32"/>
          <w:szCs w:val="32"/>
          <w:lang w:val="zh-CN"/>
        </w:rPr>
        <w:t>九、国有资本经营预算支出决算情况说明</w:t>
      </w:r>
    </w:p>
    <w:p>
      <w:pPr>
        <w:tabs>
          <w:tab w:val="right" w:leader="dot" w:pos="8296"/>
        </w:tabs>
        <w:spacing w:line="440" w:lineRule="exact"/>
        <w:ind w:left="420"/>
        <w:rPr>
          <w:rFonts w:ascii="仿宋_GB2312" w:hAnsi="Times New Roman" w:eastAsia="仿宋_GB2312" w:cs="宋体"/>
          <w:sz w:val="32"/>
          <w:szCs w:val="32"/>
          <w:lang w:val="zh-CN"/>
        </w:rPr>
      </w:pPr>
      <w:r>
        <w:rPr>
          <w:rFonts w:hint="eastAsia" w:ascii="仿宋_GB2312" w:hAnsi="Times New Roman" w:eastAsia="仿宋_GB2312" w:cs="宋体"/>
          <w:sz w:val="32"/>
          <w:szCs w:val="32"/>
          <w:lang w:val="zh-CN"/>
        </w:rPr>
        <w:t>十、其他重要事项的情况说明</w:t>
      </w:r>
      <w:r>
        <w:rPr>
          <w:rFonts w:hint="eastAsia" w:ascii="仿宋_GB2312" w:hAnsi="Times New Roman" w:eastAsia="仿宋_GB2312" w:cs="宋体"/>
          <w:sz w:val="32"/>
          <w:szCs w:val="32"/>
          <w:lang w:val="zh-CN"/>
        </w:rPr>
        <w:tab/>
      </w:r>
    </w:p>
    <w:p>
      <w:pPr>
        <w:tabs>
          <w:tab w:val="right" w:leader="dot" w:pos="8296"/>
        </w:tabs>
        <w:spacing w:line="440" w:lineRule="exact"/>
        <w:rPr>
          <w:rFonts w:ascii="仿宋_GB2312" w:hAnsi="Times New Roman" w:eastAsia="仿宋_GB2312" w:cs="仿宋"/>
          <w:sz w:val="32"/>
          <w:szCs w:val="32"/>
          <w:lang w:val="zh-CN"/>
        </w:rPr>
      </w:pPr>
      <w:r>
        <w:rPr>
          <w:rFonts w:hint="eastAsia" w:ascii="仿宋_GB2312" w:hAnsi="Times New Roman" w:eastAsia="仿宋_GB2312" w:cs="仿宋"/>
          <w:sz w:val="32"/>
          <w:szCs w:val="32"/>
          <w:lang w:val="zh-CN"/>
        </w:rPr>
        <w:t>第三部分 名词解释</w:t>
      </w:r>
    </w:p>
    <w:p>
      <w:pPr>
        <w:tabs>
          <w:tab w:val="right" w:leader="dot" w:pos="8296"/>
        </w:tabs>
        <w:spacing w:line="440" w:lineRule="exact"/>
        <w:rPr>
          <w:rFonts w:ascii="仿宋_GB2312" w:hAnsi="Times New Roman" w:eastAsia="仿宋_GB2312" w:cs="仿宋"/>
          <w:sz w:val="32"/>
          <w:szCs w:val="32"/>
          <w:lang w:val="zh-CN"/>
        </w:rPr>
      </w:pPr>
      <w:r>
        <w:rPr>
          <w:rFonts w:hint="eastAsia" w:ascii="仿宋_GB2312" w:hAnsi="Times New Roman" w:eastAsia="仿宋_GB2312" w:cs="仿宋"/>
          <w:sz w:val="32"/>
          <w:szCs w:val="32"/>
          <w:lang w:val="zh-CN"/>
        </w:rPr>
        <w:t>第四部分 附件</w:t>
      </w:r>
    </w:p>
    <w:p>
      <w:pPr>
        <w:tabs>
          <w:tab w:val="right" w:leader="dot" w:pos="8296"/>
        </w:tabs>
        <w:spacing w:line="440" w:lineRule="exact"/>
        <w:rPr>
          <w:rFonts w:ascii="仿宋_GB2312" w:hAnsi="Times New Roman" w:eastAsia="仿宋_GB2312" w:cs="仿宋"/>
          <w:sz w:val="32"/>
          <w:szCs w:val="32"/>
          <w:lang w:val="zh-CN"/>
        </w:rPr>
      </w:pPr>
      <w:r>
        <w:rPr>
          <w:rFonts w:hint="eastAsia" w:ascii="仿宋_GB2312" w:hAnsi="Times New Roman" w:eastAsia="仿宋_GB2312" w:cs="仿宋"/>
          <w:sz w:val="32"/>
          <w:szCs w:val="32"/>
          <w:lang w:val="zh-CN"/>
        </w:rPr>
        <w:t>第五部分 附表</w:t>
      </w:r>
    </w:p>
    <w:p>
      <w:pPr>
        <w:tabs>
          <w:tab w:val="right" w:leader="dot" w:pos="8296"/>
        </w:tabs>
        <w:spacing w:line="440" w:lineRule="exact"/>
        <w:ind w:left="420"/>
        <w:rPr>
          <w:rFonts w:ascii="仿宋_GB2312" w:hAnsi="Times New Roman" w:eastAsia="仿宋_GB2312" w:cs="宋体"/>
          <w:sz w:val="32"/>
          <w:szCs w:val="32"/>
          <w:lang w:val="zh-CN"/>
        </w:rPr>
      </w:pPr>
      <w:r>
        <w:rPr>
          <w:rFonts w:hint="eastAsia" w:ascii="仿宋_GB2312" w:hAnsi="Times New Roman" w:eastAsia="仿宋_GB2312" w:cs="宋体"/>
          <w:sz w:val="32"/>
          <w:szCs w:val="32"/>
          <w:lang w:val="zh-CN"/>
        </w:rPr>
        <w:t>一、收入支出决算总表</w:t>
      </w:r>
    </w:p>
    <w:p>
      <w:pPr>
        <w:tabs>
          <w:tab w:val="right" w:leader="dot" w:pos="8296"/>
        </w:tabs>
        <w:spacing w:line="440" w:lineRule="exact"/>
        <w:ind w:left="420"/>
        <w:rPr>
          <w:rFonts w:ascii="仿宋_GB2312" w:hAnsi="Times New Roman" w:eastAsia="仿宋_GB2312" w:cs="宋体"/>
          <w:sz w:val="32"/>
          <w:szCs w:val="32"/>
          <w:lang w:val="zh-CN"/>
        </w:rPr>
      </w:pPr>
      <w:r>
        <w:rPr>
          <w:rFonts w:hint="eastAsia" w:ascii="仿宋_GB2312" w:hAnsi="Times New Roman" w:eastAsia="仿宋_GB2312" w:cs="宋体"/>
          <w:sz w:val="32"/>
          <w:szCs w:val="32"/>
          <w:lang w:val="zh-CN"/>
        </w:rPr>
        <w:t>二、收入决算表</w:t>
      </w:r>
    </w:p>
    <w:p>
      <w:pPr>
        <w:tabs>
          <w:tab w:val="right" w:leader="dot" w:pos="8296"/>
        </w:tabs>
        <w:spacing w:line="440" w:lineRule="exact"/>
        <w:ind w:left="420"/>
        <w:rPr>
          <w:rFonts w:ascii="仿宋_GB2312" w:hAnsi="Times New Roman" w:eastAsia="仿宋_GB2312" w:cs="宋体"/>
          <w:sz w:val="32"/>
          <w:szCs w:val="32"/>
          <w:lang w:val="zh-CN"/>
        </w:rPr>
      </w:pPr>
      <w:r>
        <w:rPr>
          <w:rFonts w:hint="eastAsia" w:ascii="仿宋_GB2312" w:hAnsi="Times New Roman" w:eastAsia="仿宋_GB2312" w:cs="宋体"/>
          <w:sz w:val="32"/>
          <w:szCs w:val="32"/>
          <w:lang w:val="zh-CN"/>
        </w:rPr>
        <w:t>三、支出决算表</w:t>
      </w:r>
    </w:p>
    <w:p>
      <w:pPr>
        <w:tabs>
          <w:tab w:val="right" w:leader="dot" w:pos="8296"/>
        </w:tabs>
        <w:spacing w:line="440" w:lineRule="exact"/>
        <w:ind w:left="420"/>
        <w:rPr>
          <w:rFonts w:ascii="仿宋_GB2312" w:hAnsi="Times New Roman" w:eastAsia="仿宋_GB2312" w:cs="宋体"/>
          <w:sz w:val="32"/>
          <w:szCs w:val="32"/>
          <w:lang w:val="zh-CN"/>
        </w:rPr>
      </w:pPr>
      <w:r>
        <w:rPr>
          <w:rFonts w:hint="eastAsia" w:ascii="仿宋_GB2312" w:hAnsi="Times New Roman" w:eastAsia="仿宋_GB2312" w:cs="宋体"/>
          <w:sz w:val="32"/>
          <w:szCs w:val="32"/>
          <w:lang w:val="zh-CN"/>
        </w:rPr>
        <w:t>四、财政拨款收入支出决算总表</w:t>
      </w:r>
    </w:p>
    <w:p>
      <w:pPr>
        <w:tabs>
          <w:tab w:val="right" w:leader="dot" w:pos="8296"/>
        </w:tabs>
        <w:spacing w:line="440" w:lineRule="exact"/>
        <w:ind w:left="420"/>
        <w:rPr>
          <w:rFonts w:ascii="仿宋_GB2312" w:hAnsi="Times New Roman" w:eastAsia="仿宋_GB2312" w:cs="宋体"/>
          <w:sz w:val="32"/>
          <w:szCs w:val="32"/>
          <w:lang w:val="zh-CN"/>
        </w:rPr>
      </w:pPr>
      <w:r>
        <w:rPr>
          <w:rFonts w:hint="eastAsia" w:ascii="仿宋_GB2312" w:hAnsi="Times New Roman" w:eastAsia="仿宋_GB2312" w:cs="宋体"/>
          <w:sz w:val="32"/>
          <w:szCs w:val="32"/>
          <w:lang w:val="zh-CN"/>
        </w:rPr>
        <w:t>五、财政拨款支出决算明细表</w:t>
      </w:r>
    </w:p>
    <w:p>
      <w:pPr>
        <w:tabs>
          <w:tab w:val="right" w:leader="dot" w:pos="8296"/>
        </w:tabs>
        <w:spacing w:line="440" w:lineRule="exact"/>
        <w:ind w:left="420"/>
        <w:rPr>
          <w:rFonts w:ascii="仿宋_GB2312" w:hAnsi="Times New Roman" w:eastAsia="仿宋_GB2312" w:cs="宋体"/>
          <w:sz w:val="32"/>
          <w:szCs w:val="32"/>
          <w:lang w:val="zh-CN"/>
        </w:rPr>
      </w:pPr>
      <w:r>
        <w:rPr>
          <w:rFonts w:hint="eastAsia" w:ascii="仿宋_GB2312" w:hAnsi="Times New Roman" w:eastAsia="仿宋_GB2312" w:cs="宋体"/>
          <w:sz w:val="32"/>
          <w:szCs w:val="32"/>
          <w:lang w:val="zh-CN"/>
        </w:rPr>
        <w:t>六、一般公共预算财政拨款支出决算表</w:t>
      </w:r>
    </w:p>
    <w:p>
      <w:pPr>
        <w:tabs>
          <w:tab w:val="right" w:leader="dot" w:pos="8296"/>
        </w:tabs>
        <w:spacing w:line="440" w:lineRule="exact"/>
        <w:ind w:left="420"/>
        <w:rPr>
          <w:rFonts w:ascii="仿宋_GB2312" w:hAnsi="Times New Roman" w:eastAsia="仿宋_GB2312" w:cs="宋体"/>
          <w:sz w:val="32"/>
          <w:szCs w:val="32"/>
          <w:lang w:val="zh-CN"/>
        </w:rPr>
      </w:pPr>
      <w:r>
        <w:rPr>
          <w:rFonts w:hint="eastAsia" w:ascii="仿宋_GB2312" w:hAnsi="Times New Roman" w:eastAsia="仿宋_GB2312" w:cs="宋体"/>
          <w:sz w:val="32"/>
          <w:szCs w:val="32"/>
          <w:lang w:val="zh-CN"/>
        </w:rPr>
        <w:t>七、一般公共预算财政拨款支出决算明细表</w:t>
      </w:r>
    </w:p>
    <w:p>
      <w:pPr>
        <w:tabs>
          <w:tab w:val="right" w:leader="dot" w:pos="8296"/>
        </w:tabs>
        <w:spacing w:line="440" w:lineRule="exact"/>
        <w:ind w:left="420"/>
        <w:rPr>
          <w:rFonts w:ascii="仿宋_GB2312" w:hAnsi="Times New Roman" w:eastAsia="仿宋_GB2312" w:cs="宋体"/>
          <w:sz w:val="32"/>
          <w:szCs w:val="32"/>
          <w:lang w:val="zh-CN"/>
        </w:rPr>
      </w:pPr>
      <w:r>
        <w:rPr>
          <w:rFonts w:hint="eastAsia" w:ascii="仿宋_GB2312" w:hAnsi="Times New Roman" w:eastAsia="仿宋_GB2312" w:cs="宋体"/>
          <w:sz w:val="32"/>
          <w:szCs w:val="32"/>
          <w:lang w:val="zh-CN"/>
        </w:rPr>
        <w:t>八、一般公共预算财政拨款基本支出决算明细表</w:t>
      </w:r>
    </w:p>
    <w:p>
      <w:pPr>
        <w:tabs>
          <w:tab w:val="right" w:leader="dot" w:pos="8296"/>
        </w:tabs>
        <w:spacing w:line="440" w:lineRule="exact"/>
        <w:ind w:left="420"/>
        <w:rPr>
          <w:rFonts w:ascii="仿宋_GB2312" w:hAnsi="Times New Roman" w:eastAsia="仿宋_GB2312" w:cs="宋体"/>
          <w:sz w:val="32"/>
          <w:szCs w:val="32"/>
          <w:lang w:val="zh-CN"/>
        </w:rPr>
      </w:pPr>
      <w:r>
        <w:rPr>
          <w:rFonts w:hint="eastAsia" w:ascii="仿宋_GB2312" w:hAnsi="Times New Roman" w:eastAsia="仿宋_GB2312" w:cs="宋体"/>
          <w:sz w:val="32"/>
          <w:szCs w:val="32"/>
          <w:lang w:val="zh-CN"/>
        </w:rPr>
        <w:t>九、一般公共预算财政拨款项目支出决算表</w:t>
      </w:r>
    </w:p>
    <w:p>
      <w:pPr>
        <w:tabs>
          <w:tab w:val="right" w:leader="dot" w:pos="8296"/>
        </w:tabs>
        <w:spacing w:line="440" w:lineRule="exact"/>
        <w:ind w:left="420"/>
        <w:rPr>
          <w:rFonts w:ascii="仿宋_GB2312" w:hAnsi="Times New Roman" w:eastAsia="仿宋_GB2312" w:cs="宋体"/>
          <w:sz w:val="32"/>
          <w:szCs w:val="32"/>
          <w:lang w:val="zh-CN"/>
        </w:rPr>
      </w:pPr>
      <w:r>
        <w:rPr>
          <w:rFonts w:hint="eastAsia" w:ascii="仿宋_GB2312" w:hAnsi="Times New Roman" w:eastAsia="仿宋_GB2312" w:cs="宋体"/>
          <w:sz w:val="32"/>
          <w:szCs w:val="32"/>
          <w:lang w:val="zh-CN"/>
        </w:rPr>
        <w:t>十、政府性基金预算财政拨款收入支出决算表</w:t>
      </w:r>
    </w:p>
    <w:p>
      <w:pPr>
        <w:tabs>
          <w:tab w:val="right" w:leader="dot" w:pos="8296"/>
        </w:tabs>
        <w:spacing w:line="440" w:lineRule="exact"/>
        <w:ind w:left="420"/>
        <w:rPr>
          <w:rFonts w:ascii="仿宋_GB2312" w:hAnsi="Times New Roman" w:eastAsia="仿宋_GB2312" w:cs="宋体"/>
          <w:sz w:val="32"/>
          <w:szCs w:val="32"/>
          <w:lang w:val="zh-CN"/>
        </w:rPr>
      </w:pPr>
      <w:r>
        <w:rPr>
          <w:rFonts w:hint="eastAsia" w:ascii="仿宋_GB2312" w:hAnsi="Times New Roman" w:eastAsia="仿宋_GB2312" w:cs="宋体"/>
          <w:sz w:val="32"/>
          <w:szCs w:val="32"/>
          <w:lang w:val="zh-CN"/>
        </w:rPr>
        <w:t>十一、国有资本经营预算财政拨款收入支出决算表</w:t>
      </w:r>
    </w:p>
    <w:p>
      <w:pPr>
        <w:tabs>
          <w:tab w:val="right" w:leader="dot" w:pos="8296"/>
        </w:tabs>
        <w:spacing w:line="440" w:lineRule="exact"/>
        <w:ind w:left="420"/>
        <w:rPr>
          <w:rFonts w:ascii="仿宋_GB2312" w:hAnsi="Times New Roman" w:eastAsia="仿宋_GB2312" w:cs="宋体"/>
          <w:sz w:val="32"/>
          <w:szCs w:val="32"/>
          <w:lang w:val="zh-CN"/>
        </w:rPr>
      </w:pPr>
      <w:r>
        <w:rPr>
          <w:rFonts w:hint="eastAsia" w:ascii="仿宋_GB2312" w:hAnsi="Times New Roman" w:eastAsia="仿宋_GB2312" w:cs="宋体"/>
          <w:sz w:val="32"/>
          <w:szCs w:val="32"/>
          <w:lang w:val="zh-CN"/>
        </w:rPr>
        <w:t>十二、国有资本经营预算财政拨款支出决算表</w:t>
      </w:r>
    </w:p>
    <w:p>
      <w:pPr>
        <w:tabs>
          <w:tab w:val="right" w:leader="dot" w:pos="8296"/>
        </w:tabs>
        <w:spacing w:line="440" w:lineRule="exact"/>
        <w:ind w:left="420"/>
        <w:rPr>
          <w:rFonts w:ascii="仿宋_GB2312" w:hAnsi="Times New Roman" w:eastAsia="仿宋_GB2312" w:cs="宋体"/>
          <w:sz w:val="32"/>
          <w:szCs w:val="32"/>
          <w:lang w:val="zh-CN"/>
        </w:rPr>
      </w:pPr>
      <w:r>
        <w:rPr>
          <w:rFonts w:hint="eastAsia" w:ascii="仿宋_GB2312" w:hAnsi="Times New Roman" w:eastAsia="仿宋_GB2312" w:cs="宋体"/>
          <w:sz w:val="32"/>
          <w:szCs w:val="32"/>
          <w:lang w:val="zh-CN"/>
        </w:rPr>
        <w:t>十三、财政拨款“三公”经费支出决算表</w:t>
      </w:r>
    </w:p>
    <w:p>
      <w:pPr>
        <w:ind w:firstLine="2400" w:firstLineChars="750"/>
        <w:rPr>
          <w:rFonts w:ascii="黑体" w:eastAsia="黑体"/>
          <w:sz w:val="32"/>
          <w:szCs w:val="32"/>
        </w:rPr>
      </w:pPr>
    </w:p>
    <w:p>
      <w:pPr>
        <w:ind w:firstLine="1966" w:firstLineChars="445"/>
        <w:rPr>
          <w:rFonts w:ascii="黑体" w:eastAsia="黑体"/>
          <w:b/>
          <w:sz w:val="44"/>
          <w:szCs w:val="44"/>
        </w:rPr>
      </w:pPr>
      <w:r>
        <w:rPr>
          <w:rFonts w:hint="eastAsia" w:ascii="黑体" w:eastAsia="黑体"/>
          <w:b/>
          <w:sz w:val="44"/>
          <w:szCs w:val="44"/>
        </w:rPr>
        <w:t>第一部分  部门概况</w:t>
      </w:r>
    </w:p>
    <w:p>
      <w:pPr>
        <w:rPr>
          <w:rFonts w:ascii="仿宋_GB2312" w:eastAsia="仿宋_GB2312"/>
          <w:b/>
          <w:sz w:val="32"/>
          <w:szCs w:val="32"/>
        </w:rPr>
      </w:pPr>
      <w:r>
        <w:rPr>
          <w:rFonts w:ascii="黑体" w:eastAsia="黑体"/>
          <w:sz w:val="32"/>
          <w:szCs w:val="32"/>
        </w:rPr>
        <w:t xml:space="preserve">    </w:t>
      </w:r>
      <w:r>
        <w:rPr>
          <w:rFonts w:hint="eastAsia" w:ascii="黑体" w:eastAsia="黑体"/>
          <w:sz w:val="32"/>
          <w:szCs w:val="32"/>
        </w:rPr>
        <w:t>一、部门职责</w:t>
      </w:r>
    </w:p>
    <w:p>
      <w:pPr>
        <w:widowControl/>
        <w:adjustRightInd w:val="0"/>
        <w:snapToGrid w:val="0"/>
        <w:spacing w:line="600" w:lineRule="exact"/>
        <w:ind w:firstLine="720"/>
        <w:jc w:val="left"/>
        <w:rPr>
          <w:rFonts w:ascii="仿宋" w:hAnsi="仿宋" w:eastAsia="仿宋" w:cs="宋体"/>
          <w:color w:val="000000"/>
          <w:kern w:val="0"/>
          <w:sz w:val="32"/>
          <w:szCs w:val="32"/>
          <w:lang w:val="zh-CN"/>
        </w:rPr>
      </w:pPr>
      <w:r>
        <w:rPr>
          <w:rFonts w:ascii="仿宋" w:hAnsi="仿宋" w:eastAsia="仿宋"/>
          <w:bCs/>
          <w:snapToGrid w:val="0"/>
          <w:kern w:val="0"/>
          <w:sz w:val="32"/>
          <w:szCs w:val="32"/>
        </w:rPr>
        <w:t>负责全县党的组织体系、组织制度建设</w:t>
      </w:r>
      <w:r>
        <w:rPr>
          <w:rFonts w:hint="eastAsia" w:ascii="仿宋" w:hAnsi="仿宋" w:eastAsia="仿宋"/>
          <w:bCs/>
          <w:snapToGrid w:val="0"/>
          <w:kern w:val="0"/>
          <w:sz w:val="32"/>
          <w:szCs w:val="32"/>
        </w:rPr>
        <w:t>、</w:t>
      </w:r>
      <w:r>
        <w:rPr>
          <w:rFonts w:ascii="仿宋" w:hAnsi="仿宋" w:eastAsia="仿宋"/>
          <w:bCs/>
          <w:snapToGrid w:val="0"/>
          <w:kern w:val="0"/>
          <w:sz w:val="32"/>
          <w:szCs w:val="32"/>
        </w:rPr>
        <w:t>党员教育工作。负责全县领导班子和干部队伍建设的总体规划和宏观管理。负责县委管理领导班子和领导干部的考察考核、日常管理，提出调整配备建议，审核办理任免、工资、退休、兼职、待遇等有关事项</w:t>
      </w:r>
      <w:r>
        <w:rPr>
          <w:rFonts w:hint="eastAsia" w:ascii="仿宋" w:hAnsi="仿宋" w:eastAsia="仿宋"/>
          <w:bCs/>
          <w:snapToGrid w:val="0"/>
          <w:kern w:val="0"/>
          <w:sz w:val="32"/>
          <w:szCs w:val="32"/>
        </w:rPr>
        <w:t>，</w:t>
      </w:r>
      <w:r>
        <w:rPr>
          <w:rFonts w:ascii="仿宋" w:hAnsi="仿宋" w:eastAsia="仿宋"/>
          <w:bCs/>
          <w:snapToGrid w:val="0"/>
          <w:kern w:val="0"/>
          <w:sz w:val="32"/>
          <w:szCs w:val="32"/>
        </w:rPr>
        <w:t>承担公务员录用、调配、考核、奖惩、培训、监督、工资福利等工作，指导公务员绩效管理工作。负责全县人才工作的宏观指导、组织协调和督促检查</w:t>
      </w:r>
      <w:r>
        <w:rPr>
          <w:rFonts w:hint="eastAsia" w:ascii="仿宋" w:hAnsi="仿宋" w:eastAsia="仿宋"/>
          <w:bCs/>
          <w:snapToGrid w:val="0"/>
          <w:kern w:val="0"/>
          <w:sz w:val="32"/>
          <w:szCs w:val="32"/>
        </w:rPr>
        <w:t>。</w:t>
      </w:r>
      <w:r>
        <w:rPr>
          <w:rFonts w:ascii="仿宋" w:hAnsi="仿宋" w:eastAsia="仿宋"/>
          <w:bCs/>
          <w:snapToGrid w:val="0"/>
          <w:color w:val="000000"/>
          <w:kern w:val="0"/>
          <w:sz w:val="32"/>
          <w:szCs w:val="32"/>
        </w:rPr>
        <w:t>贯彻落实党的老干部工作方针政策，组织老干部开展政治思想理论学习，落实老干部政治、生活待遇</w:t>
      </w:r>
      <w:r>
        <w:rPr>
          <w:rFonts w:hint="eastAsia" w:ascii="仿宋" w:hAnsi="仿宋" w:eastAsia="仿宋"/>
          <w:bCs/>
          <w:snapToGrid w:val="0"/>
          <w:color w:val="000000"/>
          <w:kern w:val="0"/>
          <w:sz w:val="32"/>
          <w:szCs w:val="32"/>
        </w:rPr>
        <w:t>。</w:t>
      </w:r>
    </w:p>
    <w:p>
      <w:pPr>
        <w:ind w:firstLine="643" w:firstLineChars="200"/>
        <w:rPr>
          <w:rFonts w:ascii="仿宋_GB2312" w:eastAsia="仿宋_GB2312"/>
          <w:b/>
          <w:sz w:val="32"/>
          <w:szCs w:val="32"/>
        </w:rPr>
      </w:pPr>
      <w:r>
        <w:rPr>
          <w:rFonts w:hint="eastAsia" w:ascii="仿宋_GB2312" w:eastAsia="仿宋_GB2312"/>
          <w:b/>
          <w:sz w:val="32"/>
          <w:szCs w:val="32"/>
        </w:rPr>
        <w:t>二、机构设置</w:t>
      </w:r>
    </w:p>
    <w:p>
      <w:pPr>
        <w:ind w:firstLine="640" w:firstLineChars="200"/>
        <w:rPr>
          <w:rFonts w:ascii="仿宋_GB2312" w:eastAsia="仿宋_GB2312"/>
          <w:b/>
          <w:sz w:val="32"/>
          <w:szCs w:val="32"/>
        </w:rPr>
      </w:pPr>
      <w:r>
        <w:rPr>
          <w:rFonts w:hint="eastAsia" w:ascii="仿宋" w:hAnsi="仿宋" w:eastAsia="仿宋"/>
          <w:kern w:val="0"/>
          <w:sz w:val="32"/>
          <w:szCs w:val="32"/>
        </w:rPr>
        <w:t>中共沐川县委组织部为一级预算单位,下属参公事业单位：县委组织部党员教育中心，事业单位：沐川县老干部活动中心、沐川县干部人事档案服务中心，县委直属参公事业单位：县委党史地志室。</w:t>
      </w:r>
    </w:p>
    <w:p>
      <w:pPr>
        <w:ind w:firstLine="643" w:firstLineChars="200"/>
        <w:rPr>
          <w:rFonts w:ascii="仿宋_GB2312" w:eastAsia="仿宋_GB2312"/>
          <w:b/>
          <w:sz w:val="32"/>
          <w:szCs w:val="32"/>
        </w:rPr>
      </w:pPr>
      <w:r>
        <w:rPr>
          <w:rFonts w:hint="eastAsia" w:ascii="仿宋_GB2312" w:eastAsia="仿宋_GB2312"/>
          <w:b/>
          <w:sz w:val="32"/>
          <w:szCs w:val="32"/>
        </w:rPr>
        <w:t>三、人员情况</w:t>
      </w:r>
    </w:p>
    <w:p>
      <w:pPr>
        <w:spacing w:line="560" w:lineRule="exact"/>
        <w:ind w:firstLine="640" w:firstLineChars="200"/>
        <w:rPr>
          <w:rFonts w:ascii="仿宋_GB2312" w:eastAsia="仿宋_GB2312"/>
          <w:sz w:val="32"/>
          <w:szCs w:val="32"/>
        </w:rPr>
      </w:pPr>
      <w:r>
        <w:rPr>
          <w:rFonts w:hint="eastAsia" w:ascii="仿宋" w:hAnsi="仿宋" w:eastAsia="仿宋"/>
          <w:kern w:val="0"/>
          <w:sz w:val="32"/>
          <w:szCs w:val="32"/>
        </w:rPr>
        <w:t>组织部总编制36个，其中：行政编制19个、工勤编制1个、参公编制7个、事业编制9个。在职人员总数27人，其中：行政16人、工勤1人、参公6人、事业4人。</w:t>
      </w:r>
      <w:r>
        <w:rPr>
          <w:rFonts w:hint="eastAsia" w:ascii="仿宋_GB2312" w:eastAsia="仿宋_GB2312"/>
          <w:sz w:val="32"/>
          <w:szCs w:val="32"/>
        </w:rPr>
        <w:t>另长骋人员1人，临聘人员1人，遗属1人。</w:t>
      </w:r>
    </w:p>
    <w:p>
      <w:pPr>
        <w:spacing w:line="560" w:lineRule="exact"/>
        <w:ind w:firstLine="640" w:firstLineChars="200"/>
        <w:rPr>
          <w:rFonts w:ascii="仿宋_GB2312" w:eastAsia="仿宋_GB2312"/>
          <w:sz w:val="32"/>
          <w:szCs w:val="32"/>
        </w:rPr>
      </w:pPr>
    </w:p>
    <w:p>
      <w:pPr>
        <w:spacing w:line="560" w:lineRule="exact"/>
        <w:ind w:firstLine="880" w:firstLineChars="200"/>
        <w:rPr>
          <w:rFonts w:ascii="仿宋_GB2312" w:eastAsia="仿宋_GB2312"/>
          <w:sz w:val="32"/>
          <w:szCs w:val="32"/>
        </w:rPr>
      </w:pPr>
      <w:r>
        <w:rPr>
          <w:rFonts w:hint="eastAsia" w:ascii="黑体" w:hAnsi="Cambria" w:eastAsia="黑体" w:cs="黑体"/>
          <w:color w:val="000000"/>
          <w:kern w:val="44"/>
          <w:sz w:val="44"/>
          <w:szCs w:val="44"/>
          <w:lang w:val="zh-CN"/>
        </w:rPr>
        <w:t>第二部分</w:t>
      </w:r>
      <w:r>
        <w:rPr>
          <w:rFonts w:ascii="黑体" w:hAnsi="Cambria" w:eastAsia="黑体" w:cs="黑体"/>
          <w:b/>
          <w:bCs/>
          <w:color w:val="000000"/>
          <w:kern w:val="44"/>
          <w:sz w:val="44"/>
          <w:szCs w:val="44"/>
          <w:lang w:val="zh-CN"/>
        </w:rPr>
        <w:t xml:space="preserve"> </w:t>
      </w:r>
      <w:r>
        <w:rPr>
          <w:rFonts w:ascii="黑体" w:hAnsi="Cambria" w:eastAsia="黑体" w:cs="黑体"/>
          <w:kern w:val="44"/>
          <w:sz w:val="44"/>
          <w:szCs w:val="44"/>
          <w:lang w:val="zh-CN"/>
        </w:rPr>
        <w:t>2022</w:t>
      </w:r>
      <w:r>
        <w:rPr>
          <w:rFonts w:hint="eastAsia" w:ascii="黑体" w:hAnsi="Cambria" w:eastAsia="黑体" w:cs="黑体"/>
          <w:kern w:val="44"/>
          <w:sz w:val="44"/>
          <w:szCs w:val="44"/>
          <w:lang w:val="zh-CN"/>
        </w:rPr>
        <w:t>年度部门决算情况说明</w:t>
      </w:r>
    </w:p>
    <w:p>
      <w:pPr>
        <w:spacing w:line="560" w:lineRule="exact"/>
        <w:ind w:firstLine="640" w:firstLineChars="200"/>
        <w:rPr>
          <w:rFonts w:ascii="仿宋_GB2312" w:eastAsia="仿宋_GB2312"/>
          <w:sz w:val="32"/>
          <w:szCs w:val="32"/>
        </w:rPr>
      </w:pPr>
    </w:p>
    <w:p>
      <w:pPr>
        <w:ind w:firstLine="640" w:firstLineChars="200"/>
        <w:rPr>
          <w:rFonts w:ascii="黑体" w:eastAsia="黑体"/>
          <w:sz w:val="32"/>
          <w:szCs w:val="32"/>
        </w:rPr>
      </w:pPr>
      <w:r>
        <w:rPr>
          <w:rFonts w:hint="eastAsia" w:ascii="黑体" w:eastAsia="黑体"/>
          <w:sz w:val="32"/>
          <w:szCs w:val="32"/>
        </w:rPr>
        <w:t>一、</w:t>
      </w:r>
      <w:r>
        <w:rPr>
          <w:rFonts w:hint="eastAsia" w:ascii="黑体" w:hAnsi="Times New Roman" w:eastAsia="黑体" w:cs="黑体"/>
          <w:color w:val="000000"/>
          <w:sz w:val="32"/>
          <w:szCs w:val="32"/>
          <w:lang w:val="zh-CN"/>
        </w:rPr>
        <w:t>收</w:t>
      </w:r>
      <w:r>
        <w:rPr>
          <w:rFonts w:hint="eastAsia" w:ascii="黑体" w:hAnsi="Times New Roman" w:eastAsia="黑体" w:cs="黑体"/>
          <w:sz w:val="32"/>
          <w:szCs w:val="32"/>
          <w:lang w:val="zh-CN"/>
        </w:rPr>
        <w:t>入支出决算总体情况说明</w:t>
      </w:r>
    </w:p>
    <w:p>
      <w:pPr>
        <w:ind w:firstLine="640" w:firstLineChars="200"/>
        <w:rPr>
          <w:rFonts w:ascii="仿宋_GB2312" w:eastAsia="仿宋_GB2312"/>
          <w:sz w:val="32"/>
          <w:szCs w:val="32"/>
        </w:rPr>
      </w:pPr>
      <w:r>
        <w:rPr>
          <w:rFonts w:hint="eastAsia" w:ascii="仿宋_GB2312" w:eastAsia="仿宋_GB2312"/>
          <w:sz w:val="32"/>
          <w:szCs w:val="32"/>
        </w:rPr>
        <w:t>2022年组织部收、支总计954.16万元。与2021年相比收、支减少62.08万元，下降6.1%，主要原因是减少项目支出。</w:t>
      </w:r>
    </w:p>
    <w:p>
      <w:pPr>
        <w:ind w:firstLine="640" w:firstLineChars="200"/>
        <w:rPr>
          <w:rFonts w:ascii="仿宋_GB2312" w:eastAsia="仿宋_GB2312"/>
          <w:sz w:val="32"/>
          <w:szCs w:val="32"/>
        </w:rPr>
      </w:pPr>
      <w:r>
        <w:rPr>
          <w:rFonts w:hint="eastAsia" w:ascii="仿宋_GB2312" w:eastAsia="仿宋_GB2312"/>
          <w:sz w:val="32"/>
          <w:szCs w:val="32"/>
        </w:rPr>
        <w:t xml:space="preserve">        2022年</w:t>
      </w:r>
      <w:r>
        <w:rPr>
          <w:rFonts w:hint="eastAsia" w:ascii="仿宋" w:hAnsi="Times New Roman" w:eastAsia="仿宋" w:cs="仿宋"/>
          <w:sz w:val="32"/>
          <w:szCs w:val="32"/>
        </w:rPr>
        <w:t>收、支决算总计变动情况图</w:t>
      </w:r>
    </w:p>
    <w:p>
      <w:pPr>
        <w:ind w:firstLine="420" w:firstLineChars="200"/>
        <w:rPr>
          <w:rFonts w:ascii="仿宋_GB2312" w:eastAsia="仿宋_GB2312"/>
          <w:sz w:val="32"/>
          <w:szCs w:val="32"/>
        </w:rPr>
      </w:pPr>
      <w:r>
        <w:drawing>
          <wp:inline distT="0" distB="0" distL="0" distR="0">
            <wp:extent cx="4572000" cy="2743200"/>
            <wp:effectExtent l="0" t="0" r="19050" b="1905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ind w:firstLine="640" w:firstLineChars="200"/>
        <w:rPr>
          <w:rFonts w:ascii="仿宋_GB2312" w:eastAsia="仿宋_GB2312"/>
          <w:sz w:val="32"/>
          <w:szCs w:val="32"/>
        </w:rPr>
      </w:pPr>
      <w:r>
        <w:rPr>
          <w:rFonts w:hint="eastAsia" w:ascii="黑体" w:hAnsi="Times New Roman" w:eastAsia="黑体" w:cs="黑体"/>
          <w:color w:val="000000"/>
          <w:sz w:val="32"/>
          <w:szCs w:val="32"/>
          <w:lang w:val="zh-CN"/>
        </w:rPr>
        <w:t>二、收</w:t>
      </w:r>
      <w:r>
        <w:rPr>
          <w:rFonts w:hint="eastAsia" w:ascii="黑体" w:hAnsi="Times New Roman" w:eastAsia="黑体" w:cs="黑体"/>
          <w:sz w:val="32"/>
          <w:szCs w:val="32"/>
          <w:lang w:val="zh-CN"/>
        </w:rPr>
        <w:t>入决算情况说明</w:t>
      </w:r>
    </w:p>
    <w:p>
      <w:pPr>
        <w:ind w:firstLine="640" w:firstLineChars="200"/>
        <w:rPr>
          <w:rFonts w:ascii="仿宋_GB2312" w:hAnsi="Times New Roman" w:eastAsia="仿宋_GB2312" w:cs="仿宋_GB2312"/>
          <w:color w:val="000000"/>
          <w:sz w:val="32"/>
          <w:szCs w:val="32"/>
          <w:lang w:val="zh-CN"/>
        </w:rPr>
      </w:pPr>
      <w:r>
        <w:rPr>
          <w:rFonts w:ascii="仿宋_GB2312" w:hAnsi="Times New Roman" w:eastAsia="仿宋_GB2312" w:cs="仿宋_GB2312"/>
          <w:color w:val="000000"/>
          <w:sz w:val="32"/>
          <w:szCs w:val="32"/>
          <w:lang w:val="zh-CN"/>
        </w:rPr>
        <w:t>2022</w:t>
      </w:r>
      <w:r>
        <w:rPr>
          <w:rFonts w:hint="eastAsia" w:ascii="仿宋_GB2312" w:hAnsi="Times New Roman" w:eastAsia="仿宋_GB2312" w:cs="仿宋_GB2312"/>
          <w:color w:val="000000"/>
          <w:sz w:val="32"/>
          <w:szCs w:val="32"/>
          <w:lang w:val="zh-CN"/>
        </w:rPr>
        <w:t>年本年收入合计954.16万元，其中：一般公共预算财政拨款收入</w:t>
      </w:r>
      <w:r>
        <w:rPr>
          <w:rFonts w:ascii="仿宋_GB2312" w:hAnsi="Times New Roman" w:eastAsia="仿宋_GB2312" w:cs="仿宋_GB2312"/>
          <w:color w:val="000000"/>
          <w:sz w:val="32"/>
          <w:szCs w:val="32"/>
          <w:lang w:val="zh-CN"/>
        </w:rPr>
        <w:t>941.66</w:t>
      </w:r>
      <w:r>
        <w:rPr>
          <w:rFonts w:hint="eastAsia" w:ascii="仿宋_GB2312" w:hAnsi="Times New Roman" w:eastAsia="仿宋_GB2312" w:cs="仿宋_GB2312"/>
          <w:color w:val="000000"/>
          <w:sz w:val="32"/>
          <w:szCs w:val="32"/>
          <w:lang w:val="zh-CN"/>
        </w:rPr>
        <w:t>万元，占98.6</w:t>
      </w:r>
      <w:r>
        <w:rPr>
          <w:rFonts w:ascii="仿宋_GB2312" w:hAnsi="Times New Roman" w:eastAsia="仿宋_GB2312" w:cs="仿宋_GB2312"/>
          <w:color w:val="000000"/>
          <w:sz w:val="32"/>
          <w:szCs w:val="32"/>
          <w:lang w:val="zh-CN"/>
        </w:rPr>
        <w:t>%</w:t>
      </w:r>
      <w:r>
        <w:rPr>
          <w:rFonts w:hint="eastAsia" w:ascii="仿宋_GB2312" w:hAnsi="Times New Roman" w:eastAsia="仿宋_GB2312" w:cs="仿宋_GB2312"/>
          <w:color w:val="000000"/>
          <w:sz w:val="32"/>
          <w:szCs w:val="32"/>
          <w:lang w:val="zh-CN"/>
        </w:rPr>
        <w:t>，年初结转和结余12.5万元，占1.4%。其中一般公共服务支出707.71万元，社会保障和就业支出99.25万元，卫生健康支出14.83万元，农林水支出79.33万元，住房保障支出40.54万元。政府性基金预算财政拨款收入</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；国有资本经营预算财政拨款收入</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；上级补助收入</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；事业收入</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；经营收入</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；附属单位上缴收入</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；其他收入</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w:t>
      </w:r>
    </w:p>
    <w:p>
      <w:pPr>
        <w:ind w:firstLine="2891" w:firstLineChars="900"/>
        <w:rPr>
          <w:rFonts w:ascii="仿宋_GB2312" w:hAnsi="Times New Roman" w:eastAsia="仿宋_GB2312" w:cs="仿宋_GB2312"/>
          <w:b/>
          <w:color w:val="000000"/>
          <w:sz w:val="32"/>
          <w:szCs w:val="32"/>
          <w:lang w:val="zh-CN"/>
        </w:rPr>
      </w:pPr>
      <w:r>
        <w:rPr>
          <w:rFonts w:hint="eastAsia" w:ascii="仿宋" w:hAnsi="Times New Roman" w:eastAsia="仿宋" w:cs="仿宋"/>
          <w:b/>
          <w:sz w:val="32"/>
          <w:szCs w:val="32"/>
        </w:rPr>
        <w:t>2022年收入决算结构图</w:t>
      </w:r>
    </w:p>
    <w:p>
      <w:pPr>
        <w:ind w:firstLine="420" w:firstLineChars="200"/>
      </w:pPr>
    </w:p>
    <w:p>
      <w:pPr>
        <w:ind w:firstLine="420" w:firstLineChars="200"/>
        <w:rPr>
          <w:rFonts w:ascii="黑体" w:hAnsi="Times New Roman" w:eastAsia="黑体" w:cs="黑体"/>
          <w:color w:val="000000"/>
          <w:sz w:val="32"/>
          <w:szCs w:val="32"/>
          <w:lang w:val="zh-CN"/>
        </w:rPr>
      </w:pPr>
      <w:r>
        <w:drawing>
          <wp:inline distT="0" distB="0" distL="0" distR="0">
            <wp:extent cx="4572000" cy="2743200"/>
            <wp:effectExtent l="0" t="0" r="19050" b="19050"/>
            <wp:docPr id="22" name="图表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ind w:firstLine="640" w:firstLineChars="200"/>
        <w:rPr>
          <w:rFonts w:ascii="楷体_GB2312" w:hAnsi="仿宋" w:eastAsia="楷体_GB2312"/>
          <w:b/>
          <w:sz w:val="32"/>
          <w:szCs w:val="32"/>
        </w:rPr>
      </w:pPr>
      <w:r>
        <w:rPr>
          <w:rFonts w:hint="eastAsia" w:ascii="黑体" w:hAnsi="Times New Roman" w:eastAsia="黑体" w:cs="黑体"/>
          <w:color w:val="000000"/>
          <w:sz w:val="32"/>
          <w:szCs w:val="32"/>
          <w:lang w:val="zh-CN"/>
        </w:rPr>
        <w:t>三、支</w:t>
      </w:r>
      <w:r>
        <w:rPr>
          <w:rFonts w:hint="eastAsia" w:ascii="黑体" w:hAnsi="Times New Roman" w:eastAsia="黑体" w:cs="黑体"/>
          <w:sz w:val="32"/>
          <w:szCs w:val="32"/>
          <w:lang w:val="zh-CN"/>
        </w:rPr>
        <w:t>出决算情况说明</w:t>
      </w:r>
    </w:p>
    <w:p>
      <w:pPr>
        <w:ind w:firstLine="640" w:firstLineChars="200"/>
        <w:rPr>
          <w:rFonts w:ascii="仿宋_GB2312" w:hAnsi="Times New Roman" w:eastAsia="仿宋_GB2312" w:cs="仿宋_GB2312"/>
          <w:color w:val="000000"/>
          <w:sz w:val="32"/>
          <w:szCs w:val="32"/>
          <w:lang w:val="zh-CN"/>
        </w:rPr>
      </w:pPr>
      <w:r>
        <w:rPr>
          <w:rFonts w:ascii="仿宋_GB2312" w:hAnsi="Times New Roman" w:eastAsia="仿宋_GB2312" w:cs="仿宋_GB2312"/>
          <w:color w:val="000000"/>
          <w:sz w:val="32"/>
          <w:szCs w:val="32"/>
          <w:lang w:val="zh-CN"/>
        </w:rPr>
        <w:t>2022</w:t>
      </w:r>
      <w:r>
        <w:rPr>
          <w:rFonts w:hint="eastAsia" w:ascii="仿宋_GB2312" w:hAnsi="Times New Roman" w:eastAsia="仿宋_GB2312" w:cs="仿宋_GB2312"/>
          <w:color w:val="000000"/>
          <w:sz w:val="32"/>
          <w:szCs w:val="32"/>
          <w:lang w:val="zh-CN"/>
        </w:rPr>
        <w:t>年本年支出合计</w:t>
      </w:r>
      <w:r>
        <w:rPr>
          <w:rFonts w:ascii="仿宋_GB2312" w:hAnsi="Times New Roman" w:eastAsia="仿宋_GB2312" w:cs="仿宋_GB2312"/>
          <w:color w:val="000000"/>
          <w:sz w:val="32"/>
          <w:szCs w:val="32"/>
          <w:lang w:val="zh-CN"/>
        </w:rPr>
        <w:t>954.16</w:t>
      </w:r>
      <w:r>
        <w:rPr>
          <w:rFonts w:hint="eastAsia" w:ascii="仿宋_GB2312" w:hAnsi="Times New Roman" w:eastAsia="仿宋_GB2312" w:cs="仿宋_GB2312"/>
          <w:color w:val="000000"/>
          <w:sz w:val="32"/>
          <w:szCs w:val="32"/>
          <w:lang w:val="zh-CN"/>
        </w:rPr>
        <w:t>万元，其中：基本支出</w:t>
      </w:r>
      <w:r>
        <w:rPr>
          <w:rFonts w:ascii="仿宋_GB2312" w:hAnsi="Times New Roman" w:eastAsia="仿宋_GB2312" w:cs="仿宋_GB2312"/>
          <w:color w:val="000000"/>
          <w:sz w:val="32"/>
          <w:szCs w:val="32"/>
          <w:lang w:val="zh-CN"/>
        </w:rPr>
        <w:t>581.9</w:t>
      </w:r>
      <w:r>
        <w:rPr>
          <w:rFonts w:hint="eastAsia" w:ascii="仿宋_GB2312" w:hAnsi="Times New Roman" w:eastAsia="仿宋_GB2312" w:cs="仿宋_GB2312"/>
          <w:color w:val="000000"/>
          <w:sz w:val="32"/>
          <w:szCs w:val="32"/>
          <w:lang w:val="zh-CN"/>
        </w:rPr>
        <w:t>5万元，占</w:t>
      </w:r>
      <w:r>
        <w:rPr>
          <w:rFonts w:ascii="仿宋_GB2312" w:hAnsi="Times New Roman" w:eastAsia="仿宋_GB2312" w:cs="仿宋_GB2312"/>
          <w:color w:val="000000"/>
          <w:sz w:val="32"/>
          <w:szCs w:val="32"/>
          <w:lang w:val="zh-CN"/>
        </w:rPr>
        <w:t>61%</w:t>
      </w:r>
      <w:r>
        <w:rPr>
          <w:rFonts w:hint="eastAsia" w:ascii="仿宋_GB2312" w:hAnsi="Times New Roman" w:eastAsia="仿宋_GB2312" w:cs="仿宋_GB2312"/>
          <w:color w:val="000000"/>
          <w:sz w:val="32"/>
          <w:szCs w:val="32"/>
          <w:lang w:val="zh-CN"/>
        </w:rPr>
        <w:t>；项目支出</w:t>
      </w:r>
      <w:r>
        <w:rPr>
          <w:rFonts w:ascii="仿宋_GB2312" w:hAnsi="Times New Roman" w:eastAsia="仿宋_GB2312" w:cs="仿宋_GB2312"/>
          <w:color w:val="000000"/>
          <w:sz w:val="32"/>
          <w:szCs w:val="32"/>
          <w:lang w:val="zh-CN"/>
        </w:rPr>
        <w:t>372.21</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39%</w:t>
      </w:r>
      <w:r>
        <w:rPr>
          <w:rFonts w:hint="eastAsia" w:ascii="仿宋_GB2312" w:hAnsi="Times New Roman" w:eastAsia="仿宋_GB2312" w:cs="仿宋_GB2312"/>
          <w:color w:val="000000"/>
          <w:sz w:val="32"/>
          <w:szCs w:val="32"/>
          <w:lang w:val="zh-CN"/>
        </w:rPr>
        <w:t>；上缴上级支出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；经营支出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；对附属单位补助支出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w:t>
      </w:r>
    </w:p>
    <w:p>
      <w:pPr>
        <w:ind w:firstLine="640" w:firstLineChars="200"/>
        <w:rPr>
          <w:rFonts w:ascii="仿宋_GB2312" w:hAnsi="Times New Roman" w:eastAsia="仿宋_GB2312" w:cs="仿宋_GB2312"/>
          <w:b/>
          <w:color w:val="000000"/>
          <w:sz w:val="32"/>
          <w:szCs w:val="32"/>
          <w:lang w:val="zh-CN"/>
        </w:rPr>
      </w:pPr>
      <w:r>
        <w:rPr>
          <w:rFonts w:hint="eastAsia" w:ascii="仿宋_GB2312" w:hAnsi="Times New Roman" w:eastAsia="仿宋_GB2312" w:cs="仿宋_GB2312"/>
          <w:color w:val="000000"/>
          <w:sz w:val="32"/>
          <w:szCs w:val="32"/>
          <w:lang w:val="zh-CN"/>
        </w:rPr>
        <w:t xml:space="preserve">             </w:t>
      </w:r>
      <w:r>
        <w:rPr>
          <w:rFonts w:hint="eastAsia" w:ascii="仿宋" w:hAnsi="Times New Roman" w:eastAsia="仿宋" w:cs="仿宋"/>
          <w:b/>
          <w:sz w:val="32"/>
          <w:szCs w:val="32"/>
        </w:rPr>
        <w:t>2022年总体支出结构图</w:t>
      </w:r>
    </w:p>
    <w:p>
      <w:pPr>
        <w:ind w:firstLine="420" w:firstLineChars="200"/>
      </w:pPr>
      <w:r>
        <w:drawing>
          <wp:inline distT="0" distB="0" distL="0" distR="0">
            <wp:extent cx="4572000" cy="2743200"/>
            <wp:effectExtent l="0" t="0" r="19050" b="19050"/>
            <wp:docPr id="20" name="图表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ind w:firstLine="420" w:firstLineChars="200"/>
      </w:pPr>
    </w:p>
    <w:p>
      <w:pPr>
        <w:ind w:firstLine="640" w:firstLineChars="200"/>
        <w:rPr>
          <w:rFonts w:ascii="楷体_GB2312" w:hAnsi="仿宋" w:eastAsia="楷体_GB2312"/>
          <w:b/>
          <w:sz w:val="32"/>
          <w:szCs w:val="32"/>
        </w:rPr>
      </w:pPr>
      <w:r>
        <w:rPr>
          <w:rFonts w:hint="eastAsia" w:ascii="黑体" w:hAnsi="Times New Roman" w:eastAsia="黑体" w:cs="黑体"/>
          <w:color w:val="000000"/>
          <w:sz w:val="32"/>
          <w:szCs w:val="32"/>
          <w:lang w:val="zh-CN"/>
        </w:rPr>
        <w:t>四、财</w:t>
      </w:r>
      <w:r>
        <w:rPr>
          <w:rFonts w:hint="eastAsia" w:ascii="黑体" w:hAnsi="Times New Roman" w:eastAsia="黑体" w:cs="黑体"/>
          <w:sz w:val="32"/>
          <w:szCs w:val="32"/>
          <w:lang w:val="zh-CN"/>
        </w:rPr>
        <w:t>政拨款收入支出决算总体情况说明</w:t>
      </w:r>
    </w:p>
    <w:p>
      <w:pPr>
        <w:spacing w:line="576" w:lineRule="exact"/>
        <w:ind w:firstLine="640"/>
        <w:rPr>
          <w:rFonts w:ascii="仿宋_GB2312" w:hAnsi="Times New Roman" w:eastAsia="仿宋_GB2312" w:cs="仿宋_GB2312"/>
          <w:color w:val="000000"/>
          <w:sz w:val="32"/>
          <w:szCs w:val="32"/>
          <w:lang w:val="zh-CN"/>
        </w:rPr>
      </w:pPr>
      <w:r>
        <w:rPr>
          <w:rFonts w:ascii="仿宋_GB2312" w:hAnsi="Times New Roman" w:eastAsia="仿宋_GB2312" w:cs="仿宋_GB2312"/>
          <w:color w:val="000000"/>
          <w:sz w:val="32"/>
          <w:szCs w:val="32"/>
          <w:lang w:val="zh-CN"/>
        </w:rPr>
        <w:t>2022</w:t>
      </w:r>
      <w:r>
        <w:rPr>
          <w:rFonts w:hint="eastAsia" w:ascii="仿宋_GB2312" w:hAnsi="Times New Roman" w:eastAsia="仿宋_GB2312" w:cs="仿宋_GB2312"/>
          <w:color w:val="000000"/>
          <w:sz w:val="32"/>
          <w:szCs w:val="32"/>
          <w:lang w:val="zh-CN"/>
        </w:rPr>
        <w:t>年财政拨款收、支总计</w:t>
      </w:r>
      <w:r>
        <w:rPr>
          <w:rFonts w:ascii="仿宋_GB2312" w:hAnsi="Times New Roman" w:eastAsia="仿宋_GB2312" w:cs="仿宋_GB2312"/>
          <w:color w:val="000000"/>
          <w:sz w:val="32"/>
          <w:szCs w:val="32"/>
          <w:lang w:val="zh-CN"/>
        </w:rPr>
        <w:t>954.16</w:t>
      </w:r>
      <w:r>
        <w:rPr>
          <w:rFonts w:hint="eastAsia" w:ascii="仿宋_GB2312" w:hAnsi="Times New Roman" w:eastAsia="仿宋_GB2312" w:cs="仿宋_GB2312"/>
          <w:color w:val="000000"/>
          <w:sz w:val="32"/>
          <w:szCs w:val="32"/>
          <w:lang w:val="zh-CN"/>
        </w:rPr>
        <w:t>万元。与</w:t>
      </w:r>
      <w:r>
        <w:rPr>
          <w:rFonts w:ascii="仿宋_GB2312" w:hAnsi="Times New Roman" w:eastAsia="仿宋_GB2312" w:cs="仿宋_GB2312"/>
          <w:color w:val="000000"/>
          <w:sz w:val="32"/>
          <w:szCs w:val="32"/>
          <w:lang w:val="zh-CN"/>
        </w:rPr>
        <w:t>2021</w:t>
      </w:r>
      <w:r>
        <w:rPr>
          <w:rFonts w:hint="eastAsia" w:ascii="仿宋_GB2312" w:hAnsi="Times New Roman" w:eastAsia="仿宋_GB2312" w:cs="仿宋_GB2312"/>
          <w:color w:val="000000"/>
          <w:sz w:val="32"/>
          <w:szCs w:val="32"/>
          <w:lang w:val="zh-CN"/>
        </w:rPr>
        <w:t>年相比，财政拨款收、支总计减少</w:t>
      </w:r>
      <w:r>
        <w:rPr>
          <w:rFonts w:ascii="仿宋_GB2312" w:hAnsi="Times New Roman" w:eastAsia="仿宋_GB2312" w:cs="仿宋_GB2312"/>
          <w:color w:val="000000"/>
          <w:sz w:val="32"/>
          <w:szCs w:val="32"/>
          <w:lang w:val="zh-CN"/>
        </w:rPr>
        <w:t>62.08</w:t>
      </w:r>
      <w:r>
        <w:rPr>
          <w:rFonts w:hint="eastAsia" w:ascii="仿宋_GB2312" w:hAnsi="Times New Roman" w:eastAsia="仿宋_GB2312" w:cs="仿宋_GB2312"/>
          <w:color w:val="000000"/>
          <w:sz w:val="32"/>
          <w:szCs w:val="32"/>
          <w:lang w:val="zh-CN"/>
        </w:rPr>
        <w:t>万元，下降</w:t>
      </w:r>
      <w:r>
        <w:rPr>
          <w:rFonts w:ascii="仿宋_GB2312" w:hAnsi="Times New Roman" w:eastAsia="仿宋_GB2312" w:cs="仿宋_GB2312"/>
          <w:color w:val="000000"/>
          <w:sz w:val="32"/>
          <w:szCs w:val="32"/>
          <w:lang w:val="zh-CN"/>
        </w:rPr>
        <w:t>6.1%</w:t>
      </w:r>
      <w:r>
        <w:rPr>
          <w:rFonts w:hint="eastAsia" w:ascii="仿宋_GB2312" w:hAnsi="Times New Roman" w:eastAsia="仿宋_GB2312" w:cs="仿宋_GB2312"/>
          <w:color w:val="000000"/>
          <w:sz w:val="32"/>
          <w:szCs w:val="32"/>
          <w:lang w:val="zh-CN"/>
        </w:rPr>
        <w:t>。主要变动原因是减少项目支出。</w:t>
      </w:r>
    </w:p>
    <w:p>
      <w:pPr>
        <w:spacing w:line="576" w:lineRule="exact"/>
        <w:ind w:firstLine="640"/>
        <w:rPr>
          <w:rFonts w:ascii="仿宋" w:hAnsi="Times New Roman" w:eastAsia="仿宋" w:cs="仿宋"/>
          <w:sz w:val="32"/>
          <w:szCs w:val="32"/>
        </w:rPr>
      </w:pPr>
      <w:r>
        <w:rPr>
          <w:rFonts w:hint="eastAsia" w:ascii="仿宋" w:hAnsi="Times New Roman" w:eastAsia="仿宋" w:cs="仿宋"/>
          <w:sz w:val="32"/>
          <w:szCs w:val="32"/>
        </w:rPr>
        <w:t>（图</w:t>
      </w:r>
      <w:r>
        <w:rPr>
          <w:rFonts w:ascii="仿宋" w:hAnsi="Times New Roman" w:eastAsia="仿宋" w:cs="仿宋"/>
          <w:sz w:val="32"/>
          <w:szCs w:val="32"/>
        </w:rPr>
        <w:t>4</w:t>
      </w:r>
      <w:r>
        <w:rPr>
          <w:rFonts w:hint="eastAsia" w:ascii="仿宋" w:hAnsi="Times New Roman" w:eastAsia="仿宋" w:cs="仿宋"/>
          <w:sz w:val="32"/>
          <w:szCs w:val="32"/>
        </w:rPr>
        <w:t>：财政拨款收、支决算总计变动情况）（柱状图）</w:t>
      </w:r>
    </w:p>
    <w:p>
      <w:pPr>
        <w:spacing w:line="576" w:lineRule="exact"/>
        <w:ind w:firstLine="640"/>
        <w:rPr>
          <w:rFonts w:ascii="仿宋" w:hAnsi="Times New Roman" w:eastAsia="仿宋" w:cs="仿宋"/>
          <w:sz w:val="32"/>
          <w:szCs w:val="32"/>
        </w:rPr>
      </w:pPr>
      <w:r>
        <w:drawing>
          <wp:anchor distT="0" distB="0" distL="114300" distR="114300" simplePos="0" relativeHeight="251660288" behindDoc="0" locked="0" layoutInCell="1" allowOverlap="1">
            <wp:simplePos x="0" y="0"/>
            <wp:positionH relativeFrom="column">
              <wp:posOffset>333375</wp:posOffset>
            </wp:positionH>
            <wp:positionV relativeFrom="paragraph">
              <wp:posOffset>243840</wp:posOffset>
            </wp:positionV>
            <wp:extent cx="4505325" cy="2480945"/>
            <wp:effectExtent l="0" t="0" r="9525" b="14605"/>
            <wp:wrapNone/>
            <wp:docPr id="18" name="图表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576" w:lineRule="exact"/>
        <w:ind w:firstLine="640"/>
        <w:rPr>
          <w:rFonts w:ascii="仿宋" w:hAnsi="Times New Roman" w:eastAsia="仿宋" w:cs="仿宋"/>
          <w:sz w:val="32"/>
          <w:szCs w:val="32"/>
        </w:rPr>
      </w:pPr>
    </w:p>
    <w:p>
      <w:pPr>
        <w:spacing w:line="576" w:lineRule="exact"/>
        <w:ind w:firstLine="640"/>
        <w:rPr>
          <w:rFonts w:ascii="仿宋" w:hAnsi="Times New Roman" w:eastAsia="仿宋" w:cs="仿宋"/>
          <w:sz w:val="32"/>
          <w:szCs w:val="32"/>
        </w:rPr>
      </w:pPr>
    </w:p>
    <w:p>
      <w:pPr>
        <w:spacing w:line="576" w:lineRule="exact"/>
        <w:ind w:firstLine="640"/>
        <w:rPr>
          <w:rFonts w:ascii="仿宋" w:hAnsi="Times New Roman" w:eastAsia="仿宋" w:cs="仿宋"/>
          <w:sz w:val="32"/>
          <w:szCs w:val="32"/>
        </w:rPr>
      </w:pPr>
    </w:p>
    <w:p>
      <w:pPr>
        <w:spacing w:line="576" w:lineRule="exact"/>
        <w:ind w:firstLine="640"/>
        <w:rPr>
          <w:rFonts w:ascii="仿宋" w:hAnsi="Times New Roman" w:eastAsia="仿宋" w:cs="仿宋"/>
          <w:sz w:val="32"/>
          <w:szCs w:val="32"/>
        </w:rPr>
      </w:pPr>
      <w:r>
        <w:rPr>
          <w:rFonts w:ascii="仿宋" w:hAnsi="Times New Roman" w:eastAsia="仿宋" w:cs="仿宋"/>
          <w:sz w:val="32"/>
          <w:szCs w:val="32"/>
        </w:rPr>
        <w:br w:type="textWrapping" w:clear="all"/>
      </w:r>
    </w:p>
    <w:p>
      <w:pPr>
        <w:spacing w:line="576" w:lineRule="exact"/>
        <w:ind w:firstLine="640"/>
        <w:rPr>
          <w:rFonts w:ascii="仿宋" w:hAnsi="Times New Roman" w:eastAsia="仿宋" w:cs="仿宋"/>
          <w:sz w:val="32"/>
          <w:szCs w:val="32"/>
        </w:rPr>
      </w:pPr>
    </w:p>
    <w:p>
      <w:pPr>
        <w:spacing w:line="576" w:lineRule="exact"/>
        <w:ind w:firstLine="640"/>
        <w:rPr>
          <w:rFonts w:ascii="仿宋" w:hAnsi="Times New Roman" w:eastAsia="仿宋" w:cs="仿宋"/>
          <w:sz w:val="32"/>
          <w:szCs w:val="32"/>
        </w:rPr>
      </w:pPr>
    </w:p>
    <w:p>
      <w:pPr>
        <w:spacing w:line="576" w:lineRule="exact"/>
        <w:ind w:firstLine="640"/>
        <w:rPr>
          <w:rFonts w:ascii="仿宋_GB2312" w:hAnsi="Times New Roman" w:eastAsia="仿宋_GB2312" w:cs="仿宋_GB2312"/>
          <w:color w:val="000000"/>
          <w:sz w:val="32"/>
          <w:szCs w:val="32"/>
          <w:lang w:val="zh-CN"/>
        </w:rPr>
      </w:pPr>
      <w:r>
        <w:rPr>
          <w:rFonts w:hint="eastAsia" w:ascii="黑体" w:hAnsi="Times New Roman" w:eastAsia="黑体" w:cs="黑体"/>
          <w:color w:val="000000"/>
          <w:sz w:val="32"/>
          <w:szCs w:val="32"/>
          <w:lang w:val="zh-CN"/>
        </w:rPr>
        <w:t>五、</w:t>
      </w:r>
      <w:r>
        <w:rPr>
          <w:rFonts w:hint="eastAsia" w:ascii="黑体" w:hAnsi="Times New Roman" w:eastAsia="黑体" w:cs="黑体"/>
          <w:b/>
          <w:bCs/>
          <w:color w:val="000000"/>
          <w:sz w:val="32"/>
          <w:szCs w:val="32"/>
          <w:lang w:val="zh-CN"/>
        </w:rPr>
        <w:t>一</w:t>
      </w:r>
      <w:r>
        <w:rPr>
          <w:rFonts w:hint="eastAsia" w:ascii="黑体" w:hAnsi="Times New Roman" w:eastAsia="黑体" w:cs="黑体"/>
          <w:sz w:val="32"/>
          <w:szCs w:val="32"/>
          <w:lang w:val="zh-CN"/>
        </w:rPr>
        <w:t>般公共预算财政拨款支出决算情况说明</w:t>
      </w:r>
    </w:p>
    <w:p>
      <w:pPr>
        <w:spacing w:line="576" w:lineRule="exact"/>
        <w:ind w:firstLine="640"/>
        <w:rPr>
          <w:rFonts w:ascii="仿宋_GB2312" w:hAnsi="Times New Roman" w:eastAsia="仿宋_GB2312" w:cs="仿宋_GB2312"/>
          <w:color w:val="000000"/>
          <w:sz w:val="32"/>
          <w:szCs w:val="32"/>
          <w:lang w:val="zh-CN"/>
        </w:rPr>
      </w:pPr>
      <w:r>
        <w:rPr>
          <w:rFonts w:hint="eastAsia" w:ascii="仿宋_GB2312" w:hAnsi="Times New Roman" w:eastAsia="仿宋_GB2312" w:cs="仿宋_GB2312"/>
          <w:b/>
          <w:bCs/>
          <w:color w:val="000000"/>
          <w:sz w:val="32"/>
          <w:szCs w:val="32"/>
          <w:lang w:val="zh-CN"/>
        </w:rPr>
        <w:t>（一）一般公共预算财政拨款支出决算总体情况。</w:t>
      </w:r>
    </w:p>
    <w:p>
      <w:pPr>
        <w:spacing w:line="576" w:lineRule="exact"/>
        <w:ind w:firstLine="640"/>
        <w:rPr>
          <w:rFonts w:ascii="仿宋_GB2312" w:hAnsi="Times New Roman" w:eastAsia="仿宋_GB2312" w:cs="仿宋_GB2312"/>
          <w:color w:val="000000"/>
          <w:sz w:val="32"/>
          <w:szCs w:val="32"/>
          <w:lang w:val="zh-CN"/>
        </w:rPr>
      </w:pPr>
      <w:r>
        <w:rPr>
          <w:rFonts w:ascii="仿宋_GB2312" w:hAnsi="Times New Roman" w:eastAsia="仿宋_GB2312" w:cs="仿宋_GB2312"/>
          <w:color w:val="000000"/>
          <w:sz w:val="32"/>
          <w:szCs w:val="32"/>
          <w:lang w:val="zh-CN"/>
        </w:rPr>
        <w:t>2022</w:t>
      </w:r>
      <w:r>
        <w:rPr>
          <w:rFonts w:hint="eastAsia" w:ascii="仿宋_GB2312" w:hAnsi="Times New Roman" w:eastAsia="仿宋_GB2312" w:cs="仿宋_GB2312"/>
          <w:color w:val="000000"/>
          <w:sz w:val="32"/>
          <w:szCs w:val="32"/>
          <w:lang w:val="zh-CN"/>
        </w:rPr>
        <w:t>年一般公共预算财政拨款支出</w:t>
      </w:r>
      <w:r>
        <w:rPr>
          <w:rFonts w:ascii="仿宋_GB2312" w:hAnsi="Times New Roman" w:eastAsia="仿宋_GB2312" w:cs="仿宋_GB2312"/>
          <w:color w:val="000000"/>
          <w:sz w:val="32"/>
          <w:szCs w:val="32"/>
          <w:lang w:val="zh-CN"/>
        </w:rPr>
        <w:t>954.16</w:t>
      </w:r>
      <w:r>
        <w:rPr>
          <w:rFonts w:hint="eastAsia" w:ascii="仿宋_GB2312" w:hAnsi="Times New Roman" w:eastAsia="仿宋_GB2312" w:cs="仿宋_GB2312"/>
          <w:color w:val="000000"/>
          <w:sz w:val="32"/>
          <w:szCs w:val="32"/>
          <w:lang w:val="zh-CN"/>
        </w:rPr>
        <w:t>万元，占本年支出合计的</w:t>
      </w:r>
      <w:r>
        <w:rPr>
          <w:rFonts w:ascii="仿宋_GB2312" w:hAnsi="Times New Roman" w:eastAsia="仿宋_GB2312" w:cs="仿宋_GB2312"/>
          <w:color w:val="000000"/>
          <w:sz w:val="32"/>
          <w:szCs w:val="32"/>
          <w:lang w:val="zh-CN"/>
        </w:rPr>
        <w:t>100%</w:t>
      </w:r>
      <w:r>
        <w:rPr>
          <w:rFonts w:hint="eastAsia" w:ascii="仿宋_GB2312" w:hAnsi="Times New Roman" w:eastAsia="仿宋_GB2312" w:cs="仿宋_GB2312"/>
          <w:color w:val="000000"/>
          <w:sz w:val="32"/>
          <w:szCs w:val="32"/>
          <w:lang w:val="zh-CN"/>
        </w:rPr>
        <w:t>。与</w:t>
      </w:r>
      <w:r>
        <w:rPr>
          <w:rFonts w:ascii="仿宋_GB2312" w:hAnsi="Times New Roman" w:eastAsia="仿宋_GB2312" w:cs="仿宋_GB2312"/>
          <w:color w:val="000000"/>
          <w:sz w:val="32"/>
          <w:szCs w:val="32"/>
          <w:lang w:val="zh-CN"/>
        </w:rPr>
        <w:t>2021</w:t>
      </w:r>
      <w:r>
        <w:rPr>
          <w:rFonts w:hint="eastAsia" w:ascii="仿宋_GB2312" w:hAnsi="Times New Roman" w:eastAsia="仿宋_GB2312" w:cs="仿宋_GB2312"/>
          <w:color w:val="000000"/>
          <w:sz w:val="32"/>
          <w:szCs w:val="32"/>
          <w:lang w:val="zh-CN"/>
        </w:rPr>
        <w:t>年相比，一般公共预算财政拨款支出减少62.08万元，下降6.1</w:t>
      </w:r>
      <w:r>
        <w:rPr>
          <w:rFonts w:ascii="仿宋_GB2312" w:hAnsi="Times New Roman" w:eastAsia="仿宋_GB2312" w:cs="仿宋_GB2312"/>
          <w:color w:val="000000"/>
          <w:sz w:val="32"/>
          <w:szCs w:val="32"/>
          <w:lang w:val="zh-CN"/>
        </w:rPr>
        <w:t>%</w:t>
      </w:r>
      <w:r>
        <w:rPr>
          <w:rFonts w:hint="eastAsia" w:ascii="仿宋_GB2312" w:hAnsi="Times New Roman" w:eastAsia="仿宋_GB2312" w:cs="仿宋_GB2312"/>
          <w:color w:val="000000"/>
          <w:sz w:val="32"/>
          <w:szCs w:val="32"/>
          <w:lang w:val="zh-CN"/>
        </w:rPr>
        <w:t>。主要变动原因是减少项目支出。</w:t>
      </w:r>
    </w:p>
    <w:p>
      <w:pPr>
        <w:ind w:firstLine="643" w:firstLineChars="200"/>
        <w:rPr>
          <w:rFonts w:ascii="仿宋" w:hAnsi="Times New Roman" w:eastAsia="仿宋" w:cs="仿宋"/>
          <w:b/>
          <w:sz w:val="32"/>
          <w:szCs w:val="32"/>
        </w:rPr>
      </w:pPr>
      <w:r>
        <w:rPr>
          <w:rFonts w:hint="eastAsia" w:ascii="楷体_GB2312" w:hAnsi="仿宋" w:eastAsia="楷体_GB2312"/>
          <w:b/>
          <w:sz w:val="32"/>
          <w:szCs w:val="32"/>
        </w:rPr>
        <w:t xml:space="preserve">      </w:t>
      </w:r>
      <w:r>
        <w:rPr>
          <w:rFonts w:hint="eastAsia" w:ascii="仿宋" w:hAnsi="Times New Roman" w:eastAsia="仿宋" w:cs="仿宋"/>
          <w:b/>
          <w:sz w:val="32"/>
          <w:szCs w:val="32"/>
        </w:rPr>
        <w:t>一般公共预算财政拨款支出决算变动情况</w:t>
      </w:r>
    </w:p>
    <w:p>
      <w:pPr>
        <w:ind w:firstLine="420" w:firstLineChars="200"/>
        <w:rPr>
          <w:rFonts w:ascii="楷体_GB2312" w:hAnsi="仿宋" w:eastAsia="楷体_GB2312"/>
          <w:b/>
          <w:sz w:val="32"/>
          <w:szCs w:val="32"/>
        </w:rPr>
      </w:pPr>
      <w:r>
        <w:drawing>
          <wp:inline distT="0" distB="0" distL="0" distR="0">
            <wp:extent cx="4572000" cy="2743200"/>
            <wp:effectExtent l="0" t="0" r="19050" b="1905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ind w:firstLine="643" w:firstLineChars="200"/>
        <w:rPr>
          <w:rFonts w:ascii="仿宋_GB2312" w:hAnsi="Times New Roman" w:eastAsia="仿宋_GB2312" w:cs="仿宋_GB2312"/>
          <w:b/>
          <w:bCs/>
          <w:color w:val="000000"/>
          <w:sz w:val="32"/>
          <w:szCs w:val="32"/>
          <w:lang w:val="zh-CN"/>
        </w:rPr>
      </w:pPr>
      <w:r>
        <w:rPr>
          <w:rFonts w:hint="eastAsia" w:ascii="仿宋_GB2312" w:hAnsi="Times New Roman" w:eastAsia="仿宋_GB2312" w:cs="仿宋_GB2312"/>
          <w:b/>
          <w:bCs/>
          <w:color w:val="000000"/>
          <w:sz w:val="32"/>
          <w:szCs w:val="32"/>
          <w:lang w:val="zh-CN"/>
        </w:rPr>
        <w:t>（二）一般公共预算财政拨款支出决算结构情况。</w:t>
      </w:r>
    </w:p>
    <w:p>
      <w:pPr>
        <w:ind w:firstLine="640" w:firstLineChars="200"/>
        <w:rPr>
          <w:rFonts w:ascii="仿宋_GB2312" w:hAnsi="Times New Roman" w:eastAsia="仿宋_GB2312" w:cs="仿宋_GB2312"/>
          <w:color w:val="000000"/>
          <w:sz w:val="32"/>
          <w:szCs w:val="32"/>
          <w:lang w:val="zh-CN"/>
        </w:rPr>
      </w:pPr>
      <w:r>
        <w:rPr>
          <w:rFonts w:ascii="仿宋_GB2312" w:hAnsi="Times New Roman" w:eastAsia="仿宋_GB2312" w:cs="仿宋_GB2312"/>
          <w:color w:val="000000"/>
          <w:sz w:val="32"/>
          <w:szCs w:val="32"/>
          <w:lang w:val="zh-CN"/>
        </w:rPr>
        <w:t>2022</w:t>
      </w:r>
      <w:r>
        <w:rPr>
          <w:rFonts w:hint="eastAsia" w:ascii="仿宋_GB2312" w:hAnsi="Times New Roman" w:eastAsia="仿宋_GB2312" w:cs="仿宋_GB2312"/>
          <w:color w:val="000000"/>
          <w:sz w:val="32"/>
          <w:szCs w:val="32"/>
          <w:lang w:val="zh-CN"/>
        </w:rPr>
        <w:t>年一般公共预算财政拨款支出</w:t>
      </w:r>
      <w:r>
        <w:rPr>
          <w:rFonts w:ascii="仿宋_GB2312" w:hAnsi="Times New Roman" w:eastAsia="仿宋_GB2312" w:cs="仿宋_GB2312"/>
          <w:color w:val="000000"/>
          <w:sz w:val="32"/>
          <w:szCs w:val="32"/>
          <w:lang w:val="zh-CN"/>
        </w:rPr>
        <w:t>954.16</w:t>
      </w:r>
      <w:r>
        <w:rPr>
          <w:rFonts w:hint="eastAsia" w:ascii="仿宋_GB2312" w:hAnsi="Times New Roman" w:eastAsia="仿宋_GB2312" w:cs="仿宋_GB2312"/>
          <w:color w:val="000000"/>
          <w:sz w:val="32"/>
          <w:szCs w:val="32"/>
          <w:lang w:val="zh-CN"/>
        </w:rPr>
        <w:t>万元，主要用于以下方面</w:t>
      </w:r>
      <w:r>
        <w:rPr>
          <w:rFonts w:ascii="仿宋_GB2312" w:hAnsi="Times New Roman" w:eastAsia="仿宋_GB2312" w:cs="仿宋_GB2312"/>
          <w:color w:val="000000"/>
          <w:sz w:val="32"/>
          <w:szCs w:val="32"/>
          <w:lang w:val="zh-CN"/>
        </w:rPr>
        <w:t xml:space="preserve">: </w:t>
      </w:r>
      <w:r>
        <w:rPr>
          <w:rFonts w:hint="eastAsia" w:ascii="仿宋_GB2312" w:hAnsi="Times New Roman" w:eastAsia="仿宋_GB2312" w:cs="仿宋_GB2312"/>
          <w:color w:val="000000"/>
          <w:sz w:val="32"/>
          <w:szCs w:val="32"/>
          <w:lang w:val="zh-CN"/>
        </w:rPr>
        <w:t>一般公共服务支出</w:t>
      </w:r>
      <w:r>
        <w:rPr>
          <w:rFonts w:ascii="仿宋_GB2312" w:hAnsi="Times New Roman" w:eastAsia="仿宋_GB2312" w:cs="仿宋_GB2312"/>
          <w:color w:val="000000"/>
          <w:sz w:val="32"/>
          <w:szCs w:val="32"/>
          <w:lang w:val="zh-CN"/>
        </w:rPr>
        <w:t>720.2</w:t>
      </w:r>
      <w:r>
        <w:rPr>
          <w:rFonts w:hint="eastAsia" w:ascii="仿宋_GB2312" w:hAnsi="Times New Roman" w:eastAsia="仿宋_GB2312" w:cs="仿宋_GB2312"/>
          <w:color w:val="000000"/>
          <w:sz w:val="32"/>
          <w:szCs w:val="32"/>
          <w:lang w:val="zh-CN"/>
        </w:rPr>
        <w:t>1万元，占</w:t>
      </w:r>
      <w:r>
        <w:rPr>
          <w:rFonts w:ascii="仿宋_GB2312" w:hAnsi="Times New Roman" w:eastAsia="仿宋_GB2312" w:cs="仿宋_GB2312"/>
          <w:color w:val="000000"/>
          <w:sz w:val="32"/>
          <w:szCs w:val="32"/>
          <w:lang w:val="zh-CN"/>
        </w:rPr>
        <w:t>75.5%</w:t>
      </w:r>
      <w:r>
        <w:rPr>
          <w:rFonts w:hint="eastAsia" w:ascii="仿宋_GB2312" w:hAnsi="Times New Roman" w:eastAsia="仿宋_GB2312" w:cs="仿宋_GB2312"/>
          <w:color w:val="000000"/>
          <w:sz w:val="32"/>
          <w:szCs w:val="32"/>
          <w:lang w:val="zh-CN"/>
        </w:rPr>
        <w:t>；外交支出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；国防支出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；公共安全支出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；教育支出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；科学技术支出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；文化体育与传媒支出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；社会保障和就业支出</w:t>
      </w:r>
      <w:r>
        <w:rPr>
          <w:rFonts w:ascii="仿宋_GB2312" w:hAnsi="Times New Roman" w:eastAsia="仿宋_GB2312" w:cs="仿宋_GB2312"/>
          <w:color w:val="000000"/>
          <w:sz w:val="32"/>
          <w:szCs w:val="32"/>
          <w:lang w:val="zh-CN"/>
        </w:rPr>
        <w:t>99.25</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10.4%</w:t>
      </w:r>
      <w:r>
        <w:rPr>
          <w:rFonts w:hint="eastAsia" w:ascii="仿宋_GB2312" w:hAnsi="Times New Roman" w:eastAsia="仿宋_GB2312" w:cs="仿宋_GB2312"/>
          <w:color w:val="000000"/>
          <w:sz w:val="32"/>
          <w:szCs w:val="32"/>
          <w:lang w:val="zh-CN"/>
        </w:rPr>
        <w:t>；卫生健康支出</w:t>
      </w:r>
      <w:r>
        <w:rPr>
          <w:rFonts w:ascii="仿宋_GB2312" w:hAnsi="Times New Roman" w:eastAsia="仿宋_GB2312" w:cs="仿宋_GB2312"/>
          <w:color w:val="000000"/>
          <w:sz w:val="32"/>
          <w:szCs w:val="32"/>
          <w:lang w:val="zh-CN"/>
        </w:rPr>
        <w:t>14.83</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1.6%</w:t>
      </w:r>
      <w:r>
        <w:rPr>
          <w:rFonts w:hint="eastAsia" w:ascii="仿宋_GB2312" w:hAnsi="Times New Roman" w:eastAsia="仿宋_GB2312" w:cs="仿宋_GB2312"/>
          <w:color w:val="000000"/>
          <w:sz w:val="32"/>
          <w:szCs w:val="32"/>
          <w:lang w:val="zh-CN"/>
        </w:rPr>
        <w:t>；节能环保支出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；城乡社区支出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；农林水支出</w:t>
      </w:r>
      <w:r>
        <w:rPr>
          <w:rFonts w:ascii="仿宋_GB2312" w:hAnsi="Times New Roman" w:eastAsia="仿宋_GB2312" w:cs="仿宋_GB2312"/>
          <w:color w:val="000000"/>
          <w:sz w:val="32"/>
          <w:szCs w:val="32"/>
          <w:lang w:val="zh-CN"/>
        </w:rPr>
        <w:t>79.33</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8.3%</w:t>
      </w:r>
      <w:r>
        <w:rPr>
          <w:rFonts w:hint="eastAsia" w:ascii="仿宋_GB2312" w:hAnsi="Times New Roman" w:eastAsia="仿宋_GB2312" w:cs="仿宋_GB2312"/>
          <w:color w:val="000000"/>
          <w:sz w:val="32"/>
          <w:szCs w:val="32"/>
          <w:lang w:val="zh-CN"/>
        </w:rPr>
        <w:t>；交通运输支出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；资源勘探工业信息等支出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；商业服务业等支出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；金融支出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；援助其他地区支出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；自然资源海洋气象等支出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；住房保障支出</w:t>
      </w:r>
      <w:r>
        <w:rPr>
          <w:rFonts w:ascii="仿宋_GB2312" w:hAnsi="Times New Roman" w:eastAsia="仿宋_GB2312" w:cs="仿宋_GB2312"/>
          <w:color w:val="000000"/>
          <w:sz w:val="32"/>
          <w:szCs w:val="32"/>
          <w:lang w:val="zh-CN"/>
        </w:rPr>
        <w:t>40.54</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4.2%</w:t>
      </w:r>
      <w:r>
        <w:rPr>
          <w:rFonts w:hint="eastAsia" w:ascii="仿宋_GB2312" w:hAnsi="Times New Roman" w:eastAsia="仿宋_GB2312" w:cs="仿宋_GB2312"/>
          <w:color w:val="000000"/>
          <w:sz w:val="32"/>
          <w:szCs w:val="32"/>
          <w:lang w:val="zh-CN"/>
        </w:rPr>
        <w:t>；粮油物资储备支出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；国有资本经营预算支出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；灾害防治及应急管理支出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；其他支出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；债务还本支出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；债务付息支出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；抗疫特别国债安排的支出</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万元，占</w:t>
      </w:r>
      <w:r>
        <w:rPr>
          <w:rFonts w:ascii="仿宋_GB2312" w:hAnsi="Times New Roman" w:eastAsia="仿宋_GB2312" w:cs="仿宋_GB2312"/>
          <w:color w:val="000000"/>
          <w:sz w:val="32"/>
          <w:szCs w:val="32"/>
          <w:lang w:val="zh-CN"/>
        </w:rPr>
        <w:t>0%</w:t>
      </w:r>
      <w:r>
        <w:rPr>
          <w:rFonts w:hint="eastAsia" w:ascii="仿宋_GB2312" w:hAnsi="Times New Roman" w:eastAsia="仿宋_GB2312" w:cs="仿宋_GB2312"/>
          <w:color w:val="000000"/>
          <w:sz w:val="32"/>
          <w:szCs w:val="32"/>
          <w:lang w:val="zh-CN"/>
        </w:rPr>
        <w:t>。</w:t>
      </w:r>
    </w:p>
    <w:p>
      <w:pPr>
        <w:spacing w:line="600" w:lineRule="exact"/>
        <w:ind w:firstLine="640"/>
        <w:rPr>
          <w:rFonts w:ascii="仿宋" w:hAnsi="Times New Roman" w:eastAsia="仿宋" w:cs="仿宋"/>
          <w:b/>
          <w:bCs/>
          <w:sz w:val="32"/>
          <w:szCs w:val="32"/>
        </w:rPr>
      </w:pPr>
      <w:r>
        <w:rPr>
          <w:rFonts w:hint="eastAsia" w:ascii="仿宋" w:hAnsi="Times New Roman" w:eastAsia="仿宋" w:cs="仿宋"/>
          <w:b/>
          <w:bCs/>
          <w:sz w:val="32"/>
          <w:szCs w:val="32"/>
        </w:rPr>
        <w:t>（注：数据来源于财决</w:t>
      </w:r>
      <w:r>
        <w:rPr>
          <w:rFonts w:ascii="仿宋" w:hAnsi="Times New Roman" w:eastAsia="仿宋" w:cs="仿宋"/>
          <w:b/>
          <w:bCs/>
          <w:sz w:val="32"/>
          <w:szCs w:val="32"/>
        </w:rPr>
        <w:t>01-1</w:t>
      </w:r>
      <w:r>
        <w:rPr>
          <w:rFonts w:hint="eastAsia" w:ascii="仿宋" w:hAnsi="Times New Roman" w:eastAsia="仿宋" w:cs="仿宋"/>
          <w:b/>
          <w:bCs/>
          <w:sz w:val="32"/>
          <w:szCs w:val="32"/>
        </w:rPr>
        <w:t>表，仅罗列本部门涉及的全部功能分类科目，至类级。）</w:t>
      </w:r>
    </w:p>
    <w:p>
      <w:pPr>
        <w:spacing w:line="600" w:lineRule="exact"/>
        <w:ind w:left="479" w:leftChars="228" w:firstLine="160" w:firstLineChars="50"/>
        <w:rPr>
          <w:rFonts w:ascii="仿宋" w:hAnsi="Times New Roman" w:eastAsia="仿宋" w:cs="仿宋"/>
          <w:sz w:val="32"/>
          <w:szCs w:val="32"/>
        </w:rPr>
      </w:pPr>
      <w:r>
        <w:rPr>
          <w:rFonts w:hint="eastAsia" w:ascii="仿宋" w:hAnsi="Times New Roman" w:eastAsia="仿宋" w:cs="仿宋"/>
          <w:sz w:val="32"/>
          <w:szCs w:val="32"/>
        </w:rPr>
        <w:t>（图</w:t>
      </w:r>
      <w:r>
        <w:rPr>
          <w:rFonts w:ascii="仿宋" w:hAnsi="Times New Roman" w:eastAsia="仿宋" w:cs="仿宋"/>
          <w:sz w:val="32"/>
          <w:szCs w:val="32"/>
        </w:rPr>
        <w:t>6</w:t>
      </w:r>
      <w:r>
        <w:rPr>
          <w:rFonts w:hint="eastAsia" w:ascii="仿宋" w:hAnsi="Times New Roman" w:eastAsia="仿宋" w:cs="仿宋"/>
          <w:sz w:val="32"/>
          <w:szCs w:val="32"/>
        </w:rPr>
        <w:t>：一般公共预算财政拨款支出决算结构）（饼状图）</w:t>
      </w:r>
    </w:p>
    <w:p>
      <w:pPr>
        <w:spacing w:line="600" w:lineRule="exact"/>
        <w:ind w:left="479" w:leftChars="228" w:firstLine="105" w:firstLineChars="50"/>
        <w:rPr>
          <w:rFonts w:ascii="仿宋" w:hAnsi="Times New Roman" w:eastAsia="仿宋" w:cs="仿宋"/>
          <w:sz w:val="32"/>
          <w:szCs w:val="32"/>
        </w:rPr>
      </w:pPr>
      <w:r>
        <w:drawing>
          <wp:anchor distT="0" distB="0" distL="114300" distR="114300" simplePos="0" relativeHeight="251661312" behindDoc="1" locked="0" layoutInCell="1" allowOverlap="1">
            <wp:simplePos x="0" y="0"/>
            <wp:positionH relativeFrom="column">
              <wp:posOffset>485775</wp:posOffset>
            </wp:positionH>
            <wp:positionV relativeFrom="paragraph">
              <wp:posOffset>192405</wp:posOffset>
            </wp:positionV>
            <wp:extent cx="4572000" cy="2743200"/>
            <wp:effectExtent l="0" t="0" r="19050" b="19050"/>
            <wp:wrapNone/>
            <wp:docPr id="19" name="图表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left="479" w:leftChars="228" w:firstLine="160" w:firstLineChars="50"/>
        <w:rPr>
          <w:rFonts w:ascii="仿宋" w:hAnsi="Times New Roman" w:eastAsia="仿宋" w:cs="仿宋"/>
          <w:sz w:val="32"/>
          <w:szCs w:val="32"/>
        </w:rPr>
      </w:pPr>
    </w:p>
    <w:p>
      <w:pPr>
        <w:spacing w:line="600" w:lineRule="exact"/>
        <w:ind w:left="479" w:leftChars="228" w:firstLine="160" w:firstLineChars="50"/>
        <w:rPr>
          <w:rFonts w:ascii="仿宋" w:hAnsi="Times New Roman" w:eastAsia="仿宋" w:cs="仿宋"/>
          <w:sz w:val="32"/>
          <w:szCs w:val="32"/>
        </w:rPr>
      </w:pPr>
    </w:p>
    <w:p>
      <w:pPr>
        <w:spacing w:line="600" w:lineRule="exact"/>
        <w:ind w:left="479" w:leftChars="228" w:firstLine="161" w:firstLineChars="50"/>
        <w:rPr>
          <w:rFonts w:ascii="仿宋_GB2312" w:hAnsi="Times New Roman" w:eastAsia="仿宋_GB2312" w:cs="仿宋_GB2312"/>
          <w:b/>
          <w:bCs/>
          <w:color w:val="000000"/>
          <w:sz w:val="32"/>
          <w:szCs w:val="32"/>
          <w:lang w:val="zh-CN"/>
        </w:rPr>
      </w:pPr>
    </w:p>
    <w:p>
      <w:pPr>
        <w:spacing w:line="600" w:lineRule="exact"/>
        <w:ind w:left="479" w:leftChars="228" w:firstLine="161" w:firstLineChars="50"/>
        <w:rPr>
          <w:rFonts w:ascii="仿宋_GB2312" w:hAnsi="Times New Roman" w:eastAsia="仿宋_GB2312" w:cs="仿宋_GB2312"/>
          <w:b/>
          <w:bCs/>
          <w:color w:val="000000"/>
          <w:sz w:val="32"/>
          <w:szCs w:val="32"/>
          <w:lang w:val="zh-CN"/>
        </w:rPr>
      </w:pPr>
    </w:p>
    <w:p>
      <w:pPr>
        <w:spacing w:line="600" w:lineRule="exact"/>
        <w:ind w:left="479" w:leftChars="228" w:firstLine="161" w:firstLineChars="50"/>
        <w:rPr>
          <w:rFonts w:ascii="仿宋_GB2312" w:hAnsi="Times New Roman" w:eastAsia="仿宋_GB2312" w:cs="仿宋_GB2312"/>
          <w:b/>
          <w:bCs/>
          <w:color w:val="000000"/>
          <w:sz w:val="32"/>
          <w:szCs w:val="32"/>
          <w:lang w:val="zh-CN"/>
        </w:rPr>
      </w:pPr>
    </w:p>
    <w:p>
      <w:pPr>
        <w:spacing w:line="600" w:lineRule="exact"/>
        <w:ind w:left="479" w:leftChars="228" w:firstLine="161" w:firstLineChars="50"/>
        <w:rPr>
          <w:rFonts w:ascii="仿宋_GB2312" w:hAnsi="Times New Roman" w:eastAsia="仿宋_GB2312" w:cs="仿宋_GB2312"/>
          <w:b/>
          <w:bCs/>
          <w:color w:val="000000"/>
          <w:sz w:val="32"/>
          <w:szCs w:val="32"/>
          <w:lang w:val="zh-CN"/>
        </w:rPr>
      </w:pPr>
    </w:p>
    <w:p>
      <w:pPr>
        <w:spacing w:line="600" w:lineRule="exact"/>
        <w:ind w:left="479" w:leftChars="228" w:firstLine="161" w:firstLineChars="50"/>
        <w:rPr>
          <w:rFonts w:ascii="仿宋_GB2312" w:hAnsi="Times New Roman" w:eastAsia="仿宋_GB2312" w:cs="仿宋_GB2312"/>
          <w:b/>
          <w:bCs/>
          <w:color w:val="000000"/>
          <w:sz w:val="32"/>
          <w:szCs w:val="32"/>
          <w:lang w:val="zh-CN"/>
        </w:rPr>
      </w:pPr>
    </w:p>
    <w:p>
      <w:pPr>
        <w:spacing w:line="600" w:lineRule="exact"/>
        <w:ind w:left="479" w:leftChars="228" w:firstLine="161" w:firstLineChars="50"/>
        <w:rPr>
          <w:rFonts w:ascii="仿宋_GB2312" w:hAnsi="Times New Roman" w:eastAsia="仿宋_GB2312" w:cs="仿宋_GB2312"/>
          <w:b/>
          <w:bCs/>
          <w:color w:val="000000"/>
          <w:sz w:val="32"/>
          <w:szCs w:val="32"/>
          <w:lang w:val="zh-CN"/>
        </w:rPr>
      </w:pPr>
      <w:r>
        <w:rPr>
          <w:rFonts w:hint="eastAsia" w:ascii="仿宋_GB2312" w:hAnsi="Times New Roman" w:eastAsia="仿宋_GB2312" w:cs="仿宋_GB2312"/>
          <w:b/>
          <w:bCs/>
          <w:color w:val="000000"/>
          <w:sz w:val="32"/>
          <w:szCs w:val="32"/>
          <w:lang w:val="zh-CN"/>
        </w:rPr>
        <w:t>（三）一般公共预算财政拨款支出决算具体情况。</w:t>
      </w:r>
    </w:p>
    <w:p>
      <w:pPr>
        <w:spacing w:line="600" w:lineRule="exact"/>
        <w:ind w:firstLine="640"/>
        <w:rPr>
          <w:rFonts w:ascii="仿宋_GB2312" w:hAnsi="Times New Roman" w:eastAsia="仿宋_GB2312" w:cs="仿宋_GB2312"/>
          <w:b/>
          <w:bCs/>
          <w:color w:val="000000"/>
          <w:sz w:val="32"/>
          <w:szCs w:val="32"/>
          <w:lang w:val="zh-CN"/>
        </w:rPr>
      </w:pPr>
      <w:r>
        <w:rPr>
          <w:rFonts w:ascii="仿宋_GB2312" w:hAnsi="Times New Roman" w:eastAsia="仿宋_GB2312" w:cs="仿宋_GB2312"/>
          <w:b/>
          <w:bCs/>
          <w:color w:val="000000"/>
          <w:sz w:val="32"/>
          <w:szCs w:val="32"/>
          <w:lang w:val="zh-CN"/>
        </w:rPr>
        <w:t>2022</w:t>
      </w:r>
      <w:r>
        <w:rPr>
          <w:rFonts w:hint="eastAsia" w:ascii="仿宋_GB2312" w:hAnsi="Times New Roman" w:eastAsia="仿宋_GB2312" w:cs="仿宋_GB2312"/>
          <w:b/>
          <w:bCs/>
          <w:color w:val="000000"/>
          <w:sz w:val="32"/>
          <w:szCs w:val="32"/>
          <w:lang w:val="zh-CN"/>
        </w:rPr>
        <w:t>年一般公共预算支出决算数为</w:t>
      </w:r>
      <w:r>
        <w:rPr>
          <w:rFonts w:ascii="仿宋_GB2312" w:hAnsi="Times New Roman" w:eastAsia="仿宋_GB2312" w:cs="仿宋_GB2312"/>
          <w:b/>
          <w:bCs/>
          <w:color w:val="000000"/>
          <w:sz w:val="32"/>
          <w:szCs w:val="32"/>
          <w:lang w:val="zh-CN"/>
        </w:rPr>
        <w:t>954.16</w:t>
      </w:r>
      <w:r>
        <w:rPr>
          <w:rFonts w:hint="eastAsia" w:ascii="仿宋_GB2312" w:hAnsi="Times New Roman" w:eastAsia="仿宋_GB2312" w:cs="仿宋_GB2312"/>
          <w:b/>
          <w:bCs/>
          <w:color w:val="000000"/>
          <w:sz w:val="32"/>
          <w:szCs w:val="32"/>
          <w:lang w:val="zh-CN"/>
        </w:rPr>
        <w:t>万元</w:t>
      </w:r>
      <w:r>
        <w:rPr>
          <w:rFonts w:hint="eastAsia" w:ascii="仿宋_GB2312" w:hAnsi="Times New Roman" w:eastAsia="仿宋_GB2312" w:cs="仿宋_GB2312"/>
          <w:color w:val="000000"/>
          <w:sz w:val="32"/>
          <w:szCs w:val="32"/>
          <w:lang w:val="zh-CN"/>
        </w:rPr>
        <w:t>，</w:t>
      </w:r>
      <w:r>
        <w:rPr>
          <w:rFonts w:hint="eastAsia" w:ascii="仿宋_GB2312" w:hAnsi="Times New Roman" w:eastAsia="仿宋_GB2312" w:cs="仿宋_GB2312"/>
          <w:b/>
          <w:bCs/>
          <w:color w:val="000000"/>
          <w:sz w:val="32"/>
          <w:szCs w:val="32"/>
          <w:lang w:val="zh-CN"/>
        </w:rPr>
        <w:t>完成预算</w:t>
      </w:r>
      <w:r>
        <w:rPr>
          <w:rFonts w:ascii="仿宋_GB2312" w:hAnsi="Times New Roman" w:eastAsia="仿宋_GB2312" w:cs="仿宋_GB2312"/>
          <w:b/>
          <w:bCs/>
          <w:color w:val="000000"/>
          <w:sz w:val="32"/>
          <w:szCs w:val="32"/>
          <w:lang w:val="zh-CN"/>
        </w:rPr>
        <w:t>100%</w:t>
      </w:r>
      <w:r>
        <w:rPr>
          <w:rFonts w:hint="eastAsia" w:ascii="仿宋_GB2312" w:hAnsi="Times New Roman" w:eastAsia="仿宋_GB2312" w:cs="仿宋_GB2312"/>
          <w:b/>
          <w:bCs/>
          <w:color w:val="000000"/>
          <w:sz w:val="32"/>
          <w:szCs w:val="32"/>
          <w:lang w:val="zh-CN"/>
        </w:rPr>
        <w:t>。其中：</w:t>
      </w:r>
    </w:p>
    <w:p>
      <w:pPr>
        <w:spacing w:line="600" w:lineRule="exact"/>
        <w:ind w:firstLine="643" w:firstLineChars="200"/>
        <w:rPr>
          <w:rStyle w:val="15"/>
          <w:rFonts w:ascii="仿宋" w:hAnsi="仿宋" w:eastAsia="仿宋"/>
          <w:b w:val="0"/>
          <w:bCs/>
          <w:color w:val="000000"/>
          <w:sz w:val="32"/>
          <w:szCs w:val="32"/>
        </w:rPr>
      </w:pPr>
      <w:r>
        <w:rPr>
          <w:rStyle w:val="15"/>
          <w:rFonts w:ascii="仿宋" w:hAnsi="仿宋" w:eastAsia="仿宋"/>
          <w:bCs/>
          <w:color w:val="000000"/>
          <w:sz w:val="32"/>
          <w:szCs w:val="32"/>
        </w:rPr>
        <w:t>1.</w:t>
      </w:r>
      <w:r>
        <w:rPr>
          <w:rFonts w:hint="eastAsia" w:ascii="仿宋" w:hAnsi="仿宋" w:eastAsia="仿宋"/>
          <w:bCs/>
          <w:color w:val="000000"/>
          <w:sz w:val="32"/>
          <w:szCs w:val="32"/>
        </w:rPr>
        <w:t xml:space="preserve"> </w:t>
      </w:r>
      <w:r>
        <w:rPr>
          <w:rStyle w:val="15"/>
          <w:rFonts w:hint="eastAsia" w:ascii="仿宋" w:hAnsi="仿宋" w:eastAsia="仿宋"/>
          <w:bCs/>
          <w:color w:val="000000"/>
          <w:sz w:val="32"/>
          <w:szCs w:val="32"/>
        </w:rPr>
        <w:t>一般公共服务（类）组织事务（款）行政运行（项）：</w:t>
      </w:r>
      <w:r>
        <w:rPr>
          <w:rStyle w:val="15"/>
          <w:rFonts w:hint="eastAsia" w:ascii="仿宋" w:hAnsi="仿宋" w:eastAsia="仿宋"/>
          <w:b w:val="0"/>
          <w:bCs/>
          <w:color w:val="000000"/>
          <w:sz w:val="32"/>
          <w:szCs w:val="32"/>
        </w:rPr>
        <w:t>支出决算数为359.74万元，完成预算100%</w:t>
      </w:r>
      <w:r>
        <w:rPr>
          <w:rStyle w:val="15"/>
          <w:rFonts w:hint="eastAsia" w:ascii="仿宋" w:hAnsi="仿宋" w:eastAsia="仿宋"/>
          <w:bCs/>
          <w:color w:val="000000"/>
          <w:sz w:val="32"/>
          <w:szCs w:val="32"/>
        </w:rPr>
        <w:t>。一般公共服务（类）组织事务（款）一般行政管理事务（项）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支出决算为208.61万元，完成预算100%。</w:t>
      </w:r>
      <w:r>
        <w:rPr>
          <w:rStyle w:val="15"/>
          <w:rFonts w:hint="eastAsia" w:ascii="仿宋" w:hAnsi="仿宋" w:eastAsia="仿宋"/>
          <w:bCs/>
          <w:color w:val="000000"/>
          <w:sz w:val="32"/>
          <w:szCs w:val="32"/>
        </w:rPr>
        <w:t>一般公共服务（类）组织事务（款）事业运行（项）：</w:t>
      </w:r>
      <w:r>
        <w:rPr>
          <w:rStyle w:val="15"/>
          <w:rFonts w:hint="eastAsia" w:ascii="仿宋" w:hAnsi="仿宋" w:eastAsia="仿宋"/>
          <w:b w:val="0"/>
          <w:bCs/>
          <w:color w:val="000000"/>
          <w:sz w:val="32"/>
          <w:szCs w:val="32"/>
        </w:rPr>
        <w:t>支出决算为67.59万元，完成预算数100%。</w:t>
      </w:r>
      <w:r>
        <w:rPr>
          <w:rStyle w:val="15"/>
          <w:rFonts w:hint="eastAsia" w:ascii="仿宋" w:hAnsi="仿宋" w:eastAsia="仿宋"/>
          <w:bCs/>
          <w:color w:val="000000"/>
          <w:sz w:val="32"/>
          <w:szCs w:val="32"/>
        </w:rPr>
        <w:t>一般公共服务（类）组织事务（款）其他组织事务（项）：</w:t>
      </w:r>
      <w:r>
        <w:rPr>
          <w:rStyle w:val="15"/>
          <w:rFonts w:hint="eastAsia" w:ascii="仿宋" w:hAnsi="仿宋" w:eastAsia="仿宋"/>
          <w:b w:val="0"/>
          <w:bCs/>
          <w:color w:val="000000"/>
          <w:sz w:val="32"/>
          <w:szCs w:val="32"/>
        </w:rPr>
        <w:t>支出决算数为84.28万元，完成预算100%。</w:t>
      </w:r>
    </w:p>
    <w:p>
      <w:pPr>
        <w:spacing w:line="600" w:lineRule="exact"/>
        <w:ind w:firstLine="643" w:firstLineChars="200"/>
        <w:jc w:val="left"/>
        <w:rPr>
          <w:rStyle w:val="15"/>
          <w:rFonts w:ascii="仿宋" w:hAnsi="仿宋" w:eastAsia="仿宋"/>
          <w:b w:val="0"/>
          <w:bCs/>
          <w:color w:val="000000"/>
          <w:sz w:val="32"/>
          <w:szCs w:val="32"/>
        </w:rPr>
      </w:pPr>
      <w:r>
        <w:rPr>
          <w:rStyle w:val="15"/>
          <w:rFonts w:hint="eastAsia" w:ascii="仿宋" w:hAnsi="仿宋" w:eastAsia="仿宋"/>
          <w:bCs/>
          <w:color w:val="000000"/>
          <w:sz w:val="32"/>
          <w:szCs w:val="32"/>
        </w:rPr>
        <w:t>2</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社会保障和就业（类）行政事业单位养老支出（款）机关事业单位养老保险缴费支出（项）</w:t>
      </w:r>
      <w:r>
        <w:rPr>
          <w:rStyle w:val="15"/>
          <w:rFonts w:hint="eastAsia" w:ascii="仿宋" w:hAnsi="仿宋" w:eastAsia="仿宋"/>
          <w:b w:val="0"/>
          <w:bCs/>
          <w:color w:val="000000"/>
          <w:sz w:val="32"/>
          <w:szCs w:val="32"/>
        </w:rPr>
        <w:t>29.24万元，完成预算100%。</w:t>
      </w:r>
      <w:r>
        <w:rPr>
          <w:rStyle w:val="15"/>
          <w:rFonts w:hint="eastAsia" w:ascii="仿宋" w:hAnsi="仿宋" w:eastAsia="仿宋"/>
          <w:bCs/>
          <w:color w:val="000000"/>
          <w:sz w:val="32"/>
          <w:szCs w:val="32"/>
        </w:rPr>
        <w:t>社会保障和就业（类）行政事业单位养老支出（款）机关事业单位职业年金缴费支出（项）：</w:t>
      </w:r>
      <w:r>
        <w:rPr>
          <w:rStyle w:val="15"/>
          <w:rFonts w:hint="eastAsia" w:ascii="仿宋" w:hAnsi="仿宋" w:eastAsia="仿宋"/>
          <w:b w:val="0"/>
          <w:bCs/>
          <w:color w:val="000000"/>
          <w:sz w:val="32"/>
          <w:szCs w:val="32"/>
        </w:rPr>
        <w:t>支出决算为6.87万元，完成预算100%。</w:t>
      </w:r>
      <w:r>
        <w:rPr>
          <w:rStyle w:val="15"/>
          <w:rFonts w:hint="eastAsia" w:ascii="仿宋" w:hAnsi="仿宋" w:eastAsia="仿宋"/>
          <w:bCs/>
          <w:color w:val="000000"/>
          <w:sz w:val="32"/>
          <w:szCs w:val="32"/>
        </w:rPr>
        <w:t>社会保障和就业（类）行政事业单位养老支出（款）其他行政事业单位养老支出（项）：</w:t>
      </w:r>
      <w:r>
        <w:rPr>
          <w:rStyle w:val="15"/>
          <w:rFonts w:hint="eastAsia" w:ascii="仿宋" w:hAnsi="仿宋" w:eastAsia="仿宋"/>
          <w:b w:val="0"/>
          <w:bCs/>
          <w:color w:val="000000"/>
          <w:sz w:val="32"/>
          <w:szCs w:val="32"/>
        </w:rPr>
        <w:t>支出决算为63.14万元，完成预算100%。</w:t>
      </w:r>
    </w:p>
    <w:p>
      <w:pPr>
        <w:spacing w:line="600" w:lineRule="exact"/>
        <w:ind w:firstLine="643" w:firstLineChars="200"/>
        <w:rPr>
          <w:rStyle w:val="15"/>
          <w:rFonts w:ascii="仿宋" w:hAnsi="仿宋" w:eastAsia="仿宋"/>
          <w:b w:val="0"/>
          <w:bCs/>
          <w:color w:val="000000"/>
          <w:sz w:val="32"/>
          <w:szCs w:val="32"/>
        </w:rPr>
      </w:pPr>
      <w:r>
        <w:rPr>
          <w:rStyle w:val="15"/>
          <w:rFonts w:hint="eastAsia" w:ascii="仿宋" w:hAnsi="仿宋" w:eastAsia="仿宋"/>
          <w:bCs/>
          <w:color w:val="000000"/>
          <w:sz w:val="32"/>
          <w:szCs w:val="32"/>
        </w:rPr>
        <w:t>3</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卫生健康支出（类）行政事业单位医疗（款）行政单位医疗（项）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支出决算为10.4万元，完成预算100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Style w:val="15"/>
          <w:rFonts w:hint="eastAsia" w:ascii="仿宋" w:hAnsi="仿宋" w:eastAsia="仿宋"/>
          <w:bCs/>
          <w:color w:val="000000"/>
          <w:sz w:val="32"/>
          <w:szCs w:val="32"/>
        </w:rPr>
        <w:t>卫生健康支出（类）行政事业单位医疗（款）事业单位医疗（项）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支出决算数为1.92万元，完成预算100%。</w:t>
      </w:r>
      <w:r>
        <w:rPr>
          <w:rStyle w:val="15"/>
          <w:rFonts w:hint="eastAsia" w:ascii="仿宋" w:hAnsi="仿宋" w:eastAsia="仿宋"/>
          <w:bCs/>
          <w:color w:val="000000"/>
          <w:sz w:val="32"/>
          <w:szCs w:val="32"/>
        </w:rPr>
        <w:t>卫生健康支出（类）行政事业单位医疗（款）公务员医疗补助（项）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 xml:space="preserve"> 支出决算为2.51万元，完成预算100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Style w:val="15"/>
          <w:rFonts w:ascii="仿宋" w:hAnsi="仿宋" w:eastAsia="仿宋"/>
          <w:bCs/>
          <w:color w:val="000000"/>
          <w:sz w:val="32"/>
          <w:szCs w:val="32"/>
        </w:rPr>
      </w:pPr>
      <w:r>
        <w:rPr>
          <w:rStyle w:val="15"/>
          <w:rFonts w:hint="eastAsia" w:ascii="仿宋" w:hAnsi="仿宋" w:eastAsia="仿宋"/>
          <w:bCs/>
          <w:color w:val="000000"/>
          <w:sz w:val="32"/>
          <w:szCs w:val="32"/>
        </w:rPr>
        <w:t>4.农林水支出（类）巩固脱贫衔接乡村振兴（款）</w:t>
      </w:r>
      <w:r>
        <w:rPr>
          <w:rStyle w:val="15"/>
          <w:rFonts w:ascii="仿宋" w:hAnsi="仿宋" w:eastAsia="仿宋"/>
          <w:bCs/>
          <w:color w:val="000000"/>
          <w:sz w:val="32"/>
          <w:szCs w:val="32"/>
        </w:rPr>
        <w:t>其他巩固脱贫衔接乡村振兴支出</w:t>
      </w:r>
      <w:r>
        <w:rPr>
          <w:rStyle w:val="15"/>
          <w:rFonts w:hint="eastAsia" w:ascii="仿宋" w:hAnsi="仿宋" w:eastAsia="仿宋"/>
          <w:bCs/>
          <w:color w:val="000000"/>
          <w:sz w:val="32"/>
          <w:szCs w:val="32"/>
        </w:rPr>
        <w:t>（项）：</w:t>
      </w:r>
      <w:r>
        <w:rPr>
          <w:rStyle w:val="15"/>
          <w:rFonts w:hint="eastAsia" w:ascii="仿宋" w:hAnsi="仿宋" w:eastAsia="仿宋"/>
          <w:b w:val="0"/>
          <w:bCs/>
          <w:color w:val="000000"/>
          <w:sz w:val="32"/>
          <w:szCs w:val="32"/>
        </w:rPr>
        <w:t>支出决算数为79.33万元，完成预算100%。</w:t>
      </w:r>
    </w:p>
    <w:p>
      <w:pPr>
        <w:spacing w:line="600" w:lineRule="exact"/>
        <w:ind w:firstLine="643" w:firstLineChars="200"/>
        <w:rPr>
          <w:rFonts w:ascii="仿宋" w:hAnsi="仿宋" w:eastAsia="仿宋"/>
          <w:color w:val="000000"/>
          <w:sz w:val="32"/>
          <w:szCs w:val="32"/>
        </w:rPr>
      </w:pPr>
      <w:r>
        <w:rPr>
          <w:rFonts w:hint="eastAsia" w:ascii="仿宋" w:hAnsi="仿宋" w:eastAsia="仿宋"/>
          <w:b/>
          <w:color w:val="000000"/>
          <w:sz w:val="32"/>
          <w:szCs w:val="32"/>
        </w:rPr>
        <w:t>5.住房保障支出（类）住房改革支出（款）住房公积金（项）：</w:t>
      </w:r>
      <w:r>
        <w:rPr>
          <w:rFonts w:hint="eastAsia" w:ascii="仿宋" w:hAnsi="仿宋" w:eastAsia="仿宋"/>
          <w:color w:val="000000"/>
          <w:sz w:val="32"/>
          <w:szCs w:val="32"/>
        </w:rPr>
        <w:t>支出决算数为40.54万元，完成预算100%。</w:t>
      </w:r>
    </w:p>
    <w:p>
      <w:pPr>
        <w:spacing w:line="600" w:lineRule="exact"/>
        <w:ind w:firstLine="643"/>
        <w:rPr>
          <w:rFonts w:ascii="仿宋" w:hAnsi="Times New Roman" w:eastAsia="仿宋" w:cs="仿宋"/>
          <w:b/>
          <w:bCs/>
          <w:sz w:val="32"/>
          <w:szCs w:val="32"/>
        </w:rPr>
      </w:pPr>
      <w:r>
        <w:rPr>
          <w:rFonts w:hint="eastAsia" w:ascii="仿宋" w:hAnsi="Times New Roman" w:eastAsia="仿宋" w:cs="仿宋"/>
          <w:b/>
          <w:bCs/>
          <w:sz w:val="32"/>
          <w:szCs w:val="32"/>
        </w:rPr>
        <w:t>（注：数据来源于财决</w:t>
      </w:r>
      <w:r>
        <w:rPr>
          <w:rFonts w:ascii="仿宋" w:hAnsi="Times New Roman" w:eastAsia="仿宋" w:cs="仿宋"/>
          <w:b/>
          <w:bCs/>
          <w:sz w:val="32"/>
          <w:szCs w:val="32"/>
        </w:rPr>
        <w:t>01-1</w:t>
      </w:r>
      <w:r>
        <w:rPr>
          <w:rFonts w:hint="eastAsia" w:ascii="仿宋" w:hAnsi="Times New Roman" w:eastAsia="仿宋" w:cs="仿宋"/>
          <w:b/>
          <w:bCs/>
          <w:sz w:val="32"/>
          <w:szCs w:val="32"/>
        </w:rPr>
        <w:t>表和财决</w:t>
      </w:r>
      <w:r>
        <w:rPr>
          <w:rFonts w:ascii="仿宋" w:hAnsi="Times New Roman" w:eastAsia="仿宋" w:cs="仿宋"/>
          <w:b/>
          <w:bCs/>
          <w:sz w:val="32"/>
          <w:szCs w:val="32"/>
        </w:rPr>
        <w:t>08</w:t>
      </w:r>
      <w:r>
        <w:rPr>
          <w:rFonts w:hint="eastAsia" w:ascii="仿宋" w:hAnsi="Times New Roman" w:eastAsia="仿宋" w:cs="仿宋"/>
          <w:b/>
          <w:bCs/>
          <w:sz w:val="32"/>
          <w:szCs w:val="32"/>
        </w:rPr>
        <w:t>表，仅罗列本部门涉及的全部功能分类科目，至项级。上述</w:t>
      </w:r>
      <w:r>
        <w:rPr>
          <w:rFonts w:ascii="仿宋" w:hAnsi="Times New Roman" w:eastAsia="仿宋" w:cs="仿宋"/>
          <w:b/>
          <w:bCs/>
          <w:sz w:val="32"/>
          <w:szCs w:val="32"/>
        </w:rPr>
        <w:t>“</w:t>
      </w:r>
      <w:r>
        <w:rPr>
          <w:rFonts w:hint="eastAsia" w:ascii="仿宋" w:hAnsi="Times New Roman" w:eastAsia="仿宋" w:cs="仿宋"/>
          <w:b/>
          <w:bCs/>
          <w:sz w:val="32"/>
          <w:szCs w:val="32"/>
        </w:rPr>
        <w:t>预算</w:t>
      </w:r>
      <w:r>
        <w:rPr>
          <w:rFonts w:ascii="仿宋" w:hAnsi="Times New Roman" w:eastAsia="仿宋" w:cs="仿宋"/>
          <w:b/>
          <w:bCs/>
          <w:sz w:val="32"/>
          <w:szCs w:val="32"/>
        </w:rPr>
        <w:t>”</w:t>
      </w:r>
      <w:r>
        <w:rPr>
          <w:rFonts w:hint="eastAsia" w:ascii="仿宋" w:hAnsi="Times New Roman" w:eastAsia="仿宋" w:cs="仿宋"/>
          <w:b/>
          <w:bCs/>
          <w:sz w:val="32"/>
          <w:szCs w:val="32"/>
        </w:rPr>
        <w:t>口径为全年预算数。增减变动原因为决算数</w:t>
      </w:r>
      <w:r>
        <w:rPr>
          <w:rFonts w:ascii="仿宋" w:hAnsi="Times New Roman" w:eastAsia="仿宋" w:cs="仿宋"/>
          <w:b/>
          <w:bCs/>
          <w:sz w:val="32"/>
          <w:szCs w:val="32"/>
        </w:rPr>
        <w:t>&lt;</w:t>
      </w:r>
      <w:r>
        <w:rPr>
          <w:rFonts w:hint="eastAsia" w:ascii="仿宋" w:hAnsi="Times New Roman" w:eastAsia="仿宋" w:cs="仿宋"/>
          <w:b/>
          <w:bCs/>
          <w:sz w:val="32"/>
          <w:szCs w:val="32"/>
        </w:rPr>
        <w:t>项级</w:t>
      </w:r>
      <w:r>
        <w:rPr>
          <w:rFonts w:ascii="仿宋" w:hAnsi="Times New Roman" w:eastAsia="仿宋" w:cs="仿宋"/>
          <w:b/>
          <w:bCs/>
          <w:sz w:val="32"/>
          <w:szCs w:val="32"/>
        </w:rPr>
        <w:t>&gt;</w:t>
      </w:r>
      <w:r>
        <w:rPr>
          <w:rFonts w:hint="eastAsia" w:ascii="仿宋" w:hAnsi="Times New Roman" w:eastAsia="仿宋" w:cs="仿宋"/>
          <w:b/>
          <w:bCs/>
          <w:sz w:val="32"/>
          <w:szCs w:val="32"/>
        </w:rPr>
        <w:t>和全年预算数</w:t>
      </w:r>
      <w:r>
        <w:rPr>
          <w:rFonts w:ascii="仿宋" w:hAnsi="Times New Roman" w:eastAsia="仿宋" w:cs="仿宋"/>
          <w:b/>
          <w:bCs/>
          <w:sz w:val="32"/>
          <w:szCs w:val="32"/>
        </w:rPr>
        <w:t>&lt;</w:t>
      </w:r>
      <w:r>
        <w:rPr>
          <w:rFonts w:hint="eastAsia" w:ascii="仿宋" w:hAnsi="Times New Roman" w:eastAsia="仿宋" w:cs="仿宋"/>
          <w:b/>
          <w:bCs/>
          <w:sz w:val="32"/>
          <w:szCs w:val="32"/>
        </w:rPr>
        <w:t>项级</w:t>
      </w:r>
      <w:r>
        <w:rPr>
          <w:rFonts w:ascii="仿宋" w:hAnsi="Times New Roman" w:eastAsia="仿宋" w:cs="仿宋"/>
          <w:b/>
          <w:bCs/>
          <w:sz w:val="32"/>
          <w:szCs w:val="32"/>
        </w:rPr>
        <w:t>&gt;</w:t>
      </w:r>
      <w:r>
        <w:rPr>
          <w:rFonts w:hint="eastAsia" w:ascii="仿宋" w:hAnsi="Times New Roman" w:eastAsia="仿宋" w:cs="仿宋"/>
          <w:b/>
          <w:bCs/>
          <w:sz w:val="32"/>
          <w:szCs w:val="32"/>
        </w:rPr>
        <w:t>比较，与预算数持平可以不写原因。）</w:t>
      </w:r>
    </w:p>
    <w:p>
      <w:pPr>
        <w:spacing w:line="600" w:lineRule="exact"/>
        <w:ind w:firstLine="643"/>
        <w:rPr>
          <w:rFonts w:ascii="仿宋" w:hAnsi="Times New Roman" w:eastAsia="仿宋" w:cs="仿宋"/>
          <w:b/>
          <w:bCs/>
          <w:sz w:val="32"/>
          <w:szCs w:val="32"/>
        </w:rPr>
      </w:pPr>
      <w:r>
        <w:rPr>
          <w:rFonts w:hint="eastAsia" w:ascii="黑体" w:hAnsi="Times New Roman" w:eastAsia="黑体" w:cs="黑体"/>
          <w:color w:val="000000"/>
          <w:sz w:val="32"/>
          <w:szCs w:val="32"/>
          <w:lang w:val="zh-CN"/>
        </w:rPr>
        <w:t>六</w:t>
      </w:r>
      <w:r>
        <w:rPr>
          <w:rFonts w:hint="eastAsia" w:ascii="黑体" w:hAnsi="Times New Roman" w:eastAsia="黑体" w:cs="黑体"/>
          <w:b/>
          <w:bCs/>
          <w:color w:val="000000"/>
          <w:sz w:val="32"/>
          <w:szCs w:val="32"/>
          <w:lang w:val="zh-CN"/>
        </w:rPr>
        <w:t>、一</w:t>
      </w:r>
      <w:r>
        <w:rPr>
          <w:rFonts w:hint="eastAsia" w:ascii="黑体" w:hAnsi="Times New Roman" w:eastAsia="黑体" w:cs="黑体"/>
          <w:sz w:val="32"/>
          <w:szCs w:val="32"/>
          <w:lang w:val="zh-CN"/>
        </w:rPr>
        <w:t>般公共预算财政拨款基本支出决算情况说明</w:t>
      </w:r>
      <w:r>
        <w:rPr>
          <w:rFonts w:ascii="黑体" w:hAnsi="Times New Roman" w:eastAsia="黑体" w:cs="黑体"/>
          <w:sz w:val="32"/>
          <w:szCs w:val="32"/>
          <w:lang w:val="zh-CN"/>
        </w:rPr>
        <w:tab/>
      </w:r>
    </w:p>
    <w:p>
      <w:pPr>
        <w:spacing w:line="576" w:lineRule="exact"/>
        <w:ind w:firstLine="640"/>
        <w:rPr>
          <w:rFonts w:ascii="仿宋_GB2312" w:hAnsi="Cambria" w:eastAsia="仿宋_GB2312" w:cs="仿宋_GB2312"/>
          <w:color w:val="000000"/>
          <w:sz w:val="32"/>
          <w:szCs w:val="32"/>
          <w:lang w:val="zh-CN"/>
        </w:rPr>
      </w:pPr>
      <w:r>
        <w:rPr>
          <w:rFonts w:ascii="仿宋_GB2312" w:hAnsi="Cambria" w:eastAsia="仿宋_GB2312" w:cs="仿宋_GB2312"/>
          <w:color w:val="000000"/>
          <w:sz w:val="32"/>
          <w:szCs w:val="32"/>
          <w:lang w:val="zh-CN"/>
        </w:rPr>
        <w:t>2022</w:t>
      </w:r>
      <w:r>
        <w:rPr>
          <w:rFonts w:hint="eastAsia" w:ascii="仿宋_GB2312" w:hAnsi="Cambria" w:eastAsia="仿宋_GB2312" w:cs="仿宋_GB2312"/>
          <w:color w:val="000000"/>
          <w:sz w:val="32"/>
          <w:szCs w:val="32"/>
          <w:lang w:val="zh-CN"/>
        </w:rPr>
        <w:t>年一般公共预算财政拨款基本支出</w:t>
      </w:r>
      <w:r>
        <w:rPr>
          <w:rFonts w:ascii="仿宋_GB2312" w:hAnsi="Cambria" w:eastAsia="仿宋_GB2312" w:cs="仿宋_GB2312"/>
          <w:color w:val="000000"/>
          <w:sz w:val="32"/>
          <w:szCs w:val="32"/>
          <w:lang w:val="zh-CN"/>
        </w:rPr>
        <w:t>581.96</w:t>
      </w:r>
      <w:r>
        <w:rPr>
          <w:rFonts w:hint="eastAsia" w:ascii="仿宋_GB2312" w:hAnsi="Cambria" w:eastAsia="仿宋_GB2312" w:cs="仿宋_GB2312"/>
          <w:color w:val="000000"/>
          <w:sz w:val="32"/>
          <w:szCs w:val="32"/>
          <w:lang w:val="zh-CN"/>
        </w:rPr>
        <w:t>万元，其中：</w:t>
      </w:r>
    </w:p>
    <w:p>
      <w:pPr>
        <w:spacing w:line="576" w:lineRule="exact"/>
        <w:ind w:firstLine="643"/>
        <w:rPr>
          <w:rFonts w:ascii="仿宋_GB2312" w:hAnsi="Cambria" w:eastAsia="仿宋_GB2312" w:cs="仿宋_GB2312"/>
          <w:color w:val="000000"/>
          <w:sz w:val="32"/>
          <w:szCs w:val="32"/>
          <w:lang w:val="zh-CN"/>
        </w:rPr>
      </w:pPr>
      <w:r>
        <w:rPr>
          <w:rFonts w:hint="eastAsia" w:ascii="仿宋_GB2312" w:hAnsi="Cambria" w:eastAsia="仿宋_GB2312" w:cs="仿宋_GB2312"/>
          <w:b/>
          <w:bCs/>
          <w:color w:val="000000"/>
          <w:sz w:val="32"/>
          <w:szCs w:val="32"/>
          <w:lang w:val="zh-CN"/>
        </w:rPr>
        <w:t>人员经费</w:t>
      </w:r>
      <w:r>
        <w:rPr>
          <w:rFonts w:ascii="仿宋_GB2312" w:hAnsi="Cambria" w:eastAsia="仿宋_GB2312" w:cs="仿宋_GB2312"/>
          <w:color w:val="000000"/>
          <w:sz w:val="32"/>
          <w:szCs w:val="32"/>
          <w:lang w:val="zh-CN"/>
        </w:rPr>
        <w:t>521.47</w:t>
      </w:r>
      <w:r>
        <w:rPr>
          <w:rFonts w:hint="eastAsia" w:ascii="仿宋_GB2312" w:hAnsi="Cambria" w:eastAsia="仿宋_GB2312" w:cs="仿宋_GB2312"/>
          <w:color w:val="000000"/>
          <w:sz w:val="32"/>
          <w:szCs w:val="32"/>
          <w:lang w:val="zh-CN"/>
        </w:rPr>
        <w:t>万元，主要包括：</w:t>
      </w:r>
      <w:r>
        <w:rPr>
          <w:rFonts w:hint="eastAsia" w:ascii="仿宋" w:hAnsi="Cambria" w:eastAsia="仿宋" w:cs="仿宋"/>
          <w:sz w:val="32"/>
          <w:szCs w:val="32"/>
        </w:rPr>
        <w:t>基本工资、津贴补贴、奖金、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仿宋_GB2312" w:hAnsi="Cambria" w:eastAsia="仿宋_GB2312" w:cs="仿宋_GB2312"/>
          <w:color w:val="000000"/>
          <w:sz w:val="32"/>
          <w:szCs w:val="32"/>
          <w:lang w:val="zh-CN"/>
        </w:rPr>
        <w:t>。</w:t>
      </w:r>
    </w:p>
    <w:p>
      <w:pPr>
        <w:spacing w:line="576" w:lineRule="exact"/>
        <w:ind w:firstLine="643"/>
        <w:rPr>
          <w:rFonts w:ascii="仿宋_GB2312" w:hAnsi="Cambria" w:eastAsia="仿宋_GB2312" w:cs="仿宋_GB2312"/>
          <w:color w:val="000000"/>
          <w:sz w:val="32"/>
          <w:szCs w:val="32"/>
          <w:lang w:val="zh-CN"/>
        </w:rPr>
      </w:pPr>
      <w:r>
        <w:rPr>
          <w:rFonts w:hint="eastAsia" w:ascii="仿宋_GB2312" w:hAnsi="Cambria" w:eastAsia="仿宋_GB2312" w:cs="仿宋_GB2312"/>
          <w:b/>
          <w:bCs/>
          <w:color w:val="000000"/>
          <w:sz w:val="32"/>
          <w:szCs w:val="32"/>
          <w:lang w:val="zh-CN"/>
        </w:rPr>
        <w:t>公用经费</w:t>
      </w:r>
      <w:r>
        <w:rPr>
          <w:rFonts w:ascii="仿宋_GB2312" w:hAnsi="Cambria" w:eastAsia="仿宋_GB2312" w:cs="仿宋_GB2312"/>
          <w:color w:val="000000"/>
          <w:sz w:val="32"/>
          <w:szCs w:val="32"/>
          <w:lang w:val="zh-CN"/>
        </w:rPr>
        <w:t>60.4</w:t>
      </w:r>
      <w:r>
        <w:rPr>
          <w:rFonts w:hint="eastAsia" w:ascii="仿宋_GB2312" w:hAnsi="Cambria" w:eastAsia="仿宋_GB2312" w:cs="仿宋_GB2312"/>
          <w:color w:val="000000"/>
          <w:sz w:val="32"/>
          <w:szCs w:val="32"/>
          <w:lang w:val="zh-CN"/>
        </w:rPr>
        <w:t>9万元，主要包括：</w:t>
      </w:r>
      <w:r>
        <w:rPr>
          <w:rFonts w:hint="eastAsia" w:ascii="仿宋" w:hAnsi="Cambria" w:eastAsia="仿宋" w:cs="仿宋"/>
          <w:sz w:val="32"/>
          <w:szCs w:val="32"/>
        </w:rPr>
        <w:t>办公费、印刷费、水费、电费、邮电费、物业管理费、差旅费、维修（护）费、租赁费、会议费、培训费、公务接待费、劳务费、委托业务费、工会经费、福利费、其他交通费、其他商品和服务支出、办公设备购置、其他资本性支出等</w:t>
      </w:r>
      <w:r>
        <w:rPr>
          <w:rFonts w:hint="eastAsia" w:ascii="仿宋_GB2312" w:hAnsi="Cambria" w:eastAsia="仿宋_GB2312" w:cs="仿宋_GB2312"/>
          <w:color w:val="000000"/>
          <w:sz w:val="32"/>
          <w:szCs w:val="32"/>
          <w:lang w:val="zh-CN"/>
        </w:rPr>
        <w:t>。</w:t>
      </w:r>
    </w:p>
    <w:p>
      <w:pPr>
        <w:spacing w:line="600" w:lineRule="exact"/>
        <w:ind w:firstLine="645"/>
        <w:rPr>
          <w:rFonts w:ascii="仿宋" w:hAnsi="Cambria" w:eastAsia="仿宋" w:cs="仿宋"/>
          <w:b/>
          <w:bCs/>
          <w:sz w:val="32"/>
          <w:szCs w:val="32"/>
        </w:rPr>
      </w:pPr>
      <w:r>
        <w:rPr>
          <w:rFonts w:hint="eastAsia" w:ascii="仿宋" w:hAnsi="Cambria" w:eastAsia="仿宋" w:cs="仿宋"/>
          <w:b/>
          <w:bCs/>
          <w:sz w:val="32"/>
          <w:szCs w:val="32"/>
        </w:rPr>
        <w:t>（注：数据来源于财决</w:t>
      </w:r>
      <w:r>
        <w:rPr>
          <w:rFonts w:ascii="仿宋" w:hAnsi="Cambria" w:eastAsia="仿宋" w:cs="仿宋"/>
          <w:b/>
          <w:bCs/>
          <w:sz w:val="32"/>
          <w:szCs w:val="32"/>
        </w:rPr>
        <w:t>07</w:t>
      </w:r>
      <w:r>
        <w:rPr>
          <w:rFonts w:hint="eastAsia" w:ascii="仿宋" w:hAnsi="Cambria" w:eastAsia="仿宋" w:cs="仿宋"/>
          <w:b/>
          <w:bCs/>
          <w:sz w:val="32"/>
          <w:szCs w:val="32"/>
        </w:rPr>
        <w:t>表和财决</w:t>
      </w:r>
      <w:r>
        <w:rPr>
          <w:rFonts w:ascii="仿宋" w:hAnsi="Cambria" w:eastAsia="仿宋" w:cs="仿宋"/>
          <w:b/>
          <w:bCs/>
          <w:sz w:val="32"/>
          <w:szCs w:val="32"/>
        </w:rPr>
        <w:t>08-1</w:t>
      </w:r>
      <w:r>
        <w:rPr>
          <w:rFonts w:hint="eastAsia" w:ascii="仿宋" w:hAnsi="Cambria" w:eastAsia="仿宋" w:cs="仿宋"/>
          <w:b/>
          <w:bCs/>
          <w:sz w:val="32"/>
          <w:szCs w:val="32"/>
        </w:rPr>
        <w:t>表，仅罗列本部门实际支出涉及的经济分类科目。）</w:t>
      </w:r>
    </w:p>
    <w:p>
      <w:pPr>
        <w:spacing w:line="600" w:lineRule="exact"/>
        <w:ind w:firstLine="645"/>
        <w:rPr>
          <w:rFonts w:ascii="仿宋" w:hAnsi="Cambria" w:eastAsia="仿宋" w:cs="仿宋"/>
          <w:b/>
          <w:bCs/>
          <w:sz w:val="32"/>
          <w:szCs w:val="32"/>
        </w:rPr>
      </w:pPr>
      <w:r>
        <w:rPr>
          <w:rFonts w:hint="eastAsia" w:ascii="黑体" w:hAnsi="Cambria" w:eastAsia="黑体" w:cs="黑体"/>
          <w:color w:val="000000"/>
          <w:sz w:val="32"/>
          <w:szCs w:val="32"/>
          <w:lang w:val="zh-CN"/>
        </w:rPr>
        <w:t>七、</w:t>
      </w:r>
      <w:r>
        <w:rPr>
          <w:rFonts w:ascii="黑体" w:hAnsi="Cambria" w:eastAsia="黑体" w:cs="黑体"/>
          <w:b/>
          <w:bCs/>
          <w:sz w:val="32"/>
          <w:szCs w:val="32"/>
          <w:lang w:val="zh-CN"/>
        </w:rPr>
        <w:t>“</w:t>
      </w:r>
      <w:r>
        <w:rPr>
          <w:rFonts w:hint="eastAsia" w:ascii="黑体" w:hAnsi="Cambria" w:eastAsia="黑体" w:cs="黑体"/>
          <w:sz w:val="32"/>
          <w:szCs w:val="32"/>
          <w:lang w:val="zh-CN"/>
        </w:rPr>
        <w:t>三公</w:t>
      </w:r>
      <w:r>
        <w:rPr>
          <w:rFonts w:ascii="黑体" w:hAnsi="Cambria" w:eastAsia="黑体" w:cs="黑体"/>
          <w:sz w:val="32"/>
          <w:szCs w:val="32"/>
          <w:lang w:val="zh-CN"/>
        </w:rPr>
        <w:t>”</w:t>
      </w:r>
      <w:r>
        <w:rPr>
          <w:rFonts w:hint="eastAsia" w:ascii="黑体" w:hAnsi="Cambria" w:eastAsia="黑体" w:cs="黑体"/>
          <w:sz w:val="32"/>
          <w:szCs w:val="32"/>
          <w:lang w:val="zh-CN"/>
        </w:rPr>
        <w:t>经费财政拨款支出决算情况说明</w:t>
      </w:r>
    </w:p>
    <w:p>
      <w:pPr>
        <w:spacing w:line="600" w:lineRule="exact"/>
        <w:ind w:firstLine="645"/>
        <w:rPr>
          <w:rFonts w:ascii="仿宋" w:hAnsi="Cambria" w:eastAsia="仿宋" w:cs="仿宋"/>
          <w:b/>
          <w:bCs/>
          <w:sz w:val="32"/>
          <w:szCs w:val="32"/>
        </w:rPr>
      </w:pPr>
      <w:r>
        <w:rPr>
          <w:rFonts w:hint="eastAsia" w:ascii="仿宋_GB2312" w:hAnsi="Cambria" w:eastAsia="仿宋_GB2312" w:cs="仿宋_GB2312"/>
          <w:b/>
          <w:bCs/>
          <w:color w:val="000000"/>
          <w:sz w:val="32"/>
          <w:szCs w:val="32"/>
          <w:lang w:val="zh-CN"/>
        </w:rPr>
        <w:t>（一）</w:t>
      </w:r>
      <w:r>
        <w:rPr>
          <w:rFonts w:ascii="仿宋_GB2312" w:hAnsi="Cambria" w:eastAsia="仿宋_GB2312" w:cs="仿宋_GB2312"/>
          <w:b/>
          <w:bCs/>
          <w:color w:val="000000"/>
          <w:sz w:val="32"/>
          <w:szCs w:val="32"/>
          <w:lang w:val="zh-CN"/>
        </w:rPr>
        <w:t>“</w:t>
      </w:r>
      <w:r>
        <w:rPr>
          <w:rFonts w:hint="eastAsia" w:ascii="仿宋_GB2312" w:hAnsi="Cambria" w:eastAsia="仿宋_GB2312" w:cs="仿宋_GB2312"/>
          <w:b/>
          <w:bCs/>
          <w:color w:val="000000"/>
          <w:sz w:val="32"/>
          <w:szCs w:val="32"/>
          <w:lang w:val="zh-CN"/>
        </w:rPr>
        <w:t>三公</w:t>
      </w:r>
      <w:r>
        <w:rPr>
          <w:rFonts w:ascii="仿宋_GB2312" w:hAnsi="Cambria" w:eastAsia="仿宋_GB2312" w:cs="仿宋_GB2312"/>
          <w:b/>
          <w:bCs/>
          <w:color w:val="000000"/>
          <w:sz w:val="32"/>
          <w:szCs w:val="32"/>
          <w:lang w:val="zh-CN"/>
        </w:rPr>
        <w:t>”</w:t>
      </w:r>
      <w:r>
        <w:rPr>
          <w:rFonts w:hint="eastAsia" w:ascii="仿宋_GB2312" w:hAnsi="Cambria" w:eastAsia="仿宋_GB2312" w:cs="仿宋_GB2312"/>
          <w:b/>
          <w:bCs/>
          <w:color w:val="000000"/>
          <w:sz w:val="32"/>
          <w:szCs w:val="32"/>
          <w:lang w:val="zh-CN"/>
        </w:rPr>
        <w:t>经费财政拨款支出决算总体情况说明</w:t>
      </w:r>
    </w:p>
    <w:p>
      <w:pPr>
        <w:spacing w:line="600" w:lineRule="exact"/>
        <w:ind w:firstLine="645"/>
        <w:rPr>
          <w:rFonts w:ascii="仿宋" w:hAnsi="Cambria" w:eastAsia="仿宋" w:cs="仿宋"/>
          <w:b/>
          <w:bCs/>
          <w:sz w:val="32"/>
          <w:szCs w:val="32"/>
        </w:rPr>
      </w:pPr>
      <w:r>
        <w:rPr>
          <w:rFonts w:ascii="仿宋_GB2312" w:hAnsi="Cambria" w:eastAsia="仿宋_GB2312" w:cs="仿宋_GB2312"/>
          <w:color w:val="000000"/>
          <w:sz w:val="32"/>
          <w:szCs w:val="32"/>
          <w:lang w:val="zh-CN"/>
        </w:rPr>
        <w:t>2022</w:t>
      </w:r>
      <w:r>
        <w:rPr>
          <w:rFonts w:hint="eastAsia" w:ascii="仿宋_GB2312" w:hAnsi="Cambria" w:eastAsia="仿宋_GB2312" w:cs="仿宋_GB2312"/>
          <w:color w:val="000000"/>
          <w:sz w:val="32"/>
          <w:szCs w:val="32"/>
          <w:lang w:val="zh-CN"/>
        </w:rPr>
        <w:t>年</w:t>
      </w:r>
      <w:r>
        <w:rPr>
          <w:rFonts w:ascii="仿宋_GB2312" w:hAnsi="Cambria" w:eastAsia="仿宋_GB2312" w:cs="仿宋_GB2312"/>
          <w:color w:val="000000"/>
          <w:sz w:val="32"/>
          <w:szCs w:val="32"/>
          <w:lang w:val="zh-CN"/>
        </w:rPr>
        <w:t>“</w:t>
      </w:r>
      <w:r>
        <w:rPr>
          <w:rFonts w:hint="eastAsia" w:ascii="仿宋_GB2312" w:hAnsi="Cambria" w:eastAsia="仿宋_GB2312" w:cs="仿宋_GB2312"/>
          <w:color w:val="000000"/>
          <w:sz w:val="32"/>
          <w:szCs w:val="32"/>
          <w:lang w:val="zh-CN"/>
        </w:rPr>
        <w:t>三公</w:t>
      </w:r>
      <w:r>
        <w:rPr>
          <w:rFonts w:ascii="仿宋_GB2312" w:hAnsi="Cambria" w:eastAsia="仿宋_GB2312" w:cs="仿宋_GB2312"/>
          <w:color w:val="000000"/>
          <w:sz w:val="32"/>
          <w:szCs w:val="32"/>
          <w:lang w:val="zh-CN"/>
        </w:rPr>
        <w:t>”</w:t>
      </w:r>
      <w:r>
        <w:rPr>
          <w:rFonts w:hint="eastAsia" w:ascii="仿宋_GB2312" w:hAnsi="Cambria" w:eastAsia="仿宋_GB2312" w:cs="仿宋_GB2312"/>
          <w:color w:val="000000"/>
          <w:sz w:val="32"/>
          <w:szCs w:val="32"/>
          <w:lang w:val="zh-CN"/>
        </w:rPr>
        <w:t>经费财政拨款支出决算为</w:t>
      </w:r>
      <w:r>
        <w:rPr>
          <w:rFonts w:ascii="仿宋_GB2312" w:hAnsi="Cambria" w:eastAsia="仿宋_GB2312" w:cs="仿宋_GB2312"/>
          <w:color w:val="000000"/>
          <w:sz w:val="32"/>
          <w:szCs w:val="32"/>
          <w:lang w:val="zh-CN"/>
        </w:rPr>
        <w:t>2.57</w:t>
      </w:r>
      <w:r>
        <w:rPr>
          <w:rFonts w:hint="eastAsia" w:ascii="仿宋_GB2312" w:hAnsi="Cambria" w:eastAsia="仿宋_GB2312" w:cs="仿宋_GB2312"/>
          <w:color w:val="000000"/>
          <w:sz w:val="32"/>
          <w:szCs w:val="32"/>
          <w:lang w:val="zh-CN"/>
        </w:rPr>
        <w:t>万元，完成预算</w:t>
      </w:r>
      <w:r>
        <w:rPr>
          <w:rFonts w:ascii="仿宋_GB2312" w:hAnsi="Cambria" w:eastAsia="仿宋_GB2312" w:cs="仿宋_GB2312"/>
          <w:color w:val="000000"/>
          <w:sz w:val="32"/>
          <w:szCs w:val="32"/>
          <w:lang w:val="zh-CN"/>
        </w:rPr>
        <w:t>16.1%</w:t>
      </w:r>
      <w:r>
        <w:rPr>
          <w:rFonts w:hint="eastAsia" w:ascii="仿宋_GB2312" w:hAnsi="Cambria" w:eastAsia="仿宋_GB2312" w:cs="仿宋_GB2312"/>
          <w:color w:val="000000"/>
          <w:sz w:val="32"/>
          <w:szCs w:val="32"/>
          <w:lang w:val="zh-CN"/>
        </w:rPr>
        <w:t>；较上年减少</w:t>
      </w:r>
      <w:r>
        <w:rPr>
          <w:rFonts w:ascii="仿宋_GB2312" w:hAnsi="Cambria" w:eastAsia="仿宋_GB2312" w:cs="仿宋_GB2312"/>
          <w:color w:val="000000"/>
          <w:sz w:val="32"/>
          <w:szCs w:val="32"/>
          <w:lang w:val="zh-CN"/>
        </w:rPr>
        <w:t>9.63</w:t>
      </w:r>
      <w:r>
        <w:rPr>
          <w:rFonts w:hint="eastAsia" w:ascii="仿宋_GB2312" w:hAnsi="Cambria" w:eastAsia="仿宋_GB2312" w:cs="仿宋_GB2312"/>
          <w:color w:val="000000"/>
          <w:sz w:val="32"/>
          <w:szCs w:val="32"/>
          <w:lang w:val="zh-CN"/>
        </w:rPr>
        <w:t>万元，下降</w:t>
      </w:r>
      <w:r>
        <w:rPr>
          <w:rFonts w:ascii="仿宋_GB2312" w:hAnsi="Cambria" w:eastAsia="仿宋_GB2312" w:cs="仿宋_GB2312"/>
          <w:color w:val="000000"/>
          <w:sz w:val="32"/>
          <w:szCs w:val="32"/>
          <w:lang w:val="zh-CN"/>
        </w:rPr>
        <w:t>78.9%</w:t>
      </w:r>
      <w:r>
        <w:rPr>
          <w:rFonts w:hint="eastAsia" w:ascii="仿宋_GB2312" w:hAnsi="Cambria" w:eastAsia="仿宋_GB2312" w:cs="仿宋_GB2312"/>
          <w:color w:val="000000"/>
          <w:sz w:val="32"/>
          <w:szCs w:val="32"/>
          <w:lang w:val="zh-CN"/>
        </w:rPr>
        <w:t>。决算数小于预算数的主要原因是厉行节约。</w:t>
      </w:r>
    </w:p>
    <w:p>
      <w:pPr>
        <w:spacing w:line="600" w:lineRule="exact"/>
        <w:ind w:firstLine="640"/>
        <w:rPr>
          <w:rFonts w:ascii="仿宋" w:hAnsi="Cambria" w:eastAsia="仿宋" w:cs="仿宋"/>
          <w:b/>
          <w:bCs/>
          <w:sz w:val="32"/>
          <w:szCs w:val="32"/>
        </w:rPr>
      </w:pPr>
      <w:r>
        <w:rPr>
          <w:rFonts w:hint="eastAsia" w:ascii="仿宋" w:hAnsi="Cambria" w:eastAsia="仿宋" w:cs="仿宋"/>
          <w:b/>
          <w:bCs/>
          <w:sz w:val="32"/>
          <w:szCs w:val="32"/>
        </w:rPr>
        <w:t>（注：上述</w:t>
      </w:r>
      <w:r>
        <w:rPr>
          <w:rFonts w:ascii="仿宋" w:hAnsi="Cambria" w:eastAsia="仿宋" w:cs="仿宋"/>
          <w:b/>
          <w:bCs/>
          <w:sz w:val="32"/>
          <w:szCs w:val="32"/>
        </w:rPr>
        <w:t>“</w:t>
      </w:r>
      <w:r>
        <w:rPr>
          <w:rFonts w:hint="eastAsia" w:ascii="仿宋" w:hAnsi="Cambria" w:eastAsia="仿宋" w:cs="仿宋"/>
          <w:b/>
          <w:bCs/>
          <w:sz w:val="32"/>
          <w:szCs w:val="32"/>
        </w:rPr>
        <w:t>预算</w:t>
      </w:r>
      <w:r>
        <w:rPr>
          <w:rFonts w:ascii="仿宋" w:hAnsi="Cambria" w:eastAsia="仿宋" w:cs="仿宋"/>
          <w:b/>
          <w:bCs/>
          <w:sz w:val="32"/>
          <w:szCs w:val="32"/>
        </w:rPr>
        <w:t>”</w:t>
      </w:r>
      <w:r>
        <w:rPr>
          <w:rFonts w:hint="eastAsia" w:ascii="仿宋" w:hAnsi="Cambria" w:eastAsia="仿宋" w:cs="仿宋"/>
          <w:b/>
          <w:bCs/>
          <w:sz w:val="32"/>
          <w:szCs w:val="32"/>
        </w:rPr>
        <w:t>口径为全年预算数，包括一般公共预算和政府性基金预算财政拨款支出决算情况。）</w:t>
      </w:r>
    </w:p>
    <w:p>
      <w:pPr>
        <w:spacing w:line="600" w:lineRule="exact"/>
        <w:ind w:firstLine="640"/>
        <w:rPr>
          <w:rFonts w:ascii="仿宋" w:hAnsi="Cambria" w:eastAsia="仿宋" w:cs="仿宋"/>
          <w:b/>
          <w:bCs/>
          <w:sz w:val="32"/>
          <w:szCs w:val="32"/>
        </w:rPr>
      </w:pPr>
      <w:r>
        <w:rPr>
          <w:rFonts w:hint="eastAsia" w:ascii="仿宋_GB2312" w:hAnsi="Cambria" w:eastAsia="仿宋_GB2312" w:cs="仿宋_GB2312"/>
          <w:b/>
          <w:bCs/>
          <w:color w:val="000000"/>
          <w:sz w:val="32"/>
          <w:szCs w:val="32"/>
          <w:lang w:val="zh-CN"/>
        </w:rPr>
        <w:t>（二）</w:t>
      </w:r>
      <w:r>
        <w:rPr>
          <w:rFonts w:ascii="仿宋_GB2312" w:hAnsi="Cambria" w:eastAsia="仿宋_GB2312" w:cs="仿宋_GB2312"/>
          <w:b/>
          <w:bCs/>
          <w:color w:val="000000"/>
          <w:sz w:val="32"/>
          <w:szCs w:val="32"/>
          <w:lang w:val="zh-CN"/>
        </w:rPr>
        <w:t>“</w:t>
      </w:r>
      <w:r>
        <w:rPr>
          <w:rFonts w:hint="eastAsia" w:ascii="仿宋_GB2312" w:hAnsi="Cambria" w:eastAsia="仿宋_GB2312" w:cs="仿宋_GB2312"/>
          <w:b/>
          <w:bCs/>
          <w:color w:val="000000"/>
          <w:sz w:val="32"/>
          <w:szCs w:val="32"/>
          <w:lang w:val="zh-CN"/>
        </w:rPr>
        <w:t>三公</w:t>
      </w:r>
      <w:r>
        <w:rPr>
          <w:rFonts w:ascii="仿宋_GB2312" w:hAnsi="Cambria" w:eastAsia="仿宋_GB2312" w:cs="仿宋_GB2312"/>
          <w:b/>
          <w:bCs/>
          <w:color w:val="000000"/>
          <w:sz w:val="32"/>
          <w:szCs w:val="32"/>
          <w:lang w:val="zh-CN"/>
        </w:rPr>
        <w:t>”</w:t>
      </w:r>
      <w:r>
        <w:rPr>
          <w:rFonts w:hint="eastAsia" w:ascii="仿宋_GB2312" w:hAnsi="Cambria" w:eastAsia="仿宋_GB2312" w:cs="仿宋_GB2312"/>
          <w:b/>
          <w:bCs/>
          <w:color w:val="000000"/>
          <w:sz w:val="32"/>
          <w:szCs w:val="32"/>
          <w:lang w:val="zh-CN"/>
        </w:rPr>
        <w:t>经费财政拨款支出决算具体情况说明</w:t>
      </w:r>
    </w:p>
    <w:p>
      <w:pPr>
        <w:spacing w:line="600" w:lineRule="exact"/>
        <w:ind w:firstLine="640"/>
        <w:rPr>
          <w:rFonts w:ascii="仿宋" w:hAnsi="Cambria" w:eastAsia="仿宋" w:cs="仿宋"/>
          <w:b/>
          <w:bCs/>
          <w:sz w:val="32"/>
          <w:szCs w:val="32"/>
        </w:rPr>
      </w:pPr>
      <w:r>
        <w:rPr>
          <w:rFonts w:ascii="仿宋_GB2312" w:hAnsi="Cambria" w:eastAsia="仿宋_GB2312" w:cs="仿宋_GB2312"/>
          <w:color w:val="000000"/>
          <w:sz w:val="32"/>
          <w:szCs w:val="32"/>
          <w:lang w:val="zh-CN"/>
        </w:rPr>
        <w:t>2022</w:t>
      </w:r>
      <w:r>
        <w:rPr>
          <w:rFonts w:hint="eastAsia" w:ascii="仿宋_GB2312" w:hAnsi="Cambria" w:eastAsia="仿宋_GB2312" w:cs="仿宋_GB2312"/>
          <w:color w:val="000000"/>
          <w:sz w:val="32"/>
          <w:szCs w:val="32"/>
          <w:lang w:val="zh-CN"/>
        </w:rPr>
        <w:t>年</w:t>
      </w:r>
      <w:r>
        <w:rPr>
          <w:rFonts w:ascii="仿宋_GB2312" w:hAnsi="Cambria" w:eastAsia="仿宋_GB2312" w:cs="仿宋_GB2312"/>
          <w:color w:val="000000"/>
          <w:sz w:val="32"/>
          <w:szCs w:val="32"/>
          <w:lang w:val="zh-CN"/>
        </w:rPr>
        <w:t>“</w:t>
      </w:r>
      <w:r>
        <w:rPr>
          <w:rFonts w:hint="eastAsia" w:ascii="仿宋_GB2312" w:hAnsi="Cambria" w:eastAsia="仿宋_GB2312" w:cs="仿宋_GB2312"/>
          <w:color w:val="000000"/>
          <w:sz w:val="32"/>
          <w:szCs w:val="32"/>
          <w:lang w:val="zh-CN"/>
        </w:rPr>
        <w:t>三公</w:t>
      </w:r>
      <w:r>
        <w:rPr>
          <w:rFonts w:ascii="仿宋_GB2312" w:hAnsi="Cambria" w:eastAsia="仿宋_GB2312" w:cs="仿宋_GB2312"/>
          <w:color w:val="000000"/>
          <w:sz w:val="32"/>
          <w:szCs w:val="32"/>
          <w:lang w:val="zh-CN"/>
        </w:rPr>
        <w:t>”</w:t>
      </w:r>
      <w:r>
        <w:rPr>
          <w:rFonts w:hint="eastAsia" w:ascii="仿宋_GB2312" w:hAnsi="Cambria" w:eastAsia="仿宋_GB2312" w:cs="仿宋_GB2312"/>
          <w:color w:val="000000"/>
          <w:sz w:val="32"/>
          <w:szCs w:val="32"/>
          <w:lang w:val="zh-CN"/>
        </w:rPr>
        <w:t>经费财政拨款支出决算中，因公出国（境）费支出决算</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万元，占</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；公务用车购置及运行维护费支出决算</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万元，占</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；公务接待费支出决算</w:t>
      </w:r>
      <w:r>
        <w:rPr>
          <w:rFonts w:ascii="仿宋_GB2312" w:hAnsi="Cambria" w:eastAsia="仿宋_GB2312" w:cs="仿宋_GB2312"/>
          <w:color w:val="000000"/>
          <w:sz w:val="32"/>
          <w:szCs w:val="32"/>
          <w:lang w:val="zh-CN"/>
        </w:rPr>
        <w:t>2.57</w:t>
      </w:r>
      <w:r>
        <w:rPr>
          <w:rFonts w:hint="eastAsia" w:ascii="仿宋_GB2312" w:hAnsi="Cambria" w:eastAsia="仿宋_GB2312" w:cs="仿宋_GB2312"/>
          <w:color w:val="000000"/>
          <w:sz w:val="32"/>
          <w:szCs w:val="32"/>
          <w:lang w:val="zh-CN"/>
        </w:rPr>
        <w:t>万元，占</w:t>
      </w:r>
      <w:r>
        <w:rPr>
          <w:rFonts w:ascii="仿宋_GB2312" w:hAnsi="Cambria" w:eastAsia="仿宋_GB2312" w:cs="仿宋_GB2312"/>
          <w:color w:val="000000"/>
          <w:sz w:val="32"/>
          <w:szCs w:val="32"/>
          <w:lang w:val="zh-CN"/>
        </w:rPr>
        <w:t>100%</w:t>
      </w:r>
      <w:r>
        <w:rPr>
          <w:rFonts w:hint="eastAsia" w:ascii="仿宋_GB2312" w:hAnsi="Cambria" w:eastAsia="仿宋_GB2312" w:cs="仿宋_GB2312"/>
          <w:color w:val="000000"/>
          <w:sz w:val="32"/>
          <w:szCs w:val="32"/>
          <w:lang w:val="zh-CN"/>
        </w:rPr>
        <w:t>。具体情况如下：</w:t>
      </w:r>
    </w:p>
    <w:p>
      <w:pPr>
        <w:spacing w:line="600" w:lineRule="exact"/>
        <w:ind w:firstLine="640"/>
        <w:rPr>
          <w:rFonts w:ascii="仿宋" w:hAnsi="Cambria" w:eastAsia="仿宋" w:cs="仿宋"/>
          <w:sz w:val="32"/>
          <w:szCs w:val="32"/>
        </w:rPr>
      </w:pPr>
      <w:r>
        <w:rPr>
          <w:rFonts w:hint="eastAsia" w:ascii="仿宋" w:hAnsi="Cambria" w:eastAsia="仿宋" w:cs="仿宋"/>
          <w:sz w:val="32"/>
          <w:szCs w:val="32"/>
        </w:rPr>
        <w:t>（图</w:t>
      </w:r>
      <w:r>
        <w:rPr>
          <w:rFonts w:ascii="仿宋" w:hAnsi="Cambria" w:eastAsia="仿宋" w:cs="仿宋"/>
          <w:sz w:val="32"/>
          <w:szCs w:val="32"/>
        </w:rPr>
        <w:t>7</w:t>
      </w:r>
      <w:r>
        <w:rPr>
          <w:rFonts w:hint="eastAsia" w:ascii="仿宋" w:hAnsi="Cambria" w:eastAsia="仿宋" w:cs="仿宋"/>
          <w:sz w:val="32"/>
          <w:szCs w:val="32"/>
        </w:rPr>
        <w:t>：</w:t>
      </w:r>
      <w:r>
        <w:rPr>
          <w:rFonts w:ascii="仿宋" w:hAnsi="Cambria" w:eastAsia="仿宋" w:cs="仿宋"/>
          <w:sz w:val="32"/>
          <w:szCs w:val="32"/>
        </w:rPr>
        <w:t>“</w:t>
      </w:r>
      <w:r>
        <w:rPr>
          <w:rFonts w:hint="eastAsia" w:ascii="仿宋" w:hAnsi="Cambria" w:eastAsia="仿宋" w:cs="仿宋"/>
          <w:sz w:val="32"/>
          <w:szCs w:val="32"/>
        </w:rPr>
        <w:t>三公</w:t>
      </w:r>
      <w:r>
        <w:rPr>
          <w:rFonts w:ascii="仿宋" w:hAnsi="Cambria" w:eastAsia="仿宋" w:cs="仿宋"/>
          <w:sz w:val="32"/>
          <w:szCs w:val="32"/>
        </w:rPr>
        <w:t>”</w:t>
      </w:r>
      <w:r>
        <w:rPr>
          <w:rFonts w:hint="eastAsia" w:ascii="仿宋" w:hAnsi="Cambria" w:eastAsia="仿宋" w:cs="仿宋"/>
          <w:sz w:val="32"/>
          <w:szCs w:val="32"/>
        </w:rPr>
        <w:t>经费财政拨款支出结构）（饼状图）</w:t>
      </w:r>
    </w:p>
    <w:p>
      <w:pPr>
        <w:spacing w:line="600" w:lineRule="exact"/>
        <w:ind w:firstLine="640"/>
        <w:rPr>
          <w:rFonts w:ascii="仿宋" w:hAnsi="Cambria" w:eastAsia="仿宋" w:cs="仿宋"/>
          <w:sz w:val="32"/>
          <w:szCs w:val="32"/>
        </w:rPr>
      </w:pPr>
      <w:r>
        <w:rPr>
          <w:rFonts w:ascii="仿宋" w:hAnsi="Cambria" w:eastAsia="仿宋" w:cs="仿宋"/>
          <w:sz w:val="32"/>
          <w:szCs w:val="32"/>
        </w:rPr>
        <w:drawing>
          <wp:anchor distT="0" distB="0" distL="114300" distR="114300" simplePos="0" relativeHeight="251659264" behindDoc="0" locked="0" layoutInCell="1" allowOverlap="1">
            <wp:simplePos x="0" y="0"/>
            <wp:positionH relativeFrom="column">
              <wp:posOffset>133350</wp:posOffset>
            </wp:positionH>
            <wp:positionV relativeFrom="paragraph">
              <wp:posOffset>142875</wp:posOffset>
            </wp:positionV>
            <wp:extent cx="4629150" cy="2774950"/>
            <wp:effectExtent l="0" t="0" r="0" b="6350"/>
            <wp:wrapNone/>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629150" cy="2774950"/>
                    </a:xfrm>
                    <a:prstGeom prst="rect">
                      <a:avLst/>
                    </a:prstGeom>
                    <a:noFill/>
                  </pic:spPr>
                </pic:pic>
              </a:graphicData>
            </a:graphic>
          </wp:anchor>
        </w:drawing>
      </w:r>
    </w:p>
    <w:p>
      <w:pPr>
        <w:spacing w:line="600" w:lineRule="exact"/>
        <w:ind w:firstLine="640"/>
        <w:rPr>
          <w:rFonts w:ascii="仿宋" w:hAnsi="Cambria" w:eastAsia="仿宋" w:cs="仿宋"/>
          <w:sz w:val="32"/>
          <w:szCs w:val="32"/>
        </w:rPr>
      </w:pPr>
    </w:p>
    <w:p>
      <w:pPr>
        <w:spacing w:line="600" w:lineRule="exact"/>
        <w:ind w:firstLine="640"/>
        <w:rPr>
          <w:rFonts w:ascii="仿宋" w:hAnsi="Cambria" w:eastAsia="仿宋" w:cs="仿宋"/>
          <w:sz w:val="32"/>
          <w:szCs w:val="32"/>
        </w:rPr>
      </w:pPr>
    </w:p>
    <w:p>
      <w:pPr>
        <w:spacing w:line="600" w:lineRule="exact"/>
        <w:ind w:firstLine="640"/>
        <w:rPr>
          <w:rFonts w:ascii="仿宋" w:hAnsi="Cambria" w:eastAsia="仿宋" w:cs="仿宋"/>
          <w:sz w:val="32"/>
          <w:szCs w:val="32"/>
        </w:rPr>
      </w:pPr>
    </w:p>
    <w:p>
      <w:pPr>
        <w:spacing w:line="600" w:lineRule="exact"/>
        <w:ind w:firstLine="640"/>
        <w:rPr>
          <w:rFonts w:ascii="仿宋" w:hAnsi="Cambria" w:eastAsia="仿宋" w:cs="仿宋"/>
          <w:sz w:val="32"/>
          <w:szCs w:val="32"/>
        </w:rPr>
      </w:pPr>
    </w:p>
    <w:p>
      <w:pPr>
        <w:spacing w:line="600" w:lineRule="exact"/>
        <w:ind w:firstLine="640"/>
        <w:rPr>
          <w:rFonts w:ascii="仿宋" w:hAnsi="Cambria" w:eastAsia="仿宋" w:cs="仿宋"/>
          <w:sz w:val="32"/>
          <w:szCs w:val="32"/>
        </w:rPr>
      </w:pPr>
    </w:p>
    <w:p>
      <w:pPr>
        <w:ind w:firstLine="641"/>
        <w:rPr>
          <w:rFonts w:ascii="仿宋" w:hAnsi="Cambria" w:eastAsia="仿宋" w:cs="仿宋"/>
          <w:sz w:val="32"/>
          <w:szCs w:val="32"/>
        </w:rPr>
      </w:pPr>
    </w:p>
    <w:p>
      <w:pPr>
        <w:spacing w:line="600" w:lineRule="exact"/>
        <w:ind w:firstLine="640"/>
        <w:rPr>
          <w:rFonts w:ascii="仿宋" w:hAnsi="Cambria" w:eastAsia="仿宋" w:cs="仿宋"/>
          <w:sz w:val="32"/>
          <w:szCs w:val="32"/>
        </w:rPr>
      </w:pPr>
    </w:p>
    <w:p>
      <w:pPr>
        <w:spacing w:line="600" w:lineRule="exact"/>
        <w:ind w:firstLine="643"/>
        <w:rPr>
          <w:rFonts w:ascii="仿宋_GB2312" w:hAnsi="Cambria" w:eastAsia="仿宋_GB2312" w:cs="仿宋_GB2312"/>
          <w:color w:val="000000"/>
          <w:sz w:val="32"/>
          <w:szCs w:val="32"/>
          <w:lang w:val="zh-CN"/>
        </w:rPr>
      </w:pPr>
      <w:r>
        <w:rPr>
          <w:rFonts w:ascii="仿宋_GB2312" w:hAnsi="Cambria" w:eastAsia="仿宋_GB2312" w:cs="仿宋_GB2312"/>
          <w:b/>
          <w:bCs/>
          <w:color w:val="000000"/>
          <w:sz w:val="32"/>
          <w:szCs w:val="32"/>
          <w:lang w:val="zh-CN"/>
        </w:rPr>
        <w:t>1.</w:t>
      </w:r>
      <w:r>
        <w:rPr>
          <w:rFonts w:hint="eastAsia" w:ascii="仿宋_GB2312" w:hAnsi="Cambria" w:eastAsia="仿宋_GB2312" w:cs="仿宋_GB2312"/>
          <w:b/>
          <w:bCs/>
          <w:color w:val="000000"/>
          <w:sz w:val="32"/>
          <w:szCs w:val="32"/>
          <w:lang w:val="zh-CN"/>
        </w:rPr>
        <w:t>因公出国（境）经费</w:t>
      </w:r>
      <w:r>
        <w:rPr>
          <w:rFonts w:hint="eastAsia" w:ascii="仿宋_GB2312" w:hAnsi="Cambria" w:eastAsia="仿宋_GB2312" w:cs="仿宋_GB2312"/>
          <w:color w:val="000000"/>
          <w:sz w:val="32"/>
          <w:szCs w:val="32"/>
          <w:lang w:val="zh-CN"/>
        </w:rPr>
        <w:t>支出</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万元，完成预算</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。全年安排因公出国（境）团组</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个，出国（境）</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人。因公出国（境）支出决算与</w:t>
      </w:r>
      <w:r>
        <w:rPr>
          <w:rFonts w:ascii="仿宋_GB2312" w:hAnsi="Cambria" w:eastAsia="仿宋_GB2312" w:cs="仿宋_GB2312"/>
          <w:color w:val="000000"/>
          <w:sz w:val="32"/>
          <w:szCs w:val="32"/>
          <w:lang w:val="zh-CN"/>
        </w:rPr>
        <w:t>2021</w:t>
      </w:r>
      <w:r>
        <w:rPr>
          <w:rFonts w:hint="eastAsia" w:ascii="仿宋_GB2312" w:hAnsi="Cambria" w:eastAsia="仿宋_GB2312" w:cs="仿宋_GB2312"/>
          <w:color w:val="000000"/>
          <w:sz w:val="32"/>
          <w:szCs w:val="32"/>
          <w:lang w:val="zh-CN"/>
        </w:rPr>
        <w:t>年持平。</w:t>
      </w:r>
    </w:p>
    <w:p>
      <w:pPr>
        <w:spacing w:line="600" w:lineRule="exact"/>
        <w:ind w:firstLine="643"/>
        <w:rPr>
          <w:rFonts w:ascii="仿宋_GB2312" w:hAnsi="Cambria" w:eastAsia="仿宋_GB2312" w:cs="仿宋_GB2312"/>
          <w:color w:val="000000"/>
          <w:sz w:val="32"/>
          <w:szCs w:val="32"/>
          <w:lang w:val="zh-CN"/>
        </w:rPr>
      </w:pPr>
      <w:r>
        <w:rPr>
          <w:rFonts w:ascii="仿宋_GB2312" w:hAnsi="Cambria" w:eastAsia="仿宋_GB2312" w:cs="仿宋_GB2312"/>
          <w:b/>
          <w:bCs/>
          <w:color w:val="000000"/>
          <w:sz w:val="32"/>
          <w:szCs w:val="32"/>
          <w:lang w:val="zh-CN"/>
        </w:rPr>
        <w:t>2.</w:t>
      </w:r>
      <w:r>
        <w:rPr>
          <w:rFonts w:hint="eastAsia" w:ascii="仿宋_GB2312" w:hAnsi="Cambria" w:eastAsia="仿宋_GB2312" w:cs="仿宋_GB2312"/>
          <w:b/>
          <w:bCs/>
          <w:color w:val="000000"/>
          <w:sz w:val="32"/>
          <w:szCs w:val="32"/>
          <w:lang w:val="zh-CN"/>
        </w:rPr>
        <w:t>公务用车购置及运行维护费</w:t>
      </w:r>
      <w:r>
        <w:rPr>
          <w:rFonts w:hint="eastAsia" w:ascii="仿宋_GB2312" w:hAnsi="Cambria" w:eastAsia="仿宋_GB2312" w:cs="仿宋_GB2312"/>
          <w:color w:val="000000"/>
          <w:sz w:val="32"/>
          <w:szCs w:val="32"/>
          <w:lang w:val="zh-CN"/>
        </w:rPr>
        <w:t>支出</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万元，完成预算</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。公务用车购置及运行维护费支出决算与</w:t>
      </w:r>
      <w:r>
        <w:rPr>
          <w:rFonts w:ascii="仿宋_GB2312" w:hAnsi="Cambria" w:eastAsia="仿宋_GB2312" w:cs="仿宋_GB2312"/>
          <w:color w:val="000000"/>
          <w:sz w:val="32"/>
          <w:szCs w:val="32"/>
          <w:lang w:val="zh-CN"/>
        </w:rPr>
        <w:t>2021</w:t>
      </w:r>
      <w:r>
        <w:rPr>
          <w:rFonts w:hint="eastAsia" w:ascii="仿宋_GB2312" w:hAnsi="Cambria" w:eastAsia="仿宋_GB2312" w:cs="仿宋_GB2312"/>
          <w:color w:val="000000"/>
          <w:sz w:val="32"/>
          <w:szCs w:val="32"/>
          <w:lang w:val="zh-CN"/>
        </w:rPr>
        <w:t>年持平。</w:t>
      </w:r>
    </w:p>
    <w:p>
      <w:pPr>
        <w:spacing w:line="600" w:lineRule="exact"/>
        <w:ind w:firstLine="643"/>
        <w:rPr>
          <w:rFonts w:ascii="仿宋_GB2312" w:hAnsi="Cambria" w:eastAsia="仿宋_GB2312" w:cs="仿宋_GB2312"/>
          <w:color w:val="000000"/>
          <w:sz w:val="32"/>
          <w:szCs w:val="32"/>
          <w:lang w:val="zh-CN"/>
        </w:rPr>
      </w:pPr>
      <w:r>
        <w:rPr>
          <w:rFonts w:hint="eastAsia" w:ascii="仿宋_GB2312" w:hAnsi="Cambria" w:eastAsia="仿宋_GB2312" w:cs="仿宋_GB2312"/>
          <w:color w:val="000000"/>
          <w:sz w:val="32"/>
          <w:szCs w:val="32"/>
          <w:lang w:val="zh-CN"/>
        </w:rPr>
        <w:t>其中：</w:t>
      </w:r>
      <w:r>
        <w:rPr>
          <w:rFonts w:hint="eastAsia" w:ascii="仿宋_GB2312" w:hAnsi="Cambria" w:eastAsia="仿宋_GB2312" w:cs="仿宋_GB2312"/>
          <w:b/>
          <w:bCs/>
          <w:color w:val="000000"/>
          <w:sz w:val="32"/>
          <w:szCs w:val="32"/>
          <w:lang w:val="zh-CN"/>
        </w:rPr>
        <w:t>公务用车购置费</w:t>
      </w:r>
      <w:r>
        <w:rPr>
          <w:rFonts w:hint="eastAsia" w:ascii="仿宋_GB2312" w:hAnsi="Cambria" w:eastAsia="仿宋_GB2312" w:cs="仿宋_GB2312"/>
          <w:color w:val="000000"/>
          <w:sz w:val="32"/>
          <w:szCs w:val="32"/>
          <w:lang w:val="zh-CN"/>
        </w:rPr>
        <w:t>支出</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万元。全年按规定更新购置公务用车</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辆，其中：轿车0辆、金额0万元，越野车0辆、金额0万元，小型载客汽车0辆、金额0万元，大中型载客汽车0辆、金额0万元，其他车型0辆、金额0万元。截至</w:t>
      </w:r>
      <w:r>
        <w:rPr>
          <w:rFonts w:ascii="仿宋_GB2312" w:hAnsi="Cambria" w:eastAsia="仿宋_GB2312" w:cs="仿宋_GB2312"/>
          <w:color w:val="000000"/>
          <w:sz w:val="32"/>
          <w:szCs w:val="32"/>
          <w:lang w:val="zh-CN"/>
        </w:rPr>
        <w:t>2022</w:t>
      </w:r>
      <w:r>
        <w:rPr>
          <w:rFonts w:hint="eastAsia" w:ascii="仿宋_GB2312" w:hAnsi="Cambria" w:eastAsia="仿宋_GB2312" w:cs="仿宋_GB2312"/>
          <w:color w:val="000000"/>
          <w:sz w:val="32"/>
          <w:szCs w:val="32"/>
          <w:lang w:val="zh-CN"/>
        </w:rPr>
        <w:t>年</w:t>
      </w:r>
      <w:r>
        <w:rPr>
          <w:rFonts w:ascii="仿宋_GB2312" w:hAnsi="Cambria" w:eastAsia="仿宋_GB2312" w:cs="仿宋_GB2312"/>
          <w:color w:val="000000"/>
          <w:sz w:val="32"/>
          <w:szCs w:val="32"/>
          <w:lang w:val="zh-CN"/>
        </w:rPr>
        <w:t>12</w:t>
      </w:r>
      <w:r>
        <w:rPr>
          <w:rFonts w:hint="eastAsia" w:ascii="仿宋_GB2312" w:hAnsi="Cambria" w:eastAsia="仿宋_GB2312" w:cs="仿宋_GB2312"/>
          <w:color w:val="000000"/>
          <w:sz w:val="32"/>
          <w:szCs w:val="32"/>
          <w:lang w:val="zh-CN"/>
        </w:rPr>
        <w:t>月底，本部门共有公务用车</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辆，其中：轿车0辆、越野车0辆、小型载客汽车0辆、大中型载客汽车0辆、其他车型0辆。</w:t>
      </w:r>
    </w:p>
    <w:p>
      <w:pPr>
        <w:spacing w:line="600" w:lineRule="exact"/>
        <w:ind w:firstLine="643"/>
        <w:rPr>
          <w:rFonts w:ascii="仿宋_GB2312" w:hAnsi="Cambria" w:eastAsia="仿宋_GB2312" w:cs="仿宋_GB2312"/>
          <w:color w:val="000000"/>
          <w:sz w:val="32"/>
          <w:szCs w:val="32"/>
          <w:lang w:val="zh-CN"/>
        </w:rPr>
      </w:pPr>
      <w:r>
        <w:rPr>
          <w:rFonts w:hint="eastAsia" w:ascii="仿宋_GB2312" w:hAnsi="Cambria" w:eastAsia="仿宋_GB2312" w:cs="仿宋_GB2312"/>
          <w:b/>
          <w:bCs/>
          <w:color w:val="000000"/>
          <w:sz w:val="32"/>
          <w:szCs w:val="32"/>
          <w:lang w:val="zh-CN"/>
        </w:rPr>
        <w:t>公务用车运行维护费</w:t>
      </w:r>
      <w:r>
        <w:rPr>
          <w:rFonts w:hint="eastAsia" w:ascii="仿宋_GB2312" w:hAnsi="Cambria" w:eastAsia="仿宋_GB2312" w:cs="仿宋_GB2312"/>
          <w:color w:val="000000"/>
          <w:sz w:val="32"/>
          <w:szCs w:val="32"/>
          <w:lang w:val="zh-CN"/>
        </w:rPr>
        <w:t>支出</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w:t>
      </w:r>
    </w:p>
    <w:p>
      <w:pPr>
        <w:spacing w:line="600" w:lineRule="exact"/>
        <w:ind w:firstLine="643"/>
        <w:rPr>
          <w:rFonts w:ascii="仿宋_GB2312" w:hAnsi="Cambria" w:eastAsia="仿宋_GB2312" w:cs="仿宋_GB2312"/>
          <w:color w:val="000000"/>
          <w:sz w:val="32"/>
          <w:szCs w:val="32"/>
          <w:lang w:val="zh-CN"/>
        </w:rPr>
      </w:pPr>
      <w:r>
        <w:rPr>
          <w:rFonts w:ascii="仿宋_GB2312" w:hAnsi="Cambria" w:eastAsia="仿宋_GB2312" w:cs="仿宋_GB2312"/>
          <w:b/>
          <w:bCs/>
          <w:color w:val="000000"/>
          <w:sz w:val="32"/>
          <w:szCs w:val="32"/>
          <w:lang w:val="zh-CN"/>
        </w:rPr>
        <w:t>3.</w:t>
      </w:r>
      <w:r>
        <w:rPr>
          <w:rFonts w:hint="eastAsia" w:ascii="仿宋_GB2312" w:hAnsi="Cambria" w:eastAsia="仿宋_GB2312" w:cs="仿宋_GB2312"/>
          <w:b/>
          <w:bCs/>
          <w:color w:val="000000"/>
          <w:sz w:val="32"/>
          <w:szCs w:val="32"/>
          <w:lang w:val="zh-CN"/>
        </w:rPr>
        <w:t>公务接待费</w:t>
      </w:r>
      <w:r>
        <w:rPr>
          <w:rFonts w:hint="eastAsia" w:ascii="仿宋_GB2312" w:hAnsi="Cambria" w:eastAsia="仿宋_GB2312" w:cs="仿宋_GB2312"/>
          <w:color w:val="000000"/>
          <w:sz w:val="32"/>
          <w:szCs w:val="32"/>
          <w:lang w:val="zh-CN"/>
        </w:rPr>
        <w:t>支出</w:t>
      </w:r>
      <w:r>
        <w:rPr>
          <w:rFonts w:ascii="仿宋_GB2312" w:hAnsi="Cambria" w:eastAsia="仿宋_GB2312" w:cs="仿宋_GB2312"/>
          <w:color w:val="000000"/>
          <w:sz w:val="32"/>
          <w:szCs w:val="32"/>
          <w:lang w:val="zh-CN"/>
        </w:rPr>
        <w:t>2.57</w:t>
      </w:r>
      <w:r>
        <w:rPr>
          <w:rFonts w:hint="eastAsia" w:ascii="仿宋_GB2312" w:hAnsi="Cambria" w:eastAsia="仿宋_GB2312" w:cs="仿宋_GB2312"/>
          <w:color w:val="000000"/>
          <w:sz w:val="32"/>
          <w:szCs w:val="32"/>
          <w:lang w:val="zh-CN"/>
        </w:rPr>
        <w:t>万元，完成预算</w:t>
      </w:r>
      <w:r>
        <w:rPr>
          <w:rFonts w:ascii="仿宋_GB2312" w:hAnsi="Cambria" w:eastAsia="仿宋_GB2312" w:cs="仿宋_GB2312"/>
          <w:color w:val="000000"/>
          <w:sz w:val="32"/>
          <w:szCs w:val="32"/>
          <w:lang w:val="zh-CN"/>
        </w:rPr>
        <w:t>16.1%</w:t>
      </w:r>
      <w:r>
        <w:rPr>
          <w:rFonts w:hint="eastAsia" w:ascii="仿宋_GB2312" w:hAnsi="Cambria" w:eastAsia="仿宋_GB2312" w:cs="仿宋_GB2312"/>
          <w:color w:val="000000"/>
          <w:sz w:val="32"/>
          <w:szCs w:val="32"/>
          <w:lang w:val="zh-CN"/>
        </w:rPr>
        <w:t>。公务接待费支出决算比</w:t>
      </w:r>
      <w:r>
        <w:rPr>
          <w:rFonts w:ascii="仿宋_GB2312" w:hAnsi="Cambria" w:eastAsia="仿宋_GB2312" w:cs="仿宋_GB2312"/>
          <w:color w:val="000000"/>
          <w:sz w:val="32"/>
          <w:szCs w:val="32"/>
          <w:lang w:val="zh-CN"/>
        </w:rPr>
        <w:t>2021</w:t>
      </w:r>
      <w:r>
        <w:rPr>
          <w:rFonts w:hint="eastAsia" w:ascii="仿宋_GB2312" w:hAnsi="Cambria" w:eastAsia="仿宋_GB2312" w:cs="仿宋_GB2312"/>
          <w:color w:val="000000"/>
          <w:sz w:val="32"/>
          <w:szCs w:val="32"/>
          <w:lang w:val="zh-CN"/>
        </w:rPr>
        <w:t>年减少</w:t>
      </w:r>
      <w:r>
        <w:rPr>
          <w:rFonts w:ascii="仿宋_GB2312" w:hAnsi="Cambria" w:eastAsia="仿宋_GB2312" w:cs="仿宋_GB2312"/>
          <w:color w:val="000000"/>
          <w:sz w:val="32"/>
          <w:szCs w:val="32"/>
          <w:lang w:val="zh-CN"/>
        </w:rPr>
        <w:t>9.63</w:t>
      </w:r>
      <w:r>
        <w:rPr>
          <w:rFonts w:hint="eastAsia" w:ascii="仿宋_GB2312" w:hAnsi="Cambria" w:eastAsia="仿宋_GB2312" w:cs="仿宋_GB2312"/>
          <w:color w:val="000000"/>
          <w:sz w:val="32"/>
          <w:szCs w:val="32"/>
          <w:lang w:val="zh-CN"/>
        </w:rPr>
        <w:t>万元，下降</w:t>
      </w:r>
      <w:r>
        <w:rPr>
          <w:rFonts w:ascii="仿宋_GB2312" w:hAnsi="Cambria" w:eastAsia="仿宋_GB2312" w:cs="仿宋_GB2312"/>
          <w:color w:val="000000"/>
          <w:sz w:val="32"/>
          <w:szCs w:val="32"/>
          <w:lang w:val="zh-CN"/>
        </w:rPr>
        <w:t>78.9%</w:t>
      </w:r>
      <w:r>
        <w:rPr>
          <w:rFonts w:hint="eastAsia" w:ascii="仿宋_GB2312" w:hAnsi="Cambria" w:eastAsia="仿宋_GB2312" w:cs="仿宋_GB2312"/>
          <w:color w:val="000000"/>
          <w:sz w:val="32"/>
          <w:szCs w:val="32"/>
          <w:lang w:val="zh-CN"/>
        </w:rPr>
        <w:t>。主要原因是厉行节约和2021年换届增加接待费。</w:t>
      </w:r>
    </w:p>
    <w:p>
      <w:pPr>
        <w:spacing w:line="600" w:lineRule="exact"/>
        <w:ind w:firstLine="643"/>
        <w:rPr>
          <w:rFonts w:ascii="仿宋_GB2312" w:hAnsi="Cambria" w:eastAsia="仿宋_GB2312" w:cs="仿宋_GB2312"/>
          <w:color w:val="000000"/>
          <w:sz w:val="32"/>
          <w:szCs w:val="32"/>
          <w:lang w:val="zh-CN"/>
        </w:rPr>
      </w:pPr>
      <w:r>
        <w:rPr>
          <w:rFonts w:hint="eastAsia" w:ascii="仿宋_GB2312" w:hAnsi="Cambria" w:eastAsia="仿宋_GB2312" w:cs="仿宋_GB2312"/>
          <w:b/>
          <w:bCs/>
          <w:color w:val="000000"/>
          <w:sz w:val="32"/>
          <w:szCs w:val="32"/>
          <w:lang w:val="zh-CN"/>
        </w:rPr>
        <w:t>国内公务接待</w:t>
      </w:r>
      <w:r>
        <w:rPr>
          <w:rFonts w:hint="eastAsia" w:ascii="仿宋_GB2312" w:hAnsi="Cambria" w:eastAsia="仿宋_GB2312" w:cs="仿宋_GB2312"/>
          <w:color w:val="000000"/>
          <w:sz w:val="32"/>
          <w:szCs w:val="32"/>
          <w:lang w:val="zh-CN"/>
        </w:rPr>
        <w:t>支出</w:t>
      </w:r>
      <w:r>
        <w:rPr>
          <w:rFonts w:ascii="仿宋_GB2312" w:hAnsi="Cambria" w:eastAsia="仿宋_GB2312" w:cs="仿宋_GB2312"/>
          <w:color w:val="000000"/>
          <w:sz w:val="32"/>
          <w:szCs w:val="32"/>
          <w:lang w:val="zh-CN"/>
        </w:rPr>
        <w:t>2.57</w:t>
      </w:r>
      <w:r>
        <w:rPr>
          <w:rFonts w:hint="eastAsia" w:ascii="仿宋_GB2312" w:hAnsi="Cambria" w:eastAsia="仿宋_GB2312" w:cs="仿宋_GB2312"/>
          <w:color w:val="000000"/>
          <w:sz w:val="32"/>
          <w:szCs w:val="32"/>
          <w:lang w:val="zh-CN"/>
        </w:rPr>
        <w:t>万元。主要用于</w:t>
      </w:r>
      <w:r>
        <w:rPr>
          <w:rFonts w:hint="eastAsia" w:ascii="仿宋_GB2312" w:hAnsi="Cambria" w:eastAsia="仿宋_GB2312" w:cs="仿宋_GB2312"/>
          <w:color w:val="000000"/>
          <w:sz w:val="32"/>
          <w:szCs w:val="32"/>
          <w:highlight w:val="white"/>
        </w:rPr>
        <w:t>执行公务、开展业务活动开支的交通费、住宿费、用餐费等。</w:t>
      </w:r>
      <w:r>
        <w:rPr>
          <w:rFonts w:hint="eastAsia" w:ascii="仿宋_GB2312" w:hAnsi="Cambria" w:eastAsia="仿宋_GB2312" w:cs="仿宋_GB2312"/>
          <w:color w:val="000000"/>
          <w:sz w:val="32"/>
          <w:szCs w:val="32"/>
          <w:lang w:val="zh-CN"/>
        </w:rPr>
        <w:t>国内公务接待</w:t>
      </w:r>
      <w:r>
        <w:rPr>
          <w:rFonts w:ascii="仿宋_GB2312" w:hAnsi="Cambria" w:eastAsia="仿宋_GB2312" w:cs="仿宋_GB2312"/>
          <w:color w:val="000000"/>
          <w:sz w:val="32"/>
          <w:szCs w:val="32"/>
          <w:lang w:val="zh-CN"/>
        </w:rPr>
        <w:t>76</w:t>
      </w:r>
      <w:r>
        <w:rPr>
          <w:rFonts w:hint="eastAsia" w:ascii="仿宋_GB2312" w:hAnsi="Cambria" w:eastAsia="仿宋_GB2312" w:cs="仿宋_GB2312"/>
          <w:color w:val="000000"/>
          <w:sz w:val="32"/>
          <w:szCs w:val="32"/>
          <w:lang w:val="zh-CN"/>
        </w:rPr>
        <w:t>批次，</w:t>
      </w:r>
      <w:r>
        <w:rPr>
          <w:rFonts w:ascii="仿宋_GB2312" w:hAnsi="Cambria" w:eastAsia="仿宋_GB2312" w:cs="仿宋_GB2312"/>
          <w:color w:val="000000"/>
          <w:sz w:val="32"/>
          <w:szCs w:val="32"/>
          <w:lang w:val="zh-CN"/>
        </w:rPr>
        <w:t>396</w:t>
      </w:r>
      <w:r>
        <w:rPr>
          <w:rFonts w:hint="eastAsia" w:ascii="仿宋_GB2312" w:hAnsi="Cambria" w:eastAsia="仿宋_GB2312" w:cs="仿宋_GB2312"/>
          <w:color w:val="000000"/>
          <w:sz w:val="32"/>
          <w:szCs w:val="32"/>
          <w:lang w:val="zh-CN"/>
        </w:rPr>
        <w:t>人次，共计支出</w:t>
      </w:r>
      <w:r>
        <w:rPr>
          <w:rFonts w:ascii="仿宋_GB2312" w:hAnsi="Cambria" w:eastAsia="仿宋_GB2312" w:cs="仿宋_GB2312"/>
          <w:color w:val="000000"/>
          <w:sz w:val="32"/>
          <w:szCs w:val="32"/>
          <w:lang w:val="zh-CN"/>
        </w:rPr>
        <w:t>2.57</w:t>
      </w:r>
      <w:r>
        <w:rPr>
          <w:rFonts w:hint="eastAsia" w:ascii="仿宋_GB2312" w:hAnsi="Cambria" w:eastAsia="仿宋_GB2312" w:cs="仿宋_GB2312"/>
          <w:color w:val="000000"/>
          <w:sz w:val="32"/>
          <w:szCs w:val="32"/>
          <w:lang w:val="zh-CN"/>
        </w:rPr>
        <w:t>万元</w:t>
      </w:r>
      <w:r>
        <w:rPr>
          <w:rFonts w:hint="eastAsia" w:ascii="仿宋_GB2312" w:hAnsi="Cambria" w:eastAsia="仿宋_GB2312" w:cs="仿宋_GB2312"/>
          <w:color w:val="000000"/>
          <w:sz w:val="32"/>
          <w:szCs w:val="32"/>
          <w:highlight w:val="white"/>
        </w:rPr>
        <w:t>。</w:t>
      </w:r>
    </w:p>
    <w:p>
      <w:pPr>
        <w:spacing w:line="600" w:lineRule="exact"/>
        <w:ind w:firstLine="643"/>
        <w:rPr>
          <w:rFonts w:ascii="仿宋_GB2312" w:hAnsi="Cambria" w:eastAsia="仿宋_GB2312" w:cs="仿宋_GB2312"/>
          <w:color w:val="000000"/>
          <w:sz w:val="32"/>
          <w:szCs w:val="32"/>
          <w:lang w:val="zh-CN"/>
        </w:rPr>
      </w:pPr>
      <w:r>
        <w:rPr>
          <w:rFonts w:hint="eastAsia" w:ascii="仿宋_GB2312" w:hAnsi="Cambria" w:eastAsia="仿宋_GB2312" w:cs="仿宋_GB2312"/>
          <w:b/>
          <w:bCs/>
          <w:color w:val="000000"/>
          <w:sz w:val="32"/>
          <w:szCs w:val="32"/>
          <w:lang w:val="zh-CN"/>
        </w:rPr>
        <w:t>外事接待</w:t>
      </w:r>
      <w:r>
        <w:rPr>
          <w:rFonts w:hint="eastAsia" w:ascii="仿宋_GB2312" w:hAnsi="Cambria" w:eastAsia="仿宋_GB2312" w:cs="仿宋_GB2312"/>
          <w:color w:val="000000"/>
          <w:sz w:val="32"/>
          <w:szCs w:val="32"/>
          <w:lang w:val="zh-CN"/>
        </w:rPr>
        <w:t>支出</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万元，外事接待</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批次，</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人，共计支出</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w:t>
      </w:r>
    </w:p>
    <w:p>
      <w:pPr>
        <w:spacing w:line="600" w:lineRule="exact"/>
        <w:ind w:firstLine="643"/>
        <w:rPr>
          <w:rFonts w:ascii="黑体" w:hAnsi="Cambria" w:eastAsia="黑体" w:cs="黑体"/>
          <w:b/>
          <w:bCs/>
          <w:sz w:val="32"/>
          <w:szCs w:val="32"/>
          <w:lang w:val="zh-CN"/>
        </w:rPr>
      </w:pPr>
      <w:r>
        <w:rPr>
          <w:rFonts w:hint="eastAsia" w:ascii="黑体" w:hAnsi="Cambria" w:eastAsia="黑体" w:cs="黑体"/>
          <w:color w:val="000000"/>
          <w:sz w:val="32"/>
          <w:szCs w:val="32"/>
          <w:lang w:val="zh-CN"/>
        </w:rPr>
        <w:t>八、</w:t>
      </w:r>
      <w:r>
        <w:rPr>
          <w:rFonts w:hint="eastAsia" w:ascii="黑体" w:hAnsi="Cambria" w:eastAsia="黑体" w:cs="黑体"/>
          <w:sz w:val="32"/>
          <w:szCs w:val="32"/>
          <w:lang w:val="zh-CN"/>
        </w:rPr>
        <w:t>政府性基金预算支出决算情况说明</w:t>
      </w:r>
    </w:p>
    <w:p>
      <w:pPr>
        <w:spacing w:line="576" w:lineRule="exact"/>
        <w:ind w:firstLine="640"/>
        <w:rPr>
          <w:rFonts w:ascii="仿宋_GB2312" w:hAnsi="Cambria" w:eastAsia="仿宋_GB2312" w:cs="仿宋_GB2312"/>
          <w:color w:val="000000"/>
          <w:sz w:val="32"/>
          <w:szCs w:val="32"/>
          <w:lang w:val="zh-CN"/>
        </w:rPr>
      </w:pPr>
      <w:r>
        <w:rPr>
          <w:rFonts w:ascii="仿宋_GB2312" w:hAnsi="Cambria" w:eastAsia="仿宋_GB2312" w:cs="仿宋_GB2312"/>
          <w:color w:val="000000"/>
          <w:sz w:val="32"/>
          <w:szCs w:val="32"/>
          <w:lang w:val="zh-CN"/>
        </w:rPr>
        <w:t>2022</w:t>
      </w:r>
      <w:r>
        <w:rPr>
          <w:rFonts w:hint="eastAsia" w:ascii="仿宋_GB2312" w:hAnsi="Cambria" w:eastAsia="仿宋_GB2312" w:cs="仿宋_GB2312"/>
          <w:color w:val="000000"/>
          <w:sz w:val="32"/>
          <w:szCs w:val="32"/>
          <w:lang w:val="zh-CN"/>
        </w:rPr>
        <w:t>年政府性基金预算拨款支出</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w:t>
      </w:r>
    </w:p>
    <w:p>
      <w:pPr>
        <w:spacing w:line="576" w:lineRule="exact"/>
        <w:ind w:firstLine="640"/>
        <w:rPr>
          <w:rFonts w:ascii="仿宋_GB2312" w:hAnsi="Cambria" w:eastAsia="仿宋_GB2312" w:cs="仿宋_GB2312"/>
          <w:color w:val="000000"/>
          <w:sz w:val="32"/>
          <w:szCs w:val="32"/>
          <w:lang w:val="zh-CN"/>
        </w:rPr>
      </w:pPr>
      <w:r>
        <w:rPr>
          <w:rFonts w:hint="eastAsia" w:ascii="黑体" w:hAnsi="Cambria" w:eastAsia="黑体" w:cs="黑体"/>
          <w:sz w:val="32"/>
          <w:szCs w:val="32"/>
          <w:lang w:val="zh-CN"/>
        </w:rPr>
        <w:t>九、国有资本经营预算支出决算情况说明</w:t>
      </w:r>
    </w:p>
    <w:p>
      <w:pPr>
        <w:spacing w:line="576" w:lineRule="exact"/>
        <w:ind w:firstLine="640"/>
        <w:rPr>
          <w:rFonts w:ascii="仿宋_GB2312" w:hAnsi="Cambria" w:eastAsia="仿宋_GB2312" w:cs="仿宋_GB2312"/>
          <w:color w:val="000000"/>
          <w:sz w:val="32"/>
          <w:szCs w:val="32"/>
          <w:lang w:val="zh-CN"/>
        </w:rPr>
      </w:pPr>
      <w:r>
        <w:rPr>
          <w:rFonts w:ascii="仿宋_GB2312" w:hAnsi="Cambria" w:eastAsia="仿宋_GB2312" w:cs="仿宋_GB2312"/>
          <w:color w:val="000000"/>
          <w:sz w:val="32"/>
          <w:szCs w:val="32"/>
          <w:lang w:val="zh-CN"/>
        </w:rPr>
        <w:t>2022</w:t>
      </w:r>
      <w:r>
        <w:rPr>
          <w:rFonts w:hint="eastAsia" w:ascii="仿宋_GB2312" w:hAnsi="Cambria" w:eastAsia="仿宋_GB2312" w:cs="仿宋_GB2312"/>
          <w:color w:val="000000"/>
          <w:sz w:val="32"/>
          <w:szCs w:val="32"/>
          <w:lang w:val="zh-CN"/>
        </w:rPr>
        <w:t>年国有资本经营预算拨款支出</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w:t>
      </w:r>
    </w:p>
    <w:p>
      <w:pPr>
        <w:spacing w:line="576" w:lineRule="exact"/>
        <w:ind w:firstLine="640"/>
        <w:rPr>
          <w:rFonts w:ascii="仿宋_GB2312" w:hAnsi="Cambria" w:eastAsia="仿宋_GB2312" w:cs="仿宋_GB2312"/>
          <w:color w:val="000000"/>
          <w:sz w:val="32"/>
          <w:szCs w:val="32"/>
          <w:lang w:val="zh-CN"/>
        </w:rPr>
      </w:pPr>
      <w:r>
        <w:rPr>
          <w:rFonts w:hint="eastAsia" w:ascii="黑体" w:hAnsi="Cambria" w:eastAsia="黑体" w:cs="黑体"/>
          <w:color w:val="000000"/>
          <w:sz w:val="32"/>
          <w:szCs w:val="32"/>
          <w:lang w:val="zh-CN"/>
        </w:rPr>
        <w:t>十</w:t>
      </w:r>
      <w:r>
        <w:rPr>
          <w:rFonts w:hint="eastAsia" w:ascii="黑体" w:hAnsi="Cambria" w:eastAsia="黑体" w:cs="黑体"/>
          <w:b/>
          <w:bCs/>
          <w:sz w:val="32"/>
          <w:szCs w:val="32"/>
          <w:lang w:val="zh-CN"/>
        </w:rPr>
        <w:t>、</w:t>
      </w:r>
      <w:r>
        <w:rPr>
          <w:rFonts w:hint="eastAsia" w:ascii="黑体" w:hAnsi="Cambria" w:eastAsia="黑体" w:cs="黑体"/>
          <w:sz w:val="32"/>
          <w:szCs w:val="32"/>
          <w:lang w:val="zh-CN"/>
        </w:rPr>
        <w:t>其他重要事项的情况说明</w:t>
      </w:r>
    </w:p>
    <w:p>
      <w:pPr>
        <w:spacing w:line="576" w:lineRule="exact"/>
        <w:ind w:firstLine="640"/>
        <w:rPr>
          <w:rFonts w:ascii="仿宋_GB2312" w:hAnsi="Cambria" w:eastAsia="仿宋_GB2312" w:cs="仿宋_GB2312"/>
          <w:color w:val="000000"/>
          <w:sz w:val="32"/>
          <w:szCs w:val="32"/>
          <w:lang w:val="zh-CN"/>
        </w:rPr>
      </w:pPr>
      <w:r>
        <w:rPr>
          <w:rFonts w:hint="eastAsia" w:ascii="仿宋_GB2312" w:hAnsi="Cambria" w:eastAsia="仿宋_GB2312" w:cs="仿宋_GB2312"/>
          <w:b/>
          <w:bCs/>
          <w:color w:val="000000"/>
          <w:sz w:val="32"/>
          <w:szCs w:val="32"/>
          <w:lang w:val="zh-CN"/>
        </w:rPr>
        <w:t>（一）机关运行经费支出情况</w:t>
      </w:r>
    </w:p>
    <w:p>
      <w:pPr>
        <w:spacing w:line="576" w:lineRule="exact"/>
        <w:ind w:firstLine="640"/>
        <w:rPr>
          <w:rFonts w:ascii="仿宋_GB2312" w:hAnsi="Cambria" w:eastAsia="仿宋_GB2312" w:cs="仿宋_GB2312"/>
          <w:color w:val="000000"/>
          <w:sz w:val="32"/>
          <w:szCs w:val="32"/>
          <w:lang w:val="zh-CN"/>
        </w:rPr>
      </w:pPr>
      <w:r>
        <w:rPr>
          <w:rFonts w:ascii="仿宋_GB2312" w:hAnsi="Cambria" w:eastAsia="仿宋_GB2312" w:cs="仿宋_GB2312"/>
          <w:color w:val="000000"/>
          <w:sz w:val="32"/>
          <w:szCs w:val="32"/>
          <w:lang w:val="zh-CN"/>
        </w:rPr>
        <w:t>2022</w:t>
      </w:r>
      <w:r>
        <w:rPr>
          <w:rFonts w:hint="eastAsia" w:ascii="仿宋_GB2312" w:hAnsi="Cambria" w:eastAsia="仿宋_GB2312" w:cs="仿宋_GB2312"/>
          <w:color w:val="000000"/>
          <w:sz w:val="32"/>
          <w:szCs w:val="32"/>
          <w:lang w:val="zh-CN"/>
        </w:rPr>
        <w:t>年，中国共产党沐川县委员会组织部机关运行经费支出</w:t>
      </w:r>
      <w:r>
        <w:rPr>
          <w:rFonts w:ascii="仿宋_GB2312" w:hAnsi="Cambria" w:eastAsia="仿宋_GB2312" w:cs="仿宋_GB2312"/>
          <w:color w:val="000000"/>
          <w:sz w:val="32"/>
          <w:szCs w:val="32"/>
          <w:lang w:val="zh-CN"/>
        </w:rPr>
        <w:t>60.4</w:t>
      </w:r>
      <w:r>
        <w:rPr>
          <w:rFonts w:hint="eastAsia" w:ascii="仿宋_GB2312" w:hAnsi="Cambria" w:eastAsia="仿宋_GB2312" w:cs="仿宋_GB2312"/>
          <w:color w:val="000000"/>
          <w:sz w:val="32"/>
          <w:szCs w:val="32"/>
          <w:lang w:val="zh-CN"/>
        </w:rPr>
        <w:t>9万元，比</w:t>
      </w:r>
      <w:r>
        <w:rPr>
          <w:rFonts w:ascii="仿宋_GB2312" w:hAnsi="Cambria" w:eastAsia="仿宋_GB2312" w:cs="仿宋_GB2312"/>
          <w:color w:val="000000"/>
          <w:sz w:val="32"/>
          <w:szCs w:val="32"/>
          <w:lang w:val="zh-CN"/>
        </w:rPr>
        <w:t>2021</w:t>
      </w:r>
      <w:r>
        <w:rPr>
          <w:rFonts w:hint="eastAsia" w:ascii="仿宋_GB2312" w:hAnsi="Cambria" w:eastAsia="仿宋_GB2312" w:cs="仿宋_GB2312"/>
          <w:color w:val="000000"/>
          <w:sz w:val="32"/>
          <w:szCs w:val="32"/>
          <w:lang w:val="zh-CN"/>
        </w:rPr>
        <w:t>年减少</w:t>
      </w:r>
      <w:r>
        <w:rPr>
          <w:rFonts w:ascii="仿宋_GB2312" w:hAnsi="Cambria" w:eastAsia="仿宋_GB2312" w:cs="仿宋_GB2312"/>
          <w:color w:val="000000"/>
          <w:sz w:val="32"/>
          <w:szCs w:val="32"/>
          <w:lang w:val="zh-CN"/>
        </w:rPr>
        <w:t>1.85</w:t>
      </w:r>
      <w:r>
        <w:rPr>
          <w:rFonts w:hint="eastAsia" w:ascii="仿宋_GB2312" w:hAnsi="Cambria" w:eastAsia="仿宋_GB2312" w:cs="仿宋_GB2312"/>
          <w:color w:val="000000"/>
          <w:sz w:val="32"/>
          <w:szCs w:val="32"/>
          <w:lang w:val="zh-CN"/>
        </w:rPr>
        <w:t>万元，下降</w:t>
      </w:r>
      <w:r>
        <w:rPr>
          <w:rFonts w:ascii="仿宋_GB2312" w:hAnsi="Cambria" w:eastAsia="仿宋_GB2312" w:cs="仿宋_GB2312"/>
          <w:color w:val="000000"/>
          <w:sz w:val="32"/>
          <w:szCs w:val="32"/>
          <w:lang w:val="zh-CN"/>
        </w:rPr>
        <w:t>3%</w:t>
      </w:r>
      <w:r>
        <w:rPr>
          <w:rFonts w:hint="eastAsia" w:ascii="仿宋_GB2312" w:hAnsi="Cambria" w:eastAsia="仿宋_GB2312" w:cs="仿宋_GB2312"/>
          <w:color w:val="000000"/>
          <w:sz w:val="32"/>
          <w:szCs w:val="32"/>
          <w:lang w:val="zh-CN"/>
        </w:rPr>
        <w:t>。主要原因是厉行节约。</w:t>
      </w:r>
    </w:p>
    <w:p>
      <w:pPr>
        <w:spacing w:line="600" w:lineRule="exact"/>
        <w:ind w:firstLine="643"/>
        <w:rPr>
          <w:rFonts w:ascii="仿宋" w:hAnsi="Cambria" w:eastAsia="仿宋" w:cs="仿宋"/>
          <w:b/>
          <w:bCs/>
          <w:sz w:val="32"/>
          <w:szCs w:val="32"/>
        </w:rPr>
      </w:pPr>
      <w:r>
        <w:rPr>
          <w:rFonts w:hint="eastAsia" w:ascii="仿宋" w:hAnsi="Cambria" w:eastAsia="仿宋" w:cs="仿宋"/>
          <w:b/>
          <w:bCs/>
          <w:sz w:val="32"/>
          <w:szCs w:val="32"/>
        </w:rPr>
        <w:t>（注：数据来源于财决附</w:t>
      </w:r>
      <w:r>
        <w:rPr>
          <w:rFonts w:ascii="仿宋" w:hAnsi="Cambria" w:eastAsia="仿宋" w:cs="仿宋"/>
          <w:b/>
          <w:bCs/>
          <w:sz w:val="32"/>
          <w:szCs w:val="32"/>
        </w:rPr>
        <w:t>03</w:t>
      </w:r>
      <w:r>
        <w:rPr>
          <w:rFonts w:hint="eastAsia" w:ascii="仿宋" w:hAnsi="Cambria" w:eastAsia="仿宋" w:cs="仿宋"/>
          <w:b/>
          <w:bCs/>
          <w:sz w:val="32"/>
          <w:szCs w:val="32"/>
        </w:rPr>
        <w:t>表）</w:t>
      </w:r>
    </w:p>
    <w:p>
      <w:pPr>
        <w:spacing w:line="600" w:lineRule="exact"/>
        <w:ind w:firstLine="643"/>
        <w:rPr>
          <w:rFonts w:ascii="仿宋" w:hAnsi="Cambria" w:eastAsia="仿宋" w:cs="仿宋"/>
          <w:b/>
          <w:bCs/>
          <w:sz w:val="32"/>
          <w:szCs w:val="32"/>
        </w:rPr>
      </w:pPr>
      <w:r>
        <w:rPr>
          <w:rFonts w:hint="eastAsia" w:ascii="仿宋_GB2312" w:hAnsi="Cambria" w:eastAsia="仿宋_GB2312" w:cs="仿宋_GB2312"/>
          <w:b/>
          <w:bCs/>
          <w:color w:val="000000"/>
          <w:sz w:val="32"/>
          <w:szCs w:val="32"/>
          <w:lang w:val="zh-CN"/>
        </w:rPr>
        <w:t>（二）政府采购支出情况</w:t>
      </w:r>
    </w:p>
    <w:p>
      <w:pPr>
        <w:spacing w:line="576" w:lineRule="exact"/>
        <w:ind w:firstLine="640"/>
        <w:rPr>
          <w:rFonts w:ascii="仿宋_GB2312" w:hAnsi="Cambria" w:eastAsia="仿宋_GB2312" w:cs="仿宋_GB2312"/>
          <w:color w:val="000000"/>
          <w:sz w:val="32"/>
          <w:szCs w:val="32"/>
          <w:lang w:val="zh-CN"/>
        </w:rPr>
      </w:pPr>
      <w:r>
        <w:rPr>
          <w:rFonts w:ascii="仿宋_GB2312" w:hAnsi="Cambria" w:eastAsia="仿宋_GB2312" w:cs="仿宋_GB2312"/>
          <w:color w:val="000000"/>
          <w:sz w:val="32"/>
          <w:szCs w:val="32"/>
          <w:lang w:val="zh-CN"/>
        </w:rPr>
        <w:t>2022</w:t>
      </w:r>
      <w:r>
        <w:rPr>
          <w:rFonts w:hint="eastAsia" w:ascii="仿宋_GB2312" w:hAnsi="Cambria" w:eastAsia="仿宋_GB2312" w:cs="仿宋_GB2312"/>
          <w:color w:val="000000"/>
          <w:sz w:val="32"/>
          <w:szCs w:val="32"/>
          <w:lang w:val="zh-CN"/>
        </w:rPr>
        <w:t>年，中国共产党沐川县委员会组织部政府采购支出总额</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万元，其中：政府采购货物支出</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万元、政府采购工程支出</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万元、政府采购服务支出</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万元。主要用于</w:t>
      </w:r>
      <w:r>
        <w:rPr>
          <w:rFonts w:hint="eastAsia" w:ascii="仿宋_GB2312" w:hAnsi="Cambria" w:eastAsia="仿宋_GB2312" w:cs="仿宋_GB2312"/>
          <w:color w:val="000000"/>
          <w:sz w:val="32"/>
          <w:szCs w:val="32"/>
          <w:highlight w:val="white"/>
          <w:lang w:val="zh-CN"/>
        </w:rPr>
        <w:t>…</w:t>
      </w:r>
      <w:r>
        <w:rPr>
          <w:rFonts w:hint="eastAsia" w:ascii="仿宋_GB2312" w:hAnsi="Cambria" w:eastAsia="仿宋_GB2312" w:cs="仿宋_GB2312"/>
          <w:color w:val="000000"/>
          <w:sz w:val="32"/>
          <w:szCs w:val="32"/>
          <w:highlight w:val="white"/>
        </w:rPr>
        <w:t>（具体工作）</w:t>
      </w:r>
      <w:r>
        <w:rPr>
          <w:rFonts w:hint="eastAsia" w:ascii="仿宋_GB2312" w:hAnsi="Cambria" w:eastAsia="仿宋_GB2312" w:cs="仿宋_GB2312"/>
          <w:color w:val="000000"/>
          <w:sz w:val="32"/>
          <w:szCs w:val="32"/>
          <w:highlight w:val="white"/>
          <w:lang w:val="zh-CN"/>
        </w:rPr>
        <w:t>。</w:t>
      </w:r>
      <w:r>
        <w:rPr>
          <w:rFonts w:hint="eastAsia" w:ascii="仿宋_GB2312" w:hAnsi="Cambria" w:eastAsia="仿宋_GB2312" w:cs="仿宋_GB2312"/>
          <w:color w:val="000000"/>
          <w:sz w:val="32"/>
          <w:szCs w:val="32"/>
          <w:lang w:val="zh-CN"/>
        </w:rPr>
        <w:t>授予中小企业合同金额</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万元，占政府采购支出总额的</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，其中：授予小微企业合同金额</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万元，</w:t>
      </w:r>
      <w:r>
        <w:rPr>
          <w:rFonts w:hint="eastAsia" w:ascii="仿宋_GB2312" w:hAnsi="Cambria" w:eastAsia="仿宋_GB2312" w:cs="仿宋_GB2312"/>
          <w:sz w:val="32"/>
          <w:szCs w:val="32"/>
        </w:rPr>
        <w:t>占政府采购支出总额的</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w:t>
      </w:r>
    </w:p>
    <w:p>
      <w:pPr>
        <w:spacing w:line="600" w:lineRule="exact"/>
        <w:ind w:firstLine="643"/>
        <w:rPr>
          <w:rFonts w:ascii="仿宋" w:hAnsi="Cambria" w:eastAsia="仿宋" w:cs="仿宋"/>
          <w:b/>
          <w:bCs/>
          <w:sz w:val="32"/>
          <w:szCs w:val="32"/>
        </w:rPr>
      </w:pPr>
      <w:r>
        <w:rPr>
          <w:rFonts w:hint="eastAsia" w:ascii="仿宋" w:hAnsi="Cambria" w:eastAsia="仿宋" w:cs="仿宋"/>
          <w:b/>
          <w:bCs/>
          <w:sz w:val="32"/>
          <w:szCs w:val="32"/>
        </w:rPr>
        <w:t>（注：数据来源于财决附</w:t>
      </w:r>
      <w:r>
        <w:rPr>
          <w:rFonts w:ascii="仿宋" w:hAnsi="Cambria" w:eastAsia="仿宋" w:cs="仿宋"/>
          <w:b/>
          <w:bCs/>
          <w:sz w:val="32"/>
          <w:szCs w:val="32"/>
        </w:rPr>
        <w:t>03</w:t>
      </w:r>
      <w:r>
        <w:rPr>
          <w:rFonts w:hint="eastAsia" w:ascii="仿宋" w:hAnsi="Cambria" w:eastAsia="仿宋" w:cs="仿宋"/>
          <w:b/>
          <w:bCs/>
          <w:sz w:val="32"/>
          <w:szCs w:val="32"/>
        </w:rPr>
        <w:t>表）</w:t>
      </w:r>
    </w:p>
    <w:p>
      <w:pPr>
        <w:spacing w:line="600" w:lineRule="exact"/>
        <w:ind w:firstLine="643"/>
        <w:rPr>
          <w:rFonts w:ascii="仿宋_GB2312" w:hAnsi="Cambria" w:eastAsia="仿宋_GB2312" w:cs="仿宋_GB2312"/>
          <w:b/>
          <w:bCs/>
          <w:color w:val="000000"/>
          <w:sz w:val="32"/>
          <w:szCs w:val="32"/>
          <w:lang w:val="zh-CN"/>
        </w:rPr>
      </w:pPr>
      <w:r>
        <w:rPr>
          <w:rFonts w:hint="eastAsia" w:ascii="仿宋_GB2312" w:hAnsi="Cambria" w:eastAsia="仿宋_GB2312" w:cs="仿宋_GB2312"/>
          <w:b/>
          <w:bCs/>
          <w:color w:val="000000"/>
          <w:sz w:val="32"/>
          <w:szCs w:val="32"/>
          <w:lang w:val="zh-CN"/>
        </w:rPr>
        <w:t>（三）国有资产占有使用情况</w:t>
      </w:r>
    </w:p>
    <w:p>
      <w:pPr>
        <w:spacing w:line="576" w:lineRule="exact"/>
        <w:ind w:firstLine="640"/>
        <w:rPr>
          <w:rFonts w:ascii="仿宋_GB2312" w:hAnsi="Cambria" w:eastAsia="仿宋_GB2312" w:cs="仿宋_GB2312"/>
          <w:color w:val="000000"/>
          <w:sz w:val="32"/>
          <w:szCs w:val="32"/>
          <w:lang w:val="zh-CN"/>
        </w:rPr>
      </w:pPr>
      <w:r>
        <w:rPr>
          <w:rFonts w:hint="eastAsia" w:ascii="仿宋_GB2312" w:hAnsi="Cambria" w:eastAsia="仿宋_GB2312" w:cs="仿宋_GB2312"/>
          <w:color w:val="000000"/>
          <w:sz w:val="32"/>
          <w:szCs w:val="32"/>
          <w:lang w:val="zh-CN"/>
        </w:rPr>
        <w:t>截至</w:t>
      </w:r>
      <w:r>
        <w:rPr>
          <w:rFonts w:ascii="仿宋_GB2312" w:hAnsi="Cambria" w:eastAsia="仿宋_GB2312" w:cs="仿宋_GB2312"/>
          <w:color w:val="000000"/>
          <w:sz w:val="32"/>
          <w:szCs w:val="32"/>
          <w:lang w:val="zh-CN"/>
        </w:rPr>
        <w:t>2022</w:t>
      </w:r>
      <w:r>
        <w:rPr>
          <w:rFonts w:hint="eastAsia" w:ascii="仿宋_GB2312" w:hAnsi="Cambria" w:eastAsia="仿宋_GB2312" w:cs="仿宋_GB2312"/>
          <w:color w:val="000000"/>
          <w:sz w:val="32"/>
          <w:szCs w:val="32"/>
          <w:lang w:val="zh-CN"/>
        </w:rPr>
        <w:t>年</w:t>
      </w:r>
      <w:r>
        <w:rPr>
          <w:rFonts w:ascii="仿宋_GB2312" w:hAnsi="Cambria" w:eastAsia="仿宋_GB2312" w:cs="仿宋_GB2312"/>
          <w:color w:val="000000"/>
          <w:sz w:val="32"/>
          <w:szCs w:val="32"/>
          <w:lang w:val="zh-CN"/>
        </w:rPr>
        <w:t>12</w:t>
      </w:r>
      <w:r>
        <w:rPr>
          <w:rFonts w:hint="eastAsia" w:ascii="仿宋_GB2312" w:hAnsi="Cambria" w:eastAsia="仿宋_GB2312" w:cs="仿宋_GB2312"/>
          <w:color w:val="000000"/>
          <w:sz w:val="32"/>
          <w:szCs w:val="32"/>
          <w:lang w:val="zh-CN"/>
        </w:rPr>
        <w:t>月</w:t>
      </w:r>
      <w:r>
        <w:rPr>
          <w:rFonts w:ascii="仿宋_GB2312" w:hAnsi="Cambria" w:eastAsia="仿宋_GB2312" w:cs="仿宋_GB2312"/>
          <w:color w:val="000000"/>
          <w:sz w:val="32"/>
          <w:szCs w:val="32"/>
          <w:lang w:val="zh-CN"/>
        </w:rPr>
        <w:t>31</w:t>
      </w:r>
      <w:r>
        <w:rPr>
          <w:rFonts w:hint="eastAsia" w:ascii="仿宋_GB2312" w:hAnsi="Cambria" w:eastAsia="仿宋_GB2312" w:cs="仿宋_GB2312"/>
          <w:color w:val="000000"/>
          <w:sz w:val="32"/>
          <w:szCs w:val="32"/>
          <w:lang w:val="zh-CN"/>
        </w:rPr>
        <w:t>日，中国共产党沐川县委员会组织部共有车辆</w:t>
      </w:r>
      <w:r>
        <w:rPr>
          <w:rFonts w:ascii="仿宋_GB2312" w:hAnsi="Cambria" w:eastAsia="仿宋_GB2312" w:cs="仿宋_GB2312"/>
          <w:color w:val="000000"/>
          <w:sz w:val="32"/>
          <w:szCs w:val="32"/>
          <w:lang w:val="zh-CN"/>
        </w:rPr>
        <w:t>1</w:t>
      </w:r>
      <w:r>
        <w:rPr>
          <w:rFonts w:hint="eastAsia" w:ascii="仿宋_GB2312" w:hAnsi="Cambria" w:eastAsia="仿宋_GB2312" w:cs="仿宋_GB2312"/>
          <w:color w:val="000000"/>
          <w:sz w:val="32"/>
          <w:szCs w:val="32"/>
          <w:lang w:val="zh-CN"/>
        </w:rPr>
        <w:t>辆，其中：副部（省）级及以上领导用车</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辆、主要领导干部用车</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辆、机要通信用车</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辆、应急保障用车</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辆、执法执勤用车</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辆、特种专业技术用车</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辆、离退休干部用车</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辆、其他用车</w:t>
      </w:r>
      <w:r>
        <w:rPr>
          <w:rFonts w:ascii="仿宋_GB2312" w:hAnsi="Cambria" w:eastAsia="仿宋_GB2312" w:cs="仿宋_GB2312"/>
          <w:color w:val="000000"/>
          <w:sz w:val="32"/>
          <w:szCs w:val="32"/>
          <w:lang w:val="zh-CN"/>
        </w:rPr>
        <w:t>1</w:t>
      </w:r>
      <w:r>
        <w:rPr>
          <w:rFonts w:hint="eastAsia" w:ascii="仿宋_GB2312" w:hAnsi="Cambria" w:eastAsia="仿宋_GB2312" w:cs="仿宋_GB2312"/>
          <w:color w:val="000000"/>
          <w:sz w:val="32"/>
          <w:szCs w:val="32"/>
          <w:lang w:val="zh-CN"/>
        </w:rPr>
        <w:t>辆。其中：单价</w:t>
      </w:r>
      <w:r>
        <w:rPr>
          <w:rFonts w:ascii="仿宋_GB2312" w:hAnsi="Cambria" w:eastAsia="仿宋_GB2312" w:cs="仿宋_GB2312"/>
          <w:color w:val="000000"/>
          <w:sz w:val="32"/>
          <w:szCs w:val="32"/>
          <w:lang w:val="zh-CN"/>
        </w:rPr>
        <w:t>100</w:t>
      </w:r>
      <w:r>
        <w:rPr>
          <w:rFonts w:hint="eastAsia" w:ascii="仿宋_GB2312" w:hAnsi="Cambria" w:eastAsia="仿宋_GB2312" w:cs="仿宋_GB2312"/>
          <w:color w:val="000000"/>
          <w:sz w:val="32"/>
          <w:szCs w:val="32"/>
          <w:lang w:val="zh-CN"/>
        </w:rPr>
        <w:t>万元（含）以上设备</w:t>
      </w:r>
      <w:r>
        <w:rPr>
          <w:rFonts w:ascii="仿宋_GB2312" w:hAnsi="Cambria" w:eastAsia="仿宋_GB2312" w:cs="仿宋_GB2312"/>
          <w:color w:val="000000"/>
          <w:sz w:val="32"/>
          <w:szCs w:val="32"/>
          <w:lang w:val="zh-CN"/>
        </w:rPr>
        <w:t>0</w:t>
      </w:r>
      <w:r>
        <w:rPr>
          <w:rFonts w:hint="eastAsia" w:ascii="仿宋_GB2312" w:hAnsi="Cambria" w:eastAsia="仿宋_GB2312" w:cs="仿宋_GB2312"/>
          <w:color w:val="000000"/>
          <w:sz w:val="32"/>
          <w:szCs w:val="32"/>
          <w:lang w:val="zh-CN"/>
        </w:rPr>
        <w:t>台（套</w:t>
      </w:r>
      <w:r>
        <w:rPr>
          <w:rFonts w:ascii="仿宋_GB2312" w:hAnsi="Cambria" w:eastAsia="仿宋_GB2312" w:cs="仿宋_GB2312"/>
          <w:color w:val="000000"/>
          <w:sz w:val="32"/>
          <w:szCs w:val="32"/>
          <w:lang w:val="zh-CN"/>
        </w:rPr>
        <w:t>)</w:t>
      </w:r>
      <w:r>
        <w:rPr>
          <w:rFonts w:hint="eastAsia" w:ascii="仿宋_GB2312" w:hAnsi="Cambria" w:eastAsia="仿宋_GB2312" w:cs="仿宋_GB2312"/>
          <w:color w:val="000000"/>
          <w:sz w:val="32"/>
          <w:szCs w:val="32"/>
          <w:lang w:val="zh-CN"/>
        </w:rPr>
        <w:t>。</w:t>
      </w:r>
    </w:p>
    <w:p>
      <w:pPr>
        <w:spacing w:line="600" w:lineRule="exact"/>
        <w:ind w:firstLine="643"/>
        <w:rPr>
          <w:rFonts w:ascii="仿宋" w:hAnsi="Cambria" w:eastAsia="仿宋" w:cs="仿宋"/>
          <w:b/>
          <w:bCs/>
          <w:sz w:val="32"/>
          <w:szCs w:val="32"/>
        </w:rPr>
      </w:pPr>
      <w:r>
        <w:rPr>
          <w:rFonts w:hint="eastAsia" w:ascii="仿宋" w:hAnsi="Cambria" w:eastAsia="仿宋" w:cs="仿宋"/>
          <w:b/>
          <w:bCs/>
          <w:sz w:val="32"/>
          <w:szCs w:val="32"/>
        </w:rPr>
        <w:t>（注：数据来源于财决附</w:t>
      </w:r>
      <w:r>
        <w:rPr>
          <w:rFonts w:ascii="仿宋" w:hAnsi="Cambria" w:eastAsia="仿宋" w:cs="仿宋"/>
          <w:b/>
          <w:bCs/>
          <w:sz w:val="32"/>
          <w:szCs w:val="32"/>
        </w:rPr>
        <w:t>03</w:t>
      </w:r>
      <w:r>
        <w:rPr>
          <w:rFonts w:hint="eastAsia" w:ascii="仿宋" w:hAnsi="Cambria" w:eastAsia="仿宋" w:cs="仿宋"/>
          <w:b/>
          <w:bCs/>
          <w:sz w:val="32"/>
          <w:szCs w:val="32"/>
        </w:rPr>
        <w:t>表，按部门决算报表填报数据罗列车辆情况。）</w:t>
      </w:r>
    </w:p>
    <w:p>
      <w:pPr>
        <w:spacing w:line="600" w:lineRule="exact"/>
        <w:ind w:firstLine="643"/>
        <w:rPr>
          <w:rFonts w:ascii="仿宋" w:hAnsi="Cambria" w:eastAsia="仿宋" w:cs="仿宋"/>
          <w:b/>
          <w:bCs/>
          <w:sz w:val="32"/>
          <w:szCs w:val="32"/>
        </w:rPr>
      </w:pPr>
      <w:r>
        <w:rPr>
          <w:rFonts w:hint="eastAsia" w:ascii="仿宋_GB2312" w:hAnsi="Cambria" w:eastAsia="仿宋_GB2312" w:cs="仿宋_GB2312"/>
          <w:b/>
          <w:bCs/>
          <w:color w:val="000000"/>
          <w:sz w:val="32"/>
          <w:szCs w:val="32"/>
          <w:lang w:val="zh-CN"/>
        </w:rPr>
        <w:t>（四）预算绩效管理情况。</w:t>
      </w:r>
    </w:p>
    <w:p>
      <w:pPr>
        <w:spacing w:line="576" w:lineRule="exact"/>
        <w:ind w:firstLine="640"/>
        <w:rPr>
          <w:rFonts w:ascii="仿宋_GB2312" w:hAnsi="Cambria" w:eastAsia="仿宋_GB2312" w:cs="仿宋_GB2312"/>
          <w:sz w:val="32"/>
          <w:szCs w:val="32"/>
        </w:rPr>
      </w:pPr>
      <w:r>
        <w:rPr>
          <w:rFonts w:hint="eastAsia" w:ascii="仿宋_GB2312" w:hAnsi="Cambria" w:eastAsia="仿宋_GB2312" w:cs="仿宋_GB2312"/>
          <w:sz w:val="32"/>
          <w:szCs w:val="32"/>
        </w:rPr>
        <w:t>根据预算绩效管理要求，本部门在</w:t>
      </w:r>
      <w:r>
        <w:rPr>
          <w:rFonts w:ascii="仿宋_GB2312" w:hAnsi="Cambria" w:eastAsia="仿宋_GB2312" w:cs="仿宋_GB2312"/>
          <w:sz w:val="32"/>
          <w:szCs w:val="32"/>
        </w:rPr>
        <w:t>2022</w:t>
      </w:r>
      <w:r>
        <w:rPr>
          <w:rFonts w:hint="eastAsia" w:ascii="仿宋_GB2312" w:hAnsi="Cambria" w:eastAsia="仿宋_GB2312" w:cs="仿宋_GB2312"/>
          <w:sz w:val="32"/>
          <w:szCs w:val="32"/>
        </w:rPr>
        <w:t>年度预算编制阶段，组织对老干部关爱慰问经费、县级领导干部体检费、党员教育培训经费等14个项目开展了预算事前绩效评估，对1个项目编制了绩效目标，预算执行过程中，选取1个项目开展绩效监控。</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党员教育培训经费”项目绩效目标完成情况综述。项目全年预算数10万元，执行数为6.85万元，完成预算的68.5%。通过项目实施，加大了党员干部思想政治教育、提高党员干部人才理论综合素质。发现的主要问题：党员教育工作内容方式单一、创新不多，其他基层党组织重视程度不够；党员教育覆盖面不广。下一步改进措施：丰富载体，保持党员教育管理工作的多样性。逐步改变过去那种机械的、灌输式、说教式的教育方式，采取灵活多样的、党员喜闻乐见的教育方式方法，开展各种学习教育活动，调动党员参与学习的积极性。</w:t>
      </w: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bCs/>
                <w:color w:val="000000"/>
                <w:kern w:val="0"/>
                <w:sz w:val="36"/>
                <w:szCs w:val="36"/>
                <w:lang w:bidi="ar"/>
              </w:rPr>
            </w:pPr>
            <w:r>
              <w:rPr>
                <w:rFonts w:hint="eastAsia" w:ascii="宋体" w:hAnsi="宋体" w:cs="宋体"/>
                <w:b/>
                <w:bCs/>
                <w:color w:val="000000"/>
                <w:kern w:val="0"/>
                <w:sz w:val="36"/>
                <w:szCs w:val="36"/>
                <w:lang w:bidi="ar"/>
              </w:rPr>
              <w:t>项目绩效目标完成情况表</w:t>
            </w:r>
          </w:p>
          <w:p>
            <w:pPr>
              <w:widowControl/>
              <w:jc w:val="center"/>
              <w:textAlignment w:val="center"/>
              <w:rPr>
                <w:rFonts w:ascii="宋体" w:cs="宋体"/>
                <w:color w:val="000000"/>
                <w:sz w:val="36"/>
                <w:szCs w:val="36"/>
              </w:rPr>
            </w:pPr>
            <w:r>
              <w:rPr>
                <w:rFonts w:ascii="宋体" w:hAnsi="宋体" w:cs="宋体"/>
                <w:color w:val="000000"/>
                <w:kern w:val="0"/>
                <w:sz w:val="36"/>
                <w:szCs w:val="36"/>
                <w:lang w:bidi="ar"/>
              </w:rPr>
              <w:t>(202</w:t>
            </w:r>
            <w:r>
              <w:rPr>
                <w:rFonts w:hint="eastAsia" w:ascii="宋体" w:hAnsi="宋体" w:cs="宋体"/>
                <w:color w:val="000000"/>
                <w:kern w:val="0"/>
                <w:sz w:val="36"/>
                <w:szCs w:val="36"/>
                <w:lang w:bidi="ar"/>
              </w:rPr>
              <w:t>2年度</w:t>
            </w:r>
            <w:r>
              <w:rPr>
                <w:rFonts w:ascii="宋体" w:hAnsi="宋体" w:cs="宋体"/>
                <w:color w:val="000000"/>
                <w:kern w:val="0"/>
                <w:sz w:val="36"/>
                <w:szCs w:val="36"/>
                <w:lang w:bidi="ar"/>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党员教育培训经费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组织部</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预算执行情况</w:t>
            </w:r>
            <w:r>
              <w:rPr>
                <w:rFonts w:ascii="宋体" w:hAnsi="宋体" w:cs="宋体"/>
                <w:color w:val="000000"/>
                <w:kern w:val="0"/>
                <w:sz w:val="24"/>
                <w:lang w:bidi="ar"/>
              </w:rPr>
              <w:t>(</w:t>
            </w:r>
            <w:r>
              <w:rPr>
                <w:rFonts w:hint="eastAsia" w:ascii="宋体" w:hAnsi="宋体" w:cs="宋体"/>
                <w:color w:val="000000"/>
                <w:kern w:val="0"/>
                <w:sz w:val="24"/>
                <w:lang w:bidi="ar"/>
              </w:rPr>
              <w:t>万元</w:t>
            </w:r>
            <w:r>
              <w:rPr>
                <w:rFonts w:ascii="宋体" w:hAnsi="宋体" w:cs="宋体"/>
                <w:color w:val="000000"/>
                <w:kern w:val="0"/>
                <w:sz w:val="24"/>
                <w:lang w:bidi="ar"/>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预算数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执行数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6.85万元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其中</w:t>
            </w:r>
            <w:r>
              <w:rPr>
                <w:rFonts w:ascii="宋体" w:cs="宋体"/>
                <w:color w:val="000000"/>
                <w:kern w:val="0"/>
                <w:sz w:val="24"/>
                <w:lang w:bidi="ar"/>
              </w:rPr>
              <w:t>-</w:t>
            </w:r>
            <w:r>
              <w:rPr>
                <w:rFonts w:hint="eastAsia" w:ascii="宋体" w:hAnsi="宋体" w:cs="宋体"/>
                <w:color w:val="000000"/>
                <w:kern w:val="0"/>
                <w:sz w:val="24"/>
                <w:lang w:bidi="ar"/>
              </w:rPr>
              <w:t>财政拨款</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其它资金</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全县党员干部培训全覆盖</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举办入党积极分子、党组织书记培训班</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预期指标值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实际完成指标值</w:t>
            </w:r>
            <w:r>
              <w:rPr>
                <w:rFonts w:ascii="宋体" w:hAnsi="宋体" w:cs="宋体"/>
                <w:color w:val="000000"/>
                <w:kern w:val="0"/>
                <w:sz w:val="24"/>
                <w:lang w:bidi="ar"/>
              </w:rPr>
              <w:t>(</w:t>
            </w:r>
            <w:r>
              <w:rPr>
                <w:rFonts w:hint="eastAsia" w:ascii="宋体" w:hAnsi="宋体" w:cs="宋体"/>
                <w:color w:val="000000"/>
                <w:kern w:val="0"/>
                <w:sz w:val="24"/>
                <w:lang w:bidi="ar"/>
              </w:rPr>
              <w:t>包含数字及文字描述</w:t>
            </w:r>
            <w:r>
              <w:rPr>
                <w:rFonts w:ascii="宋体" w:hAnsi="宋体" w:cs="宋体"/>
                <w:color w:val="000000"/>
                <w:kern w:val="0"/>
                <w:sz w:val="24"/>
                <w:lang w:bidi="ar"/>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完成党员干部培训</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rPr>
              <w:t>举办入党积极分子培训班、党组织书记培训班</w:t>
            </w:r>
          </w:p>
          <w:p>
            <w:pPr>
              <w:widowControl/>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党员干部理论水平、业务水平进一步提高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显著提高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显著提高</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县委县政府、上级业务部门的满意度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95%以上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bl>
    <w:p>
      <w:pPr>
        <w:spacing w:line="580" w:lineRule="exact"/>
        <w:ind w:firstLine="800" w:firstLineChars="250"/>
        <w:rPr>
          <w:rFonts w:ascii="楷体_GB2312" w:hAnsi="楷体_GB2312" w:eastAsia="楷体_GB2312" w:cs="楷体_GB2312"/>
          <w:sz w:val="32"/>
          <w:szCs w:val="32"/>
        </w:rPr>
      </w:pPr>
    </w:p>
    <w:p>
      <w:pPr>
        <w:spacing w:line="580" w:lineRule="exact"/>
        <w:ind w:firstLine="800" w:firstLineChars="25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2年部门整体支出绩效评价情况开展自评，《组织部</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2年部门整体支出绩效评价报告》见附件（附件1）。</w:t>
      </w:r>
      <w:r>
        <w:rPr>
          <w:rFonts w:hint="eastAsia" w:ascii="仿宋_GB2312" w:hAnsi="Cambria" w:eastAsia="仿宋_GB2312" w:cs="仿宋_GB2312"/>
          <w:sz w:val="32"/>
          <w:szCs w:val="32"/>
        </w:rPr>
        <w:t>组织对</w:t>
      </w:r>
      <w:r>
        <w:rPr>
          <w:rFonts w:ascii="仿宋_GB2312" w:hAnsi="Cambria" w:eastAsia="仿宋_GB2312" w:cs="仿宋_GB2312"/>
          <w:sz w:val="32"/>
          <w:szCs w:val="32"/>
        </w:rPr>
        <w:t>2022</w:t>
      </w:r>
      <w:r>
        <w:rPr>
          <w:rFonts w:hint="eastAsia" w:ascii="仿宋_GB2312" w:hAnsi="Cambria" w:eastAsia="仿宋_GB2312" w:cs="仿宋_GB2312"/>
          <w:sz w:val="32"/>
          <w:szCs w:val="32"/>
        </w:rPr>
        <w:t>年度一般公共预算全面开展绩效自评，形成组织部绩效自评报告，其中，组织部门部门整体绩效自评得分为98分，绩效自评综述：党员教育培训经费自评综合绩效良好，绩效自评报告详见附件。</w:t>
      </w:r>
    </w:p>
    <w:p>
      <w:pPr>
        <w:spacing w:line="600" w:lineRule="exact"/>
        <w:ind w:firstLine="643"/>
        <w:rPr>
          <w:rFonts w:ascii="仿宋" w:hAnsi="Times New Roman" w:eastAsia="仿宋" w:cs="仿宋"/>
          <w:b/>
          <w:bCs/>
          <w:sz w:val="32"/>
          <w:szCs w:val="32"/>
        </w:rPr>
      </w:pPr>
    </w:p>
    <w:p>
      <w:pPr>
        <w:spacing w:line="600" w:lineRule="exact"/>
        <w:ind w:firstLine="1285" w:firstLineChars="400"/>
        <w:rPr>
          <w:rFonts w:ascii="仿宋" w:hAnsi="Times New Roman" w:eastAsia="仿宋" w:cs="仿宋"/>
          <w:b/>
          <w:bCs/>
          <w:sz w:val="32"/>
          <w:szCs w:val="32"/>
        </w:rPr>
      </w:pPr>
      <w:r>
        <w:rPr>
          <w:rFonts w:hint="eastAsia" w:ascii="仿宋" w:hAnsi="Times New Roman" w:eastAsia="仿宋" w:cs="仿宋"/>
          <w:b/>
          <w:bCs/>
          <w:sz w:val="32"/>
          <w:szCs w:val="32"/>
        </w:rPr>
        <w:t xml:space="preserve">     </w:t>
      </w:r>
      <w:r>
        <w:rPr>
          <w:rFonts w:hint="eastAsia" w:ascii="黑体" w:hAnsi="Cambria" w:eastAsia="黑体" w:cs="黑体"/>
          <w:color w:val="000000"/>
          <w:sz w:val="44"/>
          <w:szCs w:val="44"/>
          <w:lang w:val="zh-CN"/>
        </w:rPr>
        <w:t>第三部分</w:t>
      </w:r>
      <w:r>
        <w:rPr>
          <w:rFonts w:ascii="黑体" w:hAnsi="Cambria" w:eastAsia="黑体" w:cs="黑体"/>
          <w:color w:val="000000"/>
          <w:sz w:val="44"/>
          <w:szCs w:val="44"/>
          <w:lang w:val="zh-CN"/>
        </w:rPr>
        <w:t xml:space="preserve"> </w:t>
      </w:r>
      <w:r>
        <w:rPr>
          <w:rFonts w:hint="eastAsia" w:ascii="黑体" w:hAnsi="Cambria" w:eastAsia="黑体" w:cs="黑体"/>
          <w:color w:val="000000"/>
          <w:sz w:val="44"/>
          <w:szCs w:val="44"/>
          <w:lang w:val="zh-CN"/>
        </w:rPr>
        <w:t>名</w:t>
      </w:r>
      <w:r>
        <w:rPr>
          <w:rFonts w:hint="eastAsia" w:ascii="黑体" w:hAnsi="Cambria" w:eastAsia="黑体" w:cs="黑体"/>
          <w:kern w:val="44"/>
          <w:sz w:val="44"/>
          <w:szCs w:val="44"/>
          <w:lang w:val="zh-CN"/>
        </w:rPr>
        <w:t>词解释</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财政拨款收入：反映单位从同级财政部门取得的财政预算资金。</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年初结转和结余：反映以前年度尚未完成、结转到本年按有关规定继续使用的资金。</w:t>
      </w:r>
      <w:r>
        <w:rPr>
          <w:rFonts w:ascii="仿宋_GB2312" w:eastAsia="仿宋_GB2312"/>
          <w:sz w:val="32"/>
          <w:szCs w:val="32"/>
        </w:rPr>
        <w:t xml:space="preserve"> </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7. 结余分配：指事业单位按照会计制度规定缴纳的所得税、提取的专用结余以及转入非财政拨款结余的金额等。</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rPr>
        <w:t>8.年末结转和结余：反映单位按有关规定结转到下年或以后年度继续使用的资金。</w:t>
      </w:r>
    </w:p>
    <w:p>
      <w:pPr>
        <w:spacing w:line="600" w:lineRule="exact"/>
        <w:ind w:firstLine="640" w:firstLineChars="200"/>
        <w:rPr>
          <w:rFonts w:ascii="仿宋_GB2312" w:eastAsia="仿宋_GB2312"/>
          <w:sz w:val="32"/>
          <w:szCs w:val="32"/>
        </w:rPr>
      </w:pPr>
      <w:r>
        <w:rPr>
          <w:rFonts w:hint="eastAsia" w:ascii="仿宋_GB2312" w:eastAsia="仿宋_GB2312"/>
          <w:color w:val="000000"/>
          <w:sz w:val="32"/>
          <w:szCs w:val="32"/>
        </w:rPr>
        <w:t>9、一般公共服务（类）组织事务（款）行政运行（项）：反映行政单位（包括实行公务员管理的事业单位）用于财政事务方面的基本支出。一般公共服务（类）组织事务（款）一般行政管理事务（项）反映行政单位（包括实行公务员管理的事业单位）未单独设置项级科目的其他用于财政事务方面的项目支出。一般公共服务（类）组织事务（款）事业运行（项）：</w:t>
      </w:r>
      <w:r>
        <w:rPr>
          <w:rFonts w:hint="eastAsia" w:ascii="仿宋_GB2312" w:eastAsia="仿宋_GB2312"/>
          <w:sz w:val="32"/>
          <w:szCs w:val="32"/>
        </w:rPr>
        <w:t>反映事业单位的基本支出。</w:t>
      </w:r>
    </w:p>
    <w:p>
      <w:pPr>
        <w:spacing w:line="600" w:lineRule="exact"/>
        <w:ind w:firstLine="640" w:firstLineChars="2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10.社会保障和就业（类）行政事业单位养支出（款）行政事业单位离退休（项）</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反映未实行归口管理的行政单位开支的离退休支出。社会保障和就业（类）行政事业单位离退休（款）机关事业单位养老保险缴费支出（项）：反映机关事业单位实施养老保险制度由单位缴纳的基本养老保险费支出。社会保障和就业（类）行政事业单位离退休（款）机关事业单位职业年金缴费支出（项）：反映机关事业单位实施职业年金制度由单位缴纳的职业年金支出。社会保障和就业（类）行政事业单位离退休（款）其他行政事业单位离退休支出（项）：反映除其他项目以外用于行政事业单位离退休方面的支出。社会保障和就业（类）抚恤（款）死亡抚恤（项）：反映按规定用于烈士和牺牲、病故人员家属的一次性和定期抚恤金以及丧葬补助费。</w:t>
      </w:r>
    </w:p>
    <w:p>
      <w:pPr>
        <w:spacing w:line="600" w:lineRule="exact"/>
        <w:ind w:firstLine="640" w:firstLineChars="200"/>
        <w:rPr>
          <w:rStyle w:val="15"/>
          <w:rFonts w:ascii="仿宋" w:hAnsi="仿宋" w:eastAsia="仿宋"/>
          <w:b w:val="0"/>
          <w:bCs/>
          <w:color w:val="000000"/>
          <w:sz w:val="32"/>
          <w:szCs w:val="32"/>
        </w:rPr>
      </w:pPr>
      <w:r>
        <w:rPr>
          <w:rStyle w:val="15"/>
          <w:rFonts w:hint="eastAsia" w:ascii="仿宋" w:hAnsi="仿宋" w:eastAsia="仿宋"/>
          <w:b w:val="0"/>
          <w:bCs/>
          <w:color w:val="000000"/>
          <w:sz w:val="32"/>
          <w:szCs w:val="32"/>
        </w:rPr>
        <w:t>11.卫生健康支出（类）行政事业单位医疗（款）行政单位医疗（项）</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反映财政部门安排的行政单位基本医疗保险缴费经费。 卫生健康支出（类）行政事业单位医疗（款）事业单位医疗（项）</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反映财政部门集中安排的事业单位基本医疗保险缴费经费。卫生健康支出（类）老龄卫生健康事务（款）老龄卫生健康事务（项）</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反映老龄卫生健康事务方面的支出。</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12.农林水支出（类）扶贫（款）生产发展（项）：反映用于农村贫困地区发展种植业、养殖业、畜牧业、农副产品加工等生产发展项目以及相关技术推广等方面的项目支出。农林水支出（类）扶贫（款）社会发展（项）：反映用于农村贫困地区中小学教育、文化、广播、电视医疗、卫生等方面的项目支出。农林水支出（类）扶贫（款）其他扶贫支出（项）：反映除规定项目以外其他用于扶贫方面的支出。</w:t>
      </w:r>
    </w:p>
    <w:p>
      <w:pPr>
        <w:spacing w:line="600" w:lineRule="exact"/>
        <w:ind w:firstLine="640" w:firstLineChars="200"/>
        <w:rPr>
          <w:rFonts w:ascii="仿宋_GB2312" w:eastAsia="仿宋_GB2312"/>
          <w:color w:val="000000"/>
          <w:sz w:val="32"/>
          <w:szCs w:val="32"/>
        </w:rPr>
      </w:pPr>
      <w:r>
        <w:rPr>
          <w:rFonts w:hint="eastAsia" w:ascii="仿宋" w:hAnsi="仿宋" w:eastAsia="仿宋"/>
          <w:color w:val="000000"/>
          <w:sz w:val="32"/>
          <w:szCs w:val="32"/>
        </w:rPr>
        <w:t>13.住房保障支出（类）住房改革支出（款）住房公积金（项）：反映行政事业单位按人力资源和社会保障部、财政部规定的基本工资和津补贴以及规定比例为职工缴纳的住房公积金。</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14.基本支出：指为保障机构正常运转、完成日常工作任务而发生的人员支出和公用支出。</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15.项目支出：指在基本支出之外为完成特定行政任务和事业发展目标所发生的支出。</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16.“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3"/>
        <w:rPr>
          <w:rFonts w:ascii="仿宋" w:hAnsi="Cambria" w:eastAsia="仿宋" w:cs="仿宋"/>
          <w:b/>
          <w:bCs/>
          <w:sz w:val="32"/>
          <w:szCs w:val="32"/>
        </w:rPr>
      </w:pPr>
      <w:r>
        <w:rPr>
          <w:rFonts w:hint="eastAsia" w:ascii="仿宋" w:hAnsi="Cambria" w:eastAsia="仿宋" w:cs="仿宋"/>
          <w:b/>
          <w:bCs/>
          <w:sz w:val="32"/>
          <w:szCs w:val="32"/>
        </w:rPr>
        <w:t>（名词解释部分请根据各部门实际列支情况罗列，并根据本部门职责职能增减名词解释内容。）</w:t>
      </w:r>
    </w:p>
    <w:p>
      <w:pPr>
        <w:ind w:firstLine="643"/>
        <w:rPr>
          <w:rFonts w:ascii="仿宋" w:hAnsi="Cambria" w:eastAsia="仿宋" w:cs="仿宋"/>
          <w:b/>
          <w:bCs/>
          <w:sz w:val="32"/>
          <w:szCs w:val="32"/>
        </w:rPr>
      </w:pPr>
    </w:p>
    <w:p>
      <w:pPr>
        <w:spacing w:line="600" w:lineRule="exact"/>
        <w:jc w:val="center"/>
        <w:rPr>
          <w:rFonts w:ascii="黑体" w:hAnsi="Cambria" w:eastAsia="黑体" w:cs="黑体"/>
          <w:kern w:val="44"/>
          <w:sz w:val="44"/>
          <w:szCs w:val="44"/>
        </w:rPr>
      </w:pPr>
      <w:r>
        <w:rPr>
          <w:rFonts w:hint="eastAsia" w:ascii="黑体" w:hAnsi="Cambria" w:eastAsia="黑体" w:cs="黑体"/>
          <w:sz w:val="44"/>
          <w:szCs w:val="44"/>
        </w:rPr>
        <w:t>第</w:t>
      </w:r>
      <w:r>
        <w:rPr>
          <w:rFonts w:hint="eastAsia" w:ascii="黑体" w:hAnsi="Cambria" w:eastAsia="黑体" w:cs="黑体"/>
          <w:kern w:val="44"/>
          <w:sz w:val="44"/>
          <w:szCs w:val="44"/>
        </w:rPr>
        <w:t>四部分</w:t>
      </w:r>
      <w:r>
        <w:rPr>
          <w:rFonts w:ascii="黑体" w:hAnsi="Cambria" w:eastAsia="黑体" w:cs="黑体"/>
          <w:kern w:val="44"/>
          <w:sz w:val="44"/>
          <w:szCs w:val="44"/>
        </w:rPr>
        <w:t xml:space="preserve"> </w:t>
      </w:r>
      <w:r>
        <w:rPr>
          <w:rFonts w:hint="eastAsia" w:ascii="黑体" w:hAnsi="Cambria" w:eastAsia="黑体" w:cs="黑体"/>
          <w:kern w:val="44"/>
          <w:sz w:val="44"/>
          <w:szCs w:val="44"/>
        </w:rPr>
        <w:t>附件</w:t>
      </w:r>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w:t>
      </w:r>
      <w:r>
        <w:rPr>
          <w:rFonts w:ascii="黑体" w:hAnsi="黑体" w:eastAsia="黑体" w:cs="黑体"/>
          <w:sz w:val="32"/>
          <w:szCs w:val="32"/>
        </w:rPr>
        <w:t>1</w:t>
      </w:r>
    </w:p>
    <w:p>
      <w:pPr>
        <w:widowControl/>
        <w:adjustRightInd w:val="0"/>
        <w:snapToGrid w:val="0"/>
        <w:spacing w:line="600" w:lineRule="exact"/>
        <w:ind w:firstLine="720"/>
        <w:jc w:val="center"/>
        <w:rPr>
          <w:rFonts w:ascii="黑体" w:hAnsi="黑体" w:eastAsia="黑体" w:cs="宋体"/>
          <w:b/>
          <w:color w:val="000000"/>
          <w:kern w:val="0"/>
          <w:sz w:val="44"/>
          <w:szCs w:val="44"/>
        </w:rPr>
      </w:pPr>
      <w:r>
        <w:rPr>
          <w:rFonts w:hint="eastAsia" w:ascii="黑体" w:hAnsi="黑体" w:eastAsia="黑体" w:cs="宋体"/>
          <w:b/>
          <w:color w:val="000000"/>
          <w:kern w:val="0"/>
          <w:sz w:val="44"/>
          <w:szCs w:val="44"/>
        </w:rPr>
        <w:t>2022年部门整体支出绩效报告</w:t>
      </w:r>
    </w:p>
    <w:p>
      <w:pPr>
        <w:widowControl/>
        <w:adjustRightInd w:val="0"/>
        <w:snapToGrid w:val="0"/>
        <w:spacing w:line="600" w:lineRule="exact"/>
        <w:ind w:firstLine="720"/>
        <w:jc w:val="left"/>
        <w:rPr>
          <w:rFonts w:ascii="黑体" w:hAnsi="黑体" w:eastAsia="黑体" w:cs="宋体"/>
          <w:b/>
          <w:color w:val="000000"/>
          <w:kern w:val="0"/>
          <w:sz w:val="32"/>
          <w:szCs w:val="32"/>
          <w:lang w:val="zh-CN"/>
        </w:rPr>
      </w:pPr>
      <w:r>
        <w:rPr>
          <w:rFonts w:hint="eastAsia" w:ascii="黑体" w:hAnsi="黑体" w:eastAsia="黑体" w:cs="宋体"/>
          <w:b/>
          <w:color w:val="000000"/>
          <w:kern w:val="0"/>
          <w:sz w:val="32"/>
          <w:szCs w:val="32"/>
        </w:rPr>
        <w:t>一、</w:t>
      </w:r>
      <w:r>
        <w:rPr>
          <w:rFonts w:hint="eastAsia" w:ascii="黑体" w:hAnsi="黑体" w:eastAsia="黑体" w:cs="宋体"/>
          <w:b/>
          <w:color w:val="000000"/>
          <w:kern w:val="0"/>
          <w:sz w:val="32"/>
          <w:szCs w:val="32"/>
          <w:lang w:val="zh-CN"/>
        </w:rPr>
        <w:t>部门概况</w:t>
      </w:r>
    </w:p>
    <w:p>
      <w:pPr>
        <w:ind w:firstLine="643" w:firstLineChars="200"/>
        <w:rPr>
          <w:rFonts w:ascii="仿宋" w:hAnsi="仿宋" w:eastAsia="仿宋"/>
          <w:sz w:val="32"/>
          <w:szCs w:val="32"/>
        </w:rPr>
      </w:pPr>
      <w:r>
        <w:rPr>
          <w:rFonts w:hint="eastAsia" w:ascii="楷体_GB2312" w:hAnsi="仿宋" w:eastAsia="楷体_GB2312" w:cs="宋体"/>
          <w:b/>
          <w:color w:val="000000"/>
          <w:kern w:val="0"/>
          <w:sz w:val="32"/>
          <w:szCs w:val="32"/>
          <w:lang w:val="zh-CN"/>
        </w:rPr>
        <w:t>（一）机构组成。</w:t>
      </w:r>
      <w:r>
        <w:rPr>
          <w:rFonts w:hint="eastAsia" w:ascii="仿宋" w:hAnsi="仿宋" w:eastAsia="仿宋"/>
          <w:sz w:val="32"/>
          <w:szCs w:val="32"/>
        </w:rPr>
        <w:t>组织部属行政单位，其中参照公务员法管理的事业单位</w:t>
      </w:r>
      <w:r>
        <w:rPr>
          <w:rFonts w:hint="eastAsia" w:ascii="仿宋" w:hAnsi="仿宋" w:eastAsia="仿宋"/>
          <w:bCs/>
          <w:sz w:val="32"/>
          <w:szCs w:val="32"/>
        </w:rPr>
        <w:t>2</w:t>
      </w:r>
      <w:r>
        <w:rPr>
          <w:rFonts w:hint="eastAsia" w:ascii="仿宋" w:hAnsi="仿宋" w:eastAsia="仿宋"/>
          <w:sz w:val="32"/>
          <w:szCs w:val="32"/>
        </w:rPr>
        <w:t>个，其他事业单位2个。</w:t>
      </w:r>
    </w:p>
    <w:p>
      <w:pPr>
        <w:spacing w:line="600" w:lineRule="exact"/>
        <w:ind w:firstLine="643" w:firstLineChars="200"/>
        <w:rPr>
          <w:rFonts w:ascii="仿宋" w:hAnsi="仿宋" w:eastAsia="仿宋"/>
          <w:sz w:val="32"/>
          <w:szCs w:val="32"/>
        </w:rPr>
      </w:pPr>
      <w:r>
        <w:rPr>
          <w:rFonts w:hint="eastAsia" w:ascii="楷体_GB2312" w:hAnsi="仿宋" w:eastAsia="楷体_GB2312" w:cs="宋体"/>
          <w:b/>
          <w:color w:val="000000"/>
          <w:kern w:val="0"/>
          <w:sz w:val="32"/>
          <w:szCs w:val="32"/>
          <w:lang w:val="zh-CN"/>
        </w:rPr>
        <w:t>（二）机构职能。</w:t>
      </w:r>
      <w:r>
        <w:rPr>
          <w:rFonts w:hint="eastAsia" w:ascii="仿宋" w:hAnsi="仿宋" w:eastAsia="仿宋"/>
          <w:bCs/>
          <w:sz w:val="32"/>
          <w:szCs w:val="32"/>
        </w:rPr>
        <w:t>贯彻新时代党的建设总要求和新时代党的组织路线，落实党中央的方针政策和省委、市委、县委决策部署。负责全县党的组织体系、组织制度建设，负责基层党组织建设规划指导和党员队伍宏观管理，指导开展党员教育工作。负责全县领导班子和干部队伍建设的总体规划和宏观管理。负责县委管理领导班子和领导干部的考察考核、日常管理，提出调整配备建议，审核办理任免、工资、退休、兼职、待遇等有关事项。负责全县优秀年轻干部队伍建设工作。负责管理全县公务员工作。牵头拟订和组织实施公务员管理政策，承担公务员录用、调配、考核、奖惩、培训、监督、工资福利等工作，指导公务员绩效管理工作。负责全县人才工作的宏观指导、组织协调和督促检查，牵头推进人才发展体制机制改革和政策创新，牵头推进高校（院）战略合作、人才引进，统筹实施重大人才工程和人才表彰奖励。负责全县干部教育培训工作的宏观指导、政策规划、组织协调和督促检查，负责县重点培训项目的策划、实施和管理，指导全县干部教育培训基地建设管理、师资队伍建设等工作。负责组织系统干部监督工作的宏观指导和综合协调，制定和落实干部监督工作制度，组织实施领导干部报告个人有关事项及抽查核实工作。贯彻落实党的老干部工作方针政策，组织老干部开展政治思想理论学习，落实老干部政治、生活待遇，及时发现和掌握老干部中的新问题，向</w:t>
      </w:r>
      <w:r>
        <w:rPr>
          <w:rFonts w:hint="eastAsia" w:ascii="仿宋" w:hAnsi="仿宋" w:eastAsia="仿宋"/>
          <w:bCs/>
          <w:sz w:val="32"/>
          <w:szCs w:val="32"/>
          <w:lang w:eastAsia="zh-CN"/>
        </w:rPr>
        <w:t>县委、县政府</w:t>
      </w:r>
      <w:r>
        <w:rPr>
          <w:rFonts w:hint="eastAsia" w:ascii="仿宋" w:hAnsi="仿宋" w:eastAsia="仿宋"/>
          <w:bCs/>
          <w:sz w:val="32"/>
          <w:szCs w:val="32"/>
        </w:rPr>
        <w:t>提出处理的意见和建议。负责制定县直机关党的建设的规划，指导县直机关党委、党组党的思想、组织和作风建设，抓好党员学习教育管理和发展党员工作。负责审批县直机关党总支、党支部的建设、撤并、换届和任免其组成人员等工作。统一管理县委机构编制委员会办公室。承担县委党建领导小组、县委人才工作领导小组的日常工作。</w:t>
      </w:r>
      <w:r>
        <w:rPr>
          <w:rFonts w:hint="eastAsia" w:ascii="仿宋" w:hAnsi="仿宋" w:eastAsia="仿宋"/>
          <w:sz w:val="32"/>
          <w:szCs w:val="32"/>
        </w:rPr>
        <w:t>负责职责范围内的安全生产和职业健康、生态环境保护等工作。完成县委和上级组织部交办的其他任务。</w:t>
      </w:r>
    </w:p>
    <w:p>
      <w:pPr>
        <w:spacing w:line="560" w:lineRule="exact"/>
        <w:ind w:firstLine="643" w:firstLineChars="200"/>
        <w:rPr>
          <w:rFonts w:ascii="仿宋_GB2312" w:eastAsia="仿宋_GB2312"/>
          <w:sz w:val="32"/>
          <w:szCs w:val="32"/>
        </w:rPr>
      </w:pPr>
      <w:r>
        <w:rPr>
          <w:rFonts w:hint="eastAsia" w:ascii="楷体_GB2312" w:hAnsi="仿宋" w:eastAsia="楷体_GB2312" w:cs="宋体"/>
          <w:b/>
          <w:color w:val="000000"/>
          <w:kern w:val="0"/>
          <w:sz w:val="32"/>
          <w:szCs w:val="32"/>
          <w:lang w:val="zh-CN"/>
        </w:rPr>
        <w:t>（三）人</w:t>
      </w:r>
      <w:r>
        <w:rPr>
          <w:rFonts w:ascii="楷体_GB2312" w:hAnsi="仿宋" w:eastAsia="楷体_GB2312" w:cs="宋体"/>
          <w:b/>
          <w:color w:val="000000"/>
          <w:kern w:val="0"/>
          <w:sz w:val="32"/>
          <w:szCs w:val="32"/>
          <w:lang w:val="zh-CN"/>
        </w:rPr>
        <w:t>员概况。</w:t>
      </w:r>
      <w:r>
        <w:rPr>
          <w:rFonts w:ascii="仿宋" w:hAnsi="仿宋" w:eastAsia="仿宋"/>
          <w:color w:val="000000"/>
          <w:kern w:val="0"/>
          <w:sz w:val="32"/>
          <w:szCs w:val="32"/>
          <w:lang w:val="zh-CN"/>
        </w:rPr>
        <w:t>截止</w:t>
      </w:r>
      <w:r>
        <w:rPr>
          <w:rFonts w:hint="eastAsia" w:ascii="仿宋" w:hAnsi="仿宋" w:eastAsia="仿宋"/>
          <w:color w:val="000000"/>
          <w:kern w:val="0"/>
          <w:sz w:val="32"/>
          <w:szCs w:val="32"/>
          <w:lang w:val="zh-CN"/>
        </w:rPr>
        <w:t>2022</w:t>
      </w:r>
      <w:r>
        <w:rPr>
          <w:rFonts w:ascii="仿宋" w:hAnsi="仿宋" w:eastAsia="仿宋"/>
          <w:color w:val="000000"/>
          <w:kern w:val="0"/>
          <w:sz w:val="32"/>
          <w:szCs w:val="32"/>
          <w:lang w:val="zh-CN"/>
        </w:rPr>
        <w:t>年底，</w:t>
      </w:r>
      <w:r>
        <w:rPr>
          <w:rFonts w:hint="eastAsia" w:ascii="仿宋" w:hAnsi="仿宋" w:eastAsia="仿宋"/>
          <w:kern w:val="0"/>
          <w:sz w:val="32"/>
          <w:szCs w:val="32"/>
        </w:rPr>
        <w:t>组织部总编制36个，其中：行政编制19个、工勤编制1个、参公编制7个、事业编制9个。在职人员总数29人，其中：行政16人、工勤1人、参公6人、事业4人。</w:t>
      </w:r>
      <w:r>
        <w:rPr>
          <w:rFonts w:hint="eastAsia" w:ascii="仿宋_GB2312" w:eastAsia="仿宋_GB2312"/>
          <w:sz w:val="32"/>
          <w:szCs w:val="32"/>
        </w:rPr>
        <w:t>另长骋人员1人，临聘人员1人，遗属1人。</w:t>
      </w:r>
    </w:p>
    <w:p>
      <w:pPr>
        <w:spacing w:line="600" w:lineRule="exact"/>
        <w:ind w:firstLine="643" w:firstLineChars="200"/>
        <w:jc w:val="left"/>
        <w:rPr>
          <w:rFonts w:ascii="黑体" w:hAnsi="黑体" w:eastAsia="黑体"/>
          <w:b/>
          <w:color w:val="000000"/>
          <w:kern w:val="0"/>
          <w:sz w:val="32"/>
          <w:szCs w:val="32"/>
        </w:rPr>
      </w:pPr>
      <w:r>
        <w:rPr>
          <w:rFonts w:hint="eastAsia" w:ascii="黑体" w:hAnsi="黑体" w:eastAsia="黑体" w:cs="宋体"/>
          <w:b/>
          <w:color w:val="000000"/>
          <w:kern w:val="0"/>
          <w:sz w:val="32"/>
          <w:szCs w:val="32"/>
        </w:rPr>
        <w:t>二、部门财政资金收支情况</w:t>
      </w:r>
    </w:p>
    <w:p>
      <w:pPr>
        <w:widowControl/>
        <w:adjustRightInd w:val="0"/>
        <w:snapToGrid w:val="0"/>
        <w:spacing w:line="600" w:lineRule="exact"/>
        <w:ind w:firstLine="720"/>
        <w:rPr>
          <w:rFonts w:ascii="楷体_GB2312" w:hAnsi="仿宋" w:eastAsia="楷体_GB2312" w:cs="宋体"/>
          <w:b/>
          <w:color w:val="000000"/>
          <w:kern w:val="0"/>
          <w:sz w:val="32"/>
          <w:szCs w:val="32"/>
          <w:lang w:val="zh-CN"/>
        </w:rPr>
      </w:pPr>
      <w:r>
        <w:rPr>
          <w:rFonts w:ascii="仿宋" w:hAnsi="仿宋" w:eastAsia="仿宋" w:cs="宋体"/>
          <w:b/>
          <w:color w:val="000000"/>
          <w:kern w:val="0"/>
          <w:sz w:val="32"/>
          <w:szCs w:val="32"/>
        </w:rPr>
        <w:t>（</w:t>
      </w:r>
      <w:r>
        <w:rPr>
          <w:rFonts w:ascii="楷体_GB2312" w:hAnsi="仿宋" w:eastAsia="楷体_GB2312" w:cs="宋体"/>
          <w:b/>
          <w:color w:val="000000"/>
          <w:kern w:val="0"/>
          <w:sz w:val="32"/>
          <w:szCs w:val="32"/>
          <w:lang w:val="zh-CN"/>
        </w:rPr>
        <w:t>一）</w:t>
      </w:r>
      <w:r>
        <w:rPr>
          <w:rFonts w:hint="eastAsia" w:ascii="楷体_GB2312" w:hAnsi="仿宋" w:eastAsia="楷体_GB2312" w:cs="宋体"/>
          <w:b/>
          <w:color w:val="000000"/>
          <w:kern w:val="0"/>
          <w:sz w:val="32"/>
          <w:szCs w:val="32"/>
          <w:lang w:val="zh-CN"/>
        </w:rPr>
        <w:t>部门财政资金收入情况</w:t>
      </w:r>
    </w:p>
    <w:p>
      <w:pPr>
        <w:widowControl/>
        <w:adjustRightInd w:val="0"/>
        <w:snapToGrid w:val="0"/>
        <w:spacing w:line="600" w:lineRule="exact"/>
        <w:ind w:firstLine="720"/>
        <w:rPr>
          <w:rFonts w:ascii="仿宋" w:hAnsi="仿宋" w:eastAsia="仿宋" w:cs="宋体"/>
          <w:color w:val="000000"/>
          <w:kern w:val="0"/>
          <w:sz w:val="32"/>
          <w:szCs w:val="32"/>
        </w:rPr>
      </w:pPr>
      <w:r>
        <w:rPr>
          <w:rFonts w:hint="eastAsia" w:ascii="仿宋" w:hAnsi="仿宋" w:eastAsia="仿宋" w:cs="宋体"/>
          <w:color w:val="000000"/>
          <w:kern w:val="0"/>
          <w:sz w:val="32"/>
          <w:szCs w:val="32"/>
        </w:rPr>
        <w:t>2022年财政拨款总收入954.16万元，其中</w:t>
      </w:r>
      <w:r>
        <w:rPr>
          <w:rFonts w:hint="eastAsia" w:ascii="仿宋_GB2312" w:eastAsia="仿宋_GB2312"/>
          <w:sz w:val="32"/>
          <w:szCs w:val="32"/>
        </w:rPr>
        <w:t>上年结转结余12.5万元。</w:t>
      </w:r>
    </w:p>
    <w:p>
      <w:pPr>
        <w:widowControl/>
        <w:adjustRightInd w:val="0"/>
        <w:snapToGrid w:val="0"/>
        <w:spacing w:line="600" w:lineRule="exact"/>
        <w:ind w:firstLine="720"/>
        <w:rPr>
          <w:rFonts w:ascii="楷体_GB2312" w:hAnsi="仿宋" w:eastAsia="楷体_GB2312" w:cs="宋体"/>
          <w:b/>
          <w:color w:val="000000"/>
          <w:kern w:val="0"/>
          <w:sz w:val="32"/>
          <w:szCs w:val="32"/>
          <w:lang w:val="zh-CN"/>
        </w:rPr>
      </w:pPr>
      <w:r>
        <w:rPr>
          <w:rFonts w:hint="eastAsia" w:ascii="楷体_GB2312" w:hAnsi="仿宋" w:eastAsia="楷体_GB2312" w:cs="宋体"/>
          <w:b/>
          <w:color w:val="000000"/>
          <w:kern w:val="0"/>
          <w:sz w:val="32"/>
          <w:szCs w:val="32"/>
          <w:lang w:val="zh-CN"/>
        </w:rPr>
        <w:t>（二）部门财政资金支出情况</w:t>
      </w:r>
    </w:p>
    <w:p>
      <w:pPr>
        <w:widowControl/>
        <w:adjustRightInd w:val="0"/>
        <w:snapToGrid w:val="0"/>
        <w:spacing w:line="600" w:lineRule="exact"/>
        <w:ind w:firstLine="720"/>
        <w:jc w:val="left"/>
        <w:rPr>
          <w:rFonts w:ascii="仿宋" w:hAnsi="仿宋" w:eastAsia="仿宋"/>
          <w:sz w:val="32"/>
          <w:szCs w:val="32"/>
        </w:rPr>
      </w:pPr>
      <w:r>
        <w:rPr>
          <w:rFonts w:hint="eastAsia" w:ascii="仿宋" w:hAnsi="仿宋" w:eastAsia="仿宋" w:cs="宋体"/>
          <w:color w:val="000000"/>
          <w:kern w:val="0"/>
          <w:sz w:val="32"/>
          <w:szCs w:val="32"/>
          <w:lang w:val="zh-CN"/>
        </w:rPr>
        <w:t>2022年共计支出654.16万元。</w:t>
      </w:r>
      <w:r>
        <w:rPr>
          <w:rFonts w:hint="eastAsia" w:ascii="仿宋" w:hAnsi="仿宋" w:eastAsia="仿宋"/>
          <w:sz w:val="32"/>
          <w:szCs w:val="32"/>
        </w:rPr>
        <w:t>主要用于人员经费支出521.47万元，日常公用经费支出60.49万元；项目支出72.2万元。</w:t>
      </w:r>
    </w:p>
    <w:p>
      <w:pPr>
        <w:widowControl/>
        <w:adjustRightInd w:val="0"/>
        <w:snapToGrid w:val="0"/>
        <w:spacing w:line="600" w:lineRule="exact"/>
        <w:ind w:firstLine="720"/>
        <w:jc w:val="left"/>
        <w:rPr>
          <w:rFonts w:ascii="黑体" w:hAnsi="黑体" w:eastAsia="黑体" w:cs="宋体"/>
          <w:b/>
          <w:color w:val="000000"/>
          <w:kern w:val="0"/>
          <w:sz w:val="32"/>
          <w:szCs w:val="32"/>
        </w:rPr>
      </w:pPr>
      <w:r>
        <w:rPr>
          <w:rFonts w:hint="eastAsia" w:ascii="黑体" w:hAnsi="黑体" w:eastAsia="黑体" w:cs="宋体"/>
          <w:b/>
          <w:color w:val="000000"/>
          <w:kern w:val="0"/>
          <w:sz w:val="32"/>
          <w:szCs w:val="32"/>
        </w:rPr>
        <w:t>三、部门整体预算绩效管理情况</w:t>
      </w:r>
    </w:p>
    <w:p>
      <w:pPr>
        <w:widowControl/>
        <w:adjustRightInd w:val="0"/>
        <w:snapToGrid w:val="0"/>
        <w:spacing w:line="600" w:lineRule="exact"/>
        <w:ind w:firstLine="720"/>
        <w:rPr>
          <w:rFonts w:ascii="楷体_GB2312" w:hAnsi="仿宋" w:eastAsia="楷体_GB2312" w:cs="宋体"/>
          <w:b/>
          <w:color w:val="000000"/>
          <w:kern w:val="0"/>
          <w:sz w:val="32"/>
          <w:szCs w:val="32"/>
          <w:lang w:val="zh-CN"/>
        </w:rPr>
      </w:pPr>
      <w:r>
        <w:rPr>
          <w:rFonts w:hint="eastAsia" w:ascii="楷体_GB2312" w:hAnsi="仿宋" w:eastAsia="楷体_GB2312" w:cs="宋体"/>
          <w:b/>
          <w:color w:val="000000"/>
          <w:kern w:val="0"/>
          <w:sz w:val="32"/>
          <w:szCs w:val="32"/>
          <w:lang w:val="zh-CN"/>
        </w:rPr>
        <w:t>（一）部门预算管理</w:t>
      </w:r>
    </w:p>
    <w:p>
      <w:pPr>
        <w:widowControl/>
        <w:adjustRightInd w:val="0"/>
        <w:snapToGrid w:val="0"/>
        <w:spacing w:line="600" w:lineRule="exact"/>
        <w:ind w:firstLine="720"/>
        <w:jc w:val="left"/>
        <w:rPr>
          <w:rFonts w:ascii="仿宋" w:hAnsi="仿宋" w:eastAsia="仿宋" w:cs="宋体"/>
          <w:color w:val="000000"/>
          <w:kern w:val="0"/>
          <w:sz w:val="32"/>
          <w:szCs w:val="32"/>
          <w:shd w:val="clear" w:color="auto" w:fill="FFFFFF"/>
          <w:lang w:val="zh-CN"/>
        </w:rPr>
      </w:pPr>
      <w:r>
        <w:rPr>
          <w:rFonts w:hint="eastAsia" w:ascii="仿宋" w:hAnsi="仿宋" w:eastAsia="仿宋"/>
          <w:b/>
          <w:color w:val="000000"/>
          <w:sz w:val="32"/>
          <w:szCs w:val="32"/>
        </w:rPr>
        <w:t xml:space="preserve">1.预算编制  </w:t>
      </w:r>
      <w:r>
        <w:rPr>
          <w:rFonts w:hint="eastAsia" w:ascii="仿宋" w:hAnsi="仿宋" w:eastAsia="仿宋" w:cs="宋体"/>
          <w:color w:val="000000"/>
          <w:kern w:val="0"/>
          <w:sz w:val="32"/>
          <w:szCs w:val="32"/>
          <w:shd w:val="clear" w:color="auto" w:fill="FFFFFF"/>
          <w:lang w:val="zh-CN"/>
        </w:rPr>
        <w:t xml:space="preserve"> </w:t>
      </w:r>
    </w:p>
    <w:p>
      <w:pPr>
        <w:widowControl/>
        <w:adjustRightInd w:val="0"/>
        <w:snapToGrid w:val="0"/>
        <w:spacing w:line="600" w:lineRule="exact"/>
        <w:ind w:firstLine="720"/>
        <w:jc w:val="left"/>
        <w:rPr>
          <w:rFonts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lang w:val="zh-CN"/>
        </w:rPr>
        <w:t>按照县财政局2022年部门预算编制通知要求，按时完成部门年初预算编制工作。在编制过程中，认真核实单位实际财政供养人数和单位实有编制情况，正确编制人员经费和公用经费等，做到尽量细化项目资金支出预算范围和科目，及时报相关股室进行审核，对所编制的预算予以调整。</w:t>
      </w:r>
    </w:p>
    <w:p>
      <w:pPr>
        <w:widowControl/>
        <w:adjustRightInd w:val="0"/>
        <w:snapToGrid w:val="0"/>
        <w:spacing w:line="600" w:lineRule="exact"/>
        <w:ind w:firstLine="720"/>
        <w:jc w:val="left"/>
        <w:rPr>
          <w:rFonts w:ascii="仿宋" w:hAnsi="仿宋" w:eastAsia="仿宋" w:cs="宋体"/>
          <w:color w:val="000000"/>
          <w:kern w:val="0"/>
          <w:sz w:val="32"/>
          <w:szCs w:val="32"/>
          <w:shd w:val="clear" w:color="auto" w:fill="FFFFFF"/>
          <w:lang w:val="zh-CN"/>
        </w:rPr>
      </w:pPr>
      <w:r>
        <w:rPr>
          <w:rFonts w:hint="eastAsia" w:ascii="仿宋" w:hAnsi="仿宋" w:eastAsia="仿宋"/>
          <w:b/>
          <w:color w:val="000000"/>
          <w:sz w:val="32"/>
          <w:szCs w:val="32"/>
        </w:rPr>
        <w:t xml:space="preserve">2.认真编制部门年度决算报表  </w:t>
      </w:r>
      <w:r>
        <w:rPr>
          <w:rFonts w:hint="eastAsia" w:ascii="仿宋" w:hAnsi="仿宋" w:eastAsia="仿宋" w:cs="宋体"/>
          <w:color w:val="000000"/>
          <w:kern w:val="0"/>
          <w:sz w:val="32"/>
          <w:szCs w:val="32"/>
          <w:shd w:val="clear" w:color="auto" w:fill="FFFFFF"/>
          <w:lang w:val="zh-CN"/>
        </w:rPr>
        <w:t xml:space="preserve"> </w:t>
      </w:r>
    </w:p>
    <w:p>
      <w:pPr>
        <w:widowControl/>
        <w:adjustRightInd w:val="0"/>
        <w:snapToGrid w:val="0"/>
        <w:spacing w:line="600" w:lineRule="exact"/>
        <w:ind w:firstLine="720"/>
        <w:jc w:val="left"/>
        <w:rPr>
          <w:rFonts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lang w:val="zh-CN"/>
        </w:rPr>
        <w:t>为真实、准确反应单位年度财务收、支情况，根据县财政的要求，认真开展部门年度决算报表编制工作。按照政府收支分类科目和财务报表支出情况编制部门决算，决算收入、支出口径与财政局国库股、预算股和行政政法股以及一体化核对无误，报表编制无差错。</w:t>
      </w:r>
    </w:p>
    <w:p>
      <w:pPr>
        <w:widowControl/>
        <w:adjustRightInd w:val="0"/>
        <w:snapToGrid w:val="0"/>
        <w:spacing w:line="600" w:lineRule="exact"/>
        <w:ind w:firstLine="720"/>
        <w:rPr>
          <w:rFonts w:ascii="楷体_GB2312" w:hAnsi="仿宋" w:eastAsia="楷体_GB2312" w:cs="宋体"/>
          <w:b/>
          <w:color w:val="000000"/>
          <w:kern w:val="0"/>
          <w:sz w:val="32"/>
          <w:szCs w:val="32"/>
          <w:lang w:val="zh-CN"/>
        </w:rPr>
      </w:pPr>
      <w:r>
        <w:rPr>
          <w:rFonts w:hint="eastAsia" w:ascii="楷体_GB2312" w:hAnsi="仿宋" w:eastAsia="楷体_GB2312" w:cs="宋体"/>
          <w:b/>
          <w:color w:val="000000"/>
          <w:kern w:val="0"/>
          <w:sz w:val="32"/>
          <w:szCs w:val="32"/>
          <w:lang w:val="zh-CN"/>
        </w:rPr>
        <w:t>（二）项目预算管理</w:t>
      </w:r>
    </w:p>
    <w:p>
      <w:pPr>
        <w:widowControl/>
        <w:adjustRightInd w:val="0"/>
        <w:snapToGrid w:val="0"/>
        <w:spacing w:line="600" w:lineRule="exact"/>
        <w:ind w:firstLine="720"/>
        <w:jc w:val="left"/>
        <w:rPr>
          <w:rFonts w:ascii="仿宋" w:hAnsi="仿宋" w:eastAsia="仿宋"/>
          <w:b/>
          <w:color w:val="000000"/>
          <w:sz w:val="32"/>
          <w:szCs w:val="32"/>
        </w:rPr>
      </w:pPr>
      <w:r>
        <w:rPr>
          <w:rFonts w:hint="eastAsia" w:ascii="仿宋" w:hAnsi="仿宋" w:eastAsia="仿宋"/>
          <w:b/>
          <w:color w:val="000000"/>
          <w:sz w:val="32"/>
          <w:szCs w:val="32"/>
        </w:rPr>
        <w:t xml:space="preserve">1.部门预算执行情况   </w:t>
      </w:r>
    </w:p>
    <w:p>
      <w:pPr>
        <w:widowControl/>
        <w:adjustRightInd w:val="0"/>
        <w:snapToGrid w:val="0"/>
        <w:spacing w:line="600" w:lineRule="exact"/>
        <w:ind w:firstLine="720"/>
        <w:jc w:val="left"/>
        <w:rPr>
          <w:rFonts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lang w:val="zh-CN"/>
        </w:rPr>
        <w:t>按《预算法》和财政有关规定，职工工资等人员经费按月发放，公务费按月申报，项目支出按项目实施情况经我单位和县财政审核无误后按项目进度拨付；公用经费申请授权支付并采取转账支付，尽量减少现金支出（零星支出）。</w:t>
      </w:r>
    </w:p>
    <w:p>
      <w:pPr>
        <w:widowControl/>
        <w:adjustRightInd w:val="0"/>
        <w:snapToGrid w:val="0"/>
        <w:spacing w:line="600" w:lineRule="exact"/>
        <w:ind w:firstLine="720"/>
        <w:jc w:val="left"/>
        <w:rPr>
          <w:rFonts w:ascii="仿宋" w:hAnsi="仿宋" w:eastAsia="仿宋"/>
          <w:b/>
          <w:color w:val="000000"/>
          <w:sz w:val="32"/>
          <w:szCs w:val="32"/>
        </w:rPr>
      </w:pPr>
      <w:r>
        <w:rPr>
          <w:rFonts w:hint="eastAsia" w:ascii="仿宋" w:hAnsi="仿宋" w:eastAsia="仿宋"/>
          <w:b/>
          <w:color w:val="000000"/>
          <w:sz w:val="32"/>
          <w:szCs w:val="32"/>
        </w:rPr>
        <w:t xml:space="preserve">2.中期评估   </w:t>
      </w:r>
    </w:p>
    <w:p>
      <w:pPr>
        <w:widowControl/>
        <w:adjustRightInd w:val="0"/>
        <w:snapToGrid w:val="0"/>
        <w:spacing w:line="600" w:lineRule="exact"/>
        <w:ind w:firstLine="720"/>
        <w:jc w:val="left"/>
        <w:rPr>
          <w:rFonts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lang w:val="zh-CN"/>
        </w:rPr>
        <w:t>县委组织部在执行各项资金预算中，严格按照中央、省、市、县各级财务规定，管好、用好每笔资金。在专项项目资金使用过程中，严格按照项目资金管理办法的规定做好项目实施和监管，切实做到专款专用，从而发挥好项目资金对项目实施的促进作用；对涉及专项资金支出额度较大时，必须专题研究决定，杜绝违规违法事件的发生。</w:t>
      </w:r>
    </w:p>
    <w:p>
      <w:pPr>
        <w:widowControl/>
        <w:adjustRightInd w:val="0"/>
        <w:snapToGrid w:val="0"/>
        <w:spacing w:line="600" w:lineRule="exact"/>
        <w:ind w:firstLine="720"/>
        <w:jc w:val="left"/>
        <w:rPr>
          <w:rFonts w:ascii="仿宋" w:hAnsi="仿宋" w:eastAsia="仿宋"/>
          <w:b/>
          <w:color w:val="000000"/>
          <w:sz w:val="32"/>
          <w:szCs w:val="32"/>
        </w:rPr>
      </w:pPr>
      <w:r>
        <w:rPr>
          <w:rFonts w:hint="eastAsia" w:ascii="仿宋" w:hAnsi="仿宋" w:eastAsia="仿宋"/>
          <w:b/>
          <w:color w:val="000000"/>
          <w:sz w:val="32"/>
          <w:szCs w:val="32"/>
        </w:rPr>
        <w:t xml:space="preserve">3.机关节能降耗  </w:t>
      </w:r>
    </w:p>
    <w:p>
      <w:pPr>
        <w:widowControl/>
        <w:adjustRightInd w:val="0"/>
        <w:snapToGrid w:val="0"/>
        <w:spacing w:line="600" w:lineRule="exact"/>
        <w:ind w:firstLine="720"/>
        <w:jc w:val="left"/>
        <w:rPr>
          <w:rFonts w:ascii="仿宋" w:hAnsi="仿宋" w:eastAsia="仿宋" w:cs="Arial"/>
          <w:color w:val="333333"/>
          <w:sz w:val="32"/>
          <w:szCs w:val="32"/>
        </w:rPr>
      </w:pPr>
      <w:r>
        <w:rPr>
          <w:rFonts w:hint="eastAsia" w:ascii="仿宋" w:hAnsi="仿宋" w:eastAsia="仿宋"/>
          <w:sz w:val="32"/>
          <w:szCs w:val="32"/>
        </w:rPr>
        <w:t>认真学习厉行节约反对浪费规定的同时倡导全体机关工作人员弘扬艰苦奋斗、勤俭节约的优良作风，进一步推进节约型机关建设。办公室、会议室等尽量采用自然光，尽可能少开灯或不开灯；做到离开办公室随手关灯，杜绝</w:t>
      </w:r>
      <w:r>
        <w:rPr>
          <w:rFonts w:ascii="仿宋" w:hAnsi="仿宋" w:eastAsia="仿宋"/>
          <w:sz w:val="32"/>
          <w:szCs w:val="32"/>
        </w:rPr>
        <w:t>“</w:t>
      </w:r>
      <w:r>
        <w:rPr>
          <w:rFonts w:hint="eastAsia" w:ascii="仿宋" w:hAnsi="仿宋" w:eastAsia="仿宋"/>
          <w:sz w:val="32"/>
          <w:szCs w:val="32"/>
        </w:rPr>
        <w:t>长明灯</w:t>
      </w:r>
      <w:r>
        <w:rPr>
          <w:rFonts w:ascii="仿宋" w:hAnsi="仿宋" w:eastAsia="仿宋"/>
          <w:sz w:val="32"/>
          <w:szCs w:val="32"/>
        </w:rPr>
        <w:t>”</w:t>
      </w:r>
      <w:r>
        <w:rPr>
          <w:rFonts w:hint="eastAsia" w:ascii="仿宋" w:hAnsi="仿宋" w:eastAsia="仿宋"/>
          <w:sz w:val="32"/>
          <w:szCs w:val="32"/>
        </w:rPr>
        <w:t>、</w:t>
      </w:r>
      <w:r>
        <w:rPr>
          <w:rFonts w:ascii="仿宋" w:hAnsi="仿宋" w:eastAsia="仿宋"/>
          <w:sz w:val="32"/>
          <w:szCs w:val="32"/>
        </w:rPr>
        <w:t>“</w:t>
      </w:r>
      <w:r>
        <w:rPr>
          <w:rFonts w:hint="eastAsia" w:ascii="仿宋" w:hAnsi="仿宋" w:eastAsia="仿宋"/>
          <w:sz w:val="32"/>
          <w:szCs w:val="32"/>
        </w:rPr>
        <w:t>白昼灯</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cs="Arial"/>
          <w:color w:val="333333"/>
          <w:sz w:val="32"/>
          <w:szCs w:val="32"/>
        </w:rPr>
        <w:t>下班后自觉关闭各类电器设备电源；</w:t>
      </w:r>
      <w:r>
        <w:rPr>
          <w:rFonts w:hint="eastAsia" w:ascii="仿宋" w:hAnsi="仿宋" w:eastAsia="仿宋"/>
          <w:sz w:val="32"/>
          <w:szCs w:val="32"/>
        </w:rPr>
        <w:t>强化节水意识，</w:t>
      </w:r>
      <w:r>
        <w:rPr>
          <w:rFonts w:hint="eastAsia" w:ascii="仿宋" w:hAnsi="仿宋" w:eastAsia="仿宋" w:cs="Arial"/>
          <w:color w:val="333333"/>
          <w:sz w:val="32"/>
          <w:szCs w:val="32"/>
        </w:rPr>
        <w:t>切实做到节约每一滴水，使广大干部职工养成良好的节水习惯；加强办公用品的使用管理，规范办公用品的采购，积极推行网络办公，尽量在电子媒介上撰写、修改文稿，推行无纸化办公。</w:t>
      </w:r>
    </w:p>
    <w:p>
      <w:pPr>
        <w:widowControl/>
        <w:adjustRightInd w:val="0"/>
        <w:snapToGrid w:val="0"/>
        <w:spacing w:line="600" w:lineRule="exact"/>
        <w:ind w:firstLine="720"/>
        <w:jc w:val="left"/>
        <w:rPr>
          <w:rFonts w:ascii="仿宋" w:hAnsi="仿宋" w:eastAsia="仿宋"/>
          <w:b/>
          <w:color w:val="000000"/>
          <w:sz w:val="32"/>
          <w:szCs w:val="32"/>
        </w:rPr>
      </w:pPr>
      <w:r>
        <w:rPr>
          <w:rFonts w:hint="eastAsia" w:ascii="仿宋" w:hAnsi="仿宋" w:eastAsia="仿宋"/>
          <w:b/>
          <w:color w:val="000000"/>
          <w:sz w:val="32"/>
          <w:szCs w:val="32"/>
        </w:rPr>
        <w:t xml:space="preserve">4.“三公”支出逐年递减   </w:t>
      </w:r>
    </w:p>
    <w:p>
      <w:pPr>
        <w:widowControl/>
        <w:adjustRightInd w:val="0"/>
        <w:snapToGrid w:val="0"/>
        <w:spacing w:line="600" w:lineRule="exact"/>
        <w:ind w:firstLine="720"/>
        <w:jc w:val="left"/>
        <w:rPr>
          <w:rFonts w:ascii="仿宋" w:hAnsi="仿宋" w:eastAsia="仿宋" w:cs="宋体"/>
          <w:kern w:val="0"/>
          <w:sz w:val="32"/>
          <w:szCs w:val="32"/>
          <w:shd w:val="clear" w:color="auto" w:fill="FFFFFF"/>
          <w:lang w:val="zh-CN"/>
        </w:rPr>
      </w:pPr>
      <w:r>
        <w:rPr>
          <w:rFonts w:hint="eastAsia" w:ascii="仿宋" w:hAnsi="仿宋" w:eastAsia="仿宋" w:cs="宋体"/>
          <w:color w:val="000000"/>
          <w:kern w:val="0"/>
          <w:sz w:val="32"/>
          <w:szCs w:val="32"/>
          <w:shd w:val="clear" w:color="auto" w:fill="FFFFFF"/>
          <w:lang w:val="zh-CN"/>
        </w:rPr>
        <w:t>严格执行中央八项规定和省、市、县十项规定，着力控制“三公”经费预算支出。全年无因公出国（境）费用支出；精减会议活动，减少会议费支出；严格执行党政机关厉行节约反对浪费条例，加强内部财务管理，</w:t>
      </w:r>
      <w:r>
        <w:rPr>
          <w:rFonts w:hint="eastAsia" w:ascii="仿宋" w:hAnsi="仿宋" w:eastAsia="仿宋" w:cs="宋体"/>
          <w:kern w:val="0"/>
          <w:sz w:val="32"/>
          <w:szCs w:val="32"/>
          <w:shd w:val="clear" w:color="auto" w:fill="FFFFFF"/>
          <w:lang w:val="zh-CN"/>
        </w:rPr>
        <w:t>公务接待费支出2.57万元，比2021年减少9.63万元。</w:t>
      </w:r>
    </w:p>
    <w:p>
      <w:pPr>
        <w:widowControl/>
        <w:adjustRightInd w:val="0"/>
        <w:snapToGrid w:val="0"/>
        <w:spacing w:line="600" w:lineRule="exact"/>
        <w:ind w:firstLine="720"/>
        <w:rPr>
          <w:rFonts w:ascii="楷体_GB2312" w:hAnsi="仿宋" w:eastAsia="楷体_GB2312" w:cs="宋体"/>
          <w:b/>
          <w:color w:val="000000"/>
          <w:kern w:val="0"/>
          <w:sz w:val="32"/>
          <w:szCs w:val="32"/>
          <w:lang w:val="zh-CN"/>
        </w:rPr>
      </w:pPr>
      <w:r>
        <w:rPr>
          <w:rFonts w:hint="eastAsia" w:ascii="楷体_GB2312" w:hAnsi="仿宋" w:eastAsia="楷体_GB2312" w:cs="宋体"/>
          <w:b/>
          <w:color w:val="000000"/>
          <w:kern w:val="0"/>
          <w:sz w:val="32"/>
          <w:szCs w:val="32"/>
          <w:lang w:val="zh-CN"/>
        </w:rPr>
        <w:t>（三）综合管理情况</w:t>
      </w:r>
    </w:p>
    <w:p>
      <w:pPr>
        <w:widowControl/>
        <w:adjustRightInd w:val="0"/>
        <w:snapToGrid w:val="0"/>
        <w:spacing w:line="600" w:lineRule="exact"/>
        <w:ind w:firstLine="720"/>
        <w:jc w:val="left"/>
        <w:rPr>
          <w:rFonts w:ascii="仿宋" w:hAnsi="仿宋" w:eastAsia="仿宋"/>
          <w:b/>
          <w:color w:val="000000"/>
          <w:sz w:val="32"/>
          <w:szCs w:val="32"/>
        </w:rPr>
      </w:pPr>
      <w:r>
        <w:rPr>
          <w:rFonts w:hint="eastAsia" w:ascii="仿宋" w:hAnsi="仿宋" w:eastAsia="仿宋"/>
          <w:b/>
          <w:color w:val="000000"/>
          <w:sz w:val="32"/>
          <w:szCs w:val="32"/>
        </w:rPr>
        <w:t>1.有效确保行政运转</w:t>
      </w:r>
    </w:p>
    <w:p>
      <w:pPr>
        <w:adjustRightInd w:val="0"/>
        <w:snapToGrid w:val="0"/>
        <w:spacing w:line="600" w:lineRule="exact"/>
        <w:ind w:firstLine="640" w:firstLineChars="200"/>
        <w:rPr>
          <w:rFonts w:eastAsia="仿宋_GB2312"/>
          <w:bCs/>
          <w:sz w:val="32"/>
          <w:szCs w:val="32"/>
        </w:rPr>
      </w:pPr>
      <w:r>
        <w:rPr>
          <w:rFonts w:hint="eastAsia" w:ascii="仿宋" w:hAnsi="仿宋" w:eastAsia="仿宋" w:cs="宋体"/>
          <w:kern w:val="0"/>
          <w:sz w:val="32"/>
          <w:szCs w:val="32"/>
          <w:shd w:val="clear" w:color="auto" w:fill="FFFFFF"/>
          <w:lang w:val="zh-CN"/>
        </w:rPr>
        <w:t>在保障了机关正常运转的同时，认真履行好部门职能职责。</w:t>
      </w:r>
      <w:r>
        <w:rPr>
          <w:rFonts w:ascii="仿宋" w:hAnsi="仿宋" w:eastAsia="仿宋" w:cs="宋体"/>
          <w:kern w:val="0"/>
          <w:sz w:val="32"/>
          <w:szCs w:val="32"/>
          <w:shd w:val="clear" w:color="auto" w:fill="FFFFFF"/>
          <w:lang w:val="zh-CN"/>
        </w:rPr>
        <w:t>一是聚焦刚性标准抓考录。引进乡</w:t>
      </w:r>
      <w:r>
        <w:rPr>
          <w:rFonts w:eastAsia="仿宋_GB2312"/>
          <w:bCs/>
          <w:sz w:val="32"/>
          <w:szCs w:val="32"/>
        </w:rPr>
        <w:t>镇公务员2</w:t>
      </w:r>
      <w:r>
        <w:rPr>
          <w:bCs/>
          <w:sz w:val="32"/>
          <w:szCs w:val="32"/>
        </w:rPr>
        <w:t>4</w:t>
      </w:r>
      <w:r>
        <w:rPr>
          <w:rFonts w:eastAsia="仿宋_GB2312"/>
          <w:bCs/>
          <w:sz w:val="32"/>
          <w:szCs w:val="32"/>
        </w:rPr>
        <w:t>名，政法系统公务员4名</w:t>
      </w:r>
      <w:r>
        <w:rPr>
          <w:bCs/>
          <w:sz w:val="32"/>
          <w:szCs w:val="32"/>
        </w:rPr>
        <w:t>，</w:t>
      </w:r>
      <w:r>
        <w:rPr>
          <w:rFonts w:eastAsia="仿宋_GB2312"/>
          <w:bCs/>
          <w:sz w:val="32"/>
          <w:szCs w:val="32"/>
        </w:rPr>
        <w:t>服务基层选调生4名，紧缺专业选调生1名，调任公务员1名。</w:t>
      </w:r>
      <w:r>
        <w:rPr>
          <w:rFonts w:eastAsia="仿宋_GB2312"/>
          <w:sz w:val="32"/>
          <w:szCs w:val="32"/>
        </w:rPr>
        <w:t>二是聚焦班子建设抓提升。组建6个工作组，采取民主测评、个别谈话等方式，全面启动换届后乡镇和县级部门领导班子运行和成员履职情况分析研判，详实掌握领导班子和干部现实表现情况</w:t>
      </w:r>
      <w:r>
        <w:rPr>
          <w:rFonts w:eastAsia="仿宋_GB2312"/>
          <w:bCs/>
          <w:sz w:val="32"/>
          <w:szCs w:val="32"/>
        </w:rPr>
        <w:t>，精准干部“侧写画像”，统筹调配科级领导干部90余名。</w:t>
      </w:r>
      <w:r>
        <w:rPr>
          <w:rFonts w:eastAsia="仿宋_GB2312"/>
          <w:sz w:val="32"/>
          <w:szCs w:val="32"/>
        </w:rPr>
        <w:t>三是聚焦后备力量抓淬炼。稳步实施干部蓄水池计划，把发现优秀年轻干部作为班</w:t>
      </w:r>
      <w:r>
        <w:rPr>
          <w:rFonts w:eastAsia="仿宋_GB2312"/>
          <w:bCs/>
          <w:sz w:val="32"/>
          <w:szCs w:val="32"/>
        </w:rPr>
        <w:t>子研判的重要内容，综合考核评优、实地考察等情况，储备35岁以下、“全日本”等后备干部200余名</w:t>
      </w:r>
      <w:r>
        <w:rPr>
          <w:bCs/>
          <w:sz w:val="32"/>
          <w:szCs w:val="32"/>
        </w:rPr>
        <w:t>。</w:t>
      </w:r>
      <w:r>
        <w:rPr>
          <w:rFonts w:eastAsia="仿宋_GB2312"/>
          <w:bCs/>
          <w:sz w:val="32"/>
          <w:szCs w:val="32"/>
        </w:rPr>
        <w:t>创新实施“沐兵沙场”干部培训淬炼成长工程，启动第一批“后备精英”选拔，通过竞演面试方式进行“面对面”考察识别，择优建立首批50名优秀年轻干部“精英营”。</w:t>
      </w:r>
      <w:r>
        <w:rPr>
          <w:rFonts w:hint="eastAsia" w:eastAsia="仿宋_GB2312"/>
          <w:bCs/>
          <w:sz w:val="32"/>
          <w:szCs w:val="32"/>
        </w:rPr>
        <w:t>四</w:t>
      </w:r>
      <w:r>
        <w:rPr>
          <w:rFonts w:eastAsia="仿宋_GB2312"/>
          <w:bCs/>
          <w:sz w:val="32"/>
          <w:szCs w:val="32"/>
        </w:rPr>
        <w:t>是做优东西协作人才交流品牌。实施“沐暨飞燕”东西部协作干部人才交流计划，先后选派</w:t>
      </w:r>
      <w:r>
        <w:rPr>
          <w:rFonts w:hint="eastAsia" w:eastAsia="仿宋_GB2312"/>
          <w:bCs/>
          <w:sz w:val="32"/>
          <w:szCs w:val="32"/>
        </w:rPr>
        <w:t>16</w:t>
      </w:r>
      <w:r>
        <w:rPr>
          <w:rFonts w:eastAsia="仿宋_GB2312"/>
          <w:bCs/>
          <w:sz w:val="32"/>
          <w:szCs w:val="32"/>
        </w:rPr>
        <w:t>名干部人才到诸暨开展“领题”跟岗学习，诸暨选派</w:t>
      </w:r>
      <w:r>
        <w:rPr>
          <w:rFonts w:hint="eastAsia" w:eastAsia="仿宋_GB2312"/>
          <w:bCs/>
          <w:sz w:val="32"/>
          <w:szCs w:val="32"/>
        </w:rPr>
        <w:t>4</w:t>
      </w:r>
      <w:r>
        <w:rPr>
          <w:rFonts w:eastAsia="仿宋_GB2312"/>
          <w:bCs/>
          <w:sz w:val="32"/>
          <w:szCs w:val="32"/>
        </w:rPr>
        <w:t>批</w:t>
      </w:r>
      <w:r>
        <w:rPr>
          <w:rFonts w:hint="eastAsia" w:eastAsia="仿宋_GB2312"/>
          <w:bCs/>
          <w:sz w:val="32"/>
          <w:szCs w:val="32"/>
        </w:rPr>
        <w:t>15</w:t>
      </w:r>
      <w:r>
        <w:rPr>
          <w:rFonts w:eastAsia="仿宋_GB2312"/>
          <w:bCs/>
          <w:sz w:val="32"/>
          <w:szCs w:val="32"/>
        </w:rPr>
        <w:t>名干部人才到沐川开展“订单”援助。持续推进“蓝鹰工程”项目，组建冠名班10个，先后投入项目资金400万元共建袜业孵化中心、电子商务等产教融合实训基地5个，累计培养学生481名。建强“诸暨沐川东西部协作神经外科”，搭建诸沐远程医疗平台，开展“脑室外引流术、开颅血肿清除术+去骨瓣减压术”等5项新技术新项目，创新实施乐山市首例“立体定向下血肿穿刺引流术”“腹腔镜辅助脑室腹腔分流术”，救治神经外科危重症及普通患者近600余人。</w:t>
      </w:r>
      <w:r>
        <w:rPr>
          <w:rFonts w:hint="eastAsia" w:eastAsia="仿宋_GB2312"/>
          <w:bCs/>
          <w:sz w:val="32"/>
          <w:szCs w:val="32"/>
        </w:rPr>
        <w:t>五</w:t>
      </w:r>
      <w:r>
        <w:rPr>
          <w:rFonts w:eastAsia="仿宋_GB2312"/>
          <w:bCs/>
          <w:sz w:val="32"/>
          <w:szCs w:val="32"/>
        </w:rPr>
        <w:t>是持续推进“沐光红盟”全域党建联盟。聚焦市委“一县一品”工作要求，围绕产业发展、行业服务、基层治理一体化，构建“沐光红盟”全域党建联盟，打造“1348”沐川特色党建联盟体系，通过以大带小、组团聚合、多方参与等方式，实现组织共建、资源共享、品牌共创、利益共融。目前已建立“沐光路”“七碗茶山”“沐源驿站”“颐养天和”等初步成型的党建子联盟21个，打造</w:t>
      </w:r>
      <w:r>
        <w:rPr>
          <w:rFonts w:hint="eastAsia" w:eastAsia="仿宋_GB2312"/>
          <w:bCs/>
          <w:sz w:val="32"/>
          <w:szCs w:val="32"/>
        </w:rPr>
        <w:t>全域</w:t>
      </w:r>
      <w:r>
        <w:rPr>
          <w:rFonts w:eastAsia="仿宋_GB2312"/>
          <w:bCs/>
          <w:sz w:val="32"/>
          <w:szCs w:val="32"/>
        </w:rPr>
        <w:t>党建联盟主题馆1个，党建联盟</w:t>
      </w:r>
      <w:r>
        <w:rPr>
          <w:rFonts w:hint="eastAsia" w:eastAsia="仿宋_GB2312"/>
          <w:bCs/>
          <w:sz w:val="32"/>
          <w:szCs w:val="32"/>
        </w:rPr>
        <w:t>示范</w:t>
      </w:r>
      <w:r>
        <w:rPr>
          <w:rFonts w:eastAsia="仿宋_GB2312"/>
          <w:bCs/>
          <w:sz w:val="32"/>
          <w:szCs w:val="32"/>
        </w:rPr>
        <w:t>阵地8个，组建党建联盟服务队9支。</w:t>
      </w:r>
      <w:r>
        <w:rPr>
          <w:rFonts w:hint="eastAsia" w:eastAsia="仿宋_GB2312"/>
          <w:bCs/>
          <w:sz w:val="32"/>
          <w:szCs w:val="32"/>
        </w:rPr>
        <w:t>六</w:t>
      </w:r>
      <w:r>
        <w:rPr>
          <w:rFonts w:eastAsia="仿宋_GB2312"/>
          <w:bCs/>
          <w:sz w:val="32"/>
          <w:szCs w:val="32"/>
        </w:rPr>
        <w:t>是稳步提升五老服务。实施“沐源银龄之春”党建提升工程，建立“五老”志愿者队伍25支300余人，组织开展助力建强堡垒、产业发展、基层治理、亲情关怀、惠民服务“五大行动”，累计开展志愿服务23场次、服务群众2700余人次，建成科技赋能老党员工作室1个。全面落实离退休干部政治待遇和生活待遇，兑现门诊、住院医疗费16.79万元，节日走访慰问离退休干部151人次，发放慰问金7.54万元。</w:t>
      </w:r>
    </w:p>
    <w:p>
      <w:pPr>
        <w:ind w:firstLine="639" w:firstLineChars="199"/>
        <w:rPr>
          <w:rFonts w:ascii="仿宋" w:hAnsi="仿宋" w:eastAsia="仿宋"/>
          <w:b/>
          <w:color w:val="000000"/>
          <w:sz w:val="32"/>
          <w:szCs w:val="32"/>
        </w:rPr>
      </w:pPr>
      <w:r>
        <w:rPr>
          <w:rFonts w:hint="eastAsia" w:ascii="仿宋" w:hAnsi="仿宋" w:eastAsia="仿宋"/>
          <w:b/>
          <w:color w:val="000000"/>
          <w:sz w:val="32"/>
          <w:szCs w:val="32"/>
        </w:rPr>
        <w:t>2. 严守财务管理各项制度</w:t>
      </w:r>
    </w:p>
    <w:p>
      <w:pPr>
        <w:widowControl/>
        <w:adjustRightInd w:val="0"/>
        <w:snapToGrid w:val="0"/>
        <w:spacing w:line="600" w:lineRule="exact"/>
        <w:ind w:firstLine="720"/>
        <w:jc w:val="left"/>
        <w:rPr>
          <w:rFonts w:ascii="仿宋" w:hAnsi="仿宋" w:eastAsia="仿宋" w:cs="宋体"/>
          <w:color w:val="000000"/>
          <w:kern w:val="0"/>
          <w:sz w:val="32"/>
          <w:szCs w:val="32"/>
          <w:shd w:val="clear" w:color="auto" w:fill="FFFFFF"/>
          <w:lang w:val="zh-CN"/>
        </w:rPr>
      </w:pPr>
      <w:r>
        <w:rPr>
          <w:rFonts w:hint="eastAsia" w:ascii="仿宋" w:hAnsi="仿宋" w:eastAsia="仿宋" w:cs="宋体"/>
          <w:color w:val="000000"/>
          <w:kern w:val="0"/>
          <w:sz w:val="32"/>
          <w:szCs w:val="32"/>
          <w:shd w:val="clear" w:color="auto" w:fill="FFFFFF"/>
          <w:lang w:val="zh-CN"/>
        </w:rPr>
        <w:t>严格执行财务管理制度，强化项目资金管理和使用。认真《沐川县财政资金支付管理暂行办法》，并结合部门实际制定了《机关财务管理制度》，严格遵守国家、省、市财务管理法律法规，本着勤俭节约原则，管好用好每笔资金，杜绝违规违法事件的发生。财务活动接受审计、财政、纪检监察等部门的监督检查。</w:t>
      </w:r>
    </w:p>
    <w:p>
      <w:pPr>
        <w:widowControl/>
        <w:adjustRightInd w:val="0"/>
        <w:snapToGrid w:val="0"/>
        <w:spacing w:line="600" w:lineRule="exact"/>
        <w:ind w:firstLine="720"/>
        <w:jc w:val="left"/>
        <w:rPr>
          <w:rFonts w:ascii="仿宋" w:hAnsi="仿宋" w:eastAsia="仿宋"/>
          <w:b/>
          <w:color w:val="000000"/>
          <w:sz w:val="32"/>
          <w:szCs w:val="32"/>
        </w:rPr>
      </w:pPr>
      <w:r>
        <w:rPr>
          <w:rFonts w:hint="eastAsia" w:ascii="仿宋" w:hAnsi="仿宋" w:eastAsia="仿宋"/>
          <w:b/>
          <w:color w:val="000000"/>
          <w:sz w:val="32"/>
          <w:szCs w:val="32"/>
        </w:rPr>
        <w:t>3. 及时开展预、决算公开</w:t>
      </w:r>
    </w:p>
    <w:p>
      <w:pPr>
        <w:widowControl/>
        <w:adjustRightInd w:val="0"/>
        <w:snapToGrid w:val="0"/>
        <w:spacing w:line="600" w:lineRule="exact"/>
        <w:ind w:firstLine="720"/>
        <w:jc w:val="left"/>
        <w:rPr>
          <w:rFonts w:ascii="仿宋" w:hAnsi="仿宋" w:eastAsia="仿宋" w:cs="宋体"/>
          <w:color w:val="000000"/>
          <w:kern w:val="0"/>
          <w:sz w:val="32"/>
          <w:szCs w:val="32"/>
          <w:lang w:val="zh-CN"/>
        </w:rPr>
      </w:pPr>
      <w:r>
        <w:rPr>
          <w:rFonts w:hint="eastAsia" w:ascii="仿宋" w:hAnsi="仿宋" w:eastAsia="仿宋" w:cs="宋体"/>
          <w:color w:val="000000"/>
          <w:kern w:val="0"/>
          <w:sz w:val="32"/>
          <w:szCs w:val="32"/>
          <w:lang w:val="zh-CN"/>
        </w:rPr>
        <w:t>严格按照本单位正常运转的日常费用支出和完成特定专项业务工作的经费进行预算，中期对临时增加的特定工作进行了财政资金追加，年终对全年财政拨</w:t>
      </w:r>
      <w:bookmarkStart w:id="0" w:name="_GoBack"/>
      <w:bookmarkEnd w:id="0"/>
      <w:r>
        <w:rPr>
          <w:rFonts w:hint="eastAsia" w:ascii="仿宋" w:hAnsi="仿宋" w:eastAsia="仿宋" w:cs="宋体"/>
          <w:color w:val="000000"/>
          <w:kern w:val="0"/>
          <w:sz w:val="32"/>
          <w:szCs w:val="32"/>
          <w:lang w:val="zh-CN"/>
        </w:rPr>
        <w:t>入资金进行分类分项目进行决算，并及时在沐川县人民政府网站和沐川党务公开网上进行了公开。</w:t>
      </w:r>
    </w:p>
    <w:p>
      <w:pPr>
        <w:widowControl/>
        <w:adjustRightInd w:val="0"/>
        <w:snapToGrid w:val="0"/>
        <w:spacing w:line="600" w:lineRule="exact"/>
        <w:ind w:firstLine="720"/>
        <w:rPr>
          <w:rFonts w:ascii="楷体_GB2312" w:hAnsi="仿宋" w:eastAsia="楷体_GB2312" w:cs="宋体"/>
          <w:b/>
          <w:color w:val="000000"/>
          <w:kern w:val="0"/>
          <w:sz w:val="32"/>
          <w:szCs w:val="32"/>
          <w:lang w:val="zh-CN"/>
        </w:rPr>
      </w:pPr>
      <w:r>
        <w:rPr>
          <w:rFonts w:hint="eastAsia" w:ascii="楷体_GB2312" w:hAnsi="仿宋" w:eastAsia="楷体_GB2312" w:cs="宋体"/>
          <w:b/>
          <w:color w:val="000000"/>
          <w:kern w:val="0"/>
          <w:sz w:val="32"/>
          <w:szCs w:val="32"/>
          <w:lang w:val="zh-CN"/>
        </w:rPr>
        <w:t>（四）整体绩效</w:t>
      </w:r>
    </w:p>
    <w:p>
      <w:pPr>
        <w:widowControl/>
        <w:adjustRightInd w:val="0"/>
        <w:snapToGrid w:val="0"/>
        <w:spacing w:line="600" w:lineRule="exact"/>
        <w:ind w:firstLine="720"/>
        <w:jc w:val="left"/>
        <w:rPr>
          <w:rFonts w:ascii="仿宋" w:hAnsi="仿宋" w:eastAsia="仿宋" w:cs="宋体"/>
          <w:color w:val="000000"/>
          <w:kern w:val="0"/>
          <w:sz w:val="32"/>
          <w:szCs w:val="32"/>
          <w:lang w:val="zh-CN"/>
        </w:rPr>
      </w:pPr>
      <w:r>
        <w:rPr>
          <w:rFonts w:hint="eastAsia" w:ascii="仿宋" w:hAnsi="仿宋" w:eastAsia="仿宋" w:cs="宋体"/>
          <w:color w:val="000000"/>
          <w:kern w:val="0"/>
          <w:sz w:val="32"/>
          <w:szCs w:val="32"/>
          <w:lang w:val="zh-CN"/>
        </w:rPr>
        <w:t>2022年财政拨款支出主要用于保障我部机构正常运转、完成日常工作任务以及承担党的组织、干部、人才开发、老干部工作等相关工作，取得了较好的成效。</w:t>
      </w:r>
    </w:p>
    <w:p>
      <w:pPr>
        <w:spacing w:line="600" w:lineRule="exact"/>
        <w:ind w:firstLine="630" w:firstLineChars="196"/>
        <w:rPr>
          <w:rFonts w:ascii="黑体" w:hAnsi="黑体" w:eastAsia="黑体" w:cs="宋体"/>
          <w:b/>
          <w:color w:val="000000"/>
          <w:kern w:val="0"/>
          <w:sz w:val="32"/>
          <w:szCs w:val="32"/>
        </w:rPr>
      </w:pPr>
      <w:r>
        <w:rPr>
          <w:rFonts w:hint="eastAsia" w:ascii="黑体" w:hAnsi="黑体" w:eastAsia="黑体" w:cs="宋体"/>
          <w:b/>
          <w:color w:val="000000"/>
          <w:kern w:val="0"/>
          <w:sz w:val="32"/>
          <w:szCs w:val="32"/>
        </w:rPr>
        <w:t>四、评价结论及建议</w:t>
      </w:r>
    </w:p>
    <w:p>
      <w:pPr>
        <w:widowControl/>
        <w:adjustRightInd w:val="0"/>
        <w:snapToGrid w:val="0"/>
        <w:spacing w:line="600" w:lineRule="exact"/>
        <w:ind w:firstLine="720"/>
        <w:jc w:val="left"/>
        <w:rPr>
          <w:rFonts w:ascii="仿宋" w:hAnsi="仿宋" w:eastAsia="仿宋"/>
          <w:color w:val="000000"/>
          <w:sz w:val="32"/>
          <w:szCs w:val="32"/>
        </w:rPr>
      </w:pPr>
      <w:r>
        <w:rPr>
          <w:rFonts w:hint="eastAsia" w:ascii="仿宋" w:hAnsi="仿宋" w:eastAsia="仿宋"/>
          <w:color w:val="000000"/>
          <w:sz w:val="32"/>
          <w:szCs w:val="32"/>
        </w:rPr>
        <w:t>2022年，县委组织部认真履行好部门职责，全面保障了机关正常运行，圆满完成了县委、县政府和市委组织部下达的各项业务目标任务，多项工作得到了省委、市委组织部的肯定，党员群众满意，干部满意。</w:t>
      </w: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w:t>
      </w:r>
      <w:r>
        <w:rPr>
          <w:rFonts w:ascii="黑体" w:hAnsi="黑体" w:eastAsia="黑体" w:cs="黑体"/>
          <w:sz w:val="32"/>
          <w:szCs w:val="32"/>
        </w:rPr>
        <w:t>2</w:t>
      </w:r>
    </w:p>
    <w:p>
      <w:pPr>
        <w:pStyle w:val="31"/>
        <w:spacing w:line="580" w:lineRule="exact"/>
        <w:ind w:firstLine="1980" w:firstLineChars="450"/>
        <w:rPr>
          <w:rFonts w:ascii="仿宋_GB2312" w:hAnsi="宋体" w:eastAsia="仿宋_GB2312"/>
          <w:color w:val="auto"/>
          <w:sz w:val="32"/>
          <w:szCs w:val="32"/>
        </w:rPr>
      </w:pPr>
      <w:r>
        <w:rPr>
          <w:rFonts w:hint="eastAsia" w:ascii="方正小标宋简体" w:hAnsi="宋体" w:eastAsia="方正小标宋简体"/>
          <w:sz w:val="44"/>
          <w:szCs w:val="44"/>
        </w:rPr>
        <w:t>组织部项目支出绩效自评报告</w:t>
      </w:r>
    </w:p>
    <w:p>
      <w:pPr>
        <w:pStyle w:val="31"/>
        <w:spacing w:line="580" w:lineRule="exact"/>
        <w:ind w:firstLine="640"/>
        <w:jc w:val="center"/>
        <w:rPr>
          <w:rFonts w:ascii="宋体" w:hAnsi="宋体"/>
          <w:color w:val="auto"/>
          <w:sz w:val="32"/>
          <w:szCs w:val="32"/>
        </w:rPr>
      </w:pPr>
    </w:p>
    <w:p>
      <w:pPr>
        <w:adjustRightInd w:val="0"/>
        <w:snapToGrid w:val="0"/>
        <w:spacing w:line="580" w:lineRule="exact"/>
        <w:ind w:firstLine="720"/>
        <w:rPr>
          <w:rFonts w:ascii="仿宋_GB2312" w:hAnsi="宋体" w:eastAsia="仿宋_GB2312"/>
          <w:b/>
          <w:sz w:val="32"/>
          <w:szCs w:val="32"/>
          <w:lang w:val="zh-CN"/>
        </w:rPr>
      </w:pPr>
      <w:r>
        <w:rPr>
          <w:rFonts w:hint="eastAsia" w:ascii="仿宋_GB2312" w:hAnsi="宋体" w:eastAsia="仿宋_GB2312"/>
          <w:b/>
          <w:sz w:val="32"/>
          <w:szCs w:val="32"/>
        </w:rPr>
        <w:t>一、</w:t>
      </w:r>
      <w:r>
        <w:rPr>
          <w:rFonts w:hint="eastAsia" w:ascii="仿宋_GB2312" w:hAnsi="宋体" w:eastAsia="仿宋_GB2312"/>
          <w:b/>
          <w:sz w:val="32"/>
          <w:szCs w:val="32"/>
          <w:lang w:val="zh-CN"/>
        </w:rPr>
        <w:t>项目概况</w:t>
      </w:r>
    </w:p>
    <w:p>
      <w:pPr>
        <w:adjustRightInd w:val="0"/>
        <w:snapToGrid w:val="0"/>
        <w:spacing w:line="58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离退休党支部书记、委员工作补贴主要用于离退休支部书记和委员工作补贴；县级退休干部医疗补助主要用于县级退休干部医疗补助；老干部关爱慰问经费主要用于春节、中秋、国庆慰问老干部和县级领导联系老干部费；政务运转经费主要用于弥补办公经费不足；党员教育培训经费主要用于全县党员、干部培训；人才开发及关爱慰问经费主要用于人才引进、干部培训和慰问等；《中共执政纪要》《沐川年鉴》出版费主要用于编写县委执政纪要、沐川年鉴和出版费；县级领导干部体检费主要用于县级领导干部体检；到村任职选调生补助主要用于选调生到村任职开展工作；干部人才交流项目主要用于东西部协作干部培训。重点说明以下内容：</w:t>
      </w:r>
    </w:p>
    <w:p>
      <w:pPr>
        <w:adjustRightInd w:val="0"/>
        <w:snapToGrid w:val="0"/>
        <w:spacing w:line="580" w:lineRule="exact"/>
        <w:ind w:firstLine="720"/>
        <w:rPr>
          <w:rFonts w:ascii="仿宋_GB2312" w:hAnsi="宋体" w:eastAsia="仿宋_GB2312"/>
          <w:sz w:val="32"/>
          <w:szCs w:val="32"/>
          <w:lang w:val="zh-CN"/>
        </w:rPr>
      </w:pPr>
      <w:r>
        <w:rPr>
          <w:rFonts w:hint="eastAsia" w:ascii="仿宋_GB2312" w:hAnsi="宋体" w:eastAsia="仿宋_GB2312"/>
          <w:b/>
          <w:sz w:val="32"/>
          <w:szCs w:val="32"/>
          <w:lang w:val="zh-CN"/>
        </w:rPr>
        <w:t>（一）项目资金申报及批复情况。</w:t>
      </w:r>
      <w:r>
        <w:rPr>
          <w:rFonts w:hint="eastAsia" w:ascii="仿宋_GB2312" w:hAnsi="宋体" w:eastAsia="仿宋_GB2312"/>
          <w:sz w:val="32"/>
          <w:szCs w:val="32"/>
          <w:lang w:val="zh-CN"/>
        </w:rPr>
        <w:t>对项目资金实施预算指标，实施项目时按实申报，符合资金管理办法等相关规定。</w:t>
      </w:r>
    </w:p>
    <w:p>
      <w:pPr>
        <w:spacing w:line="600" w:lineRule="exact"/>
        <w:ind w:firstLine="643" w:firstLineChars="200"/>
        <w:rPr>
          <w:rFonts w:ascii="仿宋_GB2312" w:hAnsi="宋体" w:eastAsia="仿宋_GB2312"/>
          <w:sz w:val="32"/>
          <w:szCs w:val="32"/>
          <w:lang w:val="zh-CN"/>
        </w:rPr>
      </w:pPr>
      <w:r>
        <w:rPr>
          <w:rFonts w:hint="eastAsia" w:ascii="仿宋_GB2312" w:hAnsi="宋体" w:eastAsia="仿宋_GB2312"/>
          <w:b/>
          <w:sz w:val="32"/>
          <w:szCs w:val="32"/>
          <w:lang w:val="zh-CN"/>
        </w:rPr>
        <w:t>（二）项目绩效目标。</w:t>
      </w:r>
      <w:r>
        <w:rPr>
          <w:rFonts w:ascii="仿宋_GB2312" w:hAnsi="宋体" w:eastAsia="仿宋_GB2312"/>
          <w:sz w:val="32"/>
          <w:szCs w:val="32"/>
          <w:lang w:val="zh-CN"/>
        </w:rPr>
        <w:t>围绕“四个聚焦”，打造坚实干部梯队。</w:t>
      </w:r>
      <w:r>
        <w:rPr>
          <w:rFonts w:ascii="Times New Roman" w:hAnsi="Times New Roman" w:eastAsia="仿宋_GB2312"/>
          <w:bCs/>
          <w:sz w:val="32"/>
          <w:szCs w:val="32"/>
        </w:rPr>
        <w:t>坚持政治标准“</w:t>
      </w:r>
      <w:r>
        <w:rPr>
          <w:rFonts w:ascii="Times New Roman" w:hAnsi="Times New Roman"/>
          <w:bCs/>
          <w:sz w:val="32"/>
          <w:szCs w:val="32"/>
        </w:rPr>
        <w:t>硬杠杠”，科学编制进人计划，平衡入口比例，通过合理设置性别和专业条件，依托公开考录、服务基层项目引进、选调优秀国有企事业人员等渠道整合各类政策资源，突出矿业、土木建筑、交通运输、管理科学与工程、经济金融等重点领域，引进</w:t>
      </w:r>
      <w:r>
        <w:rPr>
          <w:rFonts w:ascii="Times New Roman" w:hAnsi="Times New Roman" w:eastAsia="仿宋_GB2312"/>
          <w:bCs/>
          <w:sz w:val="32"/>
          <w:szCs w:val="32"/>
        </w:rPr>
        <w:t>乡镇公务员2</w:t>
      </w:r>
      <w:r>
        <w:rPr>
          <w:rFonts w:ascii="Times New Roman" w:hAnsi="Times New Roman"/>
          <w:bCs/>
          <w:sz w:val="32"/>
          <w:szCs w:val="32"/>
        </w:rPr>
        <w:t>4</w:t>
      </w:r>
      <w:r>
        <w:rPr>
          <w:rFonts w:ascii="Times New Roman" w:hAnsi="Times New Roman" w:eastAsia="仿宋_GB2312"/>
          <w:bCs/>
          <w:sz w:val="32"/>
          <w:szCs w:val="32"/>
        </w:rPr>
        <w:t>名，政法系统公务员4名</w:t>
      </w:r>
      <w:r>
        <w:rPr>
          <w:rFonts w:ascii="Times New Roman" w:hAnsi="Times New Roman"/>
          <w:bCs/>
          <w:sz w:val="32"/>
          <w:szCs w:val="32"/>
        </w:rPr>
        <w:t>，</w:t>
      </w:r>
      <w:r>
        <w:rPr>
          <w:rFonts w:ascii="Times New Roman" w:hAnsi="Times New Roman" w:eastAsia="仿宋_GB2312"/>
          <w:bCs/>
          <w:sz w:val="32"/>
          <w:szCs w:val="32"/>
        </w:rPr>
        <w:t>服务基层选调生4名，紧缺专业选调生1名，调任公务员1名。稳步实施干部蓄水池计划</w:t>
      </w:r>
      <w:r>
        <w:rPr>
          <w:rFonts w:ascii="Times New Roman" w:hAnsi="Times New Roman"/>
          <w:bCs/>
          <w:sz w:val="32"/>
          <w:szCs w:val="32"/>
        </w:rPr>
        <w:t>，</w:t>
      </w:r>
      <w:r>
        <w:rPr>
          <w:rFonts w:ascii="Times New Roman" w:hAnsi="Times New Roman" w:eastAsia="仿宋_GB2312"/>
          <w:bCs/>
          <w:sz w:val="32"/>
          <w:szCs w:val="32"/>
        </w:rPr>
        <w:t>把发现优秀年轻干部作为班子研判的重要内容，综合考核评优、实地考察等情况，储备35岁以下、“全日本”等后备干部200余名</w:t>
      </w:r>
      <w:r>
        <w:rPr>
          <w:rFonts w:ascii="Times New Roman" w:hAnsi="Times New Roman"/>
          <w:bCs/>
          <w:sz w:val="32"/>
          <w:szCs w:val="32"/>
        </w:rPr>
        <w:t>。</w:t>
      </w:r>
      <w:r>
        <w:rPr>
          <w:rFonts w:ascii="Times New Roman" w:hAnsi="Times New Roman" w:eastAsia="仿宋_GB2312"/>
          <w:bCs/>
          <w:sz w:val="32"/>
          <w:szCs w:val="32"/>
        </w:rPr>
        <w:t>创新实施“沐兵沙场”干部培训淬炼成长工程，启动第一批“后备精英”选拔，通过竞演面试方式进行“面对面”考察识别，择优建立首批50名优秀年轻干部“精英营”。突出中层岗位关键一环，</w:t>
      </w:r>
      <w:r>
        <w:rPr>
          <w:rFonts w:hint="eastAsia" w:ascii="Times New Roman" w:hAnsi="Times New Roman"/>
          <w:bCs/>
          <w:sz w:val="32"/>
          <w:szCs w:val="32"/>
        </w:rPr>
        <w:t>指导各乡镇、县级部门</w:t>
      </w:r>
      <w:r>
        <w:rPr>
          <w:rFonts w:ascii="Times New Roman" w:hAnsi="Times New Roman" w:eastAsia="仿宋_GB2312"/>
          <w:bCs/>
          <w:sz w:val="32"/>
          <w:szCs w:val="32"/>
        </w:rPr>
        <w:t>完成50多名中层干部的选拔配备。</w:t>
      </w:r>
      <w:r>
        <w:rPr>
          <w:rFonts w:ascii="Times New Roman" w:hAnsi="Times New Roman" w:eastAsia="仿宋_GB2312"/>
          <w:sz w:val="32"/>
          <w:szCs w:val="32"/>
        </w:rPr>
        <w:t>实施“沐暨飞燕”东西部协作干部人才交流计划，</w:t>
      </w:r>
      <w:r>
        <w:rPr>
          <w:rFonts w:ascii="Times New Roman" w:hAnsi="Times New Roman"/>
          <w:sz w:val="32"/>
          <w:szCs w:val="32"/>
        </w:rPr>
        <w:t>先后</w:t>
      </w:r>
      <w:r>
        <w:rPr>
          <w:rFonts w:ascii="Times New Roman" w:hAnsi="Times New Roman" w:eastAsia="仿宋_GB2312"/>
          <w:sz w:val="32"/>
          <w:szCs w:val="32"/>
        </w:rPr>
        <w:t>选派</w:t>
      </w:r>
      <w:r>
        <w:rPr>
          <w:rFonts w:hint="eastAsia" w:ascii="Times New Roman" w:hAnsi="Times New Roman"/>
          <w:sz w:val="32"/>
          <w:szCs w:val="32"/>
        </w:rPr>
        <w:t>16</w:t>
      </w:r>
      <w:r>
        <w:rPr>
          <w:rFonts w:ascii="Times New Roman" w:hAnsi="Times New Roman" w:eastAsia="仿宋_GB2312"/>
          <w:sz w:val="32"/>
          <w:szCs w:val="32"/>
        </w:rPr>
        <w:t>名干部人才到诸暨开展“领题”跟岗学习，</w:t>
      </w:r>
      <w:r>
        <w:rPr>
          <w:rFonts w:ascii="Times New Roman" w:hAnsi="Times New Roman"/>
          <w:sz w:val="32"/>
          <w:szCs w:val="32"/>
        </w:rPr>
        <w:t>诸暨选派</w:t>
      </w:r>
      <w:r>
        <w:rPr>
          <w:rFonts w:hint="eastAsia" w:ascii="Times New Roman" w:hAnsi="Times New Roman"/>
          <w:sz w:val="32"/>
          <w:szCs w:val="32"/>
        </w:rPr>
        <w:t>4</w:t>
      </w:r>
      <w:r>
        <w:rPr>
          <w:rFonts w:ascii="Times New Roman" w:hAnsi="Times New Roman"/>
          <w:sz w:val="32"/>
          <w:szCs w:val="32"/>
        </w:rPr>
        <w:t>批</w:t>
      </w:r>
      <w:r>
        <w:rPr>
          <w:rFonts w:hint="eastAsia" w:ascii="Times New Roman" w:hAnsi="Times New Roman"/>
          <w:sz w:val="32"/>
          <w:szCs w:val="32"/>
        </w:rPr>
        <w:t>15</w:t>
      </w:r>
      <w:r>
        <w:rPr>
          <w:rFonts w:ascii="Times New Roman" w:hAnsi="Times New Roman"/>
          <w:sz w:val="32"/>
          <w:szCs w:val="32"/>
        </w:rPr>
        <w:t>名干部人才到沐川开展“订单”援助。持续推进</w:t>
      </w:r>
      <w:r>
        <w:rPr>
          <w:rFonts w:ascii="Times New Roman" w:hAnsi="Times New Roman" w:eastAsia="仿宋_GB2312"/>
          <w:sz w:val="32"/>
          <w:szCs w:val="32"/>
        </w:rPr>
        <w:t>“蓝鹰工程”项目，组建冠名班10个，先后投入项目资金400万元共建袜业孵化中心、电子商务等产教融合实训基地5个，累计培养学生481名。</w:t>
      </w:r>
      <w:r>
        <w:rPr>
          <w:rFonts w:ascii="Times New Roman" w:hAnsi="Times New Roman" w:eastAsia="仿宋_GB2312"/>
          <w:kern w:val="0"/>
          <w:sz w:val="32"/>
          <w:szCs w:val="32"/>
          <w:lang w:bidi="ar"/>
        </w:rPr>
        <w:t>创新推出“沐语风生”多彩党课，</w:t>
      </w:r>
      <w:r>
        <w:rPr>
          <w:rFonts w:ascii="Times New Roman" w:hAnsi="Times New Roman"/>
          <w:kern w:val="0"/>
          <w:sz w:val="32"/>
          <w:szCs w:val="32"/>
          <w:lang w:bidi="ar"/>
        </w:rPr>
        <w:t>组织</w:t>
      </w:r>
      <w:r>
        <w:rPr>
          <w:rFonts w:ascii="Times New Roman" w:hAnsi="Times New Roman" w:eastAsia="仿宋_GB2312"/>
          <w:kern w:val="0"/>
          <w:sz w:val="32"/>
          <w:szCs w:val="32"/>
          <w:lang w:bidi="ar"/>
        </w:rPr>
        <w:t>基层党委评选《百年誓词耀初心》《英雄的故事》等优秀党课30余个。</w:t>
      </w:r>
      <w:r>
        <w:rPr>
          <w:rFonts w:ascii="Times New Roman" w:hAnsi="Times New Roman" w:eastAsia="仿宋_GB2312"/>
          <w:sz w:val="32"/>
          <w:szCs w:val="32"/>
        </w:rPr>
        <w:t>深入推进“沐花千红”党建项目示范创建</w:t>
      </w:r>
      <w:r>
        <w:rPr>
          <w:rFonts w:ascii="Times New Roman" w:hAnsi="Times New Roman"/>
          <w:sz w:val="32"/>
          <w:szCs w:val="32"/>
        </w:rPr>
        <w:t>，</w:t>
      </w:r>
      <w:r>
        <w:rPr>
          <w:rFonts w:ascii="Times New Roman" w:hAnsi="Times New Roman" w:eastAsia="仿宋_GB2312"/>
          <w:sz w:val="32"/>
          <w:szCs w:val="32"/>
        </w:rPr>
        <w:t>严格“六步”工作法，确立“四性四觉”创建标准，</w:t>
      </w:r>
      <w:r>
        <w:rPr>
          <w:rFonts w:ascii="Times New Roman" w:hAnsi="Times New Roman"/>
          <w:sz w:val="32"/>
          <w:szCs w:val="32"/>
        </w:rPr>
        <w:t>目前全县</w:t>
      </w:r>
      <w:r>
        <w:rPr>
          <w:rFonts w:ascii="Times New Roman" w:hAnsi="Times New Roman" w:eastAsia="仿宋_GB2312"/>
          <w:sz w:val="32"/>
          <w:szCs w:val="32"/>
        </w:rPr>
        <w:t>68个党建项目</w:t>
      </w:r>
      <w:r>
        <w:rPr>
          <w:rFonts w:ascii="Times New Roman" w:hAnsi="Times New Roman"/>
          <w:sz w:val="32"/>
          <w:szCs w:val="32"/>
        </w:rPr>
        <w:t>已</w:t>
      </w:r>
      <w:r>
        <w:rPr>
          <w:rFonts w:ascii="Times New Roman" w:hAnsi="Times New Roman" w:eastAsia="仿宋_GB2312"/>
          <w:sz w:val="32"/>
          <w:szCs w:val="32"/>
        </w:rPr>
        <w:t>申报立项，57个党建项目</w:t>
      </w:r>
      <w:r>
        <w:rPr>
          <w:rFonts w:ascii="Times New Roman" w:hAnsi="Times New Roman"/>
          <w:sz w:val="32"/>
          <w:szCs w:val="32"/>
        </w:rPr>
        <w:t>稳步推进</w:t>
      </w:r>
      <w:r>
        <w:rPr>
          <w:rFonts w:ascii="Times New Roman" w:hAnsi="Times New Roman" w:eastAsia="仿宋_GB2312"/>
          <w:sz w:val="32"/>
          <w:szCs w:val="32"/>
        </w:rPr>
        <w:t>。</w:t>
      </w:r>
    </w:p>
    <w:p>
      <w:pPr>
        <w:adjustRightInd w:val="0"/>
        <w:snapToGrid w:val="0"/>
        <w:spacing w:line="580" w:lineRule="exact"/>
        <w:ind w:firstLine="720"/>
        <w:rPr>
          <w:rFonts w:ascii="仿宋_GB2312" w:hAnsi="宋体" w:eastAsia="仿宋_GB2312"/>
          <w:sz w:val="32"/>
          <w:szCs w:val="32"/>
          <w:lang w:val="zh-CN"/>
        </w:rPr>
      </w:pPr>
      <w:r>
        <w:rPr>
          <w:rFonts w:hint="eastAsia" w:ascii="仿宋_GB2312" w:hAnsi="宋体" w:eastAsia="仿宋_GB2312"/>
          <w:b/>
          <w:sz w:val="32"/>
          <w:szCs w:val="32"/>
          <w:lang w:val="zh-CN"/>
        </w:rPr>
        <w:t>（三）项目资金申报相符性。</w:t>
      </w:r>
      <w:r>
        <w:rPr>
          <w:rFonts w:hint="eastAsia" w:ascii="仿宋_GB2312" w:hAnsi="宋体" w:eastAsia="仿宋_GB2312"/>
          <w:sz w:val="32"/>
          <w:szCs w:val="32"/>
          <w:lang w:val="zh-CN"/>
        </w:rPr>
        <w:t>项目申报内容与具体实施内容相符、申报目标合理可行。</w:t>
      </w:r>
    </w:p>
    <w:p>
      <w:pPr>
        <w:adjustRightInd w:val="0"/>
        <w:snapToGrid w:val="0"/>
        <w:spacing w:line="580" w:lineRule="exact"/>
        <w:ind w:firstLine="720"/>
        <w:rPr>
          <w:rFonts w:ascii="仿宋_GB2312" w:hAnsi="宋体" w:eastAsia="仿宋_GB2312"/>
          <w:b/>
          <w:sz w:val="32"/>
          <w:szCs w:val="32"/>
        </w:rPr>
      </w:pPr>
      <w:r>
        <w:rPr>
          <w:rFonts w:hint="eastAsia" w:ascii="仿宋_GB2312" w:hAnsi="宋体" w:eastAsia="仿宋_GB2312"/>
          <w:b/>
          <w:sz w:val="32"/>
          <w:szCs w:val="32"/>
        </w:rPr>
        <w:t>二、项目实施及管理情况</w:t>
      </w:r>
    </w:p>
    <w:p>
      <w:pPr>
        <w:adjustRightInd w:val="0"/>
        <w:snapToGrid w:val="0"/>
        <w:spacing w:line="580" w:lineRule="exact"/>
        <w:ind w:firstLine="720"/>
        <w:rPr>
          <w:rFonts w:ascii="仿宋_GB2312" w:hAnsi="宋体" w:eastAsia="仿宋_GB2312"/>
          <w:b/>
          <w:sz w:val="32"/>
          <w:szCs w:val="32"/>
          <w:lang w:val="zh-CN"/>
        </w:rPr>
      </w:pPr>
      <w:r>
        <w:rPr>
          <w:rFonts w:hint="eastAsia" w:ascii="仿宋_GB2312" w:hAnsi="宋体" w:eastAsia="仿宋_GB2312"/>
          <w:sz w:val="32"/>
          <w:szCs w:val="32"/>
          <w:lang w:val="zh-CN"/>
        </w:rPr>
        <w:tab/>
      </w:r>
      <w:r>
        <w:rPr>
          <w:rFonts w:hint="eastAsia" w:ascii="仿宋_GB2312" w:hAnsi="宋体" w:eastAsia="仿宋_GB2312"/>
          <w:b/>
          <w:sz w:val="32"/>
          <w:szCs w:val="32"/>
          <w:lang w:val="zh-CN"/>
        </w:rPr>
        <w:t>（一）资金计划、到位及使用情况。</w:t>
      </w:r>
    </w:p>
    <w:p>
      <w:pPr>
        <w:adjustRightInd w:val="0"/>
        <w:snapToGrid w:val="0"/>
        <w:spacing w:line="58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1．资金计划及到位。</w:t>
      </w:r>
      <w:r>
        <w:rPr>
          <w:rFonts w:hint="eastAsia" w:ascii="仿宋_GB2312" w:hAnsi="仿宋" w:eastAsia="仿宋_GB2312"/>
          <w:sz w:val="32"/>
          <w:szCs w:val="32"/>
          <w:lang w:val="zh-CN"/>
        </w:rPr>
        <w:t>截止2022年底，</w:t>
      </w:r>
      <w:r>
        <w:rPr>
          <w:rFonts w:hint="eastAsia" w:ascii="仿宋_GB2312" w:hAnsi="宋体" w:eastAsia="仿宋_GB2312"/>
          <w:sz w:val="32"/>
          <w:szCs w:val="32"/>
          <w:lang w:val="zh-CN"/>
        </w:rPr>
        <w:t>该项目各类资金及时到位。</w:t>
      </w:r>
    </w:p>
    <w:p>
      <w:pPr>
        <w:adjustRightInd w:val="0"/>
        <w:snapToGrid w:val="0"/>
        <w:spacing w:line="58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2．资金使用。《中共沐川县委执政纪要》《沐川年鉴》出版费预算12万元，实际支付11.86万元，主要用于编辑和出版费；离退休党支部书记、委员工作补贴预算19.92万元，实际支付18.84万元，主要用于离退休支部书记、委员补助；县级退休干部医疗补助预算30万元，实际支付22.98万元，主要用于县级退休干部医疗补助；老干部关爱慰问经费预算21.53万元，实际支付12.46万元，主要用于春节中秋国庆慰问老干部、老干部遗孀和县级领导联系老干部慰问费等；县级领导干部体检费预算7.4万元，实际支出4.11万元，主要用于县级领导干部体检费；党员教育培训经费预算10万元，实际支出6.85万元，主要用于全县党员干部培训；干部人才交流项目预算100万元，实际支出50.47万元，主要用于干部培训。所有项目资金按实际支出，项目实施按进度支付，支付依据合规合法，资金支付与预算相符。</w:t>
      </w:r>
    </w:p>
    <w:p>
      <w:pPr>
        <w:adjustRightInd w:val="0"/>
        <w:snapToGrid w:val="0"/>
        <w:spacing w:line="580" w:lineRule="exact"/>
        <w:ind w:firstLine="720"/>
        <w:rPr>
          <w:rFonts w:ascii="仿宋_GB2312" w:hAnsi="宋体" w:eastAsia="仿宋_GB2312"/>
          <w:b/>
          <w:sz w:val="32"/>
          <w:szCs w:val="32"/>
          <w:lang w:val="zh-CN"/>
        </w:rPr>
      </w:pPr>
      <w:r>
        <w:rPr>
          <w:rFonts w:hint="eastAsia" w:ascii="仿宋_GB2312" w:hAnsi="宋体" w:eastAsia="仿宋_GB2312"/>
          <w:b/>
          <w:sz w:val="32"/>
          <w:szCs w:val="32"/>
          <w:lang w:val="zh-CN"/>
        </w:rPr>
        <w:t>（二）项目财务管理情况。</w:t>
      </w:r>
    </w:p>
    <w:p>
      <w:pPr>
        <w:adjustRightInd w:val="0"/>
        <w:snapToGrid w:val="0"/>
        <w:spacing w:line="58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该项目严格执行财务管理制度、财务处理及时、会计核算规范。</w:t>
      </w:r>
    </w:p>
    <w:p>
      <w:pPr>
        <w:adjustRightInd w:val="0"/>
        <w:snapToGrid w:val="0"/>
        <w:spacing w:line="580" w:lineRule="exact"/>
        <w:ind w:firstLine="720"/>
        <w:rPr>
          <w:rFonts w:ascii="仿宋_GB2312" w:hAnsi="宋体" w:eastAsia="仿宋_GB2312"/>
          <w:b/>
          <w:sz w:val="32"/>
          <w:szCs w:val="32"/>
          <w:lang w:val="zh-CN"/>
        </w:rPr>
      </w:pPr>
      <w:r>
        <w:rPr>
          <w:rFonts w:hint="eastAsia" w:ascii="仿宋_GB2312" w:hAnsi="宋体" w:eastAsia="仿宋_GB2312"/>
          <w:b/>
          <w:sz w:val="32"/>
          <w:szCs w:val="32"/>
          <w:lang w:val="zh-CN"/>
        </w:rPr>
        <w:t>（三）项目组织实施情况。</w:t>
      </w:r>
    </w:p>
    <w:p>
      <w:pPr>
        <w:adjustRightInd w:val="0"/>
        <w:snapToGrid w:val="0"/>
        <w:spacing w:line="58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该项目由县委组织部实施，严格执行财务管理制度和监管责任。</w:t>
      </w:r>
    </w:p>
    <w:p>
      <w:pPr>
        <w:adjustRightInd w:val="0"/>
        <w:snapToGrid w:val="0"/>
        <w:spacing w:line="580" w:lineRule="exact"/>
        <w:ind w:firstLine="720"/>
        <w:rPr>
          <w:rFonts w:ascii="仿宋_GB2312" w:hAnsi="宋体" w:eastAsia="仿宋_GB2312"/>
          <w:b/>
          <w:sz w:val="32"/>
          <w:szCs w:val="32"/>
          <w:lang w:val="zh-CN"/>
        </w:rPr>
      </w:pPr>
      <w:r>
        <w:rPr>
          <w:rFonts w:hint="eastAsia" w:ascii="仿宋_GB2312" w:hAnsi="宋体" w:eastAsia="仿宋_GB2312"/>
          <w:b/>
          <w:sz w:val="32"/>
          <w:szCs w:val="32"/>
        </w:rPr>
        <w:t>三、项目绩效情况</w:t>
      </w:r>
      <w:r>
        <w:rPr>
          <w:rFonts w:hint="eastAsia" w:ascii="仿宋_GB2312" w:hAnsi="宋体" w:eastAsia="仿宋_GB2312"/>
          <w:b/>
          <w:sz w:val="32"/>
          <w:szCs w:val="32"/>
          <w:lang w:val="zh-CN"/>
        </w:rPr>
        <w:tab/>
      </w:r>
    </w:p>
    <w:p>
      <w:pPr>
        <w:adjustRightInd w:val="0"/>
        <w:snapToGrid w:val="0"/>
        <w:spacing w:line="580" w:lineRule="exact"/>
        <w:ind w:firstLine="720"/>
        <w:rPr>
          <w:rFonts w:ascii="仿宋_GB2312" w:eastAsia="仿宋_GB2312"/>
          <w:sz w:val="32"/>
          <w:szCs w:val="32"/>
        </w:rPr>
      </w:pPr>
      <w:r>
        <w:rPr>
          <w:rFonts w:hint="eastAsia" w:ascii="仿宋_GB2312" w:hAnsi="宋体" w:eastAsia="仿宋_GB2312"/>
          <w:b/>
          <w:sz w:val="32"/>
          <w:szCs w:val="32"/>
          <w:lang w:val="zh-CN"/>
        </w:rPr>
        <w:t>（一）项目完成情况。</w:t>
      </w:r>
      <w:r>
        <w:rPr>
          <w:rFonts w:hint="eastAsia" w:ascii="仿宋_GB2312" w:hAnsi="宋体" w:eastAsia="仿宋_GB2312"/>
          <w:sz w:val="32"/>
          <w:szCs w:val="32"/>
          <w:lang w:val="zh-CN"/>
        </w:rPr>
        <w:t>完成《中共沐川县委执政纪要》《沐川年鉴》出版；</w:t>
      </w:r>
      <w:r>
        <w:rPr>
          <w:rFonts w:hint="eastAsia" w:ascii="仿宋_GB2312" w:eastAsia="仿宋_GB2312"/>
          <w:sz w:val="32"/>
          <w:szCs w:val="32"/>
        </w:rPr>
        <w:t>按时组织老干部定期体检、医药费报销；春节中秋国庆慰问走访老干部及老干部遗孀266人次；及时完成离退休支部考核，按时兑现工作补贴；</w:t>
      </w:r>
      <w:r>
        <w:rPr>
          <w:rFonts w:ascii="Times New Roman" w:hAnsi="Times New Roman"/>
          <w:bCs/>
          <w:sz w:val="32"/>
          <w:szCs w:val="32"/>
        </w:rPr>
        <w:t>引进</w:t>
      </w:r>
      <w:r>
        <w:rPr>
          <w:rFonts w:ascii="Times New Roman" w:hAnsi="Times New Roman" w:eastAsia="仿宋_GB2312"/>
          <w:bCs/>
          <w:sz w:val="32"/>
          <w:szCs w:val="32"/>
        </w:rPr>
        <w:t>乡镇公务员2</w:t>
      </w:r>
      <w:r>
        <w:rPr>
          <w:rFonts w:ascii="Times New Roman" w:hAnsi="Times New Roman"/>
          <w:bCs/>
          <w:sz w:val="32"/>
          <w:szCs w:val="32"/>
        </w:rPr>
        <w:t>4</w:t>
      </w:r>
      <w:r>
        <w:rPr>
          <w:rFonts w:ascii="Times New Roman" w:hAnsi="Times New Roman" w:eastAsia="仿宋_GB2312"/>
          <w:bCs/>
          <w:sz w:val="32"/>
          <w:szCs w:val="32"/>
        </w:rPr>
        <w:t>名，政法系统公务员4名</w:t>
      </w:r>
      <w:r>
        <w:rPr>
          <w:rFonts w:ascii="Times New Roman" w:hAnsi="Times New Roman"/>
          <w:bCs/>
          <w:sz w:val="32"/>
          <w:szCs w:val="32"/>
        </w:rPr>
        <w:t>，</w:t>
      </w:r>
      <w:r>
        <w:rPr>
          <w:rFonts w:ascii="Times New Roman" w:hAnsi="Times New Roman" w:eastAsia="仿宋_GB2312"/>
          <w:bCs/>
          <w:sz w:val="32"/>
          <w:szCs w:val="32"/>
        </w:rPr>
        <w:t>服务基层选调生4名，紧缺专业选调生1名，调任公务员1名</w:t>
      </w:r>
      <w:r>
        <w:rPr>
          <w:rFonts w:hint="eastAsia" w:ascii="Times New Roman" w:hAnsi="Times New Roman" w:eastAsia="仿宋_GB2312"/>
          <w:bCs/>
          <w:sz w:val="32"/>
          <w:szCs w:val="32"/>
        </w:rPr>
        <w:t>；</w:t>
      </w:r>
      <w:r>
        <w:rPr>
          <w:rFonts w:ascii="Times New Roman" w:hAnsi="Times New Roman" w:eastAsia="仿宋_GB2312"/>
          <w:bCs/>
          <w:sz w:val="32"/>
          <w:szCs w:val="32"/>
        </w:rPr>
        <w:t>创新实施“沐兵沙场”干部培训淬炼成长工程，启动第一批“后备精英”选拔，通过竞演面试方式进行“面对面”考察识别，择优建立首批50名优秀年轻干部“精英营”</w:t>
      </w:r>
      <w:r>
        <w:rPr>
          <w:rFonts w:hint="eastAsia" w:ascii="Times New Roman" w:hAnsi="Times New Roman" w:eastAsia="仿宋_GB2312"/>
          <w:bCs/>
          <w:sz w:val="32"/>
          <w:szCs w:val="32"/>
        </w:rPr>
        <w:t>；</w:t>
      </w:r>
      <w:r>
        <w:rPr>
          <w:rFonts w:ascii="Times New Roman" w:hAnsi="Times New Roman" w:eastAsia="仿宋_GB2312"/>
          <w:sz w:val="32"/>
          <w:szCs w:val="32"/>
        </w:rPr>
        <w:t xml:space="preserve"> 实施“沐暨飞燕”东西部协作干部人才交流计划，</w:t>
      </w:r>
      <w:r>
        <w:rPr>
          <w:rFonts w:ascii="Times New Roman" w:hAnsi="Times New Roman"/>
          <w:sz w:val="32"/>
          <w:szCs w:val="32"/>
        </w:rPr>
        <w:t>先后</w:t>
      </w:r>
      <w:r>
        <w:rPr>
          <w:rFonts w:ascii="Times New Roman" w:hAnsi="Times New Roman" w:eastAsia="仿宋_GB2312"/>
          <w:sz w:val="32"/>
          <w:szCs w:val="32"/>
        </w:rPr>
        <w:t>选派</w:t>
      </w:r>
      <w:r>
        <w:rPr>
          <w:rFonts w:hint="eastAsia" w:ascii="Times New Roman" w:hAnsi="Times New Roman"/>
          <w:sz w:val="32"/>
          <w:szCs w:val="32"/>
        </w:rPr>
        <w:t>16</w:t>
      </w:r>
      <w:r>
        <w:rPr>
          <w:rFonts w:ascii="Times New Roman" w:hAnsi="Times New Roman" w:eastAsia="仿宋_GB2312"/>
          <w:sz w:val="32"/>
          <w:szCs w:val="32"/>
        </w:rPr>
        <w:t>名干部人才到诸暨开展“领题”跟岗学习，</w:t>
      </w:r>
      <w:r>
        <w:rPr>
          <w:rFonts w:ascii="Times New Roman" w:hAnsi="Times New Roman"/>
          <w:sz w:val="32"/>
          <w:szCs w:val="32"/>
        </w:rPr>
        <w:t>诸暨选派</w:t>
      </w:r>
      <w:r>
        <w:rPr>
          <w:rFonts w:hint="eastAsia" w:ascii="Times New Roman" w:hAnsi="Times New Roman"/>
          <w:sz w:val="32"/>
          <w:szCs w:val="32"/>
        </w:rPr>
        <w:t>4</w:t>
      </w:r>
      <w:r>
        <w:rPr>
          <w:rFonts w:ascii="Times New Roman" w:hAnsi="Times New Roman"/>
          <w:sz w:val="32"/>
          <w:szCs w:val="32"/>
        </w:rPr>
        <w:t>批</w:t>
      </w:r>
      <w:r>
        <w:rPr>
          <w:rFonts w:hint="eastAsia" w:ascii="Times New Roman" w:hAnsi="Times New Roman"/>
          <w:sz w:val="32"/>
          <w:szCs w:val="32"/>
        </w:rPr>
        <w:t>15</w:t>
      </w:r>
      <w:r>
        <w:rPr>
          <w:rFonts w:ascii="Times New Roman" w:hAnsi="Times New Roman"/>
          <w:sz w:val="32"/>
          <w:szCs w:val="32"/>
        </w:rPr>
        <w:t>名干部人才到沐川开展“订单”援助。</w:t>
      </w:r>
    </w:p>
    <w:p>
      <w:pPr>
        <w:adjustRightInd w:val="0"/>
        <w:snapToGrid w:val="0"/>
        <w:spacing w:line="580" w:lineRule="exact"/>
        <w:ind w:firstLine="720"/>
        <w:rPr>
          <w:rFonts w:ascii="仿宋_GB2312" w:hAnsi="宋体" w:eastAsia="仿宋_GB2312"/>
          <w:b/>
          <w:sz w:val="32"/>
          <w:szCs w:val="32"/>
          <w:lang w:val="zh-CN"/>
        </w:rPr>
      </w:pPr>
      <w:r>
        <w:rPr>
          <w:rFonts w:hint="eastAsia" w:ascii="仿宋_GB2312" w:hAnsi="宋体" w:eastAsia="仿宋_GB2312"/>
          <w:b/>
          <w:sz w:val="32"/>
          <w:szCs w:val="32"/>
          <w:lang w:val="zh-CN"/>
        </w:rPr>
        <w:t>（二）项目效益情况。</w:t>
      </w:r>
      <w:r>
        <w:rPr>
          <w:rFonts w:hint="eastAsia" w:ascii="仿宋_GB2312" w:hAnsi="仿宋_GB2312" w:eastAsia="仿宋_GB2312" w:cs="仿宋_GB2312"/>
          <w:sz w:val="32"/>
          <w:szCs w:val="32"/>
        </w:rPr>
        <w:t>通过项目实施，干部人才理论综合素质得到提高，老干部更加满意，乡镇领导班子整体功能全面优化提升；各项工作圆满完成目标任务，</w:t>
      </w:r>
      <w:r>
        <w:rPr>
          <w:rFonts w:hint="eastAsia" w:ascii="仿宋_GB2312" w:hAnsi="宋体" w:eastAsia="仿宋_GB2312"/>
          <w:sz w:val="32"/>
          <w:szCs w:val="32"/>
          <w:lang w:val="zh-CN"/>
        </w:rPr>
        <w:t>党员群众满意，社会满意。</w:t>
      </w:r>
    </w:p>
    <w:p>
      <w:pPr>
        <w:adjustRightInd w:val="0"/>
        <w:snapToGrid w:val="0"/>
        <w:spacing w:line="580" w:lineRule="exact"/>
        <w:ind w:firstLine="720"/>
        <w:rPr>
          <w:rFonts w:ascii="仿宋_GB2312" w:hAnsi="宋体" w:eastAsia="仿宋_GB2312"/>
          <w:b/>
          <w:sz w:val="32"/>
          <w:szCs w:val="32"/>
        </w:rPr>
      </w:pPr>
      <w:r>
        <w:rPr>
          <w:rFonts w:hint="eastAsia" w:ascii="仿宋_GB2312" w:hAnsi="宋体" w:eastAsia="仿宋_GB2312"/>
          <w:b/>
          <w:sz w:val="32"/>
          <w:szCs w:val="32"/>
        </w:rPr>
        <w:t>四、问题及建议</w:t>
      </w:r>
    </w:p>
    <w:p>
      <w:pPr>
        <w:spacing w:line="580" w:lineRule="exact"/>
        <w:ind w:firstLine="630" w:firstLineChars="196"/>
        <w:rPr>
          <w:rFonts w:ascii="仿宋_GB2312" w:hAnsi="宋体" w:eastAsia="仿宋_GB2312"/>
          <w:b/>
          <w:sz w:val="32"/>
          <w:szCs w:val="32"/>
          <w:lang w:val="zh-CN"/>
        </w:rPr>
      </w:pPr>
      <w:r>
        <w:rPr>
          <w:rFonts w:hint="eastAsia" w:ascii="仿宋_GB2312" w:hAnsi="宋体" w:eastAsia="仿宋_GB2312"/>
          <w:b/>
          <w:sz w:val="32"/>
          <w:szCs w:val="32"/>
          <w:lang w:val="zh-CN"/>
        </w:rPr>
        <w:t>无</w:t>
      </w:r>
    </w:p>
    <w:p>
      <w:pPr>
        <w:widowControl/>
        <w:adjustRightInd w:val="0"/>
        <w:snapToGrid w:val="0"/>
        <w:spacing w:line="600" w:lineRule="exact"/>
        <w:ind w:firstLine="720"/>
        <w:jc w:val="left"/>
        <w:rPr>
          <w:rFonts w:ascii="黑体" w:hAnsi="Cambria" w:eastAsia="黑体" w:cs="黑体"/>
          <w:kern w:val="44"/>
          <w:sz w:val="44"/>
          <w:szCs w:val="44"/>
        </w:rPr>
      </w:pPr>
    </w:p>
    <w:p>
      <w:pPr>
        <w:spacing w:line="600" w:lineRule="exact"/>
        <w:jc w:val="center"/>
        <w:rPr>
          <w:rFonts w:ascii="黑体" w:hAnsi="Cambria" w:eastAsia="黑体" w:cs="黑体"/>
          <w:kern w:val="44"/>
          <w:sz w:val="44"/>
          <w:szCs w:val="44"/>
        </w:rPr>
      </w:pPr>
      <w:r>
        <w:rPr>
          <w:rFonts w:hint="eastAsia" w:ascii="黑体" w:hAnsi="Cambria" w:eastAsia="黑体" w:cs="黑体"/>
          <w:sz w:val="44"/>
          <w:szCs w:val="44"/>
        </w:rPr>
        <w:t>第</w:t>
      </w:r>
      <w:r>
        <w:rPr>
          <w:rFonts w:hint="eastAsia" w:ascii="黑体" w:hAnsi="Cambria" w:eastAsia="黑体" w:cs="黑体"/>
          <w:kern w:val="44"/>
          <w:sz w:val="44"/>
          <w:szCs w:val="44"/>
        </w:rPr>
        <w:t>五部分</w:t>
      </w:r>
      <w:r>
        <w:rPr>
          <w:rFonts w:ascii="黑体" w:hAnsi="Cambria" w:eastAsia="黑体" w:cs="黑体"/>
          <w:kern w:val="44"/>
          <w:sz w:val="44"/>
          <w:szCs w:val="44"/>
        </w:rPr>
        <w:t xml:space="preserve"> </w:t>
      </w:r>
      <w:r>
        <w:rPr>
          <w:rFonts w:hint="eastAsia" w:ascii="黑体" w:hAnsi="Cambria" w:eastAsia="黑体" w:cs="黑体"/>
          <w:kern w:val="44"/>
          <w:sz w:val="44"/>
          <w:szCs w:val="44"/>
        </w:rPr>
        <w:t>附表</w:t>
      </w:r>
    </w:p>
    <w:p>
      <w:pPr>
        <w:spacing w:line="600" w:lineRule="exact"/>
        <w:rPr>
          <w:rFonts w:ascii="仿宋" w:hAnsi="Cambria" w:eastAsia="仿宋" w:cs="仿宋"/>
          <w:sz w:val="32"/>
          <w:szCs w:val="32"/>
        </w:rPr>
      </w:pPr>
      <w:r>
        <w:rPr>
          <w:rFonts w:hint="eastAsia" w:ascii="仿宋" w:hAnsi="Cambria" w:eastAsia="仿宋" w:cs="仿宋"/>
          <w:sz w:val="32"/>
          <w:szCs w:val="32"/>
        </w:rPr>
        <w:t>一、收入支出决算总表</w:t>
      </w:r>
    </w:p>
    <w:p>
      <w:pPr>
        <w:spacing w:line="600" w:lineRule="exact"/>
        <w:rPr>
          <w:rFonts w:ascii="仿宋" w:hAnsi="Cambria" w:eastAsia="仿宋" w:cs="仿宋"/>
          <w:sz w:val="32"/>
          <w:szCs w:val="32"/>
        </w:rPr>
      </w:pPr>
      <w:r>
        <w:rPr>
          <w:rFonts w:hint="eastAsia" w:ascii="仿宋" w:hAnsi="Cambria" w:eastAsia="仿宋" w:cs="仿宋"/>
          <w:sz w:val="32"/>
          <w:szCs w:val="32"/>
        </w:rPr>
        <w:t>二、收入决算表</w:t>
      </w:r>
    </w:p>
    <w:p>
      <w:pPr>
        <w:spacing w:line="600" w:lineRule="exact"/>
        <w:rPr>
          <w:rFonts w:ascii="仿宋" w:hAnsi="Cambria" w:eastAsia="仿宋" w:cs="仿宋"/>
          <w:sz w:val="32"/>
          <w:szCs w:val="32"/>
        </w:rPr>
      </w:pPr>
      <w:r>
        <w:rPr>
          <w:rFonts w:hint="eastAsia" w:ascii="仿宋" w:hAnsi="Cambria" w:eastAsia="仿宋" w:cs="仿宋"/>
          <w:sz w:val="32"/>
          <w:szCs w:val="32"/>
        </w:rPr>
        <w:t>三、支出决算表</w:t>
      </w:r>
    </w:p>
    <w:p>
      <w:pPr>
        <w:spacing w:line="600" w:lineRule="exact"/>
        <w:rPr>
          <w:rFonts w:ascii="仿宋" w:hAnsi="Cambria" w:eastAsia="仿宋" w:cs="仿宋"/>
          <w:sz w:val="32"/>
          <w:szCs w:val="32"/>
        </w:rPr>
      </w:pPr>
      <w:r>
        <w:rPr>
          <w:rFonts w:hint="eastAsia" w:ascii="仿宋" w:hAnsi="Cambria" w:eastAsia="仿宋" w:cs="仿宋"/>
          <w:sz w:val="32"/>
          <w:szCs w:val="32"/>
        </w:rPr>
        <w:t>四、财政拨款收入支出决算总表</w:t>
      </w:r>
    </w:p>
    <w:p>
      <w:pPr>
        <w:spacing w:line="600" w:lineRule="exact"/>
        <w:rPr>
          <w:rFonts w:ascii="仿宋" w:hAnsi="Cambria" w:eastAsia="仿宋" w:cs="仿宋"/>
          <w:sz w:val="32"/>
          <w:szCs w:val="32"/>
        </w:rPr>
      </w:pPr>
      <w:r>
        <w:rPr>
          <w:rFonts w:hint="eastAsia" w:ascii="仿宋" w:hAnsi="Cambria" w:eastAsia="仿宋" w:cs="仿宋"/>
          <w:sz w:val="32"/>
          <w:szCs w:val="32"/>
        </w:rPr>
        <w:t>五、财政拨款支出决算明细表</w:t>
      </w:r>
    </w:p>
    <w:p>
      <w:pPr>
        <w:spacing w:line="600" w:lineRule="exact"/>
        <w:rPr>
          <w:rFonts w:ascii="仿宋" w:hAnsi="Cambria" w:eastAsia="仿宋" w:cs="仿宋"/>
          <w:sz w:val="32"/>
          <w:szCs w:val="32"/>
        </w:rPr>
      </w:pPr>
      <w:r>
        <w:rPr>
          <w:rFonts w:hint="eastAsia" w:ascii="仿宋" w:hAnsi="Cambria" w:eastAsia="仿宋" w:cs="仿宋"/>
          <w:sz w:val="32"/>
          <w:szCs w:val="32"/>
        </w:rPr>
        <w:t>六、一般公共预算财政拨款支出决算表</w:t>
      </w:r>
    </w:p>
    <w:p>
      <w:pPr>
        <w:spacing w:line="600" w:lineRule="exact"/>
        <w:rPr>
          <w:rFonts w:ascii="仿宋" w:hAnsi="Cambria" w:eastAsia="仿宋" w:cs="仿宋"/>
          <w:sz w:val="32"/>
          <w:szCs w:val="32"/>
        </w:rPr>
      </w:pPr>
      <w:r>
        <w:rPr>
          <w:rFonts w:hint="eastAsia" w:ascii="仿宋" w:hAnsi="Cambria" w:eastAsia="仿宋" w:cs="仿宋"/>
          <w:sz w:val="32"/>
          <w:szCs w:val="32"/>
        </w:rPr>
        <w:t>七、一般公共预算财政拨款支出决算明细表</w:t>
      </w:r>
    </w:p>
    <w:p>
      <w:pPr>
        <w:spacing w:line="600" w:lineRule="exact"/>
        <w:rPr>
          <w:rFonts w:ascii="仿宋" w:hAnsi="Cambria" w:eastAsia="仿宋" w:cs="仿宋"/>
          <w:sz w:val="32"/>
          <w:szCs w:val="32"/>
        </w:rPr>
      </w:pPr>
      <w:r>
        <w:rPr>
          <w:rFonts w:hint="eastAsia" w:ascii="仿宋" w:hAnsi="Cambria" w:eastAsia="仿宋" w:cs="仿宋"/>
          <w:sz w:val="32"/>
          <w:szCs w:val="32"/>
        </w:rPr>
        <w:t>八、一般公共预算财政拨款基本支出决算表</w:t>
      </w:r>
    </w:p>
    <w:p>
      <w:pPr>
        <w:spacing w:line="600" w:lineRule="exact"/>
        <w:rPr>
          <w:rFonts w:ascii="仿宋" w:hAnsi="Cambria" w:eastAsia="仿宋" w:cs="仿宋"/>
          <w:sz w:val="32"/>
          <w:szCs w:val="32"/>
        </w:rPr>
      </w:pPr>
      <w:r>
        <w:rPr>
          <w:rFonts w:hint="eastAsia" w:ascii="仿宋" w:hAnsi="Cambria" w:eastAsia="仿宋" w:cs="仿宋"/>
          <w:sz w:val="32"/>
          <w:szCs w:val="32"/>
        </w:rPr>
        <w:t>九、一般公共预算财政拨款项目支出决算表</w:t>
      </w:r>
    </w:p>
    <w:p>
      <w:pPr>
        <w:spacing w:line="600" w:lineRule="exact"/>
        <w:rPr>
          <w:rFonts w:ascii="仿宋" w:hAnsi="Cambria" w:eastAsia="仿宋" w:cs="仿宋"/>
          <w:sz w:val="32"/>
          <w:szCs w:val="32"/>
        </w:rPr>
      </w:pPr>
      <w:r>
        <w:rPr>
          <w:rFonts w:hint="eastAsia" w:ascii="仿宋" w:hAnsi="Cambria" w:eastAsia="仿宋" w:cs="仿宋"/>
          <w:sz w:val="32"/>
          <w:szCs w:val="32"/>
        </w:rPr>
        <w:t>十、政府性基金预算财政拨款收入支出决算表</w:t>
      </w:r>
    </w:p>
    <w:p>
      <w:pPr>
        <w:spacing w:line="600" w:lineRule="exact"/>
        <w:rPr>
          <w:rFonts w:ascii="仿宋" w:hAnsi="Cambria" w:eastAsia="仿宋" w:cs="仿宋"/>
          <w:sz w:val="32"/>
          <w:szCs w:val="32"/>
        </w:rPr>
      </w:pPr>
      <w:r>
        <w:rPr>
          <w:rFonts w:hint="eastAsia" w:ascii="仿宋" w:hAnsi="Cambria" w:eastAsia="仿宋" w:cs="仿宋"/>
          <w:sz w:val="32"/>
          <w:szCs w:val="32"/>
        </w:rPr>
        <w:t>十一、国有资本经营预算财政拨款收入支出决算表</w:t>
      </w:r>
    </w:p>
    <w:p>
      <w:pPr>
        <w:spacing w:line="600" w:lineRule="exact"/>
        <w:rPr>
          <w:rFonts w:ascii="仿宋" w:hAnsi="Cambria" w:eastAsia="仿宋" w:cs="仿宋"/>
          <w:sz w:val="32"/>
          <w:szCs w:val="32"/>
        </w:rPr>
      </w:pPr>
      <w:r>
        <w:rPr>
          <w:rFonts w:hint="eastAsia" w:ascii="仿宋" w:hAnsi="Cambria" w:eastAsia="仿宋" w:cs="仿宋"/>
          <w:sz w:val="32"/>
          <w:szCs w:val="32"/>
        </w:rPr>
        <w:t>十二、国有资本经营预算财政拨款支出决算表</w:t>
      </w:r>
    </w:p>
    <w:p>
      <w:pPr>
        <w:spacing w:line="600" w:lineRule="exact"/>
        <w:rPr>
          <w:rFonts w:ascii="仿宋" w:hAnsi="Cambria" w:eastAsia="仿宋" w:cs="仿宋"/>
          <w:b/>
          <w:bCs/>
          <w:sz w:val="32"/>
          <w:szCs w:val="32"/>
        </w:rPr>
      </w:pPr>
      <w:r>
        <w:rPr>
          <w:rFonts w:hint="eastAsia" w:ascii="仿宋" w:hAnsi="Cambria" w:eastAsia="仿宋" w:cs="仿宋"/>
          <w:sz w:val="32"/>
          <w:szCs w:val="32"/>
        </w:rPr>
        <w:t>十三、财政拨款</w:t>
      </w:r>
      <w:r>
        <w:rPr>
          <w:rFonts w:ascii="仿宋" w:hAnsi="Cambria" w:eastAsia="仿宋" w:cs="仿宋"/>
          <w:sz w:val="32"/>
          <w:szCs w:val="32"/>
        </w:rPr>
        <w:t>“</w:t>
      </w:r>
      <w:r>
        <w:rPr>
          <w:rFonts w:hint="eastAsia" w:ascii="仿宋" w:hAnsi="Cambria" w:eastAsia="仿宋" w:cs="仿宋"/>
          <w:sz w:val="32"/>
          <w:szCs w:val="32"/>
        </w:rPr>
        <w:t>三公</w:t>
      </w:r>
      <w:r>
        <w:rPr>
          <w:rFonts w:ascii="仿宋" w:hAnsi="Cambria" w:eastAsia="仿宋" w:cs="仿宋"/>
          <w:sz w:val="32"/>
          <w:szCs w:val="32"/>
        </w:rPr>
        <w:t>”</w:t>
      </w:r>
      <w:r>
        <w:rPr>
          <w:rFonts w:hint="eastAsia" w:ascii="仿宋" w:hAnsi="Cambria" w:eastAsia="仿宋" w:cs="仿宋"/>
          <w:sz w:val="32"/>
          <w:szCs w:val="32"/>
        </w:rPr>
        <w:t>经费支出决算表</w:t>
      </w:r>
    </w:p>
    <w:p>
      <w:pPr>
        <w:ind w:firstLine="643" w:firstLineChars="200"/>
        <w:rPr>
          <w:rFonts w:ascii="楷体_GB2312" w:hAnsi="仿宋" w:eastAsia="楷体_GB2312"/>
          <w:b/>
          <w:sz w:val="32"/>
          <w:szCs w:val="32"/>
        </w:rPr>
      </w:pPr>
    </w:p>
    <w:sectPr>
      <w:footerReference r:id="rId3" w:type="default"/>
      <w:foot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方正仿宋简体"/>
    <w:panose1 w:val="00000000000000000000"/>
    <w:charset w:val="86"/>
    <w:family w:val="auto"/>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等线 Light">
    <w:altName w:val="Arial Unicode MS"/>
    <w:panose1 w:val="00000000000000000000"/>
    <w:charset w:val="86"/>
    <w:family w:val="auto"/>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方正仿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right" w:y="1"/>
      <w:rPr>
        <w:rStyle w:val="16"/>
      </w:rPr>
    </w:pPr>
    <w:r>
      <w:rPr>
        <w:rStyle w:val="16"/>
      </w:rPr>
      <w:fldChar w:fldCharType="begin"/>
    </w:r>
    <w:r>
      <w:rPr>
        <w:rStyle w:val="16"/>
      </w:rPr>
      <w:instrText xml:space="preserve">PAGE  </w:instrText>
    </w:r>
    <w:r>
      <w:rPr>
        <w:rStyle w:val="16"/>
      </w:rPr>
      <w:fldChar w:fldCharType="separate"/>
    </w:r>
    <w:r>
      <w:rPr>
        <w:rStyle w:val="16"/>
      </w:rPr>
      <w:t>2</w:t>
    </w:r>
    <w:r>
      <w:rPr>
        <w:rStyle w:val="16"/>
      </w:rPr>
      <w:fldChar w:fldCharType="end"/>
    </w:r>
  </w:p>
  <w:p>
    <w:pPr>
      <w:pStyle w:val="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right" w:y="1"/>
      <w:rPr>
        <w:rStyle w:val="16"/>
      </w:rPr>
    </w:pPr>
    <w:r>
      <w:rPr>
        <w:rStyle w:val="16"/>
      </w:rPr>
      <w:fldChar w:fldCharType="begin"/>
    </w:r>
    <w:r>
      <w:rPr>
        <w:rStyle w:val="16"/>
      </w:rPr>
      <w:instrText xml:space="preserve">PAGE  </w:instrText>
    </w:r>
    <w:r>
      <w:rPr>
        <w:rStyle w:val="16"/>
      </w:rPr>
      <w:fldChar w:fldCharType="end"/>
    </w:r>
  </w:p>
  <w:p>
    <w:pPr>
      <w:pStyle w:val="9"/>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EFC"/>
    <w:rsid w:val="0000125F"/>
    <w:rsid w:val="00001B26"/>
    <w:rsid w:val="00002ECA"/>
    <w:rsid w:val="00011046"/>
    <w:rsid w:val="0001148D"/>
    <w:rsid w:val="0001400A"/>
    <w:rsid w:val="00016571"/>
    <w:rsid w:val="0001728C"/>
    <w:rsid w:val="00026E1E"/>
    <w:rsid w:val="0003597B"/>
    <w:rsid w:val="0004429C"/>
    <w:rsid w:val="00046AD7"/>
    <w:rsid w:val="00051C98"/>
    <w:rsid w:val="0005234B"/>
    <w:rsid w:val="00052F8D"/>
    <w:rsid w:val="00055F4D"/>
    <w:rsid w:val="00055F72"/>
    <w:rsid w:val="00057140"/>
    <w:rsid w:val="000632C1"/>
    <w:rsid w:val="00065FBE"/>
    <w:rsid w:val="00076F03"/>
    <w:rsid w:val="00076F3E"/>
    <w:rsid w:val="000810B7"/>
    <w:rsid w:val="00085657"/>
    <w:rsid w:val="000917EB"/>
    <w:rsid w:val="0009227D"/>
    <w:rsid w:val="000A2994"/>
    <w:rsid w:val="000A2B84"/>
    <w:rsid w:val="000B05B7"/>
    <w:rsid w:val="000B1F2D"/>
    <w:rsid w:val="000B53B6"/>
    <w:rsid w:val="000C0D05"/>
    <w:rsid w:val="000C0FB7"/>
    <w:rsid w:val="000D4308"/>
    <w:rsid w:val="000E5E2D"/>
    <w:rsid w:val="000F3D0A"/>
    <w:rsid w:val="000F67AD"/>
    <w:rsid w:val="00112DBA"/>
    <w:rsid w:val="00122E50"/>
    <w:rsid w:val="001263C9"/>
    <w:rsid w:val="001277C3"/>
    <w:rsid w:val="0013110D"/>
    <w:rsid w:val="001410E9"/>
    <w:rsid w:val="001436F2"/>
    <w:rsid w:val="00144613"/>
    <w:rsid w:val="001479C0"/>
    <w:rsid w:val="00157C34"/>
    <w:rsid w:val="00160F9F"/>
    <w:rsid w:val="00166C24"/>
    <w:rsid w:val="00184084"/>
    <w:rsid w:val="00187B0C"/>
    <w:rsid w:val="00191FC3"/>
    <w:rsid w:val="00197F3C"/>
    <w:rsid w:val="001A05DD"/>
    <w:rsid w:val="001A6AFE"/>
    <w:rsid w:val="001B2518"/>
    <w:rsid w:val="001B37D9"/>
    <w:rsid w:val="001B4078"/>
    <w:rsid w:val="001B5D8B"/>
    <w:rsid w:val="001B7838"/>
    <w:rsid w:val="001C7163"/>
    <w:rsid w:val="001D0DDC"/>
    <w:rsid w:val="001D38CB"/>
    <w:rsid w:val="001D70BE"/>
    <w:rsid w:val="001D7944"/>
    <w:rsid w:val="001E30C5"/>
    <w:rsid w:val="001E70A0"/>
    <w:rsid w:val="001E7430"/>
    <w:rsid w:val="001F6125"/>
    <w:rsid w:val="00207A2C"/>
    <w:rsid w:val="00211052"/>
    <w:rsid w:val="0022747D"/>
    <w:rsid w:val="00227D71"/>
    <w:rsid w:val="00250AF3"/>
    <w:rsid w:val="00274C47"/>
    <w:rsid w:val="002755D0"/>
    <w:rsid w:val="002761AD"/>
    <w:rsid w:val="00282CF7"/>
    <w:rsid w:val="00286BAF"/>
    <w:rsid w:val="00291341"/>
    <w:rsid w:val="00296C90"/>
    <w:rsid w:val="002A50E7"/>
    <w:rsid w:val="002B3DDB"/>
    <w:rsid w:val="002D2321"/>
    <w:rsid w:val="002D49D9"/>
    <w:rsid w:val="002E22BD"/>
    <w:rsid w:val="002F1C3E"/>
    <w:rsid w:val="002F666E"/>
    <w:rsid w:val="00304C22"/>
    <w:rsid w:val="00311753"/>
    <w:rsid w:val="003118F5"/>
    <w:rsid w:val="003165B6"/>
    <w:rsid w:val="00320677"/>
    <w:rsid w:val="0032185D"/>
    <w:rsid w:val="00333A79"/>
    <w:rsid w:val="00350991"/>
    <w:rsid w:val="00355F9C"/>
    <w:rsid w:val="00357880"/>
    <w:rsid w:val="00361E60"/>
    <w:rsid w:val="00362BAD"/>
    <w:rsid w:val="00364AE2"/>
    <w:rsid w:val="0036647E"/>
    <w:rsid w:val="00367A7A"/>
    <w:rsid w:val="00373D19"/>
    <w:rsid w:val="00377CB5"/>
    <w:rsid w:val="0038017A"/>
    <w:rsid w:val="00395D37"/>
    <w:rsid w:val="00396C75"/>
    <w:rsid w:val="00397D0B"/>
    <w:rsid w:val="003B3D91"/>
    <w:rsid w:val="003C4437"/>
    <w:rsid w:val="003C5BA5"/>
    <w:rsid w:val="003D1414"/>
    <w:rsid w:val="003D72B6"/>
    <w:rsid w:val="003E4E61"/>
    <w:rsid w:val="003F19F0"/>
    <w:rsid w:val="003F20AB"/>
    <w:rsid w:val="003F2B41"/>
    <w:rsid w:val="003F6204"/>
    <w:rsid w:val="004215EF"/>
    <w:rsid w:val="0042484E"/>
    <w:rsid w:val="004272F3"/>
    <w:rsid w:val="00437D58"/>
    <w:rsid w:val="00441ECB"/>
    <w:rsid w:val="004427B5"/>
    <w:rsid w:val="004448B7"/>
    <w:rsid w:val="00453F6E"/>
    <w:rsid w:val="00460452"/>
    <w:rsid w:val="0046199E"/>
    <w:rsid w:val="00464321"/>
    <w:rsid w:val="004652D3"/>
    <w:rsid w:val="0047295F"/>
    <w:rsid w:val="00481649"/>
    <w:rsid w:val="00493006"/>
    <w:rsid w:val="00497AA6"/>
    <w:rsid w:val="004A28EB"/>
    <w:rsid w:val="004A66E5"/>
    <w:rsid w:val="004B1447"/>
    <w:rsid w:val="004B49C0"/>
    <w:rsid w:val="004C0642"/>
    <w:rsid w:val="004C2772"/>
    <w:rsid w:val="004D141F"/>
    <w:rsid w:val="004D18D7"/>
    <w:rsid w:val="004D60DF"/>
    <w:rsid w:val="004D78C1"/>
    <w:rsid w:val="00500F51"/>
    <w:rsid w:val="00503BC7"/>
    <w:rsid w:val="00503C4D"/>
    <w:rsid w:val="00505E79"/>
    <w:rsid w:val="0051583C"/>
    <w:rsid w:val="005172CE"/>
    <w:rsid w:val="00537E96"/>
    <w:rsid w:val="00550091"/>
    <w:rsid w:val="00552C9C"/>
    <w:rsid w:val="0059436A"/>
    <w:rsid w:val="005A1223"/>
    <w:rsid w:val="005C19F9"/>
    <w:rsid w:val="005C3D61"/>
    <w:rsid w:val="005C551A"/>
    <w:rsid w:val="005D193F"/>
    <w:rsid w:val="005F2583"/>
    <w:rsid w:val="006051FC"/>
    <w:rsid w:val="00606519"/>
    <w:rsid w:val="006209AD"/>
    <w:rsid w:val="006247C6"/>
    <w:rsid w:val="00632741"/>
    <w:rsid w:val="00634EBA"/>
    <w:rsid w:val="006356EB"/>
    <w:rsid w:val="006513F2"/>
    <w:rsid w:val="006633C1"/>
    <w:rsid w:val="00663CA6"/>
    <w:rsid w:val="00666E28"/>
    <w:rsid w:val="00670AF8"/>
    <w:rsid w:val="00675A74"/>
    <w:rsid w:val="00676692"/>
    <w:rsid w:val="00676DC3"/>
    <w:rsid w:val="00680439"/>
    <w:rsid w:val="00683350"/>
    <w:rsid w:val="006835BA"/>
    <w:rsid w:val="00683D09"/>
    <w:rsid w:val="006877AC"/>
    <w:rsid w:val="0069207A"/>
    <w:rsid w:val="006972D0"/>
    <w:rsid w:val="00697CCC"/>
    <w:rsid w:val="006A2422"/>
    <w:rsid w:val="006A69BC"/>
    <w:rsid w:val="006B0BE7"/>
    <w:rsid w:val="006B49F1"/>
    <w:rsid w:val="006B6349"/>
    <w:rsid w:val="006B6A1D"/>
    <w:rsid w:val="006C1F53"/>
    <w:rsid w:val="006C2D84"/>
    <w:rsid w:val="006D0AD1"/>
    <w:rsid w:val="006D28DE"/>
    <w:rsid w:val="006D3195"/>
    <w:rsid w:val="006D3C39"/>
    <w:rsid w:val="006E26BB"/>
    <w:rsid w:val="006E6ADE"/>
    <w:rsid w:val="006F06AD"/>
    <w:rsid w:val="007118B1"/>
    <w:rsid w:val="00712E50"/>
    <w:rsid w:val="0071540A"/>
    <w:rsid w:val="00734E0C"/>
    <w:rsid w:val="007350DA"/>
    <w:rsid w:val="00743680"/>
    <w:rsid w:val="00745100"/>
    <w:rsid w:val="00747CF1"/>
    <w:rsid w:val="0075401F"/>
    <w:rsid w:val="007632CD"/>
    <w:rsid w:val="00765BA5"/>
    <w:rsid w:val="00767C7A"/>
    <w:rsid w:val="007713DC"/>
    <w:rsid w:val="007725BA"/>
    <w:rsid w:val="00776454"/>
    <w:rsid w:val="0077646F"/>
    <w:rsid w:val="00781DA7"/>
    <w:rsid w:val="00782B94"/>
    <w:rsid w:val="00783574"/>
    <w:rsid w:val="0078522D"/>
    <w:rsid w:val="00794C98"/>
    <w:rsid w:val="00795439"/>
    <w:rsid w:val="007B27AD"/>
    <w:rsid w:val="007B37CA"/>
    <w:rsid w:val="007B3D67"/>
    <w:rsid w:val="007B6DDF"/>
    <w:rsid w:val="007C0708"/>
    <w:rsid w:val="007C144F"/>
    <w:rsid w:val="007C62E7"/>
    <w:rsid w:val="007C69C9"/>
    <w:rsid w:val="007D0C90"/>
    <w:rsid w:val="007D52AB"/>
    <w:rsid w:val="007D5B92"/>
    <w:rsid w:val="007D6BBD"/>
    <w:rsid w:val="007F0FA2"/>
    <w:rsid w:val="007F3825"/>
    <w:rsid w:val="007F47BE"/>
    <w:rsid w:val="007F6E0F"/>
    <w:rsid w:val="007F7709"/>
    <w:rsid w:val="008052D7"/>
    <w:rsid w:val="00807213"/>
    <w:rsid w:val="00811F7C"/>
    <w:rsid w:val="00812DC9"/>
    <w:rsid w:val="00812E1E"/>
    <w:rsid w:val="00813F24"/>
    <w:rsid w:val="00815D66"/>
    <w:rsid w:val="008179B3"/>
    <w:rsid w:val="008250A6"/>
    <w:rsid w:val="00841026"/>
    <w:rsid w:val="008441E8"/>
    <w:rsid w:val="008535D5"/>
    <w:rsid w:val="00857FED"/>
    <w:rsid w:val="008644EC"/>
    <w:rsid w:val="00864DC9"/>
    <w:rsid w:val="00867B6E"/>
    <w:rsid w:val="00871295"/>
    <w:rsid w:val="00886941"/>
    <w:rsid w:val="0088787F"/>
    <w:rsid w:val="00893D08"/>
    <w:rsid w:val="00895235"/>
    <w:rsid w:val="008B3D74"/>
    <w:rsid w:val="008B5B2F"/>
    <w:rsid w:val="008B7017"/>
    <w:rsid w:val="008C3ED9"/>
    <w:rsid w:val="008D07C3"/>
    <w:rsid w:val="008D2C33"/>
    <w:rsid w:val="008D3DE6"/>
    <w:rsid w:val="008E5464"/>
    <w:rsid w:val="008F1553"/>
    <w:rsid w:val="00901342"/>
    <w:rsid w:val="0091127A"/>
    <w:rsid w:val="00914D43"/>
    <w:rsid w:val="009242B9"/>
    <w:rsid w:val="00926B8D"/>
    <w:rsid w:val="00933103"/>
    <w:rsid w:val="00936C47"/>
    <w:rsid w:val="00940625"/>
    <w:rsid w:val="009516D4"/>
    <w:rsid w:val="00953E7C"/>
    <w:rsid w:val="00961DEA"/>
    <w:rsid w:val="00961EA8"/>
    <w:rsid w:val="009762E0"/>
    <w:rsid w:val="00977145"/>
    <w:rsid w:val="009857C4"/>
    <w:rsid w:val="009952B8"/>
    <w:rsid w:val="009B4A1D"/>
    <w:rsid w:val="009C4DAD"/>
    <w:rsid w:val="009C5B9F"/>
    <w:rsid w:val="009E7EFB"/>
    <w:rsid w:val="009F1277"/>
    <w:rsid w:val="009F6E5C"/>
    <w:rsid w:val="00A02F6A"/>
    <w:rsid w:val="00A046B9"/>
    <w:rsid w:val="00A0565D"/>
    <w:rsid w:val="00A22CFF"/>
    <w:rsid w:val="00A303E9"/>
    <w:rsid w:val="00A3052C"/>
    <w:rsid w:val="00A564C4"/>
    <w:rsid w:val="00A613B0"/>
    <w:rsid w:val="00A621F1"/>
    <w:rsid w:val="00A62816"/>
    <w:rsid w:val="00A64C1C"/>
    <w:rsid w:val="00A73EC4"/>
    <w:rsid w:val="00A76CDE"/>
    <w:rsid w:val="00A84817"/>
    <w:rsid w:val="00A90B85"/>
    <w:rsid w:val="00A92562"/>
    <w:rsid w:val="00A9388D"/>
    <w:rsid w:val="00A94426"/>
    <w:rsid w:val="00AA18B8"/>
    <w:rsid w:val="00AA7114"/>
    <w:rsid w:val="00AB5901"/>
    <w:rsid w:val="00AC3C20"/>
    <w:rsid w:val="00AE3772"/>
    <w:rsid w:val="00AE3FAC"/>
    <w:rsid w:val="00AE73B0"/>
    <w:rsid w:val="00B02391"/>
    <w:rsid w:val="00B07A00"/>
    <w:rsid w:val="00B22B0B"/>
    <w:rsid w:val="00B24734"/>
    <w:rsid w:val="00B318AA"/>
    <w:rsid w:val="00B32059"/>
    <w:rsid w:val="00B332B6"/>
    <w:rsid w:val="00B332C4"/>
    <w:rsid w:val="00B338ED"/>
    <w:rsid w:val="00B35E53"/>
    <w:rsid w:val="00B61BD7"/>
    <w:rsid w:val="00B676D6"/>
    <w:rsid w:val="00B80044"/>
    <w:rsid w:val="00B80F35"/>
    <w:rsid w:val="00B81EF8"/>
    <w:rsid w:val="00BA2DD1"/>
    <w:rsid w:val="00BA5679"/>
    <w:rsid w:val="00BB0CA2"/>
    <w:rsid w:val="00BB489D"/>
    <w:rsid w:val="00BB6DF4"/>
    <w:rsid w:val="00BC0044"/>
    <w:rsid w:val="00BC1BA8"/>
    <w:rsid w:val="00BD3657"/>
    <w:rsid w:val="00BD58BE"/>
    <w:rsid w:val="00BF0845"/>
    <w:rsid w:val="00BF1199"/>
    <w:rsid w:val="00BF6B01"/>
    <w:rsid w:val="00C04044"/>
    <w:rsid w:val="00C05A01"/>
    <w:rsid w:val="00C07514"/>
    <w:rsid w:val="00C11933"/>
    <w:rsid w:val="00C130EA"/>
    <w:rsid w:val="00C13B65"/>
    <w:rsid w:val="00C15463"/>
    <w:rsid w:val="00C234F2"/>
    <w:rsid w:val="00C32DF3"/>
    <w:rsid w:val="00C33AD9"/>
    <w:rsid w:val="00C437BD"/>
    <w:rsid w:val="00C45039"/>
    <w:rsid w:val="00C46974"/>
    <w:rsid w:val="00C5255F"/>
    <w:rsid w:val="00C55A9E"/>
    <w:rsid w:val="00C57015"/>
    <w:rsid w:val="00C634B7"/>
    <w:rsid w:val="00C86F8C"/>
    <w:rsid w:val="00CA3045"/>
    <w:rsid w:val="00CB527B"/>
    <w:rsid w:val="00CB5E01"/>
    <w:rsid w:val="00CB705F"/>
    <w:rsid w:val="00CC2D90"/>
    <w:rsid w:val="00CD07C0"/>
    <w:rsid w:val="00CE2315"/>
    <w:rsid w:val="00CE26B6"/>
    <w:rsid w:val="00CE4294"/>
    <w:rsid w:val="00CF23DA"/>
    <w:rsid w:val="00CF29A0"/>
    <w:rsid w:val="00CF6A75"/>
    <w:rsid w:val="00D0132D"/>
    <w:rsid w:val="00D01EC0"/>
    <w:rsid w:val="00D05309"/>
    <w:rsid w:val="00D07AE7"/>
    <w:rsid w:val="00D10106"/>
    <w:rsid w:val="00D11361"/>
    <w:rsid w:val="00D15FDB"/>
    <w:rsid w:val="00D17EFC"/>
    <w:rsid w:val="00D2409D"/>
    <w:rsid w:val="00D26293"/>
    <w:rsid w:val="00D266F0"/>
    <w:rsid w:val="00D27608"/>
    <w:rsid w:val="00D27920"/>
    <w:rsid w:val="00D321AE"/>
    <w:rsid w:val="00D32568"/>
    <w:rsid w:val="00D36CD6"/>
    <w:rsid w:val="00D37587"/>
    <w:rsid w:val="00D402C1"/>
    <w:rsid w:val="00D422DC"/>
    <w:rsid w:val="00D43320"/>
    <w:rsid w:val="00D44528"/>
    <w:rsid w:val="00D46B6C"/>
    <w:rsid w:val="00D63890"/>
    <w:rsid w:val="00D661A9"/>
    <w:rsid w:val="00D74623"/>
    <w:rsid w:val="00D80C9A"/>
    <w:rsid w:val="00D83476"/>
    <w:rsid w:val="00D96339"/>
    <w:rsid w:val="00DB64D8"/>
    <w:rsid w:val="00DC026E"/>
    <w:rsid w:val="00DD104B"/>
    <w:rsid w:val="00DE6DF5"/>
    <w:rsid w:val="00DF0641"/>
    <w:rsid w:val="00DF0927"/>
    <w:rsid w:val="00DF0B47"/>
    <w:rsid w:val="00DF1D48"/>
    <w:rsid w:val="00DF45E2"/>
    <w:rsid w:val="00E121F8"/>
    <w:rsid w:val="00E12CF0"/>
    <w:rsid w:val="00E22BD0"/>
    <w:rsid w:val="00E24056"/>
    <w:rsid w:val="00E24FF5"/>
    <w:rsid w:val="00E36777"/>
    <w:rsid w:val="00E40E0E"/>
    <w:rsid w:val="00E52B0C"/>
    <w:rsid w:val="00E560CF"/>
    <w:rsid w:val="00E56254"/>
    <w:rsid w:val="00E626DE"/>
    <w:rsid w:val="00E653B9"/>
    <w:rsid w:val="00E71E76"/>
    <w:rsid w:val="00E863E6"/>
    <w:rsid w:val="00E900B7"/>
    <w:rsid w:val="00E95D0E"/>
    <w:rsid w:val="00EA4C1C"/>
    <w:rsid w:val="00EA7909"/>
    <w:rsid w:val="00EB12A4"/>
    <w:rsid w:val="00EB429C"/>
    <w:rsid w:val="00EB4A53"/>
    <w:rsid w:val="00EC37FA"/>
    <w:rsid w:val="00EC4788"/>
    <w:rsid w:val="00EC5CD4"/>
    <w:rsid w:val="00ED10AF"/>
    <w:rsid w:val="00ED4D32"/>
    <w:rsid w:val="00ED68FA"/>
    <w:rsid w:val="00EE57A8"/>
    <w:rsid w:val="00EE6C14"/>
    <w:rsid w:val="00EF4664"/>
    <w:rsid w:val="00EF5524"/>
    <w:rsid w:val="00F00185"/>
    <w:rsid w:val="00F03B8D"/>
    <w:rsid w:val="00F05931"/>
    <w:rsid w:val="00F10E07"/>
    <w:rsid w:val="00F12517"/>
    <w:rsid w:val="00F20D40"/>
    <w:rsid w:val="00F210B4"/>
    <w:rsid w:val="00F273FB"/>
    <w:rsid w:val="00F275C3"/>
    <w:rsid w:val="00F36737"/>
    <w:rsid w:val="00F36B7D"/>
    <w:rsid w:val="00F41660"/>
    <w:rsid w:val="00F52687"/>
    <w:rsid w:val="00F54A9C"/>
    <w:rsid w:val="00F567A2"/>
    <w:rsid w:val="00F61D1E"/>
    <w:rsid w:val="00F64CF9"/>
    <w:rsid w:val="00F65393"/>
    <w:rsid w:val="00F700F9"/>
    <w:rsid w:val="00F75DE3"/>
    <w:rsid w:val="00F765E9"/>
    <w:rsid w:val="00F91196"/>
    <w:rsid w:val="00F95015"/>
    <w:rsid w:val="00FA05D1"/>
    <w:rsid w:val="00FA6D3F"/>
    <w:rsid w:val="00FD0BFD"/>
    <w:rsid w:val="00FD4722"/>
    <w:rsid w:val="00FE6B9F"/>
    <w:rsid w:val="00FF197C"/>
    <w:rsid w:val="00FF4562"/>
    <w:rsid w:val="00FF4AE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nhideWhenUsed="0" w:uiPriority="99" w:name="annotation text"/>
    <w:lsdException w:qFormat="1" w:unhideWhenUsed="0" w:uiPriority="99" w:name="header"/>
    <w:lsdException w:qFormat="1" w:unhideWhenUsed="0" w:uiPriority="0"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uiPriority="99" w:name="footnote reference"/>
    <w:lsdException w:unhideWhenUsed="0"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paragraph" w:styleId="2">
    <w:name w:val="heading 1"/>
    <w:basedOn w:val="1"/>
    <w:next w:val="1"/>
    <w:link w:val="25"/>
    <w:qFormat/>
    <w:locked/>
    <w:uiPriority w:val="99"/>
    <w:pPr>
      <w:autoSpaceDE w:val="0"/>
      <w:autoSpaceDN w:val="0"/>
      <w:adjustRightInd w:val="0"/>
      <w:jc w:val="left"/>
      <w:outlineLvl w:val="0"/>
    </w:pPr>
    <w:rPr>
      <w:rFonts w:ascii="方正小标宋简体" w:eastAsia="方正小标宋简体" w:hAnsiTheme="minorHAnsi" w:cstheme="minorBidi"/>
      <w:kern w:val="0"/>
      <w:sz w:val="24"/>
      <w:szCs w:val="24"/>
    </w:rPr>
  </w:style>
  <w:style w:type="paragraph" w:styleId="3">
    <w:name w:val="heading 2"/>
    <w:basedOn w:val="1"/>
    <w:next w:val="1"/>
    <w:link w:val="29"/>
    <w:semiHidden/>
    <w:unhideWhenUsed/>
    <w:qFormat/>
    <w:locked/>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4">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4">
    <w:name w:val="caption"/>
    <w:basedOn w:val="1"/>
    <w:next w:val="1"/>
    <w:qFormat/>
    <w:uiPriority w:val="99"/>
    <w:rPr>
      <w:rFonts w:ascii="等线 Light" w:hAnsi="等线 Light" w:eastAsia="黑体"/>
      <w:sz w:val="20"/>
      <w:szCs w:val="20"/>
    </w:rPr>
  </w:style>
  <w:style w:type="paragraph" w:styleId="5">
    <w:name w:val="annotation text"/>
    <w:basedOn w:val="1"/>
    <w:link w:val="18"/>
    <w:semiHidden/>
    <w:uiPriority w:val="99"/>
    <w:pPr>
      <w:jc w:val="left"/>
    </w:pPr>
  </w:style>
  <w:style w:type="paragraph" w:styleId="6">
    <w:name w:val="Plain Text"/>
    <w:basedOn w:val="1"/>
    <w:link w:val="24"/>
    <w:unhideWhenUsed/>
    <w:qFormat/>
    <w:uiPriority w:val="0"/>
    <w:rPr>
      <w:rFonts w:ascii="宋体" w:hAnsi="Courier New" w:eastAsia="仿宋_GB2312" w:cs="Courier New"/>
      <w:sz w:val="32"/>
      <w:szCs w:val="21"/>
    </w:rPr>
  </w:style>
  <w:style w:type="paragraph" w:styleId="7">
    <w:name w:val="Date"/>
    <w:basedOn w:val="1"/>
    <w:next w:val="1"/>
    <w:link w:val="26"/>
    <w:semiHidden/>
    <w:unhideWhenUsed/>
    <w:qFormat/>
    <w:uiPriority w:val="99"/>
    <w:pPr>
      <w:ind w:left="100" w:leftChars="2500"/>
    </w:pPr>
  </w:style>
  <w:style w:type="paragraph" w:styleId="8">
    <w:name w:val="Balloon Text"/>
    <w:basedOn w:val="1"/>
    <w:link w:val="20"/>
    <w:semiHidden/>
    <w:qFormat/>
    <w:uiPriority w:val="99"/>
    <w:rPr>
      <w:sz w:val="18"/>
      <w:szCs w:val="18"/>
    </w:rPr>
  </w:style>
  <w:style w:type="paragraph" w:styleId="9">
    <w:name w:val="footer"/>
    <w:basedOn w:val="1"/>
    <w:link w:val="22"/>
    <w:qFormat/>
    <w:uiPriority w:val="0"/>
    <w:pPr>
      <w:tabs>
        <w:tab w:val="center" w:pos="4153"/>
        <w:tab w:val="right" w:pos="8306"/>
      </w:tabs>
      <w:snapToGrid w:val="0"/>
      <w:jc w:val="left"/>
    </w:pPr>
    <w:rPr>
      <w:sz w:val="18"/>
      <w:szCs w:val="18"/>
    </w:rPr>
  </w:style>
  <w:style w:type="paragraph" w:styleId="10">
    <w:name w:val="header"/>
    <w:basedOn w:val="1"/>
    <w:link w:val="21"/>
    <w:semiHidden/>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12">
    <w:name w:val="annotation subject"/>
    <w:basedOn w:val="5"/>
    <w:next w:val="5"/>
    <w:link w:val="19"/>
    <w:semiHidden/>
    <w:qFormat/>
    <w:uiPriority w:val="99"/>
    <w:rPr>
      <w:b/>
      <w:bCs/>
    </w:rPr>
  </w:style>
  <w:style w:type="character" w:styleId="15">
    <w:name w:val="Strong"/>
    <w:basedOn w:val="14"/>
    <w:qFormat/>
    <w:locked/>
    <w:uiPriority w:val="0"/>
    <w:rPr>
      <w:b/>
    </w:rPr>
  </w:style>
  <w:style w:type="character" w:styleId="16">
    <w:name w:val="page number"/>
    <w:basedOn w:val="14"/>
    <w:uiPriority w:val="99"/>
    <w:rPr>
      <w:rFonts w:cs="Times New Roman"/>
    </w:rPr>
  </w:style>
  <w:style w:type="character" w:styleId="17">
    <w:name w:val="annotation reference"/>
    <w:basedOn w:val="14"/>
    <w:semiHidden/>
    <w:uiPriority w:val="99"/>
    <w:rPr>
      <w:rFonts w:cs="Times New Roman"/>
      <w:sz w:val="21"/>
      <w:szCs w:val="21"/>
    </w:rPr>
  </w:style>
  <w:style w:type="character" w:customStyle="1" w:styleId="18">
    <w:name w:val="批注文字 Char"/>
    <w:basedOn w:val="14"/>
    <w:link w:val="5"/>
    <w:semiHidden/>
    <w:qFormat/>
    <w:locked/>
    <w:uiPriority w:val="99"/>
    <w:rPr>
      <w:rFonts w:cs="Times New Roman"/>
    </w:rPr>
  </w:style>
  <w:style w:type="character" w:customStyle="1" w:styleId="19">
    <w:name w:val="批注主题 Char"/>
    <w:basedOn w:val="18"/>
    <w:link w:val="12"/>
    <w:semiHidden/>
    <w:qFormat/>
    <w:locked/>
    <w:uiPriority w:val="99"/>
    <w:rPr>
      <w:rFonts w:cs="Times New Roman"/>
      <w:b/>
      <w:bCs/>
    </w:rPr>
  </w:style>
  <w:style w:type="character" w:customStyle="1" w:styleId="20">
    <w:name w:val="批注框文本 Char"/>
    <w:basedOn w:val="14"/>
    <w:link w:val="8"/>
    <w:semiHidden/>
    <w:qFormat/>
    <w:locked/>
    <w:uiPriority w:val="99"/>
    <w:rPr>
      <w:rFonts w:cs="Times New Roman"/>
      <w:sz w:val="18"/>
      <w:szCs w:val="18"/>
    </w:rPr>
  </w:style>
  <w:style w:type="character" w:customStyle="1" w:styleId="21">
    <w:name w:val="页眉 Char"/>
    <w:basedOn w:val="14"/>
    <w:link w:val="10"/>
    <w:semiHidden/>
    <w:qFormat/>
    <w:locked/>
    <w:uiPriority w:val="99"/>
    <w:rPr>
      <w:rFonts w:cs="Times New Roman"/>
      <w:sz w:val="18"/>
      <w:szCs w:val="18"/>
    </w:rPr>
  </w:style>
  <w:style w:type="character" w:customStyle="1" w:styleId="22">
    <w:name w:val="页脚 Char"/>
    <w:basedOn w:val="14"/>
    <w:link w:val="9"/>
    <w:semiHidden/>
    <w:qFormat/>
    <w:locked/>
    <w:uiPriority w:val="99"/>
    <w:rPr>
      <w:rFonts w:cs="Times New Roman"/>
      <w:sz w:val="18"/>
      <w:szCs w:val="18"/>
    </w:rPr>
  </w:style>
  <w:style w:type="paragraph" w:customStyle="1" w:styleId="23">
    <w:name w:val="Char Char Char"/>
    <w:basedOn w:val="1"/>
    <w:qFormat/>
    <w:uiPriority w:val="0"/>
    <w:rPr>
      <w:rFonts w:ascii="宋体" w:hAnsi="宋体" w:eastAsia="宋体" w:cs="Courier New"/>
      <w:sz w:val="32"/>
      <w:szCs w:val="32"/>
    </w:rPr>
  </w:style>
  <w:style w:type="character" w:customStyle="1" w:styleId="24">
    <w:name w:val="纯文本 Char"/>
    <w:basedOn w:val="14"/>
    <w:link w:val="6"/>
    <w:qFormat/>
    <w:uiPriority w:val="0"/>
    <w:rPr>
      <w:rFonts w:ascii="宋体" w:hAnsi="Courier New" w:eastAsia="仿宋_GB2312" w:cs="Courier New"/>
      <w:sz w:val="32"/>
      <w:szCs w:val="21"/>
    </w:rPr>
  </w:style>
  <w:style w:type="character" w:customStyle="1" w:styleId="25">
    <w:name w:val="标题 1 Char"/>
    <w:basedOn w:val="14"/>
    <w:link w:val="2"/>
    <w:qFormat/>
    <w:uiPriority w:val="9"/>
    <w:rPr>
      <w:rFonts w:ascii="方正小标宋简体" w:eastAsia="方正小标宋简体" w:hAnsiTheme="minorHAnsi" w:cstheme="minorBidi"/>
      <w:kern w:val="0"/>
      <w:sz w:val="24"/>
      <w:szCs w:val="24"/>
    </w:rPr>
  </w:style>
  <w:style w:type="character" w:customStyle="1" w:styleId="26">
    <w:name w:val="日期 Char"/>
    <w:basedOn w:val="14"/>
    <w:link w:val="7"/>
    <w:semiHidden/>
    <w:qFormat/>
    <w:uiPriority w:val="99"/>
  </w:style>
  <w:style w:type="paragraph" w:styleId="27">
    <w:name w:val="List Paragraph"/>
    <w:basedOn w:val="1"/>
    <w:qFormat/>
    <w:uiPriority w:val="34"/>
    <w:pPr>
      <w:ind w:firstLine="420" w:firstLineChars="200"/>
    </w:pPr>
  </w:style>
  <w:style w:type="paragraph" w:customStyle="1" w:styleId="28">
    <w:name w:val="Default"/>
    <w:qFormat/>
    <w:uiPriority w:val="99"/>
    <w:pPr>
      <w:widowControl w:val="0"/>
      <w:autoSpaceDE w:val="0"/>
      <w:autoSpaceDN w:val="0"/>
      <w:adjustRightInd w:val="0"/>
    </w:pPr>
    <w:rPr>
      <w:rFonts w:ascii="仿宋" w:hAnsi="Times New Roman" w:eastAsia="仿宋" w:cs="仿宋"/>
      <w:color w:val="000000"/>
      <w:kern w:val="0"/>
      <w:sz w:val="24"/>
      <w:szCs w:val="24"/>
      <w:lang w:val="en-US" w:eastAsia="zh-CN" w:bidi="ar-SA"/>
    </w:rPr>
  </w:style>
  <w:style w:type="character" w:customStyle="1" w:styleId="29">
    <w:name w:val="标题 2 Char"/>
    <w:basedOn w:val="14"/>
    <w:link w:val="3"/>
    <w:semiHidden/>
    <w:qFormat/>
    <w:uiPriority w:val="0"/>
    <w:rPr>
      <w:rFonts w:asciiTheme="majorHAnsi" w:hAnsiTheme="majorHAnsi" w:eastAsiaTheme="majorEastAsia" w:cstheme="majorBidi"/>
      <w:b/>
      <w:bCs/>
      <w:sz w:val="32"/>
      <w:szCs w:val="32"/>
    </w:rPr>
  </w:style>
  <w:style w:type="character" w:customStyle="1" w:styleId="30">
    <w:name w:val="四号正文 Char"/>
    <w:link w:val="31"/>
    <w:qFormat/>
    <w:locked/>
    <w:uiPriority w:val="0"/>
    <w:rPr>
      <w:rFonts w:ascii="??" w:hAnsi="??"/>
      <w:color w:val="000000"/>
      <w:sz w:val="28"/>
      <w:szCs w:val="21"/>
    </w:rPr>
  </w:style>
  <w:style w:type="paragraph" w:customStyle="1" w:styleId="31">
    <w:name w:val="四号正文"/>
    <w:basedOn w:val="1"/>
    <w:link w:val="30"/>
    <w:qFormat/>
    <w:uiPriority w:val="0"/>
    <w:pPr>
      <w:spacing w:line="360" w:lineRule="auto"/>
    </w:pPr>
    <w:rPr>
      <w:rFonts w:ascii="??" w:hAnsi="??"/>
      <w:color w:val="000000"/>
      <w:sz w:val="28"/>
      <w:szCs w:val="21"/>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可执行指标执行情况表!$D$113:$D$114</c:f>
              <c:strCache>
                <c:ptCount val="2"/>
                <c:pt idx="0">
                  <c:v>2021年收、支总计</c:v>
                </c:pt>
                <c:pt idx="1">
                  <c:v>2022年收、支总计</c:v>
                </c:pt>
              </c:strCache>
            </c:strRef>
          </c:cat>
          <c:val>
            <c:numRef>
              <c:f>可执行指标执行情况表!$E$113:$E$114</c:f>
              <c:numCache>
                <c:formatCode>General</c:formatCode>
                <c:ptCount val="2"/>
                <c:pt idx="0">
                  <c:v>1016.24</c:v>
                </c:pt>
                <c:pt idx="1">
                  <c:v>941.66</c:v>
                </c:pt>
              </c:numCache>
            </c:numRef>
          </c:val>
        </c:ser>
        <c:dLbls>
          <c:showLegendKey val="0"/>
          <c:showVal val="0"/>
          <c:showCatName val="0"/>
          <c:showSerName val="0"/>
          <c:showPercent val="0"/>
          <c:showBubbleSize val="0"/>
        </c:dLbls>
        <c:gapWidth val="150"/>
        <c:axId val="76722176"/>
        <c:axId val="76723712"/>
      </c:barChart>
      <c:catAx>
        <c:axId val="76722176"/>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6723712"/>
        <c:crosses val="autoZero"/>
        <c:auto val="1"/>
        <c:lblAlgn val="ctr"/>
        <c:lblOffset val="100"/>
        <c:noMultiLvlLbl val="0"/>
      </c:catAx>
      <c:valAx>
        <c:axId val="7672371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76722176"/>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Pt>
            <c:idx val="2"/>
            <c:bubble3D val="0"/>
          </c:dPt>
          <c:dPt>
            <c:idx val="3"/>
            <c:bubble3D val="0"/>
          </c:dPt>
          <c:dPt>
            <c:idx val="4"/>
            <c:bubble3D val="0"/>
          </c:dPt>
          <c:dPt>
            <c:idx val="5"/>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Sheet1!$F$56:$F$61</c:f>
              <c:strCache>
                <c:ptCount val="6"/>
                <c:pt idx="0">
                  <c:v>一般公共服务支出</c:v>
                </c:pt>
                <c:pt idx="1">
                  <c:v>社会保障和就业支出</c:v>
                </c:pt>
                <c:pt idx="2">
                  <c:v>卫生健康支出</c:v>
                </c:pt>
                <c:pt idx="3">
                  <c:v>农林水支出</c:v>
                </c:pt>
                <c:pt idx="4">
                  <c:v>住房保障支出</c:v>
                </c:pt>
                <c:pt idx="5">
                  <c:v>年初结转和结余</c:v>
                </c:pt>
              </c:strCache>
            </c:strRef>
          </c:cat>
          <c:val>
            <c:numRef>
              <c:f>Sheet1!$G$56:$G$61</c:f>
              <c:numCache>
                <c:formatCode>General</c:formatCode>
                <c:ptCount val="6"/>
                <c:pt idx="0">
                  <c:v>707.71</c:v>
                </c:pt>
                <c:pt idx="1">
                  <c:v>99.25</c:v>
                </c:pt>
                <c:pt idx="2">
                  <c:v>14.83</c:v>
                </c:pt>
                <c:pt idx="3">
                  <c:v>79.33</c:v>
                </c:pt>
                <c:pt idx="4">
                  <c:v>40.54</c:v>
                </c:pt>
                <c:pt idx="5">
                  <c:v>12.5</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Sheet1!$F$77:$F$78</c:f>
              <c:strCache>
                <c:ptCount val="2"/>
                <c:pt idx="0">
                  <c:v>基本支出</c:v>
                </c:pt>
                <c:pt idx="1">
                  <c:v>项目支出</c:v>
                </c:pt>
              </c:strCache>
            </c:strRef>
          </c:cat>
          <c:val>
            <c:numRef>
              <c:f>Sheet1!$G$77:$G$78</c:f>
              <c:numCache>
                <c:formatCode>0%</c:formatCode>
                <c:ptCount val="2"/>
                <c:pt idx="0">
                  <c:v>0.61</c:v>
                </c:pt>
                <c:pt idx="1">
                  <c:v>0.39</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invertIfNegative val="0"/>
          <c:dLbls>
            <c:delete val="1"/>
          </c:dLbls>
          <c:cat>
            <c:multiLvlStrRef>
              <c:f>Sheet1!$F$56:$G$57</c:f>
              <c:multiLvlStrCache>
                <c:ptCount val="2"/>
                <c:lvl>
                  <c:pt idx="0">
                    <c:v>财政拨款收入、支出</c:v>
                  </c:pt>
                  <c:pt idx="1">
                    <c:v>财政拨款收入、支出</c:v>
                  </c:pt>
                </c:lvl>
                <c:lvl>
                  <c:pt idx="0">
                    <c:v>2021年</c:v>
                  </c:pt>
                  <c:pt idx="1">
                    <c:v>2022年</c:v>
                  </c:pt>
                </c:lvl>
              </c:multiLvlStrCache>
            </c:multiLvlStrRef>
          </c:cat>
          <c:val>
            <c:numRef>
              <c:f>Sheet1!$H$56:$H$57</c:f>
              <c:numCache>
                <c:formatCode>General</c:formatCode>
                <c:ptCount val="2"/>
                <c:pt idx="0">
                  <c:v>1016.24</c:v>
                </c:pt>
                <c:pt idx="1">
                  <c:v>954.16</c:v>
                </c:pt>
              </c:numCache>
            </c:numRef>
          </c:val>
        </c:ser>
        <c:ser>
          <c:idx val="0"/>
          <c:order val="0"/>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multiLvlStrRef>
              <c:f>Sheet1!$F$56:$G$57</c:f>
              <c:multiLvlStrCache>
                <c:ptCount val="2"/>
                <c:lvl>
                  <c:pt idx="0">
                    <c:v>财政拨款收入、支出</c:v>
                  </c:pt>
                  <c:pt idx="1">
                    <c:v>财政拨款收入、支出</c:v>
                  </c:pt>
                </c:lvl>
                <c:lvl>
                  <c:pt idx="0">
                    <c:v>2021年</c:v>
                  </c:pt>
                  <c:pt idx="1">
                    <c:v>2022年</c:v>
                  </c:pt>
                </c:lvl>
              </c:multiLvlStrCache>
            </c:multiLvlStrRef>
          </c:cat>
          <c:val>
            <c:numRef>
              <c:f>Sheet1!$H$56:$H$57</c:f>
              <c:numCache>
                <c:formatCode>General</c:formatCode>
                <c:ptCount val="2"/>
                <c:pt idx="0">
                  <c:v>1016.24</c:v>
                </c:pt>
                <c:pt idx="1">
                  <c:v>954.16</c:v>
                </c:pt>
              </c:numCache>
            </c:numRef>
          </c:val>
        </c:ser>
        <c:dLbls>
          <c:showLegendKey val="0"/>
          <c:showVal val="0"/>
          <c:showCatName val="0"/>
          <c:showSerName val="0"/>
          <c:showPercent val="0"/>
          <c:showBubbleSize val="0"/>
        </c:dLbls>
        <c:gapWidth val="150"/>
        <c:axId val="83214336"/>
        <c:axId val="83215872"/>
      </c:barChart>
      <c:catAx>
        <c:axId val="83214336"/>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3215872"/>
        <c:crosses val="autoZero"/>
        <c:auto val="1"/>
        <c:lblAlgn val="ctr"/>
        <c:lblOffset val="100"/>
        <c:noMultiLvlLbl val="0"/>
      </c:catAx>
      <c:valAx>
        <c:axId val="83215872"/>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3214336"/>
        <c:crosses val="autoZero"/>
        <c:crossBetween val="between"/>
      </c:valAx>
      <c:spPr>
        <a:solidFill>
          <a:schemeClr val="bg1"/>
        </a:solidFill>
        <a:ln>
          <a:noFill/>
        </a:ln>
        <a:effectLst/>
      </c:spPr>
    </c:plotArea>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multiLvlStrRef>
              <c:f>Sheet1!$E$55:$F$56</c:f>
              <c:multiLvlStrCache>
                <c:ptCount val="2"/>
                <c:lvl>
                  <c:pt idx="0">
                    <c:v>一般公共预算财政拨款支出</c:v>
                  </c:pt>
                  <c:pt idx="1">
                    <c:v>一般公共预算财政拨款支出</c:v>
                  </c:pt>
                </c:lvl>
                <c:lvl>
                  <c:pt idx="0">
                    <c:v>2021年</c:v>
                  </c:pt>
                  <c:pt idx="1">
                    <c:v>2022年</c:v>
                  </c:pt>
                </c:lvl>
              </c:multiLvlStrCache>
            </c:multiLvlStrRef>
          </c:cat>
          <c:val>
            <c:numRef>
              <c:f>Sheet1!$G$55:$G$56</c:f>
              <c:numCache>
                <c:formatCode>General</c:formatCode>
                <c:ptCount val="2"/>
                <c:pt idx="0">
                  <c:v>1016.24</c:v>
                </c:pt>
                <c:pt idx="1">
                  <c:v>954.16</c:v>
                </c:pt>
              </c:numCache>
            </c:numRef>
          </c:val>
        </c:ser>
        <c:dLbls>
          <c:showLegendKey val="0"/>
          <c:showVal val="0"/>
          <c:showCatName val="0"/>
          <c:showSerName val="0"/>
          <c:showPercent val="0"/>
          <c:showBubbleSize val="0"/>
        </c:dLbls>
        <c:gapWidth val="150"/>
        <c:axId val="83797504"/>
        <c:axId val="83799040"/>
      </c:barChart>
      <c:catAx>
        <c:axId val="83797504"/>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3799040"/>
        <c:crosses val="autoZero"/>
        <c:auto val="1"/>
        <c:lblAlgn val="ctr"/>
        <c:lblOffset val="100"/>
        <c:noMultiLvlLbl val="0"/>
      </c:catAx>
      <c:valAx>
        <c:axId val="8379904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83797504"/>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dPt>
          <c:dPt>
            <c:idx val="1"/>
            <c:bubble3D val="0"/>
          </c:dPt>
          <c:dPt>
            <c:idx val="2"/>
            <c:bubble3D val="0"/>
          </c:dPt>
          <c:dPt>
            <c:idx val="3"/>
            <c:bubble3D val="0"/>
          </c:dPt>
          <c:dPt>
            <c:idx val="4"/>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Sheet1!$F$55:$F$59</c:f>
              <c:strCache>
                <c:ptCount val="5"/>
                <c:pt idx="0">
                  <c:v>一般公共服务支出</c:v>
                </c:pt>
                <c:pt idx="1">
                  <c:v>社会保险和就业支出</c:v>
                </c:pt>
                <c:pt idx="2">
                  <c:v>卫生健康支出</c:v>
                </c:pt>
                <c:pt idx="3">
                  <c:v>农林水支出</c:v>
                </c:pt>
                <c:pt idx="4">
                  <c:v>住房保障支出</c:v>
                </c:pt>
              </c:strCache>
            </c:strRef>
          </c:cat>
          <c:val>
            <c:numRef>
              <c:f>Sheet1!$G$55:$G$59</c:f>
              <c:numCache>
                <c:formatCode>General</c:formatCode>
                <c:ptCount val="5"/>
                <c:pt idx="0">
                  <c:v>720.21</c:v>
                </c:pt>
                <c:pt idx="1">
                  <c:v>99.25</c:v>
                </c:pt>
                <c:pt idx="2">
                  <c:v>14.83</c:v>
                </c:pt>
                <c:pt idx="3">
                  <c:v>79.33</c:v>
                </c:pt>
                <c:pt idx="4">
                  <c:v>40.54</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389A15-90E6-4DCB-A195-F8A81280B6A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12241</Words>
  <Characters>12933</Characters>
  <Lines>9</Lines>
  <Paragraphs>26</Paragraphs>
  <TotalTime>1</TotalTime>
  <ScaleCrop>false</ScaleCrop>
  <LinksUpToDate>false</LinksUpToDate>
  <CharactersWithSpaces>13013</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2023-10-13T01:11:00Z</dcterms:created>
  <dc:creator>禹恒 宋</dc:creator>
  <cp:lastModifiedBy>WPS_1484572034</cp:lastModifiedBy>
  <dcterms:modified xsi:type="dcterms:W3CDTF">2024-12-19T02:15:27Z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BB853255271343F09CC527BCEE12FF65</vt:lpwstr>
  </property>
</Properties>
</file>