
<file path=[Content_Types].xml><?xml version="1.0" encoding="utf-8"?>
<Types xmlns="http://schemas.openxmlformats.org/package/2006/content-types">
  <Default Extension="xml" ContentType="application/xml"/>
  <Default Extension="xls" ContentType="application/vnd.ms-exce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outlineLvl w:val="0"/>
        <w:rPr>
          <w:rFonts w:ascii="方正小标宋简体" w:hAnsi="方正小标宋简体" w:eastAsia="方正小标宋简体" w:cs="方正小标宋简体"/>
          <w:sz w:val="72"/>
          <w:szCs w:val="72"/>
        </w:rPr>
      </w:pPr>
      <w:bookmarkStart w:id="0" w:name="_Toc15378441"/>
      <w:bookmarkStart w:id="1" w:name="_Toc15396597"/>
      <w:bookmarkStart w:id="2" w:name="_Toc15377193"/>
      <w:bookmarkStart w:id="3" w:name="_Toc15377425"/>
      <w:bookmarkStart w:id="4" w:name="_Toc15396475"/>
      <w:bookmarkStart w:id="5" w:name="_Toc15306267"/>
    </w:p>
    <w:p>
      <w:pPr>
        <w:adjustRightInd w:val="0"/>
        <w:snapToGrid w:val="0"/>
        <w:spacing w:line="360" w:lineRule="auto"/>
        <w:outlineLvl w:val="0"/>
        <w:rPr>
          <w:rFonts w:ascii="方正小标宋简体" w:hAnsi="方正小标宋简体" w:eastAsia="方正小标宋简体" w:cs="方正小标宋简体"/>
          <w:sz w:val="72"/>
          <w:szCs w:val="72"/>
        </w:rPr>
      </w:pPr>
    </w:p>
    <w:p>
      <w:pPr>
        <w:adjustRightInd w:val="0"/>
        <w:snapToGrid w:val="0"/>
        <w:spacing w:line="360" w:lineRule="auto"/>
        <w:outlineLvl w:val="0"/>
        <w:rPr>
          <w:rFonts w:ascii="方正小标宋简体" w:hAnsi="方正小标宋简体" w:eastAsia="方正小标宋简体" w:cs="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2022年度</w:t>
      </w:r>
      <w:bookmarkEnd w:id="0"/>
      <w:bookmarkEnd w:id="1"/>
      <w:bookmarkEnd w:id="2"/>
      <w:bookmarkEnd w:id="3"/>
      <w:bookmarkEnd w:id="4"/>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15378442"/>
      <w:bookmarkStart w:id="7" w:name="_Toc15396598"/>
      <w:bookmarkStart w:id="8" w:name="_Toc15377194"/>
      <w:bookmarkStart w:id="9" w:name="_Toc15377426"/>
      <w:bookmarkStart w:id="10" w:name="_Toc15396476"/>
      <w:r>
        <w:rPr>
          <w:rFonts w:hint="eastAsia" w:ascii="方正小标宋简体" w:hAnsi="方正小标宋简体" w:eastAsia="方正小标宋简体" w:cs="方正小标宋简体"/>
          <w:sz w:val="72"/>
          <w:szCs w:val="72"/>
        </w:rPr>
        <w:t>四川省</w:t>
      </w:r>
      <w:bookmarkEnd w:id="5"/>
      <w:bookmarkStart w:id="11" w:name="_Toc15306268"/>
      <w:r>
        <w:rPr>
          <w:rFonts w:hint="eastAsia" w:ascii="方正小标宋简体" w:hAnsi="方正小标宋简体" w:eastAsia="方正小标宋简体" w:cs="方正小标宋简体"/>
          <w:sz w:val="72"/>
          <w:szCs w:val="72"/>
        </w:rPr>
        <w:t>沐川县行政审批局部门决算</w:t>
      </w:r>
      <w:bookmarkEnd w:id="6"/>
      <w:bookmarkEnd w:id="7"/>
      <w:bookmarkEnd w:id="8"/>
      <w:bookmarkEnd w:id="9"/>
      <w:bookmarkEnd w:id="10"/>
      <w:bookmarkEnd w:id="11"/>
    </w:p>
    <w:p>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pPr>
        <w:widowControl/>
        <w:jc w:val="center"/>
        <w:rPr>
          <w:rFonts w:ascii="黑体" w:hAnsi="黑体" w:eastAsia="黑体" w:cstheme="minorBidi"/>
          <w:sz w:val="28"/>
          <w:szCs w:val="28"/>
        </w:rPr>
      </w:pPr>
    </w:p>
    <w:p>
      <w:pPr>
        <w:pStyle w:val="11"/>
      </w:pPr>
      <w:r>
        <w:rPr>
          <w:rFonts w:hint="eastAsia"/>
        </w:rPr>
        <w:t>公开时间：2023年10月 10 日</w:t>
      </w:r>
    </w:p>
    <w:p>
      <w:pPr>
        <w:jc w:val="center"/>
        <w:rPr>
          <w:sz w:val="24"/>
          <w:szCs w:val="32"/>
          <w:highlight w:val="lightGray"/>
        </w:rPr>
      </w:pPr>
    </w:p>
    <w:p>
      <w:pPr>
        <w:pStyle w:val="11"/>
        <w:adjustRightInd w:val="0"/>
        <w:snapToGrid w:val="0"/>
        <w:spacing w:before="0" w:line="440" w:lineRule="exact"/>
        <w:jc w:val="left"/>
        <w:rPr>
          <w:rFonts w:hint="eastAsia" w:ascii="黑体" w:hAnsi="黑体" w:eastAsia="黑体" w:cs="黑体"/>
          <w:sz w:val="24"/>
          <w:szCs w:val="24"/>
        </w:rPr>
      </w:pPr>
      <w:r>
        <w:rPr>
          <w:rFonts w:hint="eastAsia" w:ascii="黑体" w:hAnsi="黑体" w:eastAsia="黑体" w:cs="黑体"/>
          <w:sz w:val="24"/>
        </w:rPr>
        <w:t>第一部分部门概况</w:t>
      </w:r>
    </w:p>
    <w:p>
      <w:pPr>
        <w:pStyle w:val="12"/>
        <w:adjustRightInd w:val="0"/>
        <w:snapToGrid w:val="0"/>
        <w:spacing w:line="440" w:lineRule="exact"/>
        <w:jc w:val="left"/>
        <w:rPr>
          <w:rFonts w:ascii="仿宋" w:hAnsi="仿宋" w:eastAsia="仿宋"/>
          <w:sz w:val="24"/>
        </w:rPr>
      </w:pPr>
      <w:r>
        <w:rPr>
          <w:rFonts w:hint="eastAsia"/>
          <w:sz w:val="24"/>
        </w:rPr>
        <w:t>一、部门职责</w:t>
      </w:r>
      <w:r>
        <w:rPr>
          <w:rFonts w:hint="eastAsia" w:ascii="仿宋" w:hAnsi="仿宋" w:eastAsia="仿宋"/>
          <w:sz w:val="24"/>
        </w:rPr>
        <w:t>.........................................................1</w:t>
      </w:r>
    </w:p>
    <w:p>
      <w:pPr>
        <w:pStyle w:val="12"/>
        <w:adjustRightInd w:val="0"/>
        <w:snapToGrid w:val="0"/>
        <w:spacing w:line="440" w:lineRule="exact"/>
        <w:jc w:val="left"/>
        <w:rPr>
          <w:rFonts w:ascii="仿宋" w:hAnsi="仿宋" w:eastAsia="仿宋" w:cstheme="minorBidi"/>
          <w:sz w:val="24"/>
        </w:rPr>
      </w:pPr>
      <w:r>
        <w:rPr>
          <w:rFonts w:hint="eastAsia"/>
          <w:sz w:val="24"/>
        </w:rPr>
        <w:t>二、机构设置</w:t>
      </w:r>
      <w:r>
        <w:rPr>
          <w:rFonts w:hint="eastAsia" w:ascii="仿宋" w:hAnsi="仿宋" w:eastAsia="仿宋"/>
          <w:sz w:val="24"/>
        </w:rPr>
        <w:t>.........................................................5</w:t>
      </w:r>
    </w:p>
    <w:p>
      <w:pPr>
        <w:pStyle w:val="11"/>
        <w:adjustRightInd w:val="0"/>
        <w:snapToGrid w:val="0"/>
        <w:spacing w:before="0" w:line="440" w:lineRule="exact"/>
        <w:jc w:val="left"/>
        <w:rPr>
          <w:rFonts w:hint="eastAsia" w:ascii="黑体" w:hAnsi="黑体" w:eastAsia="黑体" w:cs="黑体"/>
          <w:sz w:val="24"/>
        </w:rPr>
      </w:pPr>
      <w:r>
        <w:rPr>
          <w:rFonts w:hint="eastAsia" w:ascii="黑体" w:hAnsi="黑体" w:eastAsia="黑体" w:cs="黑体"/>
          <w:sz w:val="24"/>
        </w:rPr>
        <w:t>第二部分2022年度部门决算情况说明</w:t>
      </w:r>
    </w:p>
    <w:p>
      <w:pPr>
        <w:pStyle w:val="12"/>
        <w:adjustRightInd w:val="0"/>
        <w:snapToGrid w:val="0"/>
        <w:spacing w:line="440" w:lineRule="exact"/>
        <w:jc w:val="left"/>
        <w:rPr>
          <w:rFonts w:ascii="仿宋" w:hAnsi="仿宋" w:eastAsia="仿宋" w:cstheme="minorBidi"/>
          <w:sz w:val="24"/>
        </w:rPr>
      </w:pPr>
      <w:r>
        <w:rPr>
          <w:rFonts w:hint="eastAsia"/>
          <w:sz w:val="24"/>
        </w:rPr>
        <w:t>一、收入支出决算总体情况说明</w:t>
      </w:r>
      <w:r>
        <w:rPr>
          <w:rFonts w:hint="eastAsia" w:ascii="仿宋" w:hAnsi="仿宋" w:eastAsia="仿宋"/>
          <w:sz w:val="24"/>
        </w:rPr>
        <w:t>.........................................6</w:t>
      </w:r>
    </w:p>
    <w:p>
      <w:pPr>
        <w:pStyle w:val="12"/>
        <w:adjustRightInd w:val="0"/>
        <w:snapToGrid w:val="0"/>
        <w:spacing w:line="440" w:lineRule="exact"/>
        <w:jc w:val="left"/>
        <w:rPr>
          <w:rFonts w:ascii="仿宋" w:hAnsi="仿宋" w:eastAsia="仿宋" w:cstheme="minorBidi"/>
          <w:sz w:val="24"/>
        </w:rPr>
      </w:pPr>
      <w:r>
        <w:rPr>
          <w:rFonts w:hint="eastAsia"/>
          <w:sz w:val="24"/>
        </w:rPr>
        <w:t>二、收入决算情况说明</w:t>
      </w:r>
      <w:r>
        <w:rPr>
          <w:rFonts w:hint="eastAsia" w:ascii="仿宋" w:hAnsi="仿宋" w:eastAsia="仿宋"/>
          <w:sz w:val="24"/>
        </w:rPr>
        <w:t>.................................................7</w:t>
      </w:r>
    </w:p>
    <w:p>
      <w:pPr>
        <w:pStyle w:val="12"/>
        <w:adjustRightInd w:val="0"/>
        <w:snapToGrid w:val="0"/>
        <w:spacing w:line="440" w:lineRule="exact"/>
        <w:jc w:val="left"/>
        <w:rPr>
          <w:rFonts w:ascii="仿宋" w:hAnsi="仿宋" w:eastAsia="仿宋" w:cstheme="minorBidi"/>
          <w:sz w:val="24"/>
        </w:rPr>
      </w:pPr>
      <w:r>
        <w:rPr>
          <w:rFonts w:hint="eastAsia"/>
          <w:sz w:val="24"/>
        </w:rPr>
        <w:t>三、支出决算情况说明</w:t>
      </w:r>
      <w:r>
        <w:rPr>
          <w:rFonts w:hint="eastAsia" w:ascii="仿宋" w:hAnsi="仿宋" w:eastAsia="仿宋"/>
          <w:sz w:val="24"/>
        </w:rPr>
        <w:t>.................................................7</w:t>
      </w:r>
    </w:p>
    <w:p>
      <w:pPr>
        <w:pStyle w:val="12"/>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r>
        <w:rPr>
          <w:rFonts w:hint="eastAsia" w:ascii="仿宋" w:hAnsi="仿宋" w:eastAsia="仿宋"/>
          <w:sz w:val="24"/>
        </w:rPr>
        <w:t>.................................8</w:t>
      </w:r>
    </w:p>
    <w:p>
      <w:pPr>
        <w:pStyle w:val="12"/>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r>
        <w:rPr>
          <w:rFonts w:hint="eastAsia" w:ascii="仿宋" w:hAnsi="仿宋" w:eastAsia="仿宋"/>
          <w:sz w:val="24"/>
        </w:rPr>
        <w:t>.............................9</w:t>
      </w:r>
    </w:p>
    <w:p>
      <w:pPr>
        <w:pStyle w:val="12"/>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r>
        <w:rPr>
          <w:rFonts w:hint="eastAsia" w:ascii="仿宋" w:hAnsi="仿宋" w:eastAsia="仿宋"/>
          <w:sz w:val="24"/>
        </w:rPr>
        <w:t>.........................11</w:t>
      </w:r>
    </w:p>
    <w:p>
      <w:pPr>
        <w:pStyle w:val="12"/>
        <w:adjustRightInd w:val="0"/>
        <w:snapToGrid w:val="0"/>
        <w:spacing w:line="440" w:lineRule="exact"/>
        <w:jc w:val="left"/>
        <w:rPr>
          <w:rFonts w:ascii="仿宋" w:hAnsi="仿宋" w:eastAsia="仿宋" w:cstheme="minorBidi"/>
          <w:sz w:val="24"/>
        </w:rPr>
      </w:pPr>
      <w:r>
        <w:rPr>
          <w:rFonts w:hint="eastAsia"/>
          <w:sz w:val="24"/>
        </w:rPr>
        <w:t>七、财政拨款“三公”经费支出决算情况说明</w:t>
      </w:r>
      <w:r>
        <w:rPr>
          <w:rFonts w:hint="eastAsia" w:ascii="仿宋" w:hAnsi="仿宋" w:eastAsia="仿宋"/>
          <w:sz w:val="24"/>
        </w:rPr>
        <w:t>.............................12</w:t>
      </w:r>
    </w:p>
    <w:p>
      <w:pPr>
        <w:pStyle w:val="12"/>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r>
        <w:rPr>
          <w:rFonts w:hint="eastAsia" w:ascii="仿宋" w:hAnsi="仿宋" w:eastAsia="仿宋"/>
          <w:sz w:val="24"/>
        </w:rPr>
        <w:t>...................................13</w:t>
      </w:r>
    </w:p>
    <w:p>
      <w:pPr>
        <w:pStyle w:val="12"/>
        <w:adjustRightInd w:val="0"/>
        <w:snapToGrid w:val="0"/>
        <w:spacing w:line="440" w:lineRule="exact"/>
        <w:ind w:leftChars="0"/>
        <w:jc w:val="left"/>
        <w:rPr>
          <w:rFonts w:eastAsia="仿宋" w:asciiTheme="minorEastAsia" w:hAnsiTheme="minorEastAsia" w:cstheme="minorEastAsia"/>
          <w:sz w:val="24"/>
        </w:rPr>
      </w:pPr>
      <w:r>
        <w:rPr>
          <w:rFonts w:hint="eastAsia" w:asciiTheme="minorEastAsia" w:hAnsiTheme="minorEastAsia" w:eastAsiaTheme="minorEastAsia" w:cstheme="minorEastAsia"/>
          <w:sz w:val="24"/>
        </w:rPr>
        <w:t>九、国有资本经营预算支出决算情况说明</w:t>
      </w:r>
      <w:r>
        <w:rPr>
          <w:rFonts w:hint="eastAsia" w:ascii="仿宋" w:hAnsi="仿宋" w:eastAsia="仿宋"/>
          <w:sz w:val="24"/>
        </w:rPr>
        <w:t>.................................13</w:t>
      </w:r>
    </w:p>
    <w:p>
      <w:pPr>
        <w:adjustRightInd w:val="0"/>
        <w:snapToGrid w:val="0"/>
        <w:spacing w:line="440" w:lineRule="exact"/>
        <w:ind w:firstLine="420" w:firstLineChars="175"/>
        <w:jc w:val="left"/>
        <w:rPr>
          <w:rFonts w:eastAsia="仿宋" w:asciiTheme="minorEastAsia" w:hAnsiTheme="minorEastAsia" w:cstheme="minorEastAsia"/>
          <w:sz w:val="24"/>
        </w:rPr>
      </w:pPr>
      <w:r>
        <w:rPr>
          <w:rStyle w:val="20"/>
          <w:rFonts w:hint="eastAsia" w:asciiTheme="minorEastAsia" w:hAnsiTheme="minorEastAsia" w:eastAsiaTheme="minorEastAsia" w:cstheme="minorEastAsia"/>
          <w:color w:val="auto"/>
          <w:sz w:val="24"/>
          <w:u w:val="none"/>
        </w:rPr>
        <w:t>十、</w:t>
      </w:r>
      <w:r>
        <w:rPr>
          <w:rFonts w:hint="eastAsia" w:asciiTheme="minorEastAsia" w:hAnsiTheme="minorEastAsia" w:eastAsiaTheme="minorEastAsia" w:cstheme="minorEastAsia"/>
          <w:sz w:val="24"/>
        </w:rPr>
        <w:t>其他重要事项的情况说明</w:t>
      </w:r>
      <w:r>
        <w:rPr>
          <w:rFonts w:hint="eastAsia" w:asciiTheme="minorEastAsia" w:hAnsiTheme="minorEastAsia" w:eastAsiaTheme="minorEastAsia" w:cstheme="minorEastAsia"/>
          <w:sz w:val="24"/>
          <w:lang w:val="en-US" w:eastAsia="zh-CN"/>
        </w:rPr>
        <w:t xml:space="preserve"> </w:t>
      </w:r>
      <w:r>
        <w:rPr>
          <w:rFonts w:hint="eastAsia" w:ascii="仿宋" w:hAnsi="仿宋" w:eastAsia="仿宋"/>
          <w:sz w:val="24"/>
        </w:rPr>
        <w:t>..........................................13</w:t>
      </w:r>
    </w:p>
    <w:p>
      <w:pPr>
        <w:pStyle w:val="11"/>
        <w:adjustRightInd w:val="0"/>
        <w:snapToGrid w:val="0"/>
        <w:spacing w:before="0" w:line="440" w:lineRule="exact"/>
        <w:jc w:val="left"/>
        <w:rPr>
          <w:rFonts w:cstheme="minorBidi"/>
          <w:sz w:val="24"/>
          <w:szCs w:val="24"/>
        </w:rPr>
      </w:pPr>
      <w:r>
        <w:rPr>
          <w:rFonts w:hint="eastAsia" w:ascii="黑体" w:hAnsi="黑体" w:eastAsia="黑体" w:cs="黑体"/>
          <w:sz w:val="24"/>
        </w:rPr>
        <w:t>第三部分名词解释.</w:t>
      </w:r>
      <w:r>
        <w:rPr>
          <w:rFonts w:hint="eastAsia"/>
          <w:sz w:val="24"/>
        </w:rPr>
        <w:t>............................</w:t>
      </w:r>
      <w:r>
        <w:rPr>
          <w:rFonts w:hint="eastAsia" w:ascii="仿宋" w:hAnsi="仿宋" w:eastAsia="仿宋"/>
          <w:sz w:val="24"/>
        </w:rPr>
        <w:t>.....................</w:t>
      </w:r>
      <w:r>
        <w:rPr>
          <w:rFonts w:hint="eastAsia"/>
          <w:sz w:val="24"/>
        </w:rPr>
        <w:t>......15</w:t>
      </w:r>
    </w:p>
    <w:p>
      <w:pPr>
        <w:pStyle w:val="11"/>
        <w:adjustRightInd w:val="0"/>
        <w:snapToGrid w:val="0"/>
        <w:spacing w:before="0" w:line="440" w:lineRule="exact"/>
        <w:jc w:val="left"/>
        <w:rPr>
          <w:rFonts w:cstheme="minorBidi"/>
          <w:sz w:val="24"/>
          <w:szCs w:val="24"/>
        </w:rPr>
      </w:pPr>
      <w:r>
        <w:rPr>
          <w:rFonts w:hint="eastAsia" w:ascii="黑体" w:hAnsi="黑体" w:eastAsia="黑体" w:cs="黑体"/>
          <w:sz w:val="24"/>
        </w:rPr>
        <w:t>第四部分附件.</w:t>
      </w:r>
      <w:r>
        <w:rPr>
          <w:rFonts w:hint="eastAsia"/>
          <w:sz w:val="24"/>
        </w:rPr>
        <w:t>...............................</w:t>
      </w:r>
      <w:r>
        <w:rPr>
          <w:rFonts w:hint="eastAsia" w:ascii="仿宋" w:hAnsi="仿宋" w:eastAsia="仿宋"/>
          <w:sz w:val="24"/>
        </w:rPr>
        <w:t>.........................</w:t>
      </w:r>
      <w:r>
        <w:rPr>
          <w:rFonts w:hint="eastAsia"/>
          <w:sz w:val="24"/>
        </w:rPr>
        <w:t>...18</w:t>
      </w:r>
    </w:p>
    <w:p>
      <w:pPr>
        <w:pStyle w:val="11"/>
        <w:adjustRightInd w:val="0"/>
        <w:snapToGrid w:val="0"/>
        <w:spacing w:before="0" w:line="440" w:lineRule="exact"/>
        <w:jc w:val="left"/>
        <w:rPr>
          <w:rFonts w:cstheme="minorBidi"/>
          <w:sz w:val="24"/>
          <w:szCs w:val="24"/>
        </w:rPr>
      </w:pPr>
      <w:r>
        <w:rPr>
          <w:rFonts w:hint="eastAsia" w:ascii="黑体" w:hAnsi="黑体" w:eastAsia="黑体" w:cs="黑体"/>
          <w:sz w:val="24"/>
        </w:rPr>
        <w:t>第五部分附表</w:t>
      </w:r>
      <w:r>
        <w:rPr>
          <w:rFonts w:hint="eastAsia"/>
          <w:sz w:val="24"/>
        </w:rPr>
        <w:t>...............................</w:t>
      </w:r>
      <w:r>
        <w:rPr>
          <w:rFonts w:hint="eastAsia" w:ascii="仿宋" w:hAnsi="仿宋" w:eastAsia="仿宋"/>
          <w:sz w:val="24"/>
        </w:rPr>
        <w:t>.......................</w:t>
      </w:r>
      <w:r>
        <w:rPr>
          <w:rFonts w:hint="eastAsia"/>
          <w:sz w:val="24"/>
        </w:rPr>
        <w:t>......40</w:t>
      </w:r>
    </w:p>
    <w:p>
      <w:pPr>
        <w:pStyle w:val="12"/>
        <w:adjustRightInd w:val="0"/>
        <w:snapToGrid w:val="0"/>
        <w:spacing w:line="440" w:lineRule="exact"/>
        <w:jc w:val="left"/>
        <w:rPr>
          <w:sz w:val="24"/>
        </w:rPr>
      </w:pPr>
      <w:r>
        <w:rPr>
          <w:rFonts w:hint="eastAsia"/>
          <w:sz w:val="24"/>
        </w:rPr>
        <w:t>一、收入支出决算总表</w:t>
      </w:r>
    </w:p>
    <w:p>
      <w:pPr>
        <w:pStyle w:val="12"/>
        <w:adjustRightInd w:val="0"/>
        <w:snapToGrid w:val="0"/>
        <w:spacing w:line="440" w:lineRule="exact"/>
        <w:jc w:val="left"/>
        <w:rPr>
          <w:sz w:val="24"/>
        </w:rPr>
      </w:pPr>
      <w:r>
        <w:rPr>
          <w:rFonts w:hint="eastAsia"/>
          <w:sz w:val="24"/>
        </w:rPr>
        <w:t>二、收入决算表</w:t>
      </w:r>
    </w:p>
    <w:p>
      <w:pPr>
        <w:pStyle w:val="12"/>
        <w:adjustRightInd w:val="0"/>
        <w:snapToGrid w:val="0"/>
        <w:spacing w:line="440" w:lineRule="exact"/>
        <w:jc w:val="left"/>
        <w:rPr>
          <w:sz w:val="24"/>
        </w:rPr>
      </w:pPr>
      <w:r>
        <w:rPr>
          <w:rFonts w:hint="eastAsia"/>
          <w:sz w:val="24"/>
        </w:rPr>
        <w:t>三、支出决算表</w:t>
      </w:r>
    </w:p>
    <w:p>
      <w:pPr>
        <w:pStyle w:val="12"/>
        <w:adjustRightInd w:val="0"/>
        <w:snapToGrid w:val="0"/>
        <w:spacing w:line="440" w:lineRule="exact"/>
        <w:jc w:val="left"/>
        <w:rPr>
          <w:sz w:val="24"/>
        </w:rPr>
      </w:pPr>
      <w:r>
        <w:rPr>
          <w:rFonts w:hint="eastAsia"/>
          <w:sz w:val="24"/>
        </w:rPr>
        <w:t>四、财政拨款收入支出决算总表</w:t>
      </w:r>
    </w:p>
    <w:p>
      <w:pPr>
        <w:pStyle w:val="12"/>
        <w:adjustRightInd w:val="0"/>
        <w:snapToGrid w:val="0"/>
        <w:spacing w:line="440" w:lineRule="exact"/>
        <w:jc w:val="left"/>
        <w:rPr>
          <w:sz w:val="24"/>
        </w:rPr>
      </w:pPr>
      <w:r>
        <w:rPr>
          <w:rFonts w:hint="eastAsia"/>
          <w:sz w:val="24"/>
        </w:rPr>
        <w:t>五、财政拨款支出决算明细表</w:t>
      </w:r>
    </w:p>
    <w:p>
      <w:pPr>
        <w:pStyle w:val="12"/>
        <w:adjustRightInd w:val="0"/>
        <w:snapToGrid w:val="0"/>
        <w:spacing w:line="440" w:lineRule="exact"/>
        <w:jc w:val="left"/>
        <w:rPr>
          <w:sz w:val="24"/>
        </w:rPr>
      </w:pPr>
      <w:r>
        <w:rPr>
          <w:rFonts w:hint="eastAsia"/>
          <w:sz w:val="24"/>
        </w:rPr>
        <w:t>六、一般公共预算财政拨款支出决算表</w:t>
      </w:r>
    </w:p>
    <w:p>
      <w:pPr>
        <w:pStyle w:val="12"/>
        <w:adjustRightInd w:val="0"/>
        <w:snapToGrid w:val="0"/>
        <w:spacing w:line="440" w:lineRule="exact"/>
        <w:jc w:val="left"/>
        <w:rPr>
          <w:sz w:val="24"/>
        </w:rPr>
      </w:pPr>
      <w:r>
        <w:rPr>
          <w:rFonts w:hint="eastAsia"/>
          <w:sz w:val="24"/>
        </w:rPr>
        <w:t>七、一般公共预算财政拨款支出决算明细表</w:t>
      </w:r>
    </w:p>
    <w:p>
      <w:pPr>
        <w:pStyle w:val="12"/>
        <w:adjustRightInd w:val="0"/>
        <w:snapToGrid w:val="0"/>
        <w:spacing w:line="440" w:lineRule="exact"/>
        <w:jc w:val="left"/>
        <w:rPr>
          <w:sz w:val="24"/>
        </w:rPr>
      </w:pPr>
      <w:r>
        <w:rPr>
          <w:rFonts w:hint="eastAsia"/>
          <w:sz w:val="24"/>
        </w:rPr>
        <w:t>八、一般公共预算财政拨款基本支出决算明细表</w:t>
      </w:r>
    </w:p>
    <w:p>
      <w:pPr>
        <w:pStyle w:val="12"/>
        <w:adjustRightInd w:val="0"/>
        <w:snapToGrid w:val="0"/>
        <w:spacing w:line="440" w:lineRule="exact"/>
        <w:jc w:val="left"/>
        <w:rPr>
          <w:sz w:val="24"/>
        </w:rPr>
      </w:pPr>
      <w:r>
        <w:rPr>
          <w:rFonts w:hint="eastAsia"/>
          <w:sz w:val="24"/>
        </w:rPr>
        <w:t>九、一般公共预算财政拨款项目支出决算表</w:t>
      </w:r>
    </w:p>
    <w:p>
      <w:pPr>
        <w:pStyle w:val="12"/>
        <w:adjustRightInd w:val="0"/>
        <w:snapToGrid w:val="0"/>
        <w:spacing w:line="440" w:lineRule="exact"/>
        <w:jc w:val="left"/>
        <w:rPr>
          <w:sz w:val="24"/>
        </w:rPr>
      </w:pPr>
      <w:r>
        <w:rPr>
          <w:rFonts w:hint="eastAsia"/>
          <w:sz w:val="24"/>
        </w:rPr>
        <w:t>十、政府性基金预算财政拨款收入支出决算表</w:t>
      </w:r>
    </w:p>
    <w:p>
      <w:pPr>
        <w:pStyle w:val="12"/>
        <w:adjustRightInd w:val="0"/>
        <w:snapToGrid w:val="0"/>
        <w:spacing w:line="440" w:lineRule="exact"/>
        <w:jc w:val="left"/>
        <w:rPr>
          <w:sz w:val="24"/>
        </w:rPr>
      </w:pPr>
      <w:r>
        <w:rPr>
          <w:rFonts w:hint="eastAsia"/>
          <w:sz w:val="24"/>
        </w:rPr>
        <w:t>十一、国有资本经营预算财政拨款收入支出决算表</w:t>
      </w:r>
    </w:p>
    <w:p>
      <w:pPr>
        <w:pStyle w:val="12"/>
        <w:adjustRightInd w:val="0"/>
        <w:snapToGrid w:val="0"/>
        <w:spacing w:line="440" w:lineRule="exact"/>
        <w:jc w:val="left"/>
        <w:rPr>
          <w:sz w:val="24"/>
        </w:rPr>
      </w:pPr>
      <w:r>
        <w:rPr>
          <w:rFonts w:hint="eastAsia"/>
          <w:sz w:val="24"/>
        </w:rPr>
        <w:t>十二、国有资本经营预算财政拨款支出决算表</w:t>
      </w:r>
    </w:p>
    <w:p>
      <w:pPr>
        <w:pStyle w:val="12"/>
        <w:adjustRightInd w:val="0"/>
        <w:snapToGrid w:val="0"/>
        <w:spacing w:line="440" w:lineRule="exact"/>
        <w:jc w:val="left"/>
        <w:rPr>
          <w:rFonts w:asciiTheme="minorEastAsia" w:hAnsiTheme="minorEastAsia" w:eastAsiaTheme="minorEastAsia" w:cstheme="minorEastAsia"/>
          <w:sz w:val="24"/>
        </w:rPr>
      </w:pPr>
      <w:r>
        <w:rPr>
          <w:rFonts w:hint="eastAsia"/>
          <w:sz w:val="24"/>
        </w:rPr>
        <w:t>十三、财政拨款“三公”经费支出决算表</w:t>
      </w:r>
    </w:p>
    <w:p>
      <w:pPr>
        <w:pStyle w:val="3"/>
        <w:jc w:val="center"/>
        <w:rPr>
          <w:rFonts w:ascii="黑体" w:hAnsi="黑体" w:eastAsia="黑体"/>
          <w:b w:val="0"/>
        </w:rPr>
        <w:sectPr>
          <w:footerReference r:id="rId3" w:type="default"/>
          <w:footerReference r:id="rId4" w:type="even"/>
          <w:pgSz w:w="11906" w:h="16838"/>
          <w:pgMar w:top="2041" w:right="1468" w:bottom="1587" w:left="1468" w:header="454" w:footer="454" w:gutter="0"/>
          <w:pgNumType w:start="1"/>
          <w:cols w:space="720" w:num="1"/>
          <w:docGrid w:type="lines" w:linePitch="440" w:charSpace="0"/>
        </w:sectPr>
      </w:pPr>
      <w:bookmarkStart w:id="12" w:name="_Toc15377196"/>
      <w:bookmarkStart w:id="13" w:name="_Toc15396599"/>
    </w:p>
    <w:p>
      <w:pPr>
        <w:pStyle w:val="3"/>
        <w:jc w:val="center"/>
        <w:rPr>
          <w:rFonts w:ascii="黑体" w:eastAsia="黑体"/>
          <w:sz w:val="32"/>
          <w:szCs w:val="32"/>
        </w:rPr>
      </w:pPr>
      <w:r>
        <w:rPr>
          <w:rFonts w:hint="eastAsia" w:ascii="黑体" w:hAnsi="黑体" w:eastAsia="黑体"/>
          <w:b w:val="0"/>
        </w:rPr>
        <w:t xml:space="preserve">第一部分 </w:t>
      </w:r>
      <w:r>
        <w:rPr>
          <w:rStyle w:val="30"/>
          <w:rFonts w:hint="eastAsia" w:ascii="黑体" w:hAnsi="黑体" w:eastAsia="黑体"/>
          <w:b w:val="0"/>
          <w:bCs w:val="0"/>
        </w:rPr>
        <w:t>部门概况</w:t>
      </w:r>
      <w:bookmarkEnd w:id="12"/>
      <w:bookmarkEnd w:id="13"/>
    </w:p>
    <w:p>
      <w:pPr>
        <w:pStyle w:val="4"/>
        <w:pageBreakBefore w:val="0"/>
        <w:widowControl w:val="0"/>
        <w:numPr>
          <w:ilvl w:val="0"/>
          <w:numId w:val="1"/>
        </w:numPr>
        <w:kinsoku/>
        <w:wordWrap/>
        <w:overflowPunct/>
        <w:topLinePunct w:val="0"/>
        <w:autoSpaceDE/>
        <w:autoSpaceDN/>
        <w:bidi w:val="0"/>
        <w:snapToGrid w:val="0"/>
        <w:spacing w:before="0" w:after="0" w:line="360" w:lineRule="auto"/>
        <w:textAlignment w:val="auto"/>
      </w:pPr>
      <w:r>
        <w:rPr>
          <w:rFonts w:hint="eastAsia" w:ascii="黑体" w:hAnsi="黑体" w:eastAsia="黑体"/>
          <w:b w:val="0"/>
        </w:rPr>
        <w:t>部门职责</w:t>
      </w:r>
    </w:p>
    <w:p>
      <w:pPr>
        <w:pageBreakBefore w:val="0"/>
        <w:widowControl w:val="0"/>
        <w:kinsoku/>
        <w:wordWrap/>
        <w:overflowPunct/>
        <w:topLinePunct w:val="0"/>
        <w:autoSpaceDE/>
        <w:autoSpaceDN/>
        <w:bidi w:val="0"/>
        <w:snapToGrid w:val="0"/>
        <w:spacing w:line="360" w:lineRule="auto"/>
        <w:ind w:firstLine="643" w:firstLineChars="200"/>
        <w:textAlignment w:val="auto"/>
        <w:rPr>
          <w:rFonts w:ascii="仿宋_GB2312" w:hAnsi="仿宋" w:eastAsia="仿宋_GB2312"/>
          <w:sz w:val="32"/>
          <w:szCs w:val="32"/>
        </w:rPr>
      </w:pPr>
      <w:r>
        <w:rPr>
          <w:rFonts w:hint="eastAsia" w:ascii="仿宋_GB2312" w:hAnsi="仿宋" w:eastAsia="仿宋_GB2312"/>
          <w:b/>
          <w:bCs/>
          <w:sz w:val="32"/>
          <w:szCs w:val="32"/>
        </w:rPr>
        <w:t>（一）主要职能</w:t>
      </w:r>
      <w:r>
        <w:rPr>
          <w:rFonts w:hint="eastAsia" w:ascii="仿宋_GB2312" w:hAnsi="仿宋" w:eastAsia="仿宋_GB2312"/>
          <w:sz w:val="32"/>
          <w:szCs w:val="32"/>
        </w:rPr>
        <w:t>。</w:t>
      </w:r>
    </w:p>
    <w:p>
      <w:pPr>
        <w:pageBreakBefore w:val="0"/>
        <w:widowControl w:val="0"/>
        <w:kinsoku/>
        <w:wordWrap/>
        <w:overflowPunct/>
        <w:topLinePunct w:val="0"/>
        <w:autoSpaceDE/>
        <w:autoSpaceDN/>
        <w:bidi w:val="0"/>
        <w:snapToGrid w:val="0"/>
        <w:spacing w:line="360" w:lineRule="auto"/>
        <w:ind w:firstLine="640" w:firstLineChars="200"/>
        <w:textAlignment w:val="auto"/>
        <w:rPr>
          <w:rFonts w:hAnsi="仿宋_GB2312" w:eastAsia="仿宋_GB2312"/>
          <w:sz w:val="32"/>
          <w:szCs w:val="32"/>
        </w:rPr>
      </w:pPr>
      <w:r>
        <w:rPr>
          <w:rFonts w:hint="eastAsia" w:eastAsia="仿宋_GB2312"/>
          <w:sz w:val="32"/>
          <w:szCs w:val="32"/>
        </w:rPr>
        <w:t>（</w:t>
      </w:r>
      <w:r>
        <w:rPr>
          <w:rFonts w:eastAsia="仿宋_GB2312"/>
          <w:sz w:val="32"/>
          <w:szCs w:val="32"/>
        </w:rPr>
        <w:t>1</w:t>
      </w:r>
      <w:r>
        <w:rPr>
          <w:rFonts w:hint="eastAsia" w:eastAsia="仿宋_GB2312"/>
          <w:sz w:val="32"/>
          <w:szCs w:val="32"/>
        </w:rPr>
        <w:t>）</w:t>
      </w:r>
      <w:r>
        <w:rPr>
          <w:rFonts w:hint="eastAsia" w:hAnsi="仿宋_GB2312" w:eastAsia="仿宋_GB2312"/>
          <w:sz w:val="32"/>
          <w:szCs w:val="32"/>
        </w:rPr>
        <w:t>贯彻落实国家、省、市有关行政审批制度改革的决定，牵头推进简政放权、放管结合、优化政务服务改革和行政审批制度改革，健全和完善相关</w:t>
      </w:r>
      <w:r>
        <w:rPr>
          <w:rFonts w:hint="eastAsia" w:eastAsia="仿宋_GB2312"/>
          <w:color w:val="000000"/>
          <w:sz w:val="32"/>
          <w:szCs w:val="32"/>
        </w:rPr>
        <w:t>工作</w:t>
      </w:r>
      <w:r>
        <w:rPr>
          <w:rFonts w:hint="eastAsia" w:hAnsi="仿宋_GB2312" w:eastAsia="仿宋_GB2312"/>
          <w:sz w:val="32"/>
          <w:szCs w:val="32"/>
        </w:rPr>
        <w:t>体制机制。</w:t>
      </w:r>
    </w:p>
    <w:p>
      <w:pPr>
        <w:pageBreakBefore w:val="0"/>
        <w:widowControl w:val="0"/>
        <w:kinsoku/>
        <w:wordWrap/>
        <w:overflowPunct/>
        <w:topLinePunct w:val="0"/>
        <w:autoSpaceDE/>
        <w:autoSpaceDN/>
        <w:bidi w:val="0"/>
        <w:snapToGrid w:val="0"/>
        <w:spacing w:line="360" w:lineRule="auto"/>
        <w:ind w:firstLine="640" w:firstLineChars="200"/>
        <w:textAlignment w:val="auto"/>
        <w:rPr>
          <w:rFonts w:eastAsia="仿宋_GB2312"/>
          <w:sz w:val="32"/>
          <w:szCs w:val="32"/>
        </w:rPr>
      </w:pPr>
      <w:r>
        <w:rPr>
          <w:rFonts w:hint="eastAsia" w:hAnsi="仿宋_GB2312" w:eastAsia="仿宋_GB2312"/>
          <w:sz w:val="32"/>
          <w:szCs w:val="32"/>
        </w:rPr>
        <w:t>（2）行使相对集中行政许可权，负责县级相关部门划转和上级部门下放的行政许可</w:t>
      </w:r>
      <w:r>
        <w:rPr>
          <w:rFonts w:hint="eastAsia" w:eastAsia="仿宋_GB2312"/>
          <w:color w:val="000000"/>
          <w:sz w:val="32"/>
          <w:szCs w:val="32"/>
        </w:rPr>
        <w:t>事项</w:t>
      </w:r>
      <w:r>
        <w:rPr>
          <w:rFonts w:hint="eastAsia" w:hAnsi="仿宋_GB2312" w:eastAsia="仿宋_GB2312"/>
          <w:sz w:val="32"/>
          <w:szCs w:val="32"/>
        </w:rPr>
        <w:t>的审批以及相关政务服务事项的办理</w:t>
      </w:r>
      <w:r>
        <w:rPr>
          <w:rFonts w:hAnsi="仿宋_GB2312" w:eastAsia="仿宋_GB2312"/>
          <w:sz w:val="32"/>
          <w:szCs w:val="32"/>
        </w:rPr>
        <w:t>。</w:t>
      </w:r>
    </w:p>
    <w:p>
      <w:pPr>
        <w:pageBreakBefore w:val="0"/>
        <w:widowControl w:val="0"/>
        <w:kinsoku/>
        <w:wordWrap/>
        <w:overflowPunct/>
        <w:topLinePunct w:val="0"/>
        <w:autoSpaceDE/>
        <w:autoSpaceDN/>
        <w:bidi w:val="0"/>
        <w:snapToGrid w:val="0"/>
        <w:spacing w:line="360" w:lineRule="auto"/>
        <w:ind w:firstLine="640" w:firstLineChars="200"/>
        <w:textAlignment w:val="auto"/>
        <w:rPr>
          <w:rFonts w:eastAsia="仿宋_GB2312"/>
          <w:sz w:val="32"/>
          <w:szCs w:val="32"/>
        </w:rPr>
      </w:pPr>
      <w:r>
        <w:rPr>
          <w:rFonts w:hint="eastAsia" w:eastAsia="仿宋_GB2312"/>
          <w:sz w:val="32"/>
          <w:szCs w:val="32"/>
        </w:rPr>
        <w:t>（</w:t>
      </w:r>
      <w:r>
        <w:rPr>
          <w:rFonts w:eastAsia="仿宋_GB2312"/>
          <w:sz w:val="32"/>
          <w:szCs w:val="32"/>
        </w:rPr>
        <w:t>3</w:t>
      </w:r>
      <w:r>
        <w:rPr>
          <w:rFonts w:hint="eastAsia" w:eastAsia="仿宋_GB2312"/>
          <w:sz w:val="32"/>
          <w:szCs w:val="32"/>
        </w:rPr>
        <w:t>）</w:t>
      </w:r>
      <w:r>
        <w:rPr>
          <w:rFonts w:hint="eastAsia" w:hAnsi="仿宋_GB2312" w:eastAsia="仿宋_GB2312"/>
          <w:sz w:val="32"/>
          <w:szCs w:val="32"/>
        </w:rPr>
        <w:t>负责统一组织实施</w:t>
      </w:r>
      <w:r>
        <w:rPr>
          <w:rFonts w:hint="eastAsia" w:eastAsia="仿宋_GB2312"/>
          <w:color w:val="000000"/>
          <w:sz w:val="32"/>
          <w:szCs w:val="32"/>
        </w:rPr>
        <w:t>行政</w:t>
      </w:r>
      <w:r>
        <w:rPr>
          <w:rFonts w:hint="eastAsia" w:hAnsi="仿宋_GB2312" w:eastAsia="仿宋_GB2312"/>
          <w:sz w:val="32"/>
          <w:szCs w:val="32"/>
        </w:rPr>
        <w:t>审批涉及的现场勘查、技术论证和社会听证等工作</w:t>
      </w:r>
      <w:r>
        <w:rPr>
          <w:rFonts w:hAnsi="仿宋_GB2312" w:eastAsia="仿宋_GB2312"/>
          <w:sz w:val="32"/>
          <w:szCs w:val="32"/>
        </w:rPr>
        <w:t>。</w:t>
      </w:r>
    </w:p>
    <w:p>
      <w:pPr>
        <w:pageBreakBefore w:val="0"/>
        <w:widowControl w:val="0"/>
        <w:kinsoku/>
        <w:wordWrap/>
        <w:overflowPunct/>
        <w:topLinePunct w:val="0"/>
        <w:autoSpaceDE/>
        <w:autoSpaceDN/>
        <w:bidi w:val="0"/>
        <w:snapToGrid w:val="0"/>
        <w:spacing w:line="360" w:lineRule="auto"/>
        <w:ind w:firstLine="640" w:firstLineChars="200"/>
        <w:textAlignment w:val="auto"/>
        <w:rPr>
          <w:rFonts w:eastAsia="仿宋_GB2312"/>
          <w:sz w:val="32"/>
          <w:szCs w:val="32"/>
        </w:rPr>
      </w:pPr>
      <w:r>
        <w:rPr>
          <w:rFonts w:hint="eastAsia" w:eastAsia="仿宋_GB2312"/>
          <w:sz w:val="32"/>
          <w:szCs w:val="32"/>
        </w:rPr>
        <w:t>（</w:t>
      </w:r>
      <w:r>
        <w:rPr>
          <w:rFonts w:eastAsia="仿宋_GB2312"/>
          <w:sz w:val="32"/>
          <w:szCs w:val="32"/>
        </w:rPr>
        <w:t>4</w:t>
      </w:r>
      <w:r>
        <w:rPr>
          <w:rFonts w:hint="eastAsia" w:eastAsia="仿宋_GB2312"/>
          <w:sz w:val="32"/>
          <w:szCs w:val="32"/>
        </w:rPr>
        <w:t>）负责组织相关部门清理、规范、动态调整行政许可事项和公共服务事项。负责对行政审批前置条件和流程进行规范化和优化，推进行政审批标准化建设</w:t>
      </w:r>
      <w:r>
        <w:rPr>
          <w:rFonts w:hAnsi="仿宋_GB2312" w:eastAsia="仿宋_GB2312"/>
          <w:sz w:val="32"/>
          <w:szCs w:val="32"/>
        </w:rPr>
        <w:t>。</w:t>
      </w:r>
    </w:p>
    <w:p>
      <w:pPr>
        <w:pageBreakBefore w:val="0"/>
        <w:widowControl w:val="0"/>
        <w:kinsoku/>
        <w:wordWrap/>
        <w:overflowPunct/>
        <w:topLinePunct w:val="0"/>
        <w:autoSpaceDE/>
        <w:autoSpaceDN/>
        <w:bidi w:val="0"/>
        <w:snapToGrid w:val="0"/>
        <w:spacing w:line="360" w:lineRule="auto"/>
        <w:ind w:firstLine="640" w:firstLineChars="200"/>
        <w:textAlignment w:val="auto"/>
        <w:rPr>
          <w:rFonts w:eastAsia="仿宋_GB2312"/>
          <w:sz w:val="32"/>
          <w:szCs w:val="32"/>
        </w:rPr>
      </w:pPr>
      <w:r>
        <w:rPr>
          <w:rFonts w:hint="eastAsia" w:eastAsia="仿宋_GB2312"/>
          <w:sz w:val="32"/>
          <w:szCs w:val="32"/>
        </w:rPr>
        <w:t>（</w:t>
      </w:r>
      <w:r>
        <w:rPr>
          <w:rFonts w:eastAsia="仿宋_GB2312"/>
          <w:sz w:val="32"/>
          <w:szCs w:val="32"/>
        </w:rPr>
        <w:t>5</w:t>
      </w:r>
      <w:r>
        <w:rPr>
          <w:rFonts w:hint="eastAsia" w:eastAsia="仿宋_GB2312"/>
          <w:sz w:val="32"/>
          <w:szCs w:val="32"/>
        </w:rPr>
        <w:t>）负责拟定加强政务服务工作的政策、制度、办法和标准并指导实施，指导推进政务服务标准化建设工作。</w:t>
      </w:r>
    </w:p>
    <w:p>
      <w:pPr>
        <w:pageBreakBefore w:val="0"/>
        <w:widowControl w:val="0"/>
        <w:kinsoku/>
        <w:wordWrap/>
        <w:overflowPunct/>
        <w:topLinePunct w:val="0"/>
        <w:autoSpaceDE/>
        <w:autoSpaceDN/>
        <w:bidi w:val="0"/>
        <w:snapToGrid w:val="0"/>
        <w:spacing w:line="360" w:lineRule="auto"/>
        <w:ind w:firstLine="640" w:firstLineChars="200"/>
        <w:textAlignment w:val="auto"/>
        <w:rPr>
          <w:rFonts w:eastAsia="仿宋_GB2312"/>
          <w:sz w:val="32"/>
          <w:szCs w:val="32"/>
        </w:rPr>
      </w:pPr>
      <w:r>
        <w:rPr>
          <w:rFonts w:hint="eastAsia" w:eastAsia="仿宋_GB2312"/>
          <w:sz w:val="32"/>
          <w:szCs w:val="32"/>
        </w:rPr>
        <w:t>（</w:t>
      </w:r>
      <w:r>
        <w:rPr>
          <w:rFonts w:eastAsia="仿宋_GB2312"/>
          <w:sz w:val="32"/>
          <w:szCs w:val="32"/>
        </w:rPr>
        <w:t>6</w:t>
      </w:r>
      <w:r>
        <w:rPr>
          <w:rFonts w:hint="eastAsia" w:eastAsia="仿宋_GB2312"/>
          <w:sz w:val="32"/>
          <w:szCs w:val="32"/>
        </w:rPr>
        <w:t>）</w:t>
      </w:r>
      <w:r>
        <w:rPr>
          <w:rFonts w:hint="eastAsia" w:hAnsi="仿宋_GB2312" w:eastAsia="仿宋_GB2312"/>
          <w:sz w:val="32"/>
          <w:szCs w:val="32"/>
        </w:rPr>
        <w:t>负责会同有关部门开展“互联网+政务服务”信息化建设和维护</w:t>
      </w:r>
      <w:r>
        <w:rPr>
          <w:rFonts w:hAnsi="仿宋_GB2312" w:eastAsia="仿宋_GB2312"/>
          <w:sz w:val="32"/>
          <w:szCs w:val="32"/>
        </w:rPr>
        <w:t>。</w:t>
      </w:r>
      <w:r>
        <w:rPr>
          <w:rFonts w:hint="eastAsia" w:hAnsi="仿宋_GB2312" w:eastAsia="仿宋_GB2312"/>
          <w:sz w:val="32"/>
          <w:szCs w:val="32"/>
        </w:rPr>
        <w:t>负责一体化政务服务平台管理、维护、指导工作和功能拓展，对一体化政务服务</w:t>
      </w:r>
      <w:r>
        <w:rPr>
          <w:rFonts w:hint="eastAsia" w:eastAsia="仿宋_GB2312"/>
          <w:color w:val="000000"/>
          <w:sz w:val="32"/>
          <w:szCs w:val="32"/>
        </w:rPr>
        <w:t>平台</w:t>
      </w:r>
      <w:r>
        <w:rPr>
          <w:rFonts w:hint="eastAsia" w:hAnsi="仿宋_GB2312" w:eastAsia="仿宋_GB2312"/>
          <w:sz w:val="32"/>
          <w:szCs w:val="32"/>
        </w:rPr>
        <w:t>办理情况进行公开并提供查询。负责对政务服务事项受理办理情况进行统计、预警和监督。</w:t>
      </w:r>
    </w:p>
    <w:p>
      <w:pPr>
        <w:pageBreakBefore w:val="0"/>
        <w:widowControl w:val="0"/>
        <w:kinsoku/>
        <w:wordWrap/>
        <w:overflowPunct/>
        <w:topLinePunct w:val="0"/>
        <w:autoSpaceDE/>
        <w:autoSpaceDN/>
        <w:bidi w:val="0"/>
        <w:snapToGrid w:val="0"/>
        <w:spacing w:line="360" w:lineRule="auto"/>
        <w:ind w:firstLine="640" w:firstLineChars="200"/>
        <w:textAlignment w:val="auto"/>
        <w:rPr>
          <w:rFonts w:eastAsia="仿宋_GB2312"/>
          <w:sz w:val="32"/>
          <w:szCs w:val="32"/>
        </w:rPr>
      </w:pPr>
      <w:r>
        <w:rPr>
          <w:rFonts w:hint="eastAsia" w:eastAsia="仿宋_GB2312"/>
          <w:sz w:val="32"/>
          <w:szCs w:val="32"/>
        </w:rPr>
        <w:t>（</w:t>
      </w:r>
      <w:r>
        <w:rPr>
          <w:rFonts w:eastAsia="仿宋_GB2312"/>
          <w:sz w:val="32"/>
          <w:szCs w:val="32"/>
        </w:rPr>
        <w:t>7</w:t>
      </w:r>
      <w:r>
        <w:rPr>
          <w:rFonts w:hint="eastAsia" w:eastAsia="仿宋_GB2312"/>
          <w:sz w:val="32"/>
          <w:szCs w:val="32"/>
        </w:rPr>
        <w:t>）负责指导乡镇便民服务中心标准化建设和对其进行效能考核，推进县、乡（镇）村三级行政审批服务体系建设</w:t>
      </w:r>
      <w:r>
        <w:rPr>
          <w:rFonts w:hAnsi="仿宋_GB2312" w:eastAsia="仿宋_GB2312"/>
          <w:sz w:val="32"/>
          <w:szCs w:val="32"/>
        </w:rPr>
        <w:t>。</w:t>
      </w:r>
    </w:p>
    <w:p>
      <w:pPr>
        <w:pageBreakBefore w:val="0"/>
        <w:widowControl w:val="0"/>
        <w:kinsoku/>
        <w:wordWrap/>
        <w:overflowPunct/>
        <w:topLinePunct w:val="0"/>
        <w:autoSpaceDE/>
        <w:autoSpaceDN/>
        <w:bidi w:val="0"/>
        <w:snapToGrid w:val="0"/>
        <w:spacing w:line="360" w:lineRule="auto"/>
        <w:ind w:firstLine="640" w:firstLineChars="200"/>
        <w:textAlignment w:val="auto"/>
        <w:rPr>
          <w:rFonts w:eastAsia="仿宋_GB2312"/>
          <w:sz w:val="32"/>
          <w:szCs w:val="32"/>
        </w:rPr>
      </w:pPr>
      <w:r>
        <w:rPr>
          <w:rFonts w:hint="eastAsia" w:eastAsia="仿宋_GB2312"/>
          <w:sz w:val="32"/>
          <w:szCs w:val="32"/>
        </w:rPr>
        <w:t>（</w:t>
      </w:r>
      <w:r>
        <w:rPr>
          <w:rFonts w:eastAsia="仿宋_GB2312"/>
          <w:sz w:val="32"/>
          <w:szCs w:val="32"/>
        </w:rPr>
        <w:t>8</w:t>
      </w:r>
      <w:r>
        <w:rPr>
          <w:rFonts w:hint="eastAsia" w:eastAsia="仿宋_GB2312"/>
          <w:sz w:val="32"/>
          <w:szCs w:val="32"/>
        </w:rPr>
        <w:t>）负责全县机关</w:t>
      </w:r>
      <w:r>
        <w:rPr>
          <w:rFonts w:hint="eastAsia" w:eastAsia="仿宋_GB2312"/>
          <w:color w:val="000000"/>
          <w:sz w:val="32"/>
          <w:szCs w:val="32"/>
        </w:rPr>
        <w:t>行政</w:t>
      </w:r>
      <w:r>
        <w:rPr>
          <w:rFonts w:hint="eastAsia" w:eastAsia="仿宋_GB2312"/>
          <w:sz w:val="32"/>
          <w:szCs w:val="32"/>
        </w:rPr>
        <w:t>效能建设监督检查工作和受理相关投诉，并根据职能分工交办相关部门跟踪督促落实。</w:t>
      </w:r>
    </w:p>
    <w:p>
      <w:pPr>
        <w:pageBreakBefore w:val="0"/>
        <w:widowControl w:val="0"/>
        <w:kinsoku/>
        <w:wordWrap/>
        <w:overflowPunct/>
        <w:topLinePunct w:val="0"/>
        <w:autoSpaceDE/>
        <w:autoSpaceDN/>
        <w:bidi w:val="0"/>
        <w:snapToGrid w:val="0"/>
        <w:spacing w:line="360" w:lineRule="auto"/>
        <w:ind w:firstLine="640" w:firstLineChars="200"/>
        <w:textAlignment w:val="auto"/>
        <w:rPr>
          <w:rFonts w:eastAsia="仿宋_GB2312"/>
          <w:sz w:val="32"/>
          <w:szCs w:val="32"/>
        </w:rPr>
      </w:pPr>
      <w:r>
        <w:rPr>
          <w:rFonts w:hint="eastAsia" w:eastAsia="仿宋_GB2312"/>
          <w:sz w:val="32"/>
          <w:szCs w:val="32"/>
        </w:rPr>
        <w:t>（9）负责职责范围内的安全生产，职业健康和生态环境保护等工作。</w:t>
      </w:r>
    </w:p>
    <w:p>
      <w:pPr>
        <w:pageBreakBefore w:val="0"/>
        <w:widowControl w:val="0"/>
        <w:kinsoku/>
        <w:wordWrap/>
        <w:overflowPunct/>
        <w:topLinePunct w:val="0"/>
        <w:autoSpaceDE/>
        <w:autoSpaceDN/>
        <w:bidi w:val="0"/>
        <w:snapToGrid w:val="0"/>
        <w:spacing w:line="360" w:lineRule="auto"/>
        <w:ind w:firstLine="640" w:firstLineChars="200"/>
        <w:textAlignment w:val="auto"/>
        <w:rPr>
          <w:rFonts w:eastAsia="仿宋_GB2312"/>
          <w:sz w:val="32"/>
          <w:szCs w:val="32"/>
        </w:rPr>
      </w:pPr>
      <w:r>
        <w:rPr>
          <w:rFonts w:hint="eastAsia" w:eastAsia="仿宋_GB2312"/>
          <w:sz w:val="32"/>
          <w:szCs w:val="32"/>
        </w:rPr>
        <w:t>（</w:t>
      </w:r>
      <w:r>
        <w:rPr>
          <w:rFonts w:eastAsia="仿宋_GB2312"/>
          <w:sz w:val="32"/>
          <w:szCs w:val="32"/>
        </w:rPr>
        <w:t>10</w:t>
      </w:r>
      <w:r>
        <w:rPr>
          <w:rFonts w:hint="eastAsia" w:eastAsia="仿宋_GB2312"/>
          <w:sz w:val="32"/>
          <w:szCs w:val="32"/>
        </w:rPr>
        <w:t>）职能转变</w:t>
      </w:r>
      <w:r>
        <w:rPr>
          <w:rFonts w:hAnsi="仿宋_GB2312" w:eastAsia="仿宋_GB2312"/>
          <w:sz w:val="32"/>
          <w:szCs w:val="32"/>
        </w:rPr>
        <w:t>。</w:t>
      </w:r>
      <w:r>
        <w:rPr>
          <w:rFonts w:hint="eastAsia" w:hAnsi="仿宋_GB2312" w:eastAsia="仿宋_GB2312"/>
          <w:sz w:val="32"/>
          <w:szCs w:val="32"/>
        </w:rPr>
        <w:t>推进行政审批制度改革，不断优化审批事项。继续深化“放管服”改革，深入推进行政审批提质增效、降低实体经济制度性交易成本、提升便利化水平。推动实现行政审批更简、收费项目更少、透明化程度更高、服务质量更优，进一步激发市场活力和社会创造力。</w:t>
      </w:r>
    </w:p>
    <w:p>
      <w:pPr>
        <w:pageBreakBefore w:val="0"/>
        <w:widowControl w:val="0"/>
        <w:kinsoku/>
        <w:wordWrap/>
        <w:overflowPunct/>
        <w:topLinePunct w:val="0"/>
        <w:autoSpaceDE/>
        <w:autoSpaceDN/>
        <w:bidi w:val="0"/>
        <w:snapToGrid w:val="0"/>
        <w:spacing w:line="360" w:lineRule="auto"/>
        <w:ind w:firstLine="643" w:firstLineChars="200"/>
        <w:textAlignment w:val="auto"/>
        <w:rPr>
          <w:rFonts w:ascii="仿宋_GB2312" w:eastAsia="仿宋_GB2312"/>
          <w:bCs/>
          <w:color w:val="000000"/>
          <w:sz w:val="32"/>
          <w:szCs w:val="32"/>
        </w:rPr>
      </w:pPr>
      <w:r>
        <w:rPr>
          <w:rFonts w:hint="eastAsia" w:ascii="楷体_GB2312" w:hAnsi="仿宋" w:eastAsia="楷体_GB2312"/>
          <w:b/>
          <w:sz w:val="32"/>
          <w:szCs w:val="32"/>
        </w:rPr>
        <w:t>（二）当年取得的主要事业成效</w:t>
      </w:r>
    </w:p>
    <w:p>
      <w:pPr>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ascii="仿宋_GB2312" w:eastAsia="仿宋_GB2312"/>
          <w:bCs/>
          <w:color w:val="000000"/>
          <w:sz w:val="32"/>
          <w:szCs w:val="32"/>
        </w:rPr>
      </w:pPr>
      <w:r>
        <w:rPr>
          <w:rFonts w:hint="eastAsia" w:ascii="仿宋_GB2312" w:eastAsia="仿宋_GB2312"/>
          <w:bCs/>
          <w:color w:val="000000"/>
          <w:sz w:val="32"/>
          <w:szCs w:val="32"/>
        </w:rPr>
        <w:t>一、做优做实“一网通办”工作，提高群众办事效率</w:t>
      </w:r>
    </w:p>
    <w:p>
      <w:pPr>
        <w:pageBreakBefore w:val="0"/>
        <w:widowControl w:val="0"/>
        <w:kinsoku/>
        <w:wordWrap/>
        <w:overflowPunct/>
        <w:topLinePunct w:val="0"/>
        <w:autoSpaceDE/>
        <w:autoSpaceDN/>
        <w:bidi w:val="0"/>
        <w:adjustRightInd w:val="0"/>
        <w:snapToGrid w:val="0"/>
        <w:spacing w:line="360" w:lineRule="auto"/>
        <w:ind w:firstLine="645"/>
        <w:textAlignment w:val="auto"/>
        <w:rPr>
          <w:rFonts w:ascii="仿宋_GB2312" w:eastAsia="仿宋_GB2312"/>
          <w:color w:val="000000"/>
          <w:sz w:val="32"/>
          <w:szCs w:val="32"/>
        </w:rPr>
      </w:pPr>
      <w:r>
        <w:rPr>
          <w:rFonts w:hint="eastAsia" w:ascii="仿宋_GB2312" w:eastAsia="仿宋_GB2312"/>
          <w:bCs/>
          <w:color w:val="000000"/>
          <w:sz w:val="32"/>
          <w:szCs w:val="32"/>
          <w:shd w:val="clear" w:color="auto" w:fill="FFFFFF"/>
        </w:rPr>
        <w:t>1.</w:t>
      </w:r>
      <w:r>
        <w:rPr>
          <w:rFonts w:hint="eastAsia" w:ascii="仿宋_GB2312" w:eastAsia="仿宋_GB2312"/>
          <w:bCs/>
          <w:color w:val="000000"/>
          <w:sz w:val="32"/>
          <w:szCs w:val="32"/>
        </w:rPr>
        <w:t>四川一体化政务服务平台。</w:t>
      </w:r>
      <w:r>
        <w:rPr>
          <w:rFonts w:hint="eastAsia" w:ascii="仿宋_GB2312" w:eastAsia="仿宋_GB2312"/>
          <w:color w:val="000000"/>
          <w:sz w:val="32"/>
          <w:szCs w:val="32"/>
        </w:rPr>
        <w:t>对标省、市要求准确配置平台6760项政务服务事项办事指南及相关信息，做好管理、维护、指导工作和功能拓展，</w:t>
      </w:r>
      <w:r>
        <w:rPr>
          <w:rStyle w:val="37"/>
          <w:rFonts w:hint="eastAsia" w:ascii="仿宋_GB2312" w:eastAsia="仿宋_GB2312"/>
          <w:color w:val="000000"/>
          <w:sz w:val="32"/>
          <w:szCs w:val="32"/>
        </w:rPr>
        <w:t>实施清单准确率100%、网上可办率100%、最多跑一次配置率100%、全程网办率99.77%、承诺提速率78.49%、即办事项占比41.44%、办件覆盖率88.55%、办件主动评价率95.92%、线上办件率23%</w:t>
      </w:r>
      <w:r>
        <w:rPr>
          <w:rFonts w:hint="eastAsia" w:ascii="仿宋_GB2312" w:eastAsia="仿宋_GB2312"/>
          <w:color w:val="000000"/>
          <w:sz w:val="32"/>
          <w:szCs w:val="32"/>
        </w:rPr>
        <w:t>。开辟行政审批绿色通道，推出重点项目全程代办服务。</w:t>
      </w:r>
    </w:p>
    <w:p>
      <w:pPr>
        <w:pageBreakBefore w:val="0"/>
        <w:widowControl w:val="0"/>
        <w:kinsoku/>
        <w:wordWrap/>
        <w:overflowPunct/>
        <w:topLinePunct w:val="0"/>
        <w:autoSpaceDE/>
        <w:autoSpaceDN/>
        <w:bidi w:val="0"/>
        <w:snapToGrid w:val="0"/>
        <w:spacing w:line="360" w:lineRule="auto"/>
        <w:ind w:firstLine="640" w:firstLineChars="200"/>
        <w:textAlignment w:val="auto"/>
        <w:rPr>
          <w:rFonts w:ascii="仿宋_GB2312" w:hAnsi="楷体" w:eastAsia="仿宋_GB2312" w:cs="仿宋_GB2312"/>
          <w:color w:val="000000"/>
          <w:sz w:val="32"/>
          <w:szCs w:val="32"/>
        </w:rPr>
      </w:pPr>
      <w:r>
        <w:rPr>
          <w:rFonts w:hint="eastAsia" w:ascii="仿宋_GB2312" w:eastAsia="仿宋_GB2312"/>
          <w:bCs/>
          <w:color w:val="000000"/>
          <w:sz w:val="32"/>
          <w:szCs w:val="32"/>
          <w:shd w:val="clear" w:color="auto" w:fill="FFFFFF"/>
        </w:rPr>
        <w:t>2.工程建设项目审批制度改革</w:t>
      </w:r>
      <w:r>
        <w:rPr>
          <w:rFonts w:hint="eastAsia" w:ascii="仿宋_GB2312" w:eastAsia="仿宋_GB2312"/>
          <w:b/>
          <w:bCs/>
          <w:color w:val="000000"/>
          <w:sz w:val="32"/>
          <w:szCs w:val="32"/>
          <w:shd w:val="clear" w:color="auto" w:fill="FFFFFF"/>
        </w:rPr>
        <w:t>。</w:t>
      </w:r>
      <w:r>
        <w:rPr>
          <w:rFonts w:hint="eastAsia" w:ascii="仿宋_GB2312" w:hAnsi="楷体" w:eastAsia="仿宋_GB2312" w:cs="仿宋_GB2312"/>
          <w:color w:val="000000"/>
          <w:sz w:val="32"/>
          <w:szCs w:val="32"/>
        </w:rPr>
        <w:t>对标开展省工程建设项目审批管理系统2.0配置应用，完成了中介服务机构和公共服务机构入驻平台等运行管理工作，截至10月底今年在工程建设项目审批管理系统共办理项目332件。实现了建设工程项目从立项至完成开工建设，工作时限从平均200天压缩至70个工作日以内，力争今年压缩到50个工作日。</w:t>
      </w:r>
    </w:p>
    <w:p>
      <w:pPr>
        <w:pageBreakBefore w:val="0"/>
        <w:widowControl w:val="0"/>
        <w:kinsoku/>
        <w:wordWrap/>
        <w:overflowPunct/>
        <w:topLinePunct w:val="0"/>
        <w:autoSpaceDE/>
        <w:autoSpaceDN/>
        <w:bidi w:val="0"/>
        <w:snapToGrid w:val="0"/>
        <w:spacing w:line="360" w:lineRule="auto"/>
        <w:ind w:firstLine="640" w:firstLineChars="200"/>
        <w:textAlignment w:val="auto"/>
        <w:rPr>
          <w:rFonts w:ascii="仿宋_GB2312" w:hAnsi="楷体" w:eastAsia="仿宋_GB2312" w:cs="仿宋_GB2312"/>
          <w:color w:val="000000"/>
          <w:sz w:val="32"/>
          <w:szCs w:val="32"/>
        </w:rPr>
      </w:pPr>
      <w:r>
        <w:rPr>
          <w:rFonts w:hint="eastAsia" w:ascii="仿宋_GB2312" w:eastAsia="仿宋_GB2312"/>
          <w:bCs/>
          <w:color w:val="000000"/>
          <w:sz w:val="32"/>
          <w:szCs w:val="32"/>
          <w:shd w:val="clear" w:color="auto" w:fill="FFFFFF"/>
        </w:rPr>
        <w:t>3.政务数据资源共享开放。</w:t>
      </w:r>
      <w:r>
        <w:rPr>
          <w:rFonts w:hint="eastAsia" w:ascii="仿宋_GB2312" w:hAnsi="楷体" w:eastAsia="仿宋_GB2312" w:cs="仿宋_GB2312"/>
          <w:color w:val="000000"/>
          <w:sz w:val="32"/>
          <w:szCs w:val="32"/>
        </w:rPr>
        <w:t>推进县级各部门政务数据资源目录编制、共享开放工作。其中，政务数据资源编制752条，共享开放率95%，数据更新率100%。</w:t>
      </w:r>
    </w:p>
    <w:p>
      <w:pPr>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ascii="仿宋_GB2312" w:eastAsia="仿宋_GB2312"/>
          <w:color w:val="000000"/>
          <w:sz w:val="32"/>
          <w:szCs w:val="32"/>
        </w:rPr>
      </w:pPr>
      <w:r>
        <w:rPr>
          <w:rFonts w:hint="eastAsia" w:ascii="仿宋_GB2312" w:eastAsia="仿宋_GB2312"/>
          <w:bCs/>
          <w:color w:val="000000"/>
          <w:sz w:val="32"/>
          <w:szCs w:val="32"/>
          <w:shd w:val="clear" w:color="auto" w:fill="FFFFFF"/>
        </w:rPr>
        <w:t>4.“互联网+监管”。</w:t>
      </w:r>
      <w:r>
        <w:rPr>
          <w:rFonts w:hint="eastAsia" w:ascii="仿宋_GB2312" w:hAnsi="楷体" w:eastAsia="仿宋_GB2312" w:cs="仿宋_GB2312"/>
          <w:color w:val="000000"/>
          <w:sz w:val="32"/>
          <w:szCs w:val="32"/>
        </w:rPr>
        <w:t>负责“互联网+监管”平台的管理、维护、指导工作，牵头推进县级各部门监管事项的清理、监</w:t>
      </w:r>
      <w:r>
        <w:rPr>
          <w:rFonts w:hint="eastAsia" w:ascii="仿宋_GB2312" w:eastAsia="仿宋_GB2312"/>
          <w:color w:val="000000"/>
          <w:sz w:val="32"/>
          <w:szCs w:val="32"/>
        </w:rPr>
        <w:t>管行为数据的录入，共录入互联网+监管数据12000条。</w:t>
      </w:r>
    </w:p>
    <w:p>
      <w:pPr>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ascii="仿宋_GB2312" w:eastAsia="仿宋_GB2312"/>
          <w:bCs/>
          <w:color w:val="000000"/>
          <w:sz w:val="32"/>
          <w:szCs w:val="32"/>
        </w:rPr>
      </w:pPr>
      <w:r>
        <w:rPr>
          <w:rFonts w:hint="eastAsia" w:ascii="仿宋_GB2312" w:eastAsia="仿宋_GB2312"/>
          <w:bCs/>
          <w:color w:val="000000"/>
          <w:sz w:val="32"/>
          <w:szCs w:val="32"/>
        </w:rPr>
        <w:t>二、持续优化营商环境，为沐川经济发展保驾护航</w:t>
      </w:r>
    </w:p>
    <w:p>
      <w:pPr>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ascii="仿宋_GB2312" w:eastAsia="仿宋_GB2312"/>
          <w:color w:val="000000"/>
          <w:sz w:val="32"/>
          <w:szCs w:val="32"/>
        </w:rPr>
      </w:pPr>
      <w:r>
        <w:rPr>
          <w:rFonts w:hint="eastAsia" w:ascii="仿宋_GB2312" w:eastAsia="仿宋_GB2312"/>
          <w:bCs/>
          <w:color w:val="000000"/>
          <w:sz w:val="32"/>
          <w:szCs w:val="32"/>
        </w:rPr>
        <w:t>（一）加快推进商事制度改革，企业开办“一日办结”,“证照分离”改革全面实现。</w:t>
      </w:r>
      <w:r>
        <w:rPr>
          <w:rFonts w:hint="eastAsia" w:ascii="仿宋_GB2312" w:eastAsia="仿宋_GB2312"/>
          <w:color w:val="000000"/>
          <w:sz w:val="32"/>
          <w:szCs w:val="32"/>
        </w:rPr>
        <w:t>优化解决“准入不准营”问题，着力解决企业“出生容易注销难”问题，积极推进工商登记全程电子化和企业简易注销。截至10月底，我县新设立市场主体1262个，新增注册资本1.8亿元，新吸纳1500余人就业，其中，今年新设企业213个，企业全程电子化登记202个，通过“简易注销”办理注销登记87个。</w:t>
      </w:r>
    </w:p>
    <w:p>
      <w:pPr>
        <w:pageBreakBefore w:val="0"/>
        <w:widowControl w:val="0"/>
        <w:kinsoku/>
        <w:wordWrap/>
        <w:overflowPunct/>
        <w:topLinePunct w:val="0"/>
        <w:autoSpaceDE/>
        <w:autoSpaceDN/>
        <w:bidi w:val="0"/>
        <w:snapToGrid w:val="0"/>
        <w:spacing w:line="360" w:lineRule="auto"/>
        <w:ind w:firstLine="640" w:firstLineChars="200"/>
        <w:jc w:val="left"/>
        <w:textAlignment w:val="auto"/>
        <w:rPr>
          <w:rFonts w:ascii="仿宋_GB2312" w:eastAsia="仿宋_GB2312"/>
          <w:color w:val="000000"/>
          <w:sz w:val="32"/>
          <w:szCs w:val="32"/>
        </w:rPr>
      </w:pPr>
      <w:r>
        <w:rPr>
          <w:rFonts w:hint="eastAsia" w:ascii="仿宋_GB2312" w:eastAsia="仿宋_GB2312"/>
          <w:bCs/>
          <w:color w:val="000000"/>
          <w:sz w:val="32"/>
          <w:szCs w:val="32"/>
        </w:rPr>
        <w:t>（二）“一枚印章管审批”全面完善。</w:t>
      </w:r>
      <w:r>
        <w:rPr>
          <w:rFonts w:hint="eastAsia" w:ascii="仿宋_GB2312" w:eastAsia="仿宋_GB2312"/>
          <w:color w:val="000000"/>
          <w:sz w:val="32"/>
          <w:szCs w:val="32"/>
        </w:rPr>
        <w:t>按照“精简、统一、效能”的原则，行使相对集中行政许可权，提高行政效能和政务服务质量。截止10月底，共办理各类行政许可事项共计8700件，其中：商事登记类2254件、涉农事务类5176件、社会事务类210件、城管交通类964件、投资项目类40件。</w:t>
      </w:r>
    </w:p>
    <w:p>
      <w:pPr>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ascii="仿宋_GB2312" w:eastAsia="仿宋_GB2312"/>
          <w:color w:val="000000"/>
          <w:sz w:val="32"/>
          <w:szCs w:val="32"/>
        </w:rPr>
      </w:pPr>
      <w:r>
        <w:rPr>
          <w:rFonts w:hint="eastAsia" w:ascii="仿宋_GB2312" w:eastAsia="仿宋_GB2312"/>
          <w:bCs/>
          <w:color w:val="000000"/>
          <w:sz w:val="32"/>
          <w:szCs w:val="32"/>
        </w:rPr>
        <w:t>（三）“放管服”改革成效明显。</w:t>
      </w:r>
      <w:r>
        <w:rPr>
          <w:rFonts w:hint="eastAsia" w:ascii="仿宋_GB2312" w:eastAsia="仿宋_GB2312"/>
          <w:color w:val="000000"/>
          <w:sz w:val="32"/>
          <w:szCs w:val="32"/>
        </w:rPr>
        <w:t>一是审批事项实现提速增效。企业工商登记、食品经营许可、公共场所卫生许可证、建设工程项目等服务事项登记、办结均提速至少60%以上。二是推动“放管服”改革向乡村延伸。按照“依法下放、宜放则放”的原则，梳理赋予乡镇县级行政权力事项，按照“成熟一批、下放一批”的原则，梳理形成乡镇法定行政权力事项（115项）和部门赋予乡镇行政权力事项清单150项下放乡镇和村、社区。</w:t>
      </w:r>
    </w:p>
    <w:p>
      <w:pPr>
        <w:pageBreakBefore w:val="0"/>
        <w:widowControl w:val="0"/>
        <w:kinsoku/>
        <w:wordWrap/>
        <w:overflowPunct/>
        <w:topLinePunct w:val="0"/>
        <w:autoSpaceDE/>
        <w:autoSpaceDN/>
        <w:bidi w:val="0"/>
        <w:snapToGrid w:val="0"/>
        <w:spacing w:line="360" w:lineRule="auto"/>
        <w:ind w:firstLine="640" w:firstLineChars="200"/>
        <w:textAlignment w:val="auto"/>
        <w:rPr>
          <w:rFonts w:ascii="仿宋_GB2312" w:eastAsia="仿宋_GB2312"/>
          <w:bCs/>
          <w:color w:val="000000"/>
          <w:sz w:val="32"/>
          <w:szCs w:val="32"/>
        </w:rPr>
      </w:pPr>
      <w:r>
        <w:rPr>
          <w:rFonts w:hint="eastAsia" w:ascii="仿宋_GB2312" w:eastAsia="仿宋_GB2312"/>
          <w:bCs/>
          <w:color w:val="000000"/>
          <w:sz w:val="32"/>
          <w:szCs w:val="32"/>
        </w:rPr>
        <w:t>三、优化服务，利企便民，打通服务群众落实“最后一公里”。</w:t>
      </w:r>
    </w:p>
    <w:p>
      <w:pPr>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ascii="仿宋_GB2312" w:hAnsi="仿宋_GB2312" w:eastAsia="仿宋_GB2312" w:cs="仿宋_GB2312"/>
          <w:color w:val="000000"/>
          <w:kern w:val="0"/>
          <w:sz w:val="32"/>
          <w:szCs w:val="32"/>
        </w:rPr>
      </w:pPr>
      <w:r>
        <w:rPr>
          <w:rFonts w:hint="eastAsia" w:ascii="仿宋_GB2312" w:eastAsia="仿宋_GB2312"/>
          <w:bCs/>
          <w:color w:val="000000"/>
          <w:sz w:val="32"/>
          <w:szCs w:val="32"/>
        </w:rPr>
        <w:t>（一）创新政务服务方式。</w:t>
      </w:r>
      <w:r>
        <w:rPr>
          <w:rFonts w:hint="eastAsia" w:ascii="仿宋_GB2312" w:eastAsia="仿宋_GB2312"/>
          <w:color w:val="000000"/>
          <w:sz w:val="32"/>
          <w:szCs w:val="32"/>
        </w:rPr>
        <w:t>一是推广实施自助办理业务。二是推进“快帮办”联动。三是开展政银合作。四是实行免费快递。五是推行“容缺审批+告知承诺制”开创政务服务新模式。六是利用“互联网+”模式实现远程现勘，减少现场踏勘跑动次数，缩短现场踏勘时间，压缩审批办理时限。七是</w:t>
      </w:r>
      <w:r>
        <w:rPr>
          <w:rFonts w:hint="eastAsia" w:ascii="仿宋_GB2312" w:hAnsi="仿宋_GB2312" w:eastAsia="仿宋_GB2312" w:cs="仿宋_GB2312"/>
          <w:color w:val="000000"/>
          <w:kern w:val="0"/>
          <w:sz w:val="32"/>
          <w:szCs w:val="32"/>
        </w:rPr>
        <w:t>推行重大工程项目“秘书制”，对每个重大工程项目指定专人（“秘书”）负责跟踪，提前介入，靠前服务。八是推行延时办、错时办、预约办、上门办、专班办等方式，方便企业和群众办理各项审批服务事项，提高企业和群众满意度</w:t>
      </w:r>
    </w:p>
    <w:p>
      <w:pPr>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ascii="仿宋_GB2312" w:eastAsia="仿宋_GB2312"/>
          <w:color w:val="000000"/>
          <w:sz w:val="32"/>
          <w:szCs w:val="32"/>
        </w:rPr>
      </w:pPr>
      <w:r>
        <w:rPr>
          <w:rFonts w:hint="eastAsia" w:ascii="仿宋_GB2312" w:eastAsia="仿宋_GB2312"/>
          <w:bCs/>
          <w:color w:val="000000"/>
          <w:sz w:val="32"/>
          <w:szCs w:val="32"/>
        </w:rPr>
        <w:t>（二）全面推行“只进一扇门”。</w:t>
      </w:r>
      <w:r>
        <w:rPr>
          <w:rFonts w:hint="eastAsia" w:ascii="仿宋_GB2312" w:eastAsia="仿宋_GB2312"/>
          <w:color w:val="000000"/>
          <w:sz w:val="32"/>
          <w:szCs w:val="32"/>
        </w:rPr>
        <w:t>完善“一窗受理”改革。开展除国家涉密事项及县政府批准设立分中心办理事项不纳入“一窗受理”外、其余80%以上的政务服务事项进驻县政务大厅服务中心，纳入“一窗受理”的项目共153项，基本实现“应进必进”。“一窗受理”运行以来，日均受理企业、群众办件80余件，按时办结率达100%。参照省政府印发的2022年公共服务事项目录，我县公共服务事项共计163项，进驻县级政务服务大厅163项，进驻率达到100%以上。</w:t>
      </w:r>
    </w:p>
    <w:p>
      <w:pPr>
        <w:pageBreakBefore w:val="0"/>
        <w:widowControl w:val="0"/>
        <w:kinsoku/>
        <w:wordWrap/>
        <w:overflowPunct/>
        <w:topLinePunct w:val="0"/>
        <w:autoSpaceDE/>
        <w:autoSpaceDN/>
        <w:bidi w:val="0"/>
        <w:snapToGrid w:val="0"/>
        <w:spacing w:line="360" w:lineRule="auto"/>
        <w:ind w:firstLine="640" w:firstLineChars="200"/>
        <w:textAlignment w:val="auto"/>
        <w:rPr>
          <w:rFonts w:ascii="仿宋_GB2312" w:eastAsia="仿宋_GB2312"/>
          <w:color w:val="000000"/>
          <w:sz w:val="32"/>
          <w:szCs w:val="32"/>
        </w:rPr>
      </w:pPr>
      <w:r>
        <w:rPr>
          <w:rFonts w:hint="eastAsia" w:ascii="仿宋_GB2312" w:hAnsi="楷体" w:eastAsia="仿宋_GB2312" w:cs="楷体"/>
          <w:bCs/>
          <w:color w:val="000000"/>
          <w:sz w:val="32"/>
          <w:szCs w:val="32"/>
        </w:rPr>
        <w:t>（三）开展全县镇村便民服务体系建设工作，即镇村便民服务体系标准化规范化便利化建设。</w:t>
      </w:r>
      <w:r>
        <w:rPr>
          <w:rFonts w:hint="eastAsia" w:ascii="仿宋_GB2312" w:eastAsia="仿宋_GB2312"/>
          <w:color w:val="000000"/>
          <w:sz w:val="32"/>
          <w:szCs w:val="32"/>
        </w:rPr>
        <w:t>投入县级财政资金50余万元，完成我县镇村便民服务体系“三化”建设。</w:t>
      </w:r>
    </w:p>
    <w:p>
      <w:pPr>
        <w:pageBreakBefore w:val="0"/>
        <w:widowControl w:val="0"/>
        <w:kinsoku/>
        <w:wordWrap/>
        <w:overflowPunct/>
        <w:topLinePunct w:val="0"/>
        <w:autoSpaceDE/>
        <w:autoSpaceDN/>
        <w:bidi w:val="0"/>
        <w:snapToGrid w:val="0"/>
        <w:spacing w:line="360" w:lineRule="auto"/>
        <w:ind w:firstLine="640" w:firstLineChars="200"/>
        <w:textAlignment w:val="auto"/>
        <w:rPr>
          <w:rFonts w:ascii="仿宋_GB2312" w:eastAsia="仿宋_GB2312"/>
          <w:color w:val="000000"/>
          <w:sz w:val="32"/>
          <w:szCs w:val="32"/>
        </w:rPr>
      </w:pPr>
      <w:r>
        <w:rPr>
          <w:rFonts w:hint="eastAsia" w:ascii="仿宋_GB2312" w:hAnsi="楷体" w:eastAsia="仿宋_GB2312" w:cs="楷体"/>
          <w:bCs/>
          <w:color w:val="000000"/>
          <w:sz w:val="32"/>
          <w:szCs w:val="32"/>
        </w:rPr>
        <w:t>（四）全面实行行政许可事项清单管理。</w:t>
      </w:r>
      <w:r>
        <w:rPr>
          <w:rFonts w:hint="eastAsia" w:ascii="仿宋_GB2312" w:eastAsia="仿宋_GB2312"/>
          <w:color w:val="000000"/>
          <w:sz w:val="32"/>
          <w:szCs w:val="32"/>
        </w:rPr>
        <w:t>牵头编制行政许可事项“一单一图一表”。现在已完成一单（行政许可事项清单）的编制。一图一表（行政许可事项运行图谱和实施要素一览表）正在编制过程。</w:t>
      </w:r>
    </w:p>
    <w:p>
      <w:pPr>
        <w:pageBreakBefore w:val="0"/>
        <w:widowControl w:val="0"/>
        <w:kinsoku/>
        <w:wordWrap/>
        <w:overflowPunct/>
        <w:topLinePunct w:val="0"/>
        <w:autoSpaceDE/>
        <w:autoSpaceDN/>
        <w:bidi w:val="0"/>
        <w:snapToGrid w:val="0"/>
        <w:spacing w:line="360" w:lineRule="auto"/>
        <w:ind w:firstLine="640" w:firstLineChars="200"/>
        <w:textAlignment w:val="auto"/>
        <w:rPr>
          <w:rFonts w:ascii="仿宋" w:hAnsi="仿宋" w:eastAsia="仿宋"/>
          <w:color w:val="FF0000"/>
          <w:sz w:val="32"/>
          <w:szCs w:val="32"/>
          <w:highlight w:val="lightGray"/>
        </w:rPr>
      </w:pPr>
      <w:r>
        <w:rPr>
          <w:rFonts w:hint="eastAsia" w:ascii="仿宋_GB2312" w:hAnsi="楷体" w:eastAsia="仿宋_GB2312" w:cs="楷体"/>
          <w:bCs/>
          <w:color w:val="000000"/>
          <w:sz w:val="32"/>
          <w:szCs w:val="32"/>
        </w:rPr>
        <w:t>（五）逐步推进“一件事一次办”工作。</w:t>
      </w:r>
      <w:r>
        <w:rPr>
          <w:rFonts w:hint="eastAsia" w:ascii="仿宋_GB2312" w:eastAsia="仿宋_GB2312"/>
          <w:sz w:val="32"/>
          <w:szCs w:val="32"/>
        </w:rPr>
        <w:t>2022年底前，对接省直部门工作进度，深化20个样板事项、80个重点事项、46个跨层级事项“一件事一次办”网上配置，线上线下融合推动“一件事一次办”。</w:t>
      </w:r>
      <w:bookmarkStart w:id="14" w:name="_Toc15396601"/>
      <w:bookmarkStart w:id="15" w:name="_Toc15377200"/>
    </w:p>
    <w:p>
      <w:pPr>
        <w:pStyle w:val="4"/>
        <w:pageBreakBefore w:val="0"/>
        <w:widowControl w:val="0"/>
        <w:kinsoku/>
        <w:wordWrap/>
        <w:overflowPunct/>
        <w:topLinePunct w:val="0"/>
        <w:autoSpaceDE/>
        <w:autoSpaceDN/>
        <w:bidi w:val="0"/>
        <w:snapToGrid w:val="0"/>
        <w:spacing w:before="0" w:after="0" w:line="360" w:lineRule="auto"/>
        <w:textAlignment w:val="auto"/>
        <w:rPr>
          <w:rStyle w:val="31"/>
          <w:b w:val="0"/>
          <w:bCs w:val="0"/>
        </w:rPr>
      </w:pPr>
      <w:r>
        <w:rPr>
          <w:rFonts w:hint="eastAsia" w:ascii="黑体" w:eastAsia="黑体"/>
          <w:b w:val="0"/>
        </w:rPr>
        <w:t>二、</w:t>
      </w:r>
      <w:r>
        <w:rPr>
          <w:rFonts w:hint="eastAsia" w:ascii="黑体" w:hAnsi="黑体" w:eastAsia="黑体"/>
          <w:b w:val="0"/>
        </w:rPr>
        <w:t>机</w:t>
      </w:r>
      <w:r>
        <w:rPr>
          <w:rStyle w:val="31"/>
          <w:rFonts w:hint="eastAsia" w:ascii="黑体" w:hAnsi="黑体" w:eastAsia="黑体"/>
          <w:b w:val="0"/>
          <w:bCs w:val="0"/>
        </w:rPr>
        <w:t>构设置</w:t>
      </w:r>
      <w:bookmarkEnd w:id="14"/>
      <w:bookmarkEnd w:id="15"/>
    </w:p>
    <w:p>
      <w:pPr>
        <w:pageBreakBefore w:val="0"/>
        <w:widowControl w:val="0"/>
        <w:kinsoku/>
        <w:wordWrap/>
        <w:overflowPunct/>
        <w:topLinePunct w:val="0"/>
        <w:autoSpaceDE/>
        <w:autoSpaceDN/>
        <w:bidi w:val="0"/>
        <w:snapToGrid w:val="0"/>
        <w:spacing w:line="360" w:lineRule="auto"/>
        <w:ind w:firstLine="640" w:firstLineChars="200"/>
        <w:textAlignment w:val="auto"/>
        <w:rPr>
          <w:rFonts w:ascii="仿宋" w:hAnsi="仿宋" w:eastAsia="仿宋"/>
          <w:sz w:val="32"/>
          <w:szCs w:val="32"/>
        </w:rPr>
      </w:pPr>
      <w:r>
        <w:rPr>
          <w:rFonts w:hint="eastAsia" w:ascii="仿宋" w:hAnsi="仿宋" w:eastAsia="仿宋"/>
          <w:sz w:val="32"/>
          <w:szCs w:val="32"/>
        </w:rPr>
        <w:t>行政审批局属于行政一级预算单位1个,下设沐川县政务大厅服务中心事业单位1个。</w:t>
      </w:r>
    </w:p>
    <w:p>
      <w:pPr>
        <w:pageBreakBefore w:val="0"/>
        <w:widowControl w:val="0"/>
        <w:kinsoku/>
        <w:wordWrap/>
        <w:overflowPunct/>
        <w:topLinePunct w:val="0"/>
        <w:autoSpaceDE/>
        <w:autoSpaceDN/>
        <w:bidi w:val="0"/>
        <w:snapToGrid w:val="0"/>
        <w:spacing w:line="360" w:lineRule="auto"/>
        <w:ind w:firstLine="640" w:firstLineChars="200"/>
        <w:textAlignment w:val="auto"/>
        <w:rPr>
          <w:rFonts w:ascii="仿宋" w:hAnsi="仿宋" w:eastAsia="仿宋"/>
          <w:sz w:val="32"/>
          <w:szCs w:val="32"/>
        </w:rPr>
      </w:pPr>
      <w:r>
        <w:rPr>
          <w:rFonts w:hint="eastAsia" w:ascii="仿宋" w:hAnsi="仿宋" w:eastAsia="仿宋"/>
          <w:sz w:val="32"/>
          <w:szCs w:val="32"/>
        </w:rPr>
        <w:t>无纳入2022年度部门决算编制范围的</w:t>
      </w:r>
      <w:bookmarkStart w:id="65" w:name="_GoBack"/>
      <w:bookmarkEnd w:id="65"/>
      <w:r>
        <w:rPr>
          <w:rFonts w:hint="eastAsia" w:ascii="仿宋" w:hAnsi="仿宋" w:eastAsia="仿宋"/>
          <w:sz w:val="32"/>
          <w:szCs w:val="32"/>
        </w:rPr>
        <w:t>二级预算单位。</w:t>
      </w:r>
    </w:p>
    <w:p>
      <w:pPr>
        <w:pStyle w:val="3"/>
        <w:ind w:right="440"/>
      </w:pPr>
      <w:bookmarkStart w:id="16" w:name="_Toc15396602"/>
      <w:bookmarkStart w:id="17" w:name="_Toc15377204"/>
      <w:r>
        <w:rPr>
          <w:rFonts w:hint="eastAsia" w:ascii="黑体" w:hAnsi="黑体" w:eastAsia="黑体"/>
          <w:b w:val="0"/>
        </w:rPr>
        <w:t>第二部分 2022年度</w:t>
      </w:r>
      <w:r>
        <w:rPr>
          <w:rStyle w:val="30"/>
          <w:rFonts w:hint="eastAsia" w:ascii="黑体" w:hAnsi="黑体" w:eastAsia="黑体"/>
          <w:b w:val="0"/>
          <w:bCs/>
        </w:rPr>
        <w:t>部门决算情况说明</w:t>
      </w:r>
      <w:bookmarkEnd w:id="16"/>
      <w:bookmarkEnd w:id="17"/>
    </w:p>
    <w:p>
      <w:pPr>
        <w:pStyle w:val="29"/>
        <w:keepNext w:val="0"/>
        <w:keepLines w:val="0"/>
        <w:pageBreakBefore w:val="0"/>
        <w:widowControl w:val="0"/>
        <w:numPr>
          <w:ilvl w:val="0"/>
          <w:numId w:val="2"/>
        </w:numPr>
        <w:kinsoku/>
        <w:wordWrap/>
        <w:overflowPunct/>
        <w:topLinePunct w:val="0"/>
        <w:bidi w:val="0"/>
        <w:snapToGrid w:val="0"/>
        <w:spacing w:line="360" w:lineRule="auto"/>
        <w:ind w:firstLineChars="0"/>
        <w:textAlignment w:val="auto"/>
        <w:outlineLvl w:val="1"/>
        <w:rPr>
          <w:rStyle w:val="31"/>
          <w:rFonts w:ascii="黑体" w:hAnsi="黑体" w:eastAsia="黑体"/>
          <w:b w:val="0"/>
        </w:rPr>
      </w:pPr>
      <w:bookmarkStart w:id="18" w:name="_Toc15396603"/>
      <w:bookmarkStart w:id="19" w:name="_Toc15377205"/>
      <w:r>
        <w:rPr>
          <w:rFonts w:hint="eastAsia" w:ascii="黑体" w:hAnsi="黑体" w:eastAsia="黑体"/>
          <w:sz w:val="32"/>
          <w:szCs w:val="32"/>
        </w:rPr>
        <w:t>收</w:t>
      </w:r>
      <w:r>
        <w:rPr>
          <w:rStyle w:val="31"/>
          <w:rFonts w:hint="eastAsia" w:ascii="黑体" w:hAnsi="黑体" w:eastAsia="黑体"/>
          <w:b w:val="0"/>
        </w:rPr>
        <w:t>入支出决算总体情况说明</w:t>
      </w:r>
      <w:bookmarkEnd w:id="18"/>
      <w:bookmarkEnd w:id="19"/>
    </w:p>
    <w:p>
      <w:pPr>
        <w:keepNext w:val="0"/>
        <w:keepLines w:val="0"/>
        <w:pageBreakBefore w:val="0"/>
        <w:widowControl w:val="0"/>
        <w:kinsoku/>
        <w:wordWrap/>
        <w:overflowPunct/>
        <w:topLinePunct w:val="0"/>
        <w:bidi w:val="0"/>
        <w:snapToGrid w:val="0"/>
        <w:spacing w:line="360" w:lineRule="auto"/>
        <w:ind w:firstLine="640" w:firstLineChars="200"/>
        <w:textAlignment w:val="auto"/>
        <w:outlineLvl w:val="1"/>
        <w:rPr>
          <w:rFonts w:ascii="仿宋" w:hAnsi="仿宋" w:eastAsia="仿宋"/>
          <w:sz w:val="32"/>
          <w:szCs w:val="32"/>
        </w:rPr>
      </w:pPr>
      <w:r>
        <w:rPr>
          <w:rFonts w:hint="eastAsia" w:ascii="仿宋" w:hAnsi="仿宋" w:eastAsia="仿宋"/>
          <w:sz w:val="32"/>
          <w:szCs w:val="32"/>
        </w:rPr>
        <w:t>2022年度收、支总计574.2万元。与2021年505.18万元相比，收、支总计各增加69.02万元，增长13.66%。主要变动原因是一般公共服务支出-政府办公厅（室）及相关机构事务类增加了52.64万元，社会保障和就业支出-行政事业单位养老支出类增加了8.74万元,住房保障支出-住房公积金增加了3.45万元;，卫生健康支出-公共卫生类增加4.19万元。</w:t>
      </w:r>
    </w:p>
    <w:p>
      <w:pPr>
        <w:pStyle w:val="2"/>
        <w:keepNext w:val="0"/>
        <w:keepLines w:val="0"/>
        <w:pageBreakBefore w:val="0"/>
        <w:widowControl w:val="0"/>
        <w:kinsoku/>
        <w:wordWrap/>
        <w:overflowPunct/>
        <w:topLinePunct w:val="0"/>
        <w:bidi w:val="0"/>
        <w:snapToGrid w:val="0"/>
        <w:spacing w:beforeLines="0" w:line="360" w:lineRule="auto"/>
        <w:jc w:val="center"/>
        <w:textAlignment w:val="auto"/>
      </w:pPr>
      <w:r>
        <w:drawing>
          <wp:inline distT="0" distB="0" distL="114300" distR="114300">
            <wp:extent cx="4810125" cy="2844165"/>
            <wp:effectExtent l="4445" t="4445" r="16510" b="16510"/>
            <wp:docPr id="927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keepNext w:val="0"/>
        <w:keepLines w:val="0"/>
        <w:pageBreakBefore w:val="0"/>
        <w:widowControl w:val="0"/>
        <w:kinsoku/>
        <w:wordWrap/>
        <w:overflowPunct/>
        <w:topLinePunct w:val="0"/>
        <w:bidi w:val="0"/>
        <w:snapToGrid w:val="0"/>
        <w:spacing w:line="360" w:lineRule="auto"/>
        <w:ind w:left="0" w:leftChars="0" w:firstLine="0" w:firstLineChars="0"/>
        <w:jc w:val="center"/>
        <w:textAlignment w:val="auto"/>
        <w:rPr>
          <w:rFonts w:ascii="仿宋" w:hAnsi="仿宋" w:eastAsia="仿宋"/>
          <w:sz w:val="32"/>
          <w:szCs w:val="32"/>
          <w:highlight w:val="lightGray"/>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pPr>
        <w:pStyle w:val="29"/>
        <w:keepNext w:val="0"/>
        <w:keepLines w:val="0"/>
        <w:pageBreakBefore w:val="0"/>
        <w:widowControl w:val="0"/>
        <w:numPr>
          <w:ilvl w:val="0"/>
          <w:numId w:val="2"/>
        </w:numPr>
        <w:kinsoku/>
        <w:wordWrap/>
        <w:overflowPunct/>
        <w:topLinePunct w:val="0"/>
        <w:bidi w:val="0"/>
        <w:snapToGrid w:val="0"/>
        <w:spacing w:line="360" w:lineRule="auto"/>
        <w:ind w:firstLineChars="0"/>
        <w:textAlignment w:val="auto"/>
        <w:outlineLvl w:val="1"/>
        <w:rPr>
          <w:rStyle w:val="31"/>
          <w:rFonts w:ascii="黑体" w:hAnsi="黑体" w:eastAsia="黑体"/>
          <w:b w:val="0"/>
        </w:rPr>
      </w:pPr>
      <w:bookmarkStart w:id="20" w:name="_Toc15377206"/>
      <w:bookmarkStart w:id="21" w:name="_Toc15396604"/>
      <w:r>
        <w:rPr>
          <w:rFonts w:hint="eastAsia" w:ascii="黑体" w:hAnsi="黑体" w:eastAsia="黑体"/>
          <w:sz w:val="32"/>
          <w:szCs w:val="32"/>
        </w:rPr>
        <w:t>收</w:t>
      </w:r>
      <w:r>
        <w:rPr>
          <w:rStyle w:val="31"/>
          <w:rFonts w:hint="eastAsia" w:ascii="黑体" w:hAnsi="黑体" w:eastAsia="黑体"/>
          <w:b w:val="0"/>
        </w:rPr>
        <w:t>入决算情况说明</w:t>
      </w:r>
      <w:bookmarkEnd w:id="20"/>
      <w:bookmarkEnd w:id="21"/>
    </w:p>
    <w:p>
      <w:pPr>
        <w:keepNext w:val="0"/>
        <w:keepLines w:val="0"/>
        <w:pageBreakBefore w:val="0"/>
        <w:widowControl w:val="0"/>
        <w:kinsoku/>
        <w:wordWrap/>
        <w:overflowPunct/>
        <w:topLinePunct w:val="0"/>
        <w:bidi w:val="0"/>
        <w:snapToGrid w:val="0"/>
        <w:spacing w:line="360" w:lineRule="auto"/>
        <w:ind w:firstLine="640" w:firstLineChars="200"/>
        <w:textAlignment w:val="auto"/>
        <w:outlineLvl w:val="1"/>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22年本年收入合计574.2万元，其中：一般公共预算财政拨款收入574.2万元，占100</w:t>
      </w:r>
      <w:r>
        <w:rPr>
          <w:rFonts w:ascii="仿宋" w:hAnsi="仿宋" w:eastAsia="仿宋"/>
          <w:sz w:val="32"/>
          <w:szCs w:val="32"/>
        </w:rPr>
        <w:t>%</w:t>
      </w:r>
      <w:r>
        <w:rPr>
          <w:rFonts w:hint="eastAsia" w:ascii="仿宋" w:hAnsi="仿宋" w:eastAsia="仿宋"/>
          <w:sz w:val="32"/>
          <w:szCs w:val="32"/>
        </w:rPr>
        <w:t>；政府性基金预算财政拨款收入0万元，国有资本经营预算财政拨款收入0万元，上级补助收入0万元，事业收入0万元，经营收入0万元，附属单位上缴收入0万元，其他收入0万元。</w:t>
      </w:r>
    </w:p>
    <w:p>
      <w:pPr>
        <w:pStyle w:val="2"/>
        <w:keepNext w:val="0"/>
        <w:keepLines w:val="0"/>
        <w:pageBreakBefore w:val="0"/>
        <w:widowControl w:val="0"/>
        <w:kinsoku/>
        <w:wordWrap/>
        <w:overflowPunct/>
        <w:topLinePunct w:val="0"/>
        <w:bidi w:val="0"/>
        <w:snapToGrid w:val="0"/>
        <w:spacing w:beforeLines="0" w:line="360" w:lineRule="auto"/>
        <w:jc w:val="center"/>
        <w:textAlignment w:val="auto"/>
        <w:rPr>
          <w:rFonts w:ascii="仿宋" w:hAnsi="仿宋" w:eastAsia="仿宋"/>
          <w:sz w:val="32"/>
          <w:szCs w:val="32"/>
        </w:rPr>
      </w:pPr>
      <w:r>
        <w:drawing>
          <wp:inline distT="0" distB="0" distL="114300" distR="114300">
            <wp:extent cx="4649470" cy="2341245"/>
            <wp:effectExtent l="4445" t="4445" r="13335" b="16510"/>
            <wp:docPr id="2560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keepNext w:val="0"/>
        <w:keepLines w:val="0"/>
        <w:pageBreakBefore w:val="0"/>
        <w:widowControl w:val="0"/>
        <w:kinsoku/>
        <w:wordWrap/>
        <w:overflowPunct/>
        <w:topLinePunct w:val="0"/>
        <w:bidi w:val="0"/>
        <w:snapToGrid w:val="0"/>
        <w:spacing w:line="360" w:lineRule="auto"/>
        <w:ind w:left="0" w:leftChars="0" w:firstLine="0" w:firstLineChars="0"/>
        <w:jc w:val="center"/>
        <w:textAlignment w:val="auto"/>
        <w:rPr>
          <w:rFonts w:ascii="仿宋" w:hAnsi="仿宋" w:eastAsia="仿宋"/>
          <w:sz w:val="32"/>
          <w:szCs w:val="32"/>
        </w:rPr>
      </w:pPr>
      <w:r>
        <w:rPr>
          <w:rFonts w:hint="eastAsia" w:ascii="仿宋" w:hAnsi="仿宋" w:eastAsia="仿宋"/>
          <w:sz w:val="32"/>
          <w:szCs w:val="32"/>
        </w:rPr>
        <w:t>（图2：收入决算结构图）（饼状图）</w:t>
      </w:r>
    </w:p>
    <w:p>
      <w:pPr>
        <w:pStyle w:val="29"/>
        <w:keepNext w:val="0"/>
        <w:keepLines w:val="0"/>
        <w:pageBreakBefore w:val="0"/>
        <w:widowControl w:val="0"/>
        <w:numPr>
          <w:ilvl w:val="0"/>
          <w:numId w:val="2"/>
        </w:numPr>
        <w:kinsoku/>
        <w:wordWrap/>
        <w:overflowPunct/>
        <w:topLinePunct w:val="0"/>
        <w:bidi w:val="0"/>
        <w:snapToGrid w:val="0"/>
        <w:spacing w:line="360" w:lineRule="auto"/>
        <w:ind w:firstLineChars="0"/>
        <w:textAlignment w:val="auto"/>
        <w:outlineLvl w:val="1"/>
        <w:rPr>
          <w:rStyle w:val="31"/>
          <w:rFonts w:ascii="黑体" w:hAnsi="黑体" w:eastAsia="黑体"/>
          <w:b w:val="0"/>
        </w:rPr>
      </w:pPr>
      <w:bookmarkStart w:id="22" w:name="_Toc15377207"/>
      <w:bookmarkStart w:id="23" w:name="_Toc15396605"/>
      <w:r>
        <w:rPr>
          <w:rFonts w:hint="eastAsia" w:ascii="黑体" w:hAnsi="黑体" w:eastAsia="黑体"/>
          <w:sz w:val="32"/>
          <w:szCs w:val="32"/>
        </w:rPr>
        <w:t>支</w:t>
      </w:r>
      <w:r>
        <w:rPr>
          <w:rStyle w:val="31"/>
          <w:rFonts w:hint="eastAsia" w:ascii="黑体" w:hAnsi="黑体" w:eastAsia="黑体"/>
          <w:b w:val="0"/>
        </w:rPr>
        <w:t>出决算情况说明</w:t>
      </w:r>
      <w:bookmarkEnd w:id="22"/>
      <w:bookmarkEnd w:id="23"/>
    </w:p>
    <w:p>
      <w:pPr>
        <w:keepNext w:val="0"/>
        <w:keepLines w:val="0"/>
        <w:pageBreakBefore w:val="0"/>
        <w:widowControl w:val="0"/>
        <w:kinsoku/>
        <w:wordWrap/>
        <w:overflowPunct/>
        <w:topLinePunct w:val="0"/>
        <w:bidi w:val="0"/>
        <w:snapToGrid w:val="0"/>
        <w:spacing w:line="360" w:lineRule="auto"/>
        <w:ind w:firstLine="640" w:firstLineChars="200"/>
        <w:textAlignment w:val="auto"/>
        <w:outlineLvl w:val="1"/>
        <w:rPr>
          <w:rFonts w:ascii="仿宋" w:hAnsi="仿宋" w:eastAsia="仿宋"/>
          <w:b/>
          <w:sz w:val="32"/>
          <w:szCs w:val="32"/>
        </w:rPr>
      </w:pPr>
      <w:r>
        <w:rPr>
          <w:rFonts w:ascii="仿宋" w:hAnsi="仿宋" w:eastAsia="仿宋"/>
          <w:sz w:val="32"/>
          <w:szCs w:val="32"/>
        </w:rPr>
        <w:t>20</w:t>
      </w:r>
      <w:r>
        <w:rPr>
          <w:rFonts w:hint="eastAsia" w:ascii="仿宋" w:hAnsi="仿宋" w:eastAsia="仿宋"/>
          <w:sz w:val="32"/>
          <w:szCs w:val="32"/>
        </w:rPr>
        <w:t>22年本年支出合计574.2万元，其中：基本支出546.32万元，占95.14</w:t>
      </w:r>
      <w:r>
        <w:rPr>
          <w:rFonts w:ascii="仿宋" w:hAnsi="仿宋" w:eastAsia="仿宋"/>
          <w:sz w:val="32"/>
          <w:szCs w:val="32"/>
        </w:rPr>
        <w:t>%</w:t>
      </w:r>
      <w:r>
        <w:rPr>
          <w:rFonts w:hint="eastAsia" w:ascii="仿宋" w:hAnsi="仿宋" w:eastAsia="仿宋"/>
          <w:sz w:val="32"/>
          <w:szCs w:val="32"/>
        </w:rPr>
        <w:t>；项目支出27.88万元，占4.86</w:t>
      </w:r>
      <w:r>
        <w:rPr>
          <w:rFonts w:ascii="仿宋" w:hAnsi="仿宋" w:eastAsia="仿宋"/>
          <w:sz w:val="32"/>
          <w:szCs w:val="32"/>
        </w:rPr>
        <w:t>%</w:t>
      </w:r>
      <w:r>
        <w:rPr>
          <w:rFonts w:hint="eastAsia" w:ascii="仿宋" w:hAnsi="仿宋" w:eastAsia="仿宋"/>
          <w:sz w:val="32"/>
          <w:szCs w:val="32"/>
        </w:rPr>
        <w:t>；上缴上级支出0万元，经营支出0万元，对附属单位补助支出0万元。</w:t>
      </w:r>
    </w:p>
    <w:p>
      <w:pPr>
        <w:pStyle w:val="2"/>
        <w:keepNext w:val="0"/>
        <w:keepLines w:val="0"/>
        <w:pageBreakBefore w:val="0"/>
        <w:widowControl w:val="0"/>
        <w:kinsoku/>
        <w:wordWrap/>
        <w:overflowPunct/>
        <w:topLinePunct w:val="0"/>
        <w:bidi w:val="0"/>
        <w:snapToGrid w:val="0"/>
        <w:spacing w:beforeLines="0" w:line="360" w:lineRule="auto"/>
        <w:jc w:val="center"/>
        <w:textAlignment w:val="auto"/>
        <w:rPr>
          <w:rFonts w:ascii="仿宋" w:hAnsi="仿宋" w:eastAsia="仿宋"/>
          <w:sz w:val="32"/>
          <w:szCs w:val="32"/>
          <w:shd w:val="pct10" w:color="auto" w:fill="FFFFFF"/>
        </w:rPr>
      </w:pPr>
      <w:r>
        <w:drawing>
          <wp:inline distT="0" distB="0" distL="114300" distR="114300">
            <wp:extent cx="3793490" cy="2280285"/>
            <wp:effectExtent l="4445" t="5080" r="12065" b="19685"/>
            <wp:docPr id="3174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keepNext w:val="0"/>
        <w:keepLines w:val="0"/>
        <w:pageBreakBefore w:val="0"/>
        <w:widowControl w:val="0"/>
        <w:kinsoku/>
        <w:wordWrap/>
        <w:overflowPunct/>
        <w:topLinePunct w:val="0"/>
        <w:bidi w:val="0"/>
        <w:snapToGrid w:val="0"/>
        <w:spacing w:line="360" w:lineRule="auto"/>
        <w:ind w:left="0" w:leftChars="0" w:firstLine="0" w:firstLineChars="0"/>
        <w:jc w:val="center"/>
        <w:textAlignment w:val="auto"/>
        <w:rPr>
          <w:rFonts w:ascii="仿宋_GB2312" w:eastAsia="仿宋_GB2312"/>
          <w:sz w:val="32"/>
          <w:szCs w:val="32"/>
        </w:rPr>
      </w:pPr>
      <w:r>
        <w:rPr>
          <w:rFonts w:hint="eastAsia" w:ascii="仿宋" w:hAnsi="仿宋" w:eastAsia="仿宋"/>
          <w:sz w:val="32"/>
          <w:szCs w:val="32"/>
        </w:rPr>
        <w:t>（图3：支出决算结构图）（饼状图）</w:t>
      </w:r>
    </w:p>
    <w:p>
      <w:pPr>
        <w:keepNext w:val="0"/>
        <w:keepLines w:val="0"/>
        <w:pageBreakBefore w:val="0"/>
        <w:widowControl w:val="0"/>
        <w:kinsoku/>
        <w:wordWrap/>
        <w:overflowPunct/>
        <w:topLinePunct w:val="0"/>
        <w:bidi w:val="0"/>
        <w:snapToGrid w:val="0"/>
        <w:spacing w:line="360" w:lineRule="auto"/>
        <w:ind w:firstLine="640" w:firstLineChars="200"/>
        <w:textAlignment w:val="auto"/>
        <w:outlineLvl w:val="1"/>
        <w:rPr>
          <w:rStyle w:val="31"/>
          <w:rFonts w:ascii="黑体" w:hAnsi="黑体" w:eastAsia="黑体"/>
          <w:b w:val="0"/>
        </w:rPr>
      </w:pPr>
      <w:bookmarkStart w:id="24" w:name="_Toc15396606"/>
      <w:bookmarkStart w:id="25" w:name="_Toc15377208"/>
      <w:r>
        <w:rPr>
          <w:rFonts w:hint="eastAsia" w:ascii="黑体" w:hAnsi="黑体" w:eastAsia="黑体"/>
          <w:sz w:val="32"/>
          <w:szCs w:val="32"/>
        </w:rPr>
        <w:t>四、财</w:t>
      </w:r>
      <w:r>
        <w:rPr>
          <w:rStyle w:val="31"/>
          <w:rFonts w:hint="eastAsia" w:ascii="黑体" w:hAnsi="黑体" w:eastAsia="黑体"/>
          <w:b w:val="0"/>
        </w:rPr>
        <w:t>政拨款收入支出决算总体情况说明</w:t>
      </w:r>
      <w:bookmarkEnd w:id="24"/>
      <w:bookmarkEnd w:id="25"/>
    </w:p>
    <w:p>
      <w:pPr>
        <w:keepNext w:val="0"/>
        <w:keepLines w:val="0"/>
        <w:pageBreakBefore w:val="0"/>
        <w:widowControl w:val="0"/>
        <w:kinsoku/>
        <w:wordWrap/>
        <w:overflowPunct/>
        <w:topLinePunct w:val="0"/>
        <w:bidi w:val="0"/>
        <w:snapToGrid w:val="0"/>
        <w:spacing w:line="360" w:lineRule="auto"/>
        <w:ind w:firstLine="640" w:firstLineChars="200"/>
        <w:textAlignment w:val="auto"/>
        <w:rPr>
          <w:rFonts w:ascii="仿宋_GB2312" w:eastAsia="仿宋_GB2312"/>
          <w:sz w:val="32"/>
          <w:szCs w:val="32"/>
        </w:rPr>
      </w:pPr>
      <w:r>
        <w:rPr>
          <w:rFonts w:ascii="仿宋" w:hAnsi="仿宋" w:eastAsia="仿宋"/>
          <w:sz w:val="32"/>
          <w:szCs w:val="32"/>
        </w:rPr>
        <w:t>20</w:t>
      </w:r>
      <w:r>
        <w:rPr>
          <w:rFonts w:hint="eastAsia" w:ascii="仿宋" w:hAnsi="仿宋" w:eastAsia="仿宋"/>
          <w:sz w:val="32"/>
          <w:szCs w:val="32"/>
        </w:rPr>
        <w:t>22年财政拨款收、支总计574.2万元。与</w:t>
      </w:r>
      <w:r>
        <w:rPr>
          <w:rFonts w:ascii="仿宋" w:hAnsi="仿宋" w:eastAsia="仿宋"/>
          <w:sz w:val="32"/>
          <w:szCs w:val="32"/>
        </w:rPr>
        <w:t>20</w:t>
      </w:r>
      <w:r>
        <w:rPr>
          <w:rFonts w:hint="eastAsia" w:ascii="仿宋" w:hAnsi="仿宋" w:eastAsia="仿宋"/>
          <w:sz w:val="32"/>
          <w:szCs w:val="32"/>
        </w:rPr>
        <w:t>21年相比，财政拨款收、支总计各增加69.02万元，增长  13.66</w:t>
      </w:r>
      <w:r>
        <w:rPr>
          <w:rFonts w:ascii="仿宋" w:hAnsi="仿宋" w:eastAsia="仿宋"/>
          <w:sz w:val="32"/>
          <w:szCs w:val="32"/>
        </w:rPr>
        <w:t>%</w:t>
      </w:r>
      <w:r>
        <w:rPr>
          <w:rFonts w:hint="eastAsia" w:ascii="仿宋" w:hAnsi="仿宋" w:eastAsia="仿宋"/>
          <w:sz w:val="32"/>
          <w:szCs w:val="32"/>
        </w:rPr>
        <w:t>。主要变动原因</w:t>
      </w:r>
      <w:r>
        <w:rPr>
          <w:rFonts w:hint="eastAsia" w:ascii="仿宋_GB2312" w:eastAsia="仿宋_GB2312"/>
          <w:sz w:val="32"/>
          <w:szCs w:val="32"/>
        </w:rPr>
        <w:t>是人员</w:t>
      </w:r>
      <w:r>
        <w:rPr>
          <w:rFonts w:eastAsia="仿宋_GB2312"/>
          <w:sz w:val="32"/>
          <w:szCs w:val="32"/>
        </w:rPr>
        <w:t>增加</w:t>
      </w:r>
      <w:r>
        <w:rPr>
          <w:rFonts w:hint="eastAsia" w:ascii="仿宋_GB2312" w:eastAsia="仿宋_GB2312"/>
          <w:sz w:val="32"/>
          <w:szCs w:val="32"/>
        </w:rPr>
        <w:t>，职工的工资上调，各项保险增加等。</w:t>
      </w:r>
    </w:p>
    <w:p>
      <w:pPr>
        <w:pStyle w:val="2"/>
        <w:keepNext w:val="0"/>
        <w:keepLines w:val="0"/>
        <w:pageBreakBefore w:val="0"/>
        <w:widowControl w:val="0"/>
        <w:kinsoku/>
        <w:wordWrap/>
        <w:overflowPunct/>
        <w:topLinePunct w:val="0"/>
        <w:bidi w:val="0"/>
        <w:snapToGrid w:val="0"/>
        <w:spacing w:beforeLines="0" w:line="360" w:lineRule="auto"/>
        <w:jc w:val="center"/>
        <w:textAlignment w:val="auto"/>
        <w:rPr>
          <w:sz w:val="32"/>
          <w:szCs w:val="32"/>
        </w:rPr>
      </w:pPr>
      <w:r>
        <w:drawing>
          <wp:inline distT="0" distB="0" distL="114300" distR="114300">
            <wp:extent cx="4611370" cy="2961005"/>
            <wp:effectExtent l="4445" t="4445" r="13335" b="6350"/>
            <wp:docPr id="2867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keepNext w:val="0"/>
        <w:keepLines w:val="0"/>
        <w:pageBreakBefore w:val="0"/>
        <w:widowControl w:val="0"/>
        <w:kinsoku/>
        <w:wordWrap/>
        <w:overflowPunct/>
        <w:topLinePunct w:val="0"/>
        <w:bidi w:val="0"/>
        <w:snapToGrid w:val="0"/>
        <w:spacing w:line="360" w:lineRule="auto"/>
        <w:ind w:left="0" w:leftChars="0" w:firstLine="0" w:firstLineChars="0"/>
        <w:jc w:val="center"/>
        <w:textAlignment w:val="auto"/>
        <w:rPr>
          <w:rFonts w:ascii="仿宋" w:hAnsi="仿宋" w:eastAsia="仿宋"/>
          <w:b/>
          <w:sz w:val="32"/>
          <w:szCs w:val="32"/>
        </w:rPr>
      </w:pPr>
      <w:r>
        <w:rPr>
          <w:rFonts w:hint="eastAsia" w:ascii="仿宋" w:hAnsi="仿宋" w:eastAsia="仿宋"/>
          <w:sz w:val="32"/>
          <w:szCs w:val="32"/>
        </w:rPr>
        <w:t>（图4：财政拨款收、支决算总计变动情况）（柱状图）</w:t>
      </w:r>
    </w:p>
    <w:p>
      <w:pPr>
        <w:keepNext w:val="0"/>
        <w:keepLines w:val="0"/>
        <w:pageBreakBefore w:val="0"/>
        <w:widowControl w:val="0"/>
        <w:kinsoku/>
        <w:wordWrap/>
        <w:overflowPunct/>
        <w:topLinePunct w:val="0"/>
        <w:bidi w:val="0"/>
        <w:snapToGrid w:val="0"/>
        <w:spacing w:line="360" w:lineRule="auto"/>
        <w:ind w:firstLine="640" w:firstLineChars="200"/>
        <w:textAlignment w:val="auto"/>
        <w:outlineLvl w:val="1"/>
        <w:rPr>
          <w:rStyle w:val="31"/>
          <w:rFonts w:ascii="黑体" w:hAnsi="黑体" w:eastAsia="黑体"/>
          <w:b w:val="0"/>
        </w:rPr>
      </w:pPr>
      <w:bookmarkStart w:id="26" w:name="_Toc15396607"/>
      <w:bookmarkStart w:id="27" w:name="_Toc15377209"/>
      <w:r>
        <w:rPr>
          <w:rFonts w:hint="eastAsia" w:ascii="黑体" w:hAnsi="黑体" w:eastAsia="黑体"/>
          <w:sz w:val="32"/>
          <w:szCs w:val="32"/>
        </w:rPr>
        <w:t>五、</w:t>
      </w:r>
      <w:r>
        <w:rPr>
          <w:rFonts w:hint="eastAsia" w:ascii="黑体" w:hAnsi="黑体" w:eastAsia="黑体"/>
          <w:b/>
          <w:sz w:val="32"/>
          <w:szCs w:val="32"/>
        </w:rPr>
        <w:t>一</w:t>
      </w:r>
      <w:r>
        <w:rPr>
          <w:rStyle w:val="31"/>
          <w:rFonts w:hint="eastAsia" w:ascii="黑体" w:hAnsi="黑体" w:eastAsia="黑体"/>
          <w:b w:val="0"/>
        </w:rPr>
        <w:t>般公共预算财政拨款支出决算情况说明</w:t>
      </w:r>
      <w:bookmarkEnd w:id="26"/>
      <w:bookmarkEnd w:id="27"/>
    </w:p>
    <w:p>
      <w:pPr>
        <w:keepNext w:val="0"/>
        <w:keepLines w:val="0"/>
        <w:pageBreakBefore w:val="0"/>
        <w:widowControl w:val="0"/>
        <w:kinsoku/>
        <w:wordWrap/>
        <w:overflowPunct/>
        <w:topLinePunct w:val="0"/>
        <w:bidi w:val="0"/>
        <w:snapToGrid w:val="0"/>
        <w:spacing w:line="360" w:lineRule="auto"/>
        <w:ind w:firstLine="643" w:firstLineChars="200"/>
        <w:textAlignment w:val="auto"/>
        <w:outlineLvl w:val="2"/>
        <w:rPr>
          <w:rFonts w:ascii="仿宋" w:hAnsi="仿宋" w:eastAsia="仿宋"/>
          <w:b/>
          <w:sz w:val="32"/>
          <w:szCs w:val="32"/>
        </w:rPr>
      </w:pPr>
      <w:bookmarkStart w:id="28" w:name="_Toc15377210"/>
      <w:r>
        <w:rPr>
          <w:rFonts w:hint="eastAsia" w:ascii="仿宋" w:hAnsi="仿宋" w:eastAsia="仿宋"/>
          <w:b/>
          <w:sz w:val="32"/>
          <w:szCs w:val="32"/>
        </w:rPr>
        <w:t>（一）一般公共预算财政拨款支出决算总体情况</w:t>
      </w:r>
      <w:bookmarkEnd w:id="28"/>
    </w:p>
    <w:p>
      <w:pPr>
        <w:keepNext w:val="0"/>
        <w:keepLines w:val="0"/>
        <w:pageBreakBefore w:val="0"/>
        <w:widowControl w:val="0"/>
        <w:kinsoku/>
        <w:wordWrap/>
        <w:overflowPunct/>
        <w:topLinePunct w:val="0"/>
        <w:bidi w:val="0"/>
        <w:snapToGrid w:val="0"/>
        <w:spacing w:line="360" w:lineRule="auto"/>
        <w:ind w:firstLine="640" w:firstLineChars="200"/>
        <w:textAlignment w:val="auto"/>
        <w:rPr>
          <w:rFonts w:ascii="仿宋" w:hAnsi="仿宋" w:eastAsia="仿宋"/>
          <w:sz w:val="32"/>
          <w:szCs w:val="32"/>
        </w:rPr>
      </w:pPr>
      <w:r>
        <w:rPr>
          <w:rFonts w:hint="eastAsia" w:ascii="仿宋" w:hAnsi="仿宋" w:eastAsia="仿宋"/>
          <w:sz w:val="32"/>
          <w:szCs w:val="32"/>
        </w:rPr>
        <w:t>2022年一般公共预算财政拨款支出574.2万元，占本年支出合计的100%。与2021年505.18万元相比，财政拨款收入增加69.02万元，增长13.66%。主要变动原因是人员增加，职工的工资上调，各项保险增加等。</w:t>
      </w:r>
    </w:p>
    <w:p>
      <w:pPr>
        <w:pStyle w:val="2"/>
        <w:keepNext w:val="0"/>
        <w:keepLines w:val="0"/>
        <w:pageBreakBefore w:val="0"/>
        <w:widowControl w:val="0"/>
        <w:kinsoku/>
        <w:wordWrap/>
        <w:overflowPunct/>
        <w:topLinePunct w:val="0"/>
        <w:bidi w:val="0"/>
        <w:snapToGrid w:val="0"/>
        <w:spacing w:beforeLines="0" w:line="360" w:lineRule="auto"/>
        <w:textAlignment w:val="auto"/>
      </w:pPr>
      <w:r>
        <w:pict>
          <v:shape id="_x0000_s1038" o:spid="_x0000_s1038" o:spt="75" type="#_x0000_t75" style="position:absolute;left:0pt;margin-left:36.25pt;margin-top:3pt;height:235.3pt;width:321.1pt;mso-wrap-distance-bottom:0.2pt;mso-wrap-distance-left:9pt;mso-wrap-distance-right:9pt;mso-wrap-distance-top:0pt;z-index:251660288;mso-width-relative:page;mso-height-relative:page;" o:ole="t" filled="f" o:preferrelative="t" stroked="f" coordsize="21600,21600">
            <v:path/>
            <v:fill on="f" focussize="0,0"/>
            <v:stroke on="f" joinstyle="miter"/>
            <v:imagedata r:id="rId14" o:title=""/>
            <o:lock v:ext="edit" aspectratio="t"/>
            <w10:wrap type="square"/>
          </v:shape>
          <o:OLEObject Type="Embed" ProgID="Excel.Chart.8" ShapeID="_x0000_s1038" DrawAspect="Content" ObjectID="_1468075725" r:id="rId13">
            <o:LockedField>false</o:LockedField>
          </o:OLEObject>
        </w:pict>
      </w:r>
    </w:p>
    <w:p>
      <w:pPr>
        <w:pStyle w:val="2"/>
        <w:keepNext w:val="0"/>
        <w:keepLines w:val="0"/>
        <w:pageBreakBefore w:val="0"/>
        <w:widowControl w:val="0"/>
        <w:kinsoku/>
        <w:wordWrap/>
        <w:overflowPunct/>
        <w:topLinePunct w:val="0"/>
        <w:bidi w:val="0"/>
        <w:snapToGrid w:val="0"/>
        <w:spacing w:beforeLines="0" w:line="360" w:lineRule="auto"/>
        <w:textAlignment w:val="auto"/>
        <w:rPr>
          <w:rFonts w:ascii="仿宋" w:hAnsi="仿宋" w:eastAsia="仿宋"/>
          <w:sz w:val="32"/>
          <w:szCs w:val="32"/>
        </w:rPr>
      </w:pPr>
    </w:p>
    <w:p>
      <w:pPr>
        <w:keepNext w:val="0"/>
        <w:keepLines w:val="0"/>
        <w:pageBreakBefore w:val="0"/>
        <w:widowControl w:val="0"/>
        <w:kinsoku/>
        <w:wordWrap/>
        <w:overflowPunct/>
        <w:topLinePunct w:val="0"/>
        <w:bidi w:val="0"/>
        <w:snapToGrid w:val="0"/>
        <w:spacing w:line="360" w:lineRule="auto"/>
        <w:textAlignment w:val="auto"/>
        <w:rPr>
          <w:rFonts w:ascii="仿宋" w:hAnsi="仿宋" w:eastAsia="仿宋"/>
          <w:sz w:val="32"/>
          <w:szCs w:val="32"/>
        </w:rPr>
      </w:pPr>
    </w:p>
    <w:p>
      <w:pPr>
        <w:keepNext w:val="0"/>
        <w:keepLines w:val="0"/>
        <w:pageBreakBefore w:val="0"/>
        <w:widowControl w:val="0"/>
        <w:kinsoku/>
        <w:wordWrap/>
        <w:overflowPunct/>
        <w:topLinePunct w:val="0"/>
        <w:bidi w:val="0"/>
        <w:snapToGrid w:val="0"/>
        <w:spacing w:line="360" w:lineRule="auto"/>
        <w:textAlignment w:val="auto"/>
        <w:rPr>
          <w:rFonts w:ascii="仿宋" w:hAnsi="仿宋" w:eastAsia="仿宋"/>
          <w:sz w:val="32"/>
          <w:szCs w:val="32"/>
        </w:rPr>
      </w:pPr>
    </w:p>
    <w:p>
      <w:pPr>
        <w:keepNext w:val="0"/>
        <w:keepLines w:val="0"/>
        <w:pageBreakBefore w:val="0"/>
        <w:widowControl w:val="0"/>
        <w:kinsoku/>
        <w:wordWrap/>
        <w:overflowPunct/>
        <w:topLinePunct w:val="0"/>
        <w:bidi w:val="0"/>
        <w:snapToGrid w:val="0"/>
        <w:spacing w:line="360" w:lineRule="auto"/>
        <w:textAlignment w:val="auto"/>
        <w:rPr>
          <w:rFonts w:ascii="仿宋" w:hAnsi="仿宋" w:eastAsia="仿宋"/>
          <w:sz w:val="32"/>
          <w:szCs w:val="32"/>
        </w:rPr>
      </w:pPr>
    </w:p>
    <w:p>
      <w:pPr>
        <w:keepNext w:val="0"/>
        <w:keepLines w:val="0"/>
        <w:pageBreakBefore w:val="0"/>
        <w:widowControl w:val="0"/>
        <w:kinsoku/>
        <w:wordWrap/>
        <w:overflowPunct/>
        <w:topLinePunct w:val="0"/>
        <w:bidi w:val="0"/>
        <w:snapToGrid w:val="0"/>
        <w:spacing w:line="360" w:lineRule="auto"/>
        <w:textAlignment w:val="auto"/>
        <w:rPr>
          <w:rFonts w:ascii="仿宋" w:hAnsi="仿宋" w:eastAsia="仿宋"/>
          <w:sz w:val="32"/>
          <w:szCs w:val="32"/>
        </w:rPr>
      </w:pPr>
    </w:p>
    <w:p>
      <w:pPr>
        <w:keepNext w:val="0"/>
        <w:keepLines w:val="0"/>
        <w:pageBreakBefore w:val="0"/>
        <w:widowControl w:val="0"/>
        <w:kinsoku/>
        <w:wordWrap/>
        <w:overflowPunct/>
        <w:topLinePunct w:val="0"/>
        <w:bidi w:val="0"/>
        <w:snapToGrid w:val="0"/>
        <w:spacing w:line="360" w:lineRule="auto"/>
        <w:textAlignment w:val="auto"/>
        <w:rPr>
          <w:rFonts w:ascii="仿宋" w:hAnsi="仿宋" w:eastAsia="仿宋"/>
          <w:sz w:val="32"/>
          <w:szCs w:val="32"/>
        </w:rPr>
      </w:pPr>
    </w:p>
    <w:p>
      <w:pPr>
        <w:keepNext w:val="0"/>
        <w:keepLines w:val="0"/>
        <w:pageBreakBefore w:val="0"/>
        <w:widowControl w:val="0"/>
        <w:kinsoku/>
        <w:wordWrap/>
        <w:overflowPunct/>
        <w:topLinePunct w:val="0"/>
        <w:bidi w:val="0"/>
        <w:snapToGrid w:val="0"/>
        <w:spacing w:line="360" w:lineRule="auto"/>
        <w:textAlignment w:val="auto"/>
        <w:rPr>
          <w:rFonts w:ascii="仿宋" w:hAnsi="仿宋" w:eastAsia="仿宋"/>
          <w:sz w:val="32"/>
          <w:szCs w:val="32"/>
        </w:rPr>
      </w:pPr>
    </w:p>
    <w:p>
      <w:pPr>
        <w:keepNext w:val="0"/>
        <w:keepLines w:val="0"/>
        <w:pageBreakBefore w:val="0"/>
        <w:widowControl w:val="0"/>
        <w:kinsoku/>
        <w:wordWrap/>
        <w:overflowPunct/>
        <w:topLinePunct w:val="0"/>
        <w:bidi w:val="0"/>
        <w:snapToGrid w:val="0"/>
        <w:spacing w:line="360" w:lineRule="auto"/>
        <w:ind w:left="0" w:leftChars="0" w:firstLine="0" w:firstLineChars="0"/>
        <w:jc w:val="center"/>
        <w:textAlignment w:val="auto"/>
        <w:rPr>
          <w:rFonts w:ascii="仿宋" w:hAnsi="仿宋" w:eastAsia="仿宋"/>
          <w:sz w:val="32"/>
          <w:szCs w:val="32"/>
        </w:rPr>
      </w:pPr>
      <w:r>
        <w:rPr>
          <w:rFonts w:hint="eastAsia" w:ascii="仿宋" w:hAnsi="仿宋" w:eastAsia="仿宋"/>
          <w:sz w:val="32"/>
          <w:szCs w:val="32"/>
        </w:rPr>
        <w:t>（图5：一般公共预算财政拨款支出决算变动情况）（柱状图）</w:t>
      </w:r>
    </w:p>
    <w:p>
      <w:pPr>
        <w:keepNext w:val="0"/>
        <w:keepLines w:val="0"/>
        <w:pageBreakBefore w:val="0"/>
        <w:widowControl w:val="0"/>
        <w:kinsoku/>
        <w:wordWrap/>
        <w:overflowPunct/>
        <w:topLinePunct w:val="0"/>
        <w:bidi w:val="0"/>
        <w:snapToGrid w:val="0"/>
        <w:spacing w:line="360" w:lineRule="auto"/>
        <w:ind w:firstLine="643" w:firstLineChars="200"/>
        <w:textAlignment w:val="auto"/>
        <w:outlineLvl w:val="2"/>
        <w:rPr>
          <w:rFonts w:ascii="仿宋" w:hAnsi="仿宋" w:eastAsia="仿宋"/>
          <w:b/>
          <w:sz w:val="32"/>
          <w:szCs w:val="32"/>
        </w:rPr>
      </w:pPr>
      <w:bookmarkStart w:id="29" w:name="_Toc15377211"/>
      <w:r>
        <w:rPr>
          <w:rFonts w:hint="eastAsia" w:ascii="仿宋" w:hAnsi="仿宋" w:eastAsia="仿宋"/>
          <w:b/>
          <w:sz w:val="32"/>
          <w:szCs w:val="32"/>
        </w:rPr>
        <w:t>（二）一般公共预算财政拨款支出决算结构情况</w:t>
      </w:r>
      <w:bookmarkEnd w:id="29"/>
    </w:p>
    <w:p>
      <w:pPr>
        <w:keepNext w:val="0"/>
        <w:keepLines w:val="0"/>
        <w:pageBreakBefore w:val="0"/>
        <w:widowControl w:val="0"/>
        <w:kinsoku/>
        <w:wordWrap/>
        <w:overflowPunct/>
        <w:topLinePunct w:val="0"/>
        <w:bidi w:val="0"/>
        <w:snapToGrid w:val="0"/>
        <w:spacing w:line="360" w:lineRule="auto"/>
        <w:ind w:firstLine="640" w:firstLineChars="200"/>
        <w:textAlignment w:val="auto"/>
        <w:rPr>
          <w:rFonts w:ascii="仿宋" w:hAnsi="仿宋" w:eastAsia="仿宋"/>
          <w:sz w:val="32"/>
          <w:szCs w:val="32"/>
        </w:rPr>
      </w:pPr>
      <w:r>
        <w:rPr>
          <w:rFonts w:hint="eastAsia" w:ascii="仿宋" w:hAnsi="仿宋" w:eastAsia="仿宋"/>
          <w:sz w:val="32"/>
          <w:szCs w:val="32"/>
        </w:rPr>
        <w:t>2022年一般公共预算财政拨款支出574.2万元，主要用于以下方面:一般公共服务支出470.08万元，占81.87%；教育支出0万元，科学技术支出0万元，文化旅游体育与传媒支出0万元，社会保障和就业支出44.37万元，占7.73%；卫生健康支出16.12万元，占2.81%；住房保障支出43.63万元，占7.6%。</w:t>
      </w:r>
    </w:p>
    <w:p>
      <w:pPr>
        <w:pStyle w:val="2"/>
        <w:keepNext w:val="0"/>
        <w:keepLines w:val="0"/>
        <w:pageBreakBefore w:val="0"/>
        <w:widowControl w:val="0"/>
        <w:kinsoku/>
        <w:wordWrap/>
        <w:overflowPunct/>
        <w:topLinePunct w:val="0"/>
        <w:bidi w:val="0"/>
        <w:snapToGrid w:val="0"/>
        <w:spacing w:beforeLines="0" w:line="360" w:lineRule="auto"/>
        <w:jc w:val="center"/>
        <w:textAlignment w:val="auto"/>
        <w:rPr>
          <w:rFonts w:ascii="仿宋" w:hAnsi="仿宋" w:eastAsia="仿宋"/>
          <w:sz w:val="32"/>
          <w:szCs w:val="32"/>
        </w:rPr>
      </w:pPr>
      <w:r>
        <w:drawing>
          <wp:inline distT="0" distB="0" distL="114300" distR="114300">
            <wp:extent cx="5469255" cy="2707005"/>
            <wp:effectExtent l="4445" t="4445" r="12700" b="12700"/>
            <wp:docPr id="3481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keepNext w:val="0"/>
        <w:keepLines w:val="0"/>
        <w:pageBreakBefore w:val="0"/>
        <w:widowControl w:val="0"/>
        <w:kinsoku/>
        <w:wordWrap/>
        <w:overflowPunct/>
        <w:topLinePunct w:val="0"/>
        <w:bidi w:val="0"/>
        <w:snapToGrid w:val="0"/>
        <w:spacing w:line="360" w:lineRule="auto"/>
        <w:ind w:left="0" w:leftChars="0" w:firstLine="0" w:firstLineChars="0"/>
        <w:jc w:val="center"/>
        <w:textAlignment w:val="auto"/>
        <w:rPr>
          <w:rFonts w:ascii="仿宋" w:hAnsi="仿宋" w:eastAsia="仿宋"/>
          <w:sz w:val="32"/>
          <w:szCs w:val="32"/>
        </w:rPr>
      </w:pPr>
      <w:r>
        <w:rPr>
          <w:rFonts w:hint="eastAsia" w:ascii="仿宋" w:hAnsi="仿宋" w:eastAsia="仿宋"/>
          <w:sz w:val="32"/>
          <w:szCs w:val="32"/>
        </w:rPr>
        <w:t>（图6：一般公共预算财政拨款支出决算结构）（饼状图）</w:t>
      </w:r>
    </w:p>
    <w:p>
      <w:pPr>
        <w:keepNext w:val="0"/>
        <w:keepLines w:val="0"/>
        <w:pageBreakBefore w:val="0"/>
        <w:widowControl w:val="0"/>
        <w:kinsoku/>
        <w:wordWrap/>
        <w:overflowPunct/>
        <w:topLinePunct w:val="0"/>
        <w:bidi w:val="0"/>
        <w:snapToGrid w:val="0"/>
        <w:spacing w:line="360" w:lineRule="auto"/>
        <w:ind w:firstLine="643" w:firstLineChars="200"/>
        <w:textAlignment w:val="auto"/>
        <w:outlineLvl w:val="2"/>
        <w:rPr>
          <w:rFonts w:ascii="仿宋" w:hAnsi="仿宋" w:eastAsia="仿宋"/>
          <w:b/>
          <w:sz w:val="32"/>
          <w:szCs w:val="32"/>
        </w:rPr>
      </w:pPr>
      <w:bookmarkStart w:id="30" w:name="_Toc15377212"/>
      <w:r>
        <w:rPr>
          <w:rFonts w:hint="eastAsia" w:ascii="仿宋" w:hAnsi="仿宋" w:eastAsia="仿宋"/>
          <w:b/>
          <w:sz w:val="32"/>
          <w:szCs w:val="32"/>
        </w:rPr>
        <w:t>（三）一般公共预算财政拨款支出决算具体情况</w:t>
      </w:r>
      <w:bookmarkEnd w:id="30"/>
    </w:p>
    <w:p>
      <w:pPr>
        <w:keepNext w:val="0"/>
        <w:keepLines w:val="0"/>
        <w:pageBreakBefore w:val="0"/>
        <w:widowControl w:val="0"/>
        <w:kinsoku/>
        <w:wordWrap/>
        <w:overflowPunct/>
        <w:topLinePunct w:val="0"/>
        <w:bidi w:val="0"/>
        <w:snapToGrid w:val="0"/>
        <w:spacing w:line="360" w:lineRule="auto"/>
        <w:ind w:firstLine="643" w:firstLineChars="200"/>
        <w:textAlignment w:val="auto"/>
        <w:outlineLvl w:val="2"/>
        <w:rPr>
          <w:rFonts w:ascii="仿宋" w:hAnsi="仿宋" w:eastAsia="仿宋"/>
          <w:sz w:val="32"/>
          <w:szCs w:val="32"/>
        </w:rPr>
      </w:pPr>
      <w:bookmarkStart w:id="31" w:name="_Toc15378460"/>
      <w:bookmarkStart w:id="32" w:name="_Toc15377444"/>
      <w:bookmarkStart w:id="33" w:name="_Toc15377213"/>
      <w:r>
        <w:rPr>
          <w:rFonts w:hint="eastAsia" w:ascii="仿宋" w:hAnsi="仿宋" w:eastAsia="仿宋"/>
          <w:b/>
          <w:sz w:val="32"/>
          <w:szCs w:val="32"/>
        </w:rPr>
        <w:t>2022年一般公共预算支出决算数为574.2</w:t>
      </w:r>
      <w:r>
        <w:rPr>
          <w:rFonts w:hint="eastAsia" w:ascii="仿宋" w:hAnsi="仿宋" w:eastAsia="仿宋"/>
          <w:sz w:val="32"/>
          <w:szCs w:val="32"/>
        </w:rPr>
        <w:t>，</w:t>
      </w:r>
      <w:r>
        <w:rPr>
          <w:rStyle w:val="18"/>
          <w:rFonts w:hint="eastAsia" w:ascii="仿宋" w:hAnsi="仿宋" w:eastAsia="仿宋"/>
          <w:bCs/>
          <w:sz w:val="32"/>
          <w:szCs w:val="32"/>
        </w:rPr>
        <w:t>完成预算100</w:t>
      </w:r>
      <w:r>
        <w:rPr>
          <w:rStyle w:val="18"/>
          <w:rFonts w:ascii="仿宋" w:hAnsi="仿宋" w:eastAsia="仿宋"/>
          <w:bCs/>
          <w:sz w:val="32"/>
          <w:szCs w:val="32"/>
        </w:rPr>
        <w:t>%</w:t>
      </w:r>
      <w:r>
        <w:rPr>
          <w:rStyle w:val="18"/>
          <w:rFonts w:hint="eastAsia" w:ascii="仿宋" w:hAnsi="仿宋" w:eastAsia="仿宋"/>
          <w:bCs/>
          <w:sz w:val="32"/>
          <w:szCs w:val="32"/>
        </w:rPr>
        <w:t>。其中：</w:t>
      </w:r>
      <w:bookmarkEnd w:id="31"/>
      <w:bookmarkEnd w:id="32"/>
      <w:bookmarkEnd w:id="33"/>
    </w:p>
    <w:p>
      <w:pPr>
        <w:keepNext w:val="0"/>
        <w:keepLines w:val="0"/>
        <w:pageBreakBefore w:val="0"/>
        <w:widowControl w:val="0"/>
        <w:numPr>
          <w:ilvl w:val="0"/>
          <w:numId w:val="3"/>
        </w:numPr>
        <w:kinsoku/>
        <w:wordWrap/>
        <w:overflowPunct/>
        <w:topLinePunct w:val="0"/>
        <w:bidi w:val="0"/>
        <w:snapToGrid w:val="0"/>
        <w:spacing w:line="360" w:lineRule="auto"/>
        <w:ind w:firstLine="643" w:firstLineChars="200"/>
        <w:textAlignment w:val="auto"/>
        <w:rPr>
          <w:rFonts w:ascii="仿宋" w:hAnsi="仿宋" w:eastAsia="仿宋"/>
          <w:sz w:val="32"/>
          <w:szCs w:val="32"/>
        </w:rPr>
      </w:pPr>
      <w:r>
        <w:rPr>
          <w:rStyle w:val="18"/>
          <w:rFonts w:hint="eastAsia" w:ascii="仿宋" w:hAnsi="仿宋" w:eastAsia="仿宋"/>
          <w:bCs/>
          <w:sz w:val="32"/>
          <w:szCs w:val="32"/>
        </w:rPr>
        <w:t>一般公共服务支出（类）政府办公厅（室）及相关机构事务（款）：</w:t>
      </w:r>
      <w:r>
        <w:rPr>
          <w:rFonts w:hint="eastAsia" w:ascii="仿宋" w:hAnsi="仿宋" w:eastAsia="仿宋"/>
          <w:sz w:val="32"/>
          <w:szCs w:val="32"/>
        </w:rPr>
        <w:t>行政运行（项）支出决算为209.69万元，完成预算100%；  一般行政管理事务（项）支出决算为15万元，完成预算100%；事业运行（项）支出决算为232.51万元，完成预算100%；  其他政府办公厅（室）及相关机构事务支出（项）支出决算为12.88万元，完成预算100%；决算数等于预算数。</w:t>
      </w:r>
    </w:p>
    <w:p>
      <w:pPr>
        <w:keepNext w:val="0"/>
        <w:keepLines w:val="0"/>
        <w:pageBreakBefore w:val="0"/>
        <w:widowControl w:val="0"/>
        <w:kinsoku/>
        <w:wordWrap/>
        <w:overflowPunct/>
        <w:topLinePunct w:val="0"/>
        <w:bidi w:val="0"/>
        <w:snapToGrid w:val="0"/>
        <w:spacing w:line="360" w:lineRule="auto"/>
        <w:ind w:firstLine="643" w:firstLineChars="200"/>
        <w:textAlignment w:val="auto"/>
        <w:rPr>
          <w:rFonts w:ascii="仿宋" w:hAnsi="仿宋" w:eastAsia="仿宋"/>
          <w:b/>
          <w:sz w:val="32"/>
          <w:szCs w:val="32"/>
        </w:rPr>
      </w:pPr>
      <w:r>
        <w:rPr>
          <w:rStyle w:val="18"/>
          <w:rFonts w:hint="eastAsia" w:ascii="仿宋" w:hAnsi="仿宋" w:eastAsia="仿宋"/>
          <w:bCs/>
          <w:sz w:val="32"/>
          <w:szCs w:val="32"/>
        </w:rPr>
        <w:t>2</w:t>
      </w:r>
      <w:r>
        <w:rPr>
          <w:rStyle w:val="18"/>
          <w:rFonts w:ascii="仿宋" w:hAnsi="仿宋" w:eastAsia="仿宋"/>
          <w:bCs/>
          <w:sz w:val="32"/>
          <w:szCs w:val="32"/>
        </w:rPr>
        <w:t>.</w:t>
      </w:r>
      <w:r>
        <w:rPr>
          <w:rStyle w:val="18"/>
          <w:rFonts w:hint="eastAsia" w:ascii="仿宋" w:hAnsi="仿宋" w:eastAsia="仿宋"/>
          <w:bCs/>
          <w:sz w:val="32"/>
          <w:szCs w:val="32"/>
        </w:rPr>
        <w:t>社会保障和就业支出（类）</w:t>
      </w:r>
      <w:r>
        <w:rPr>
          <w:rFonts w:hint="eastAsia" w:ascii="仿宋" w:hAnsi="仿宋" w:eastAsia="仿宋"/>
          <w:sz w:val="32"/>
          <w:szCs w:val="32"/>
        </w:rPr>
        <w:t>行政事业单位养老支出（款）机关事业单位基本养老保险缴费支出（项）: 支出决算为33.79万元，完成预算100%。机关事业单位职业年金缴费支出（项）: 支出决算为10.58万元，完成预算100%。决算数等于预算数。</w:t>
      </w:r>
    </w:p>
    <w:p>
      <w:pPr>
        <w:keepNext w:val="0"/>
        <w:keepLines w:val="0"/>
        <w:pageBreakBefore w:val="0"/>
        <w:widowControl w:val="0"/>
        <w:kinsoku/>
        <w:wordWrap/>
        <w:overflowPunct/>
        <w:topLinePunct w:val="0"/>
        <w:bidi w:val="0"/>
        <w:snapToGrid w:val="0"/>
        <w:spacing w:line="360" w:lineRule="auto"/>
        <w:ind w:firstLine="643" w:firstLineChars="200"/>
        <w:textAlignment w:val="auto"/>
        <w:rPr>
          <w:rFonts w:ascii="仿宋" w:hAnsi="仿宋" w:eastAsia="仿宋"/>
          <w:sz w:val="32"/>
          <w:szCs w:val="32"/>
        </w:rPr>
      </w:pPr>
      <w:r>
        <w:rPr>
          <w:rStyle w:val="18"/>
          <w:rFonts w:hint="eastAsia" w:ascii="仿宋" w:hAnsi="仿宋" w:eastAsia="仿宋"/>
          <w:bCs/>
          <w:sz w:val="32"/>
          <w:szCs w:val="32"/>
        </w:rPr>
        <w:t>3</w:t>
      </w:r>
      <w:r>
        <w:rPr>
          <w:rStyle w:val="18"/>
          <w:rFonts w:ascii="仿宋" w:hAnsi="仿宋" w:eastAsia="仿宋"/>
          <w:bCs/>
          <w:sz w:val="32"/>
          <w:szCs w:val="32"/>
        </w:rPr>
        <w:t>.</w:t>
      </w:r>
      <w:r>
        <w:rPr>
          <w:rFonts w:hint="eastAsia" w:ascii="仿宋" w:hAnsi="仿宋" w:eastAsia="仿宋"/>
          <w:b/>
          <w:bCs/>
          <w:sz w:val="32"/>
          <w:szCs w:val="32"/>
        </w:rPr>
        <w:t>卫生健康支出</w:t>
      </w:r>
      <w:r>
        <w:rPr>
          <w:rStyle w:val="18"/>
          <w:rFonts w:hint="eastAsia" w:ascii="仿宋" w:hAnsi="仿宋" w:eastAsia="仿宋"/>
          <w:bCs/>
          <w:sz w:val="32"/>
          <w:szCs w:val="32"/>
        </w:rPr>
        <w:t>（类）</w:t>
      </w:r>
      <w:r>
        <w:rPr>
          <w:rFonts w:hint="eastAsia" w:ascii="仿宋" w:hAnsi="仿宋" w:eastAsia="仿宋"/>
          <w:sz w:val="32"/>
          <w:szCs w:val="32"/>
        </w:rPr>
        <w:t>行政事业单位医疗（款）行政单位医疗（项）：支出决算为5.77万元，完成预算100%。事业单位医疗（项）：支出决算为8.17万元，完成预算100%。公务员医疗补助（项）：支出决算2.18万元，完成预算100%。</w:t>
      </w:r>
    </w:p>
    <w:p>
      <w:pPr>
        <w:keepNext w:val="0"/>
        <w:keepLines w:val="0"/>
        <w:pageBreakBefore w:val="0"/>
        <w:widowControl w:val="0"/>
        <w:kinsoku/>
        <w:wordWrap/>
        <w:overflowPunct/>
        <w:topLinePunct w:val="0"/>
        <w:bidi w:val="0"/>
        <w:snapToGrid w:val="0"/>
        <w:spacing w:line="360" w:lineRule="auto"/>
        <w:textAlignment w:val="auto"/>
        <w:rPr>
          <w:rStyle w:val="18"/>
          <w:rFonts w:ascii="仿宋" w:hAnsi="仿宋" w:eastAsia="仿宋"/>
          <w:b w:val="0"/>
          <w:bCs/>
          <w:sz w:val="32"/>
          <w:szCs w:val="32"/>
        </w:rPr>
      </w:pPr>
      <w:r>
        <w:rPr>
          <w:rStyle w:val="18"/>
          <w:rFonts w:hint="eastAsia" w:ascii="仿宋" w:hAnsi="仿宋" w:eastAsia="仿宋"/>
          <w:b w:val="0"/>
          <w:bCs/>
          <w:sz w:val="32"/>
          <w:szCs w:val="32"/>
        </w:rPr>
        <w:t>决算数等于预算数。</w:t>
      </w:r>
    </w:p>
    <w:p>
      <w:pPr>
        <w:keepNext w:val="0"/>
        <w:keepLines w:val="0"/>
        <w:pageBreakBefore w:val="0"/>
        <w:widowControl w:val="0"/>
        <w:kinsoku/>
        <w:wordWrap/>
        <w:overflowPunct/>
        <w:topLinePunct w:val="0"/>
        <w:bidi w:val="0"/>
        <w:snapToGrid w:val="0"/>
        <w:spacing w:line="360" w:lineRule="auto"/>
        <w:ind w:firstLine="643" w:firstLineChars="200"/>
        <w:textAlignment w:val="auto"/>
        <w:rPr>
          <w:rFonts w:ascii="仿宋" w:hAnsi="仿宋" w:eastAsia="仿宋"/>
          <w:sz w:val="32"/>
          <w:szCs w:val="32"/>
        </w:rPr>
      </w:pPr>
      <w:r>
        <w:rPr>
          <w:rFonts w:hint="eastAsia" w:eastAsia="仿宋_GB2312"/>
          <w:b/>
          <w:color w:val="000000"/>
          <w:sz w:val="32"/>
          <w:szCs w:val="32"/>
        </w:rPr>
        <w:t>4</w:t>
      </w:r>
      <w:r>
        <w:rPr>
          <w:rStyle w:val="18"/>
          <w:rFonts w:eastAsia="仿宋_GB2312"/>
          <w:color w:val="000000"/>
          <w:sz w:val="32"/>
          <w:szCs w:val="32"/>
        </w:rPr>
        <w:t>．</w:t>
      </w:r>
      <w:r>
        <w:rPr>
          <w:rFonts w:eastAsia="仿宋_GB2312"/>
          <w:b/>
          <w:color w:val="000000"/>
          <w:sz w:val="32"/>
          <w:szCs w:val="32"/>
        </w:rPr>
        <w:t>住房保障支出</w:t>
      </w:r>
      <w:r>
        <w:rPr>
          <w:rFonts w:eastAsia="仿宋_GB2312"/>
          <w:bCs/>
          <w:color w:val="000000"/>
          <w:sz w:val="32"/>
          <w:szCs w:val="32"/>
        </w:rPr>
        <w:t>（类）</w:t>
      </w:r>
      <w:r>
        <w:rPr>
          <w:rFonts w:hint="eastAsia" w:ascii="仿宋" w:hAnsi="仿宋" w:eastAsia="仿宋"/>
          <w:sz w:val="32"/>
          <w:szCs w:val="32"/>
        </w:rPr>
        <w:t>住房改革支出（款）住房公积金（项）:支出决算为43.63万元，完成预算100%。</w:t>
      </w:r>
    </w:p>
    <w:p>
      <w:pPr>
        <w:keepNext w:val="0"/>
        <w:keepLines w:val="0"/>
        <w:pageBreakBefore w:val="0"/>
        <w:widowControl w:val="0"/>
        <w:tabs>
          <w:tab w:val="right" w:pos="8306"/>
        </w:tabs>
        <w:kinsoku/>
        <w:wordWrap/>
        <w:overflowPunct/>
        <w:topLinePunct w:val="0"/>
        <w:bidi w:val="0"/>
        <w:snapToGrid w:val="0"/>
        <w:spacing w:line="360" w:lineRule="auto"/>
        <w:ind w:firstLine="640"/>
        <w:textAlignment w:val="auto"/>
        <w:outlineLvl w:val="1"/>
        <w:rPr>
          <w:rStyle w:val="31"/>
        </w:rPr>
      </w:pPr>
      <w:bookmarkStart w:id="34" w:name="_Toc15377214"/>
      <w:bookmarkStart w:id="35" w:name="_Toc15396608"/>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1"/>
          <w:rFonts w:hint="eastAsia" w:ascii="黑体" w:hAnsi="黑体" w:eastAsia="黑体"/>
          <w:b w:val="0"/>
        </w:rPr>
        <w:t>般公共预算财政拨款基本支出决算情况说明</w:t>
      </w:r>
      <w:bookmarkEnd w:id="34"/>
      <w:bookmarkEnd w:id="35"/>
      <w:r>
        <w:rPr>
          <w:rStyle w:val="31"/>
          <w:rFonts w:ascii="黑体" w:hAnsi="黑体" w:eastAsia="黑体"/>
          <w:b w:val="0"/>
        </w:rPr>
        <w:tab/>
      </w:r>
    </w:p>
    <w:p>
      <w:pPr>
        <w:keepNext w:val="0"/>
        <w:keepLines w:val="0"/>
        <w:pageBreakBefore w:val="0"/>
        <w:widowControl w:val="0"/>
        <w:kinsoku/>
        <w:wordWrap/>
        <w:overflowPunct/>
        <w:topLinePunct w:val="0"/>
        <w:bidi w:val="0"/>
        <w:snapToGrid w:val="0"/>
        <w:spacing w:line="360" w:lineRule="auto"/>
        <w:ind w:firstLine="640" w:firstLineChars="200"/>
        <w:textAlignment w:val="auto"/>
        <w:rPr>
          <w:rFonts w:ascii="仿宋" w:hAnsi="仿宋" w:eastAsia="仿宋"/>
          <w:sz w:val="32"/>
          <w:szCs w:val="32"/>
        </w:rPr>
      </w:pPr>
      <w:r>
        <w:rPr>
          <w:rFonts w:hint="eastAsia" w:ascii="仿宋" w:hAnsi="仿宋" w:eastAsia="仿宋"/>
          <w:sz w:val="32"/>
          <w:szCs w:val="32"/>
        </w:rPr>
        <w:t>2022年一般公共预算财政拨款基本支出万元，其中：</w:t>
      </w:r>
    </w:p>
    <w:p>
      <w:pPr>
        <w:keepNext w:val="0"/>
        <w:keepLines w:val="0"/>
        <w:pageBreakBefore w:val="0"/>
        <w:widowControl w:val="0"/>
        <w:kinsoku/>
        <w:wordWrap/>
        <w:overflowPunct/>
        <w:topLinePunct w:val="0"/>
        <w:bidi w:val="0"/>
        <w:snapToGrid w:val="0"/>
        <w:spacing w:line="360" w:lineRule="auto"/>
        <w:ind w:firstLine="640" w:firstLineChars="200"/>
        <w:textAlignment w:val="auto"/>
        <w:rPr>
          <w:rFonts w:ascii="仿宋" w:hAnsi="仿宋" w:eastAsia="仿宋"/>
          <w:b/>
          <w:sz w:val="32"/>
          <w:szCs w:val="32"/>
        </w:rPr>
      </w:pPr>
      <w:r>
        <w:rPr>
          <w:rFonts w:hint="eastAsia" w:ascii="仿宋" w:hAnsi="仿宋" w:eastAsia="仿宋"/>
          <w:sz w:val="32"/>
          <w:szCs w:val="32"/>
        </w:rPr>
        <w:t>人员经费487.82万元，主要包括：基本工资、津贴补贴、奖金、绩效工资、机关事业单位基本养老保险缴费、职业年金缴费、职工基本医疗保障缴费、公务员医疗保障缴费、其他社会保障缴费、其他工资福利支出、生活补助、医疗费补助、奖励金、住房公积金、对个人和家庭的补助支出等。</w:t>
      </w:r>
      <w:r>
        <w:rPr>
          <w:rFonts w:ascii="仿宋" w:hAnsi="仿宋" w:eastAsia="仿宋"/>
          <w:sz w:val="32"/>
          <w:szCs w:val="32"/>
        </w:rPr>
        <w:br w:type="textWrapping"/>
      </w:r>
      <w:r>
        <w:rPr>
          <w:rFonts w:hint="eastAsia" w:ascii="仿宋" w:hAnsi="仿宋" w:eastAsia="仿宋"/>
          <w:sz w:val="32"/>
          <w:szCs w:val="32"/>
        </w:rPr>
        <w:t>　　公用经费58.5万元，主要包括：办公费、印刷费、水费、电费、邮电费、差旅费、维修（护）费、培训费、公务接待费、专用材料费、工会经费、福利费、其他交通费用、其他商品和服务支出、办公设备购置等。</w:t>
      </w:r>
    </w:p>
    <w:p>
      <w:pPr>
        <w:keepNext w:val="0"/>
        <w:keepLines w:val="0"/>
        <w:pageBreakBefore w:val="0"/>
        <w:widowControl w:val="0"/>
        <w:kinsoku/>
        <w:wordWrap/>
        <w:overflowPunct/>
        <w:topLinePunct w:val="0"/>
        <w:bidi w:val="0"/>
        <w:snapToGrid w:val="0"/>
        <w:spacing w:line="360" w:lineRule="auto"/>
        <w:ind w:firstLine="640"/>
        <w:textAlignment w:val="auto"/>
        <w:outlineLvl w:val="1"/>
        <w:rPr>
          <w:rStyle w:val="31"/>
          <w:rFonts w:ascii="黑体" w:hAnsi="黑体" w:eastAsia="黑体"/>
          <w:b w:val="0"/>
        </w:rPr>
      </w:pPr>
      <w:bookmarkStart w:id="36" w:name="_Toc15396609"/>
      <w:bookmarkStart w:id="37" w:name="_Toc15377215"/>
      <w:r>
        <w:rPr>
          <w:rFonts w:hint="eastAsia" w:ascii="黑体" w:eastAsia="黑体"/>
          <w:sz w:val="32"/>
          <w:szCs w:val="32"/>
        </w:rPr>
        <w:t>七、</w:t>
      </w:r>
      <w:r>
        <w:rPr>
          <w:rStyle w:val="31"/>
          <w:rFonts w:hint="eastAsia" w:ascii="黑体" w:hAnsi="黑体" w:eastAsia="黑体"/>
          <w:b w:val="0"/>
        </w:rPr>
        <w:t>财政拨款</w:t>
      </w:r>
      <w:r>
        <w:rPr>
          <w:rStyle w:val="31"/>
          <w:rFonts w:hint="eastAsia" w:ascii="黑体" w:hAnsi="黑体" w:eastAsia="黑体"/>
        </w:rPr>
        <w:t>“</w:t>
      </w:r>
      <w:r>
        <w:rPr>
          <w:rStyle w:val="31"/>
          <w:rFonts w:hint="eastAsia" w:ascii="黑体" w:hAnsi="黑体" w:eastAsia="黑体"/>
          <w:b w:val="0"/>
        </w:rPr>
        <w:t>三公”经费支出决算情况说明</w:t>
      </w:r>
      <w:bookmarkEnd w:id="36"/>
      <w:bookmarkEnd w:id="37"/>
    </w:p>
    <w:p>
      <w:pPr>
        <w:keepNext w:val="0"/>
        <w:keepLines w:val="0"/>
        <w:pageBreakBefore w:val="0"/>
        <w:widowControl w:val="0"/>
        <w:kinsoku/>
        <w:wordWrap/>
        <w:overflowPunct/>
        <w:topLinePunct w:val="0"/>
        <w:bidi w:val="0"/>
        <w:snapToGrid w:val="0"/>
        <w:spacing w:line="360" w:lineRule="auto"/>
        <w:ind w:firstLine="640"/>
        <w:textAlignment w:val="auto"/>
        <w:outlineLvl w:val="2"/>
        <w:rPr>
          <w:rFonts w:ascii="仿宋" w:hAnsi="仿宋" w:eastAsia="仿宋"/>
          <w:b/>
          <w:sz w:val="32"/>
          <w:szCs w:val="32"/>
        </w:rPr>
      </w:pPr>
      <w:bookmarkStart w:id="38" w:name="_Toc15377216"/>
      <w:r>
        <w:rPr>
          <w:rFonts w:hint="eastAsia" w:ascii="仿宋" w:hAnsi="仿宋" w:eastAsia="仿宋"/>
          <w:b/>
          <w:sz w:val="32"/>
          <w:szCs w:val="32"/>
        </w:rPr>
        <w:t>（一）“三公”经费财政拨款支出决算总体情况说明</w:t>
      </w:r>
      <w:bookmarkEnd w:id="38"/>
    </w:p>
    <w:p>
      <w:pPr>
        <w:keepNext w:val="0"/>
        <w:keepLines w:val="0"/>
        <w:pageBreakBefore w:val="0"/>
        <w:widowControl w:val="0"/>
        <w:kinsoku/>
        <w:wordWrap/>
        <w:overflowPunct/>
        <w:topLinePunct w:val="0"/>
        <w:bidi w:val="0"/>
        <w:snapToGrid w:val="0"/>
        <w:spacing w:line="360" w:lineRule="auto"/>
        <w:ind w:firstLine="640" w:firstLineChars="200"/>
        <w:textAlignment w:val="auto"/>
        <w:rPr>
          <w:rFonts w:ascii="仿宋" w:hAnsi="仿宋" w:eastAsia="仿宋"/>
          <w:sz w:val="32"/>
          <w:szCs w:val="32"/>
        </w:rPr>
      </w:pPr>
      <w:r>
        <w:rPr>
          <w:rFonts w:hint="eastAsia" w:ascii="仿宋" w:hAnsi="仿宋" w:eastAsia="仿宋"/>
          <w:sz w:val="32"/>
          <w:szCs w:val="32"/>
        </w:rPr>
        <w:t>2022年“三公”经费财政拨款支出决算为0.14万元，完成预算70%，较上年增加0.09万元，增长180%。决算数小于预算数的主要原因是进一步落实厉行节约相关规定，公务接待减少，机构改革后公车被收回。</w:t>
      </w:r>
    </w:p>
    <w:p>
      <w:pPr>
        <w:keepNext w:val="0"/>
        <w:keepLines w:val="0"/>
        <w:pageBreakBefore w:val="0"/>
        <w:widowControl w:val="0"/>
        <w:kinsoku/>
        <w:wordWrap/>
        <w:overflowPunct/>
        <w:topLinePunct w:val="0"/>
        <w:bidi w:val="0"/>
        <w:snapToGrid w:val="0"/>
        <w:spacing w:line="360" w:lineRule="auto"/>
        <w:ind w:firstLine="640"/>
        <w:textAlignment w:val="auto"/>
        <w:outlineLvl w:val="2"/>
        <w:rPr>
          <w:rFonts w:ascii="仿宋" w:hAnsi="仿宋" w:eastAsia="仿宋"/>
          <w:b/>
          <w:sz w:val="32"/>
          <w:szCs w:val="32"/>
        </w:rPr>
      </w:pPr>
      <w:bookmarkStart w:id="39" w:name="_Toc15377217"/>
      <w:r>
        <w:rPr>
          <w:rFonts w:hint="eastAsia" w:ascii="仿宋" w:hAnsi="仿宋" w:eastAsia="仿宋"/>
          <w:b/>
          <w:sz w:val="32"/>
          <w:szCs w:val="32"/>
        </w:rPr>
        <w:t>（二）“三公”经费财政拨款支出决算具体情况说明</w:t>
      </w:r>
      <w:bookmarkEnd w:id="39"/>
    </w:p>
    <w:p>
      <w:pPr>
        <w:keepNext w:val="0"/>
        <w:keepLines w:val="0"/>
        <w:pageBreakBefore w:val="0"/>
        <w:widowControl w:val="0"/>
        <w:kinsoku/>
        <w:wordWrap/>
        <w:overflowPunct/>
        <w:topLinePunct w:val="0"/>
        <w:bidi w:val="0"/>
        <w:snapToGrid w:val="0"/>
        <w:spacing w:line="360" w:lineRule="auto"/>
        <w:ind w:firstLine="640"/>
        <w:textAlignment w:val="auto"/>
        <w:rPr>
          <w:rFonts w:ascii="仿宋" w:hAnsi="仿宋" w:eastAsia="仿宋"/>
          <w:sz w:val="32"/>
          <w:szCs w:val="32"/>
        </w:rPr>
      </w:pPr>
      <w:r>
        <w:rPr>
          <w:rFonts w:hint="eastAsia" w:ascii="仿宋" w:hAnsi="仿宋" w:eastAsia="仿宋"/>
          <w:sz w:val="32"/>
          <w:szCs w:val="32"/>
        </w:rPr>
        <w:t>2022年“三公”经费财政拨款支出决算中，因公出国（境）费支出决算0万元；公务用车购置及运行维护费支出决算0万元；公务接待费支出决算0.14万元，占100%。具体情况如下：</w:t>
      </w:r>
    </w:p>
    <w:p>
      <w:pPr>
        <w:pStyle w:val="2"/>
        <w:keepNext w:val="0"/>
        <w:keepLines w:val="0"/>
        <w:pageBreakBefore w:val="0"/>
        <w:widowControl w:val="0"/>
        <w:kinsoku/>
        <w:wordWrap/>
        <w:overflowPunct/>
        <w:topLinePunct w:val="0"/>
        <w:bidi w:val="0"/>
        <w:snapToGrid w:val="0"/>
        <w:spacing w:beforeLines="0" w:line="360" w:lineRule="auto"/>
        <w:textAlignment w:val="auto"/>
        <w:rPr>
          <w:rFonts w:ascii="仿宋" w:hAnsi="仿宋" w:eastAsia="仿宋"/>
          <w:sz w:val="32"/>
          <w:szCs w:val="32"/>
        </w:rPr>
      </w:pPr>
      <w:r>
        <w:rPr>
          <w:rFonts w:ascii="仿宋" w:hAnsi="仿宋" w:eastAsia="仿宋"/>
          <w:sz w:val="32"/>
          <w:szCs w:val="32"/>
        </w:rPr>
        <w:drawing>
          <wp:anchor distT="0" distB="0" distL="114300" distR="114300" simplePos="0" relativeHeight="251659264" behindDoc="1" locked="0" layoutInCell="1" allowOverlap="1">
            <wp:simplePos x="0" y="0"/>
            <wp:positionH relativeFrom="column">
              <wp:posOffset>779145</wp:posOffset>
            </wp:positionH>
            <wp:positionV relativeFrom="paragraph">
              <wp:posOffset>41910</wp:posOffset>
            </wp:positionV>
            <wp:extent cx="3869055" cy="2160270"/>
            <wp:effectExtent l="0" t="0" r="1905" b="3810"/>
            <wp:wrapNone/>
            <wp:docPr id="3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3"/>
                    <pic:cNvPicPr>
                      <a:picLocks noChangeAspect="1" noChangeArrowheads="1"/>
                    </pic:cNvPicPr>
                  </pic:nvPicPr>
                  <pic:blipFill>
                    <a:blip r:embed="rId16"/>
                    <a:srcRect/>
                    <a:stretch>
                      <a:fillRect/>
                    </a:stretch>
                  </pic:blipFill>
                  <pic:spPr>
                    <a:xfrm>
                      <a:off x="0" y="0"/>
                      <a:ext cx="3869055" cy="2160270"/>
                    </a:xfrm>
                    <a:prstGeom prst="rect">
                      <a:avLst/>
                    </a:prstGeom>
                    <a:noFill/>
                  </pic:spPr>
                </pic:pic>
              </a:graphicData>
            </a:graphic>
          </wp:anchor>
        </w:drawing>
      </w:r>
    </w:p>
    <w:p>
      <w:pPr>
        <w:pStyle w:val="2"/>
        <w:keepNext w:val="0"/>
        <w:keepLines w:val="0"/>
        <w:pageBreakBefore w:val="0"/>
        <w:widowControl w:val="0"/>
        <w:kinsoku/>
        <w:wordWrap/>
        <w:overflowPunct/>
        <w:topLinePunct w:val="0"/>
        <w:bidi w:val="0"/>
        <w:snapToGrid w:val="0"/>
        <w:spacing w:beforeLines="0" w:line="360" w:lineRule="auto"/>
        <w:textAlignment w:val="auto"/>
        <w:rPr>
          <w:rFonts w:ascii="仿宋" w:hAnsi="仿宋" w:eastAsia="仿宋"/>
          <w:sz w:val="32"/>
          <w:szCs w:val="32"/>
        </w:rPr>
      </w:pPr>
    </w:p>
    <w:p>
      <w:pPr>
        <w:pStyle w:val="2"/>
        <w:keepNext w:val="0"/>
        <w:keepLines w:val="0"/>
        <w:pageBreakBefore w:val="0"/>
        <w:widowControl w:val="0"/>
        <w:kinsoku/>
        <w:wordWrap/>
        <w:overflowPunct/>
        <w:topLinePunct w:val="0"/>
        <w:bidi w:val="0"/>
        <w:snapToGrid w:val="0"/>
        <w:spacing w:beforeLines="0" w:line="360" w:lineRule="auto"/>
        <w:textAlignment w:val="auto"/>
        <w:rPr>
          <w:rFonts w:ascii="仿宋" w:hAnsi="仿宋" w:eastAsia="仿宋"/>
          <w:sz w:val="32"/>
          <w:szCs w:val="32"/>
        </w:rPr>
      </w:pPr>
    </w:p>
    <w:p>
      <w:pPr>
        <w:pStyle w:val="2"/>
        <w:keepNext w:val="0"/>
        <w:keepLines w:val="0"/>
        <w:pageBreakBefore w:val="0"/>
        <w:widowControl w:val="0"/>
        <w:kinsoku/>
        <w:wordWrap/>
        <w:overflowPunct/>
        <w:topLinePunct w:val="0"/>
        <w:bidi w:val="0"/>
        <w:snapToGrid w:val="0"/>
        <w:spacing w:beforeLines="0" w:line="360" w:lineRule="auto"/>
        <w:textAlignment w:val="auto"/>
        <w:rPr>
          <w:rFonts w:ascii="仿宋" w:hAnsi="仿宋" w:eastAsia="仿宋"/>
          <w:sz w:val="32"/>
          <w:szCs w:val="32"/>
        </w:rPr>
      </w:pPr>
    </w:p>
    <w:p>
      <w:pPr>
        <w:pStyle w:val="2"/>
        <w:keepNext w:val="0"/>
        <w:keepLines w:val="0"/>
        <w:pageBreakBefore w:val="0"/>
        <w:widowControl w:val="0"/>
        <w:kinsoku/>
        <w:wordWrap/>
        <w:overflowPunct/>
        <w:topLinePunct w:val="0"/>
        <w:bidi w:val="0"/>
        <w:snapToGrid w:val="0"/>
        <w:spacing w:beforeLines="0" w:line="360" w:lineRule="auto"/>
        <w:textAlignment w:val="auto"/>
        <w:rPr>
          <w:rFonts w:ascii="仿宋" w:hAnsi="仿宋" w:eastAsia="仿宋"/>
          <w:sz w:val="32"/>
          <w:szCs w:val="32"/>
        </w:rPr>
      </w:pPr>
    </w:p>
    <w:p>
      <w:pPr>
        <w:keepNext w:val="0"/>
        <w:keepLines w:val="0"/>
        <w:pageBreakBefore w:val="0"/>
        <w:widowControl w:val="0"/>
        <w:kinsoku/>
        <w:wordWrap/>
        <w:overflowPunct/>
        <w:topLinePunct w:val="0"/>
        <w:bidi w:val="0"/>
        <w:snapToGrid w:val="0"/>
        <w:spacing w:line="360" w:lineRule="auto"/>
        <w:ind w:left="0" w:leftChars="0" w:firstLine="0" w:firstLineChars="0"/>
        <w:jc w:val="center"/>
        <w:textAlignment w:val="auto"/>
        <w:rPr>
          <w:rFonts w:hint="eastAsia" w:ascii="仿宋" w:hAnsi="仿宋" w:eastAsia="仿宋"/>
          <w:sz w:val="32"/>
          <w:szCs w:val="32"/>
        </w:rPr>
      </w:pPr>
    </w:p>
    <w:p>
      <w:pPr>
        <w:keepNext w:val="0"/>
        <w:keepLines w:val="0"/>
        <w:pageBreakBefore w:val="0"/>
        <w:widowControl w:val="0"/>
        <w:kinsoku/>
        <w:wordWrap/>
        <w:overflowPunct/>
        <w:topLinePunct w:val="0"/>
        <w:bidi w:val="0"/>
        <w:snapToGrid w:val="0"/>
        <w:spacing w:line="360" w:lineRule="auto"/>
        <w:ind w:left="0" w:leftChars="0" w:firstLine="0" w:firstLineChars="0"/>
        <w:jc w:val="center"/>
        <w:textAlignment w:val="auto"/>
        <w:rPr>
          <w:rFonts w:ascii="仿宋" w:hAnsi="仿宋" w:eastAsia="仿宋"/>
          <w:sz w:val="32"/>
          <w:szCs w:val="32"/>
        </w:rPr>
      </w:pPr>
      <w:r>
        <w:rPr>
          <w:rFonts w:hint="eastAsia" w:ascii="仿宋" w:hAnsi="仿宋" w:eastAsia="仿宋"/>
          <w:sz w:val="32"/>
          <w:szCs w:val="32"/>
        </w:rPr>
        <w:t>（图7：“三公”经费财政拨款支出结构）（饼状图）</w:t>
      </w:r>
    </w:p>
    <w:p>
      <w:pPr>
        <w:keepNext w:val="0"/>
        <w:keepLines w:val="0"/>
        <w:pageBreakBefore w:val="0"/>
        <w:widowControl w:val="0"/>
        <w:kinsoku/>
        <w:wordWrap/>
        <w:overflowPunct/>
        <w:topLinePunct w:val="0"/>
        <w:bidi w:val="0"/>
        <w:snapToGrid w:val="0"/>
        <w:spacing w:line="360" w:lineRule="auto"/>
        <w:ind w:firstLine="640"/>
        <w:jc w:val="both"/>
        <w:textAlignment w:val="auto"/>
        <w:rPr>
          <w:rFonts w:ascii="仿宋_GB2312" w:eastAsia="仿宋_GB2312"/>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rPr>
        <w:t>0万元</w:t>
      </w:r>
      <w:r>
        <w:rPr>
          <w:rStyle w:val="18"/>
          <w:rFonts w:hint="eastAsia" w:ascii="仿宋" w:hAnsi="仿宋" w:eastAsia="仿宋"/>
          <w:b w:val="0"/>
          <w:bCs/>
          <w:sz w:val="32"/>
          <w:szCs w:val="32"/>
        </w:rPr>
        <w:t>。</w:t>
      </w:r>
      <w:r>
        <w:rPr>
          <w:rFonts w:hint="eastAsia" w:ascii="仿宋_GB2312" w:eastAsia="仿宋_GB2312"/>
          <w:sz w:val="32"/>
          <w:szCs w:val="32"/>
        </w:rPr>
        <w:t>全年安排因公出国（境）团组0次，出国（境）0人。</w:t>
      </w:r>
    </w:p>
    <w:p>
      <w:pPr>
        <w:keepNext w:val="0"/>
        <w:keepLines w:val="0"/>
        <w:pageBreakBefore w:val="0"/>
        <w:widowControl w:val="0"/>
        <w:kinsoku/>
        <w:wordWrap/>
        <w:overflowPunct/>
        <w:topLinePunct w:val="0"/>
        <w:bidi w:val="0"/>
        <w:snapToGrid w:val="0"/>
        <w:spacing w:line="360" w:lineRule="auto"/>
        <w:ind w:firstLine="640"/>
        <w:jc w:val="both"/>
        <w:textAlignment w:val="auto"/>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rPr>
        <w:t>0万元</w:t>
      </w:r>
      <w:r>
        <w:rPr>
          <w:rStyle w:val="18"/>
          <w:rFonts w:hint="eastAsia" w:ascii="仿宋" w:hAnsi="仿宋" w:eastAsia="仿宋"/>
          <w:b w:val="0"/>
          <w:bCs/>
          <w:sz w:val="32"/>
          <w:szCs w:val="32"/>
        </w:rPr>
        <w:t>。单位无</w:t>
      </w:r>
      <w:r>
        <w:rPr>
          <w:rFonts w:hint="eastAsia" w:ascii="仿宋_GB2312" w:eastAsia="仿宋_GB2312"/>
          <w:sz w:val="32"/>
          <w:szCs w:val="32"/>
        </w:rPr>
        <w:t>公务用车购置及运行维护费。</w:t>
      </w:r>
    </w:p>
    <w:p>
      <w:pPr>
        <w:keepNext w:val="0"/>
        <w:keepLines w:val="0"/>
        <w:pageBreakBefore w:val="0"/>
        <w:widowControl w:val="0"/>
        <w:kinsoku/>
        <w:wordWrap/>
        <w:overflowPunct/>
        <w:topLinePunct w:val="0"/>
        <w:bidi w:val="0"/>
        <w:snapToGrid w:val="0"/>
        <w:spacing w:line="360" w:lineRule="auto"/>
        <w:ind w:firstLine="640"/>
        <w:jc w:val="both"/>
        <w:textAlignment w:val="auto"/>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rPr>
        <w:t>0.14万元，</w:t>
      </w:r>
      <w:r>
        <w:rPr>
          <w:rStyle w:val="18"/>
          <w:rFonts w:hint="eastAsia" w:ascii="仿宋" w:hAnsi="仿宋" w:eastAsia="仿宋"/>
          <w:b w:val="0"/>
          <w:bCs/>
          <w:sz w:val="32"/>
          <w:szCs w:val="32"/>
        </w:rPr>
        <w:t>完成预算70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21年增加0.09万元，增加180</w:t>
      </w:r>
      <w:r>
        <w:rPr>
          <w:rFonts w:ascii="仿宋_GB2312" w:eastAsia="仿宋_GB2312"/>
          <w:sz w:val="32"/>
          <w:szCs w:val="32"/>
        </w:rPr>
        <w:t>%</w:t>
      </w:r>
      <w:r>
        <w:rPr>
          <w:rFonts w:hint="eastAsia" w:ascii="仿宋_GB2312" w:eastAsia="仿宋_GB2312"/>
          <w:sz w:val="32"/>
          <w:szCs w:val="32"/>
        </w:rPr>
        <w:t>。主要原因是交流学习业务次数增加，接待增加。</w:t>
      </w:r>
    </w:p>
    <w:p>
      <w:pPr>
        <w:keepNext w:val="0"/>
        <w:keepLines w:val="0"/>
        <w:pageBreakBefore w:val="0"/>
        <w:widowControl w:val="0"/>
        <w:kinsoku/>
        <w:wordWrap/>
        <w:overflowPunct/>
        <w:topLinePunct w:val="0"/>
        <w:bidi w:val="0"/>
        <w:snapToGrid w:val="0"/>
        <w:spacing w:line="360" w:lineRule="auto"/>
        <w:jc w:val="both"/>
        <w:textAlignment w:val="auto"/>
        <w:rPr>
          <w:rFonts w:ascii="仿宋_GB2312" w:eastAsia="仿宋_GB2312"/>
          <w:sz w:val="32"/>
          <w:szCs w:val="32"/>
        </w:rPr>
      </w:pPr>
      <w:r>
        <w:rPr>
          <w:rFonts w:hint="eastAsia" w:ascii="仿宋" w:hAnsi="仿宋" w:eastAsia="仿宋"/>
          <w:b/>
          <w:sz w:val="32"/>
          <w:szCs w:val="32"/>
        </w:rPr>
        <w:t>国内公务接待支出0.14</w:t>
      </w:r>
      <w:r>
        <w:rPr>
          <w:rFonts w:hint="eastAsia" w:ascii="仿宋_GB2312" w:eastAsia="仿宋_GB2312"/>
          <w:sz w:val="32"/>
          <w:szCs w:val="32"/>
        </w:rPr>
        <w:t>万元，主要用于业务学习交流，国内公务接待2批次，井研县9人、峨边县8人，共计支出0.14万元，具体内容包括：进一步深化“放管服”改革，进一步推进“互联网+政务服务”健全政务服务体系，完善镇村便民服务体系，提高政务服务质量和水平。</w:t>
      </w:r>
    </w:p>
    <w:p>
      <w:pPr>
        <w:keepNext w:val="0"/>
        <w:keepLines w:val="0"/>
        <w:pageBreakBefore w:val="0"/>
        <w:widowControl w:val="0"/>
        <w:kinsoku/>
        <w:wordWrap/>
        <w:overflowPunct/>
        <w:topLinePunct w:val="0"/>
        <w:bidi w:val="0"/>
        <w:snapToGrid w:val="0"/>
        <w:spacing w:line="360" w:lineRule="auto"/>
        <w:ind w:firstLine="643" w:firstLineChars="200"/>
        <w:jc w:val="both"/>
        <w:textAlignment w:val="auto"/>
        <w:rPr>
          <w:rFonts w:ascii="黑体" w:eastAsia="黑体"/>
          <w:sz w:val="32"/>
          <w:szCs w:val="32"/>
        </w:rPr>
      </w:pPr>
      <w:r>
        <w:rPr>
          <w:rFonts w:hint="eastAsia" w:ascii="仿宋" w:hAnsi="仿宋" w:eastAsia="仿宋"/>
          <w:b/>
          <w:sz w:val="32"/>
          <w:szCs w:val="32"/>
        </w:rPr>
        <w:t>外事接待支出0</w:t>
      </w:r>
      <w:r>
        <w:rPr>
          <w:rFonts w:hint="eastAsia" w:ascii="仿宋_GB2312" w:eastAsia="仿宋_GB2312"/>
          <w:sz w:val="32"/>
          <w:szCs w:val="32"/>
        </w:rPr>
        <w:t>万元。</w:t>
      </w:r>
      <w:bookmarkStart w:id="40" w:name="_Toc15396610"/>
      <w:bookmarkStart w:id="41" w:name="_Toc15377218"/>
    </w:p>
    <w:p>
      <w:pPr>
        <w:keepNext w:val="0"/>
        <w:keepLines w:val="0"/>
        <w:pageBreakBefore w:val="0"/>
        <w:widowControl w:val="0"/>
        <w:kinsoku/>
        <w:wordWrap/>
        <w:overflowPunct/>
        <w:topLinePunct w:val="0"/>
        <w:bidi w:val="0"/>
        <w:snapToGrid w:val="0"/>
        <w:spacing w:line="360" w:lineRule="auto"/>
        <w:ind w:firstLine="640"/>
        <w:jc w:val="both"/>
        <w:textAlignment w:val="auto"/>
        <w:outlineLvl w:val="1"/>
        <w:rPr>
          <w:rStyle w:val="31"/>
          <w:rFonts w:ascii="黑体" w:hAnsi="黑体" w:eastAsia="黑体"/>
        </w:rPr>
      </w:pPr>
      <w:r>
        <w:rPr>
          <w:rFonts w:hint="eastAsia" w:ascii="黑体" w:eastAsia="黑体"/>
          <w:sz w:val="32"/>
          <w:szCs w:val="32"/>
        </w:rPr>
        <w:t>八、</w:t>
      </w:r>
      <w:r>
        <w:rPr>
          <w:rStyle w:val="31"/>
          <w:rFonts w:hint="eastAsia" w:ascii="黑体" w:hAnsi="黑体" w:eastAsia="黑体"/>
          <w:b w:val="0"/>
        </w:rPr>
        <w:t>政府性基金预算支出决算情况说明</w:t>
      </w:r>
      <w:bookmarkEnd w:id="40"/>
      <w:bookmarkEnd w:id="41"/>
    </w:p>
    <w:p>
      <w:pPr>
        <w:keepNext w:val="0"/>
        <w:keepLines w:val="0"/>
        <w:pageBreakBefore w:val="0"/>
        <w:widowControl w:val="0"/>
        <w:kinsoku/>
        <w:wordWrap/>
        <w:overflowPunct/>
        <w:topLinePunct w:val="0"/>
        <w:bidi w:val="0"/>
        <w:snapToGrid w:val="0"/>
        <w:spacing w:line="360" w:lineRule="auto"/>
        <w:ind w:firstLine="640"/>
        <w:jc w:val="both"/>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22年政府性基金预算财政拨款支出0万元。</w:t>
      </w:r>
    </w:p>
    <w:p>
      <w:pPr>
        <w:keepNext w:val="0"/>
        <w:keepLines w:val="0"/>
        <w:pageBreakBefore w:val="0"/>
        <w:widowControl w:val="0"/>
        <w:numPr>
          <w:ilvl w:val="0"/>
          <w:numId w:val="4"/>
        </w:numPr>
        <w:kinsoku/>
        <w:wordWrap/>
        <w:overflowPunct/>
        <w:topLinePunct w:val="0"/>
        <w:bidi w:val="0"/>
        <w:snapToGrid w:val="0"/>
        <w:spacing w:line="360" w:lineRule="auto"/>
        <w:ind w:firstLine="640"/>
        <w:jc w:val="both"/>
        <w:textAlignment w:val="auto"/>
        <w:outlineLvl w:val="1"/>
        <w:rPr>
          <w:rStyle w:val="31"/>
          <w:rFonts w:ascii="黑体" w:hAnsi="黑体" w:eastAsia="黑体"/>
          <w:b w:val="0"/>
        </w:rPr>
      </w:pPr>
      <w:bookmarkStart w:id="42" w:name="_Toc15377219"/>
      <w:bookmarkStart w:id="43" w:name="_Toc15396611"/>
      <w:r>
        <w:rPr>
          <w:rStyle w:val="31"/>
          <w:rFonts w:hint="eastAsia" w:ascii="黑体" w:hAnsi="黑体" w:eastAsia="黑体"/>
          <w:b w:val="0"/>
        </w:rPr>
        <w:t>国有资本经营预算支出决算情况说明</w:t>
      </w:r>
      <w:bookmarkEnd w:id="42"/>
      <w:bookmarkEnd w:id="43"/>
    </w:p>
    <w:p>
      <w:pPr>
        <w:keepNext w:val="0"/>
        <w:keepLines w:val="0"/>
        <w:pageBreakBefore w:val="0"/>
        <w:widowControl w:val="0"/>
        <w:kinsoku/>
        <w:wordWrap/>
        <w:overflowPunct/>
        <w:topLinePunct w:val="0"/>
        <w:bidi w:val="0"/>
        <w:snapToGrid w:val="0"/>
        <w:spacing w:line="360" w:lineRule="auto"/>
        <w:ind w:firstLine="640"/>
        <w:jc w:val="both"/>
        <w:textAlignment w:val="auto"/>
        <w:rPr>
          <w:rFonts w:ascii="方正小标宋简体" w:hAnsi="方正小标宋简体" w:eastAsia="方正小标宋简体" w:cs="方正小标宋简体"/>
          <w:sz w:val="44"/>
          <w:szCs w:val="44"/>
        </w:rPr>
      </w:pPr>
      <w:r>
        <w:rPr>
          <w:rFonts w:ascii="仿宋_GB2312" w:eastAsia="仿宋_GB2312"/>
          <w:sz w:val="32"/>
          <w:szCs w:val="32"/>
        </w:rPr>
        <w:t>20</w:t>
      </w:r>
      <w:r>
        <w:rPr>
          <w:rFonts w:hint="eastAsia" w:ascii="仿宋_GB2312" w:eastAsia="仿宋_GB2312"/>
          <w:sz w:val="32"/>
          <w:szCs w:val="32"/>
        </w:rPr>
        <w:t>22年国有资本经营预算财政拨款支出0万元。</w:t>
      </w:r>
    </w:p>
    <w:p>
      <w:pPr>
        <w:keepNext w:val="0"/>
        <w:keepLines w:val="0"/>
        <w:pageBreakBefore w:val="0"/>
        <w:widowControl w:val="0"/>
        <w:numPr>
          <w:ilvl w:val="0"/>
          <w:numId w:val="4"/>
        </w:numPr>
        <w:kinsoku/>
        <w:wordWrap/>
        <w:overflowPunct/>
        <w:topLinePunct w:val="0"/>
        <w:bidi w:val="0"/>
        <w:snapToGrid w:val="0"/>
        <w:spacing w:line="360" w:lineRule="auto"/>
        <w:ind w:firstLine="640"/>
        <w:jc w:val="both"/>
        <w:textAlignment w:val="auto"/>
        <w:outlineLvl w:val="1"/>
        <w:rPr>
          <w:rStyle w:val="31"/>
          <w:rFonts w:ascii="黑体" w:hAnsi="黑体" w:eastAsia="黑体"/>
          <w:b w:val="0"/>
        </w:rPr>
      </w:pPr>
      <w:bookmarkStart w:id="44" w:name="_Toc15396612"/>
      <w:bookmarkStart w:id="45" w:name="_Toc15377221"/>
      <w:r>
        <w:rPr>
          <w:rStyle w:val="31"/>
          <w:rFonts w:hint="eastAsia" w:ascii="黑体" w:hAnsi="黑体" w:eastAsia="黑体"/>
          <w:b w:val="0"/>
        </w:rPr>
        <w:t>其他重要事项的情况说明</w:t>
      </w:r>
      <w:bookmarkEnd w:id="44"/>
      <w:bookmarkEnd w:id="45"/>
    </w:p>
    <w:p>
      <w:pPr>
        <w:keepNext w:val="0"/>
        <w:keepLines w:val="0"/>
        <w:pageBreakBefore w:val="0"/>
        <w:widowControl w:val="0"/>
        <w:kinsoku/>
        <w:wordWrap/>
        <w:overflowPunct/>
        <w:topLinePunct w:val="0"/>
        <w:bidi w:val="0"/>
        <w:snapToGrid w:val="0"/>
        <w:spacing w:line="360" w:lineRule="auto"/>
        <w:ind w:firstLine="643" w:firstLineChars="200"/>
        <w:jc w:val="both"/>
        <w:textAlignment w:val="auto"/>
        <w:outlineLvl w:val="2"/>
        <w:rPr>
          <w:rFonts w:ascii="仿宋" w:hAnsi="仿宋" w:eastAsia="仿宋"/>
          <w:sz w:val="32"/>
          <w:szCs w:val="32"/>
        </w:rPr>
      </w:pPr>
      <w:bookmarkStart w:id="46" w:name="_Toc15377222"/>
      <w:r>
        <w:rPr>
          <w:rFonts w:hint="eastAsia" w:ascii="仿宋" w:hAnsi="仿宋" w:eastAsia="仿宋"/>
          <w:b/>
          <w:sz w:val="32"/>
          <w:szCs w:val="32"/>
        </w:rPr>
        <w:t>（一）机关运行经费支出情况</w:t>
      </w:r>
      <w:bookmarkEnd w:id="46"/>
    </w:p>
    <w:p>
      <w:pPr>
        <w:keepNext w:val="0"/>
        <w:keepLines w:val="0"/>
        <w:pageBreakBefore w:val="0"/>
        <w:widowControl w:val="0"/>
        <w:kinsoku/>
        <w:wordWrap/>
        <w:overflowPunct/>
        <w:topLinePunct w:val="0"/>
        <w:bidi w:val="0"/>
        <w:snapToGrid w:val="0"/>
        <w:spacing w:line="360" w:lineRule="auto"/>
        <w:ind w:firstLine="640" w:firstLineChars="200"/>
        <w:jc w:val="both"/>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22年，行政审批局机关运行经费支出58.4万元，比</w:t>
      </w:r>
      <w:r>
        <w:rPr>
          <w:rFonts w:ascii="仿宋_GB2312" w:eastAsia="仿宋_GB2312"/>
          <w:sz w:val="32"/>
          <w:szCs w:val="32"/>
        </w:rPr>
        <w:t>20</w:t>
      </w:r>
      <w:r>
        <w:rPr>
          <w:rFonts w:hint="eastAsia" w:ascii="仿宋_GB2312" w:eastAsia="仿宋_GB2312"/>
          <w:sz w:val="32"/>
          <w:szCs w:val="32"/>
        </w:rPr>
        <w:t>21年增加1.95万元，增长3.45</w:t>
      </w:r>
      <w:r>
        <w:rPr>
          <w:rFonts w:ascii="仿宋_GB2312" w:eastAsia="仿宋_GB2312"/>
          <w:sz w:val="32"/>
          <w:szCs w:val="32"/>
        </w:rPr>
        <w:t>%</w:t>
      </w:r>
      <w:r>
        <w:rPr>
          <w:rFonts w:hint="eastAsia" w:ascii="仿宋_GB2312" w:eastAsia="仿宋_GB2312"/>
          <w:sz w:val="32"/>
          <w:szCs w:val="32"/>
        </w:rPr>
        <w:t>。主要原因是购置办公用品增加。</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643" w:firstLineChars="200"/>
        <w:jc w:val="both"/>
        <w:textAlignment w:val="auto"/>
        <w:outlineLvl w:val="2"/>
        <w:rPr>
          <w:rFonts w:ascii="仿宋" w:hAnsi="仿宋" w:eastAsia="仿宋"/>
          <w:b/>
          <w:sz w:val="32"/>
          <w:szCs w:val="32"/>
        </w:rPr>
      </w:pPr>
      <w:bookmarkStart w:id="47" w:name="_Toc15377223"/>
      <w:r>
        <w:rPr>
          <w:rFonts w:hint="eastAsia" w:ascii="仿宋" w:hAnsi="仿宋" w:eastAsia="仿宋"/>
          <w:b/>
          <w:sz w:val="32"/>
          <w:szCs w:val="32"/>
        </w:rPr>
        <w:t>（二）政府采购支出情况</w:t>
      </w:r>
      <w:bookmarkEnd w:id="47"/>
    </w:p>
    <w:p>
      <w:pPr>
        <w:keepNext w:val="0"/>
        <w:keepLines w:val="0"/>
        <w:pageBreakBefore w:val="0"/>
        <w:widowControl w:val="0"/>
        <w:kinsoku/>
        <w:wordWrap/>
        <w:overflowPunct/>
        <w:topLinePunct w:val="0"/>
        <w:bidi w:val="0"/>
        <w:snapToGrid w:val="0"/>
        <w:spacing w:line="360" w:lineRule="auto"/>
        <w:ind w:firstLine="640" w:firstLineChars="200"/>
        <w:jc w:val="both"/>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22年，沐川县政府采购支出总额1万元，其中：政府采购办公设备购置支出1万元。</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643" w:firstLineChars="200"/>
        <w:jc w:val="both"/>
        <w:textAlignment w:val="auto"/>
        <w:outlineLvl w:val="2"/>
        <w:rPr>
          <w:rFonts w:ascii="仿宋" w:hAnsi="仿宋" w:eastAsia="仿宋"/>
          <w:b/>
          <w:sz w:val="32"/>
          <w:szCs w:val="32"/>
        </w:rPr>
      </w:pPr>
      <w:bookmarkStart w:id="48" w:name="_Toc15377224"/>
      <w:r>
        <w:rPr>
          <w:rFonts w:hint="eastAsia" w:ascii="仿宋" w:hAnsi="仿宋" w:eastAsia="仿宋"/>
          <w:b/>
          <w:sz w:val="32"/>
          <w:szCs w:val="32"/>
        </w:rPr>
        <w:t>（三）国有资产占有使用情况</w:t>
      </w:r>
      <w:bookmarkEnd w:id="48"/>
    </w:p>
    <w:p>
      <w:pPr>
        <w:keepNext w:val="0"/>
        <w:keepLines w:val="0"/>
        <w:pageBreakBefore w:val="0"/>
        <w:widowControl w:val="0"/>
        <w:kinsoku/>
        <w:wordWrap/>
        <w:overflowPunct/>
        <w:topLinePunct w:val="0"/>
        <w:autoSpaceDE w:val="0"/>
        <w:autoSpaceDN w:val="0"/>
        <w:bidi w:val="0"/>
        <w:adjustRightInd w:val="0"/>
        <w:snapToGrid w:val="0"/>
        <w:spacing w:line="360" w:lineRule="auto"/>
        <w:ind w:firstLine="640" w:firstLineChars="200"/>
        <w:jc w:val="both"/>
        <w:textAlignment w:val="auto"/>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22年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日，单位无公用车辆，无单价</w:t>
      </w:r>
      <w:r>
        <w:rPr>
          <w:rFonts w:ascii="仿宋_GB2312" w:eastAsia="仿宋_GB2312"/>
          <w:sz w:val="32"/>
          <w:szCs w:val="32"/>
        </w:rPr>
        <w:t>100</w:t>
      </w:r>
      <w:r>
        <w:rPr>
          <w:rFonts w:hint="eastAsia" w:ascii="仿宋_GB2312" w:eastAsia="仿宋_GB2312"/>
          <w:sz w:val="32"/>
          <w:szCs w:val="32"/>
        </w:rPr>
        <w:t>万元以上专用设备。</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643" w:firstLineChars="200"/>
        <w:jc w:val="both"/>
        <w:textAlignment w:val="auto"/>
        <w:outlineLvl w:val="2"/>
        <w:rPr>
          <w:rFonts w:ascii="仿宋_GB2312" w:hAnsi="仿宋_GB2312" w:eastAsia="仿宋_GB2312" w:cs="仿宋_GB2312"/>
          <w:color w:val="000000"/>
          <w:kern w:val="0"/>
          <w:sz w:val="32"/>
          <w:szCs w:val="32"/>
        </w:rPr>
      </w:pPr>
      <w:r>
        <w:rPr>
          <w:rFonts w:hint="eastAsia" w:ascii="仿宋" w:hAnsi="仿宋" w:eastAsia="仿宋"/>
          <w:b/>
          <w:sz w:val="32"/>
          <w:szCs w:val="32"/>
        </w:rPr>
        <w:t>（四）预算绩效管理情况</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640" w:firstLineChars="200"/>
        <w:jc w:val="both"/>
        <w:textAlignment w:val="auto"/>
        <w:rPr>
          <w:rFonts w:ascii="仿宋_GB2312" w:eastAsia="仿宋_GB2312"/>
          <w:sz w:val="32"/>
          <w:szCs w:val="32"/>
        </w:rPr>
      </w:pPr>
      <w:r>
        <w:rPr>
          <w:rFonts w:hint="eastAsia" w:ascii="仿宋_GB2312" w:eastAsia="仿宋_GB2312"/>
          <w:sz w:val="32"/>
          <w:szCs w:val="32"/>
        </w:rPr>
        <w:t>根据预算绩效管理要求，本部门在2022年度预算编制阶段，组织对“政务运转工作经费项目”“船舶检测”等4个项目开展了预算事前绩效评估，对4个项目编制了绩效目标，预算执行过程中，选取1个项目开展绩效监控，年终执行完毕后，对4个项目开展了绩效自评。同时，本部门对2022年部门整体开展绩效自评，《2022年行政审批局部门整体绩效评价报告》见附件（第四部分）。</w:t>
      </w:r>
    </w:p>
    <w:p>
      <w:r>
        <w:br w:type="page"/>
      </w:r>
    </w:p>
    <w:p>
      <w:pPr>
        <w:pStyle w:val="2"/>
      </w:pPr>
    </w:p>
    <w:p>
      <w:pPr>
        <w:pStyle w:val="14"/>
        <w:shd w:val="clear" w:color="auto" w:fill="FFFFFF"/>
        <w:spacing w:before="0" w:beforeAutospacing="0" w:after="0" w:afterAutospacing="0" w:line="600" w:lineRule="atLeast"/>
        <w:ind w:firstLine="660"/>
        <w:jc w:val="center"/>
        <w:rPr>
          <w:rFonts w:ascii="Times New Roman" w:hAnsi="Times New Roman" w:cs="Times New Roman"/>
          <w:color w:val="000000"/>
          <w:sz w:val="21"/>
          <w:szCs w:val="21"/>
        </w:rPr>
      </w:pPr>
      <w:r>
        <w:rPr>
          <w:rFonts w:hint="eastAsia" w:ascii="黑体" w:hAnsi="黑体" w:eastAsia="黑体" w:cs="Times New Roman"/>
          <w:color w:val="000000"/>
          <w:sz w:val="44"/>
          <w:szCs w:val="44"/>
        </w:rPr>
        <w:t>第三部分</w:t>
      </w:r>
      <w:r>
        <w:rPr>
          <w:rFonts w:hint="eastAsia"/>
          <w:color w:val="000000"/>
          <w:sz w:val="44"/>
          <w:szCs w:val="44"/>
        </w:rPr>
        <w:t>  </w:t>
      </w:r>
      <w:r>
        <w:rPr>
          <w:rFonts w:hint="eastAsia" w:ascii="黑体" w:hAnsi="黑体" w:eastAsia="黑体" w:cs="Times New Roman"/>
          <w:color w:val="000000"/>
          <w:sz w:val="44"/>
          <w:szCs w:val="44"/>
        </w:rPr>
        <w:t>名</w:t>
      </w:r>
      <w:r>
        <w:rPr>
          <w:rFonts w:hint="eastAsia" w:ascii="黑体" w:hAnsi="黑体" w:eastAsia="黑体" w:cs="Times New Roman"/>
          <w:b/>
          <w:bCs/>
          <w:color w:val="000000"/>
          <w:sz w:val="44"/>
          <w:szCs w:val="44"/>
        </w:rPr>
        <w:t>词解释</w:t>
      </w:r>
    </w:p>
    <w:p>
      <w:pPr>
        <w:pStyle w:val="14"/>
        <w:shd w:val="clear" w:color="auto" w:fill="FFFFFF"/>
        <w:spacing w:before="0" w:beforeAutospacing="0" w:after="0" w:afterAutospacing="0" w:line="600" w:lineRule="atLeast"/>
        <w:jc w:val="center"/>
        <w:rPr>
          <w:rFonts w:ascii="Times New Roman" w:hAnsi="Times New Roman" w:cs="Times New Roman"/>
          <w:color w:val="000000"/>
          <w:sz w:val="21"/>
          <w:szCs w:val="21"/>
        </w:rPr>
      </w:pPr>
      <w:r>
        <w:rPr>
          <w:rFonts w:ascii="Times New Roman" w:hAnsi="Times New Roman" w:cs="Times New Roman"/>
          <w:color w:val="000000"/>
          <w:sz w:val="21"/>
          <w:szCs w:val="21"/>
        </w:rPr>
        <w:t> </w:t>
      </w:r>
    </w:p>
    <w:p>
      <w:pPr>
        <w:pStyle w:val="14"/>
        <w:keepNext w:val="0"/>
        <w:keepLines w:val="0"/>
        <w:pageBreakBefore w:val="0"/>
        <w:shd w:val="clear" w:color="auto" w:fill="FFFFFF"/>
        <w:kinsoku/>
        <w:wordWrap/>
        <w:overflowPunct/>
        <w:topLinePunct w:val="0"/>
        <w:bidi w:val="0"/>
        <w:snapToGrid w:val="0"/>
        <w:spacing w:before="0" w:beforeAutospacing="0" w:after="0" w:afterAutospacing="0" w:line="360" w:lineRule="auto"/>
        <w:ind w:firstLine="640"/>
        <w:jc w:val="both"/>
        <w:textAlignment w:val="auto"/>
        <w:rPr>
          <w:rFonts w:ascii="仿宋" w:hAnsi="仿宋" w:eastAsia="仿宋"/>
          <w:color w:val="000000"/>
        </w:rPr>
      </w:pPr>
      <w:r>
        <w:rPr>
          <w:rFonts w:hint="eastAsia" w:ascii="仿宋_GB2312" w:hAnsi="仿宋" w:eastAsia="仿宋_GB2312"/>
          <w:color w:val="000000"/>
          <w:sz w:val="32"/>
          <w:szCs w:val="32"/>
        </w:rPr>
        <w:t>1.财政拨款收支情况：</w:t>
      </w:r>
      <w:r>
        <w:rPr>
          <w:rFonts w:ascii="仿宋_GB2312" w:hAnsi="Times New Roman" w:eastAsia="仿宋_GB2312" w:cs="Times New Roman"/>
          <w:color w:val="000000"/>
          <w:sz w:val="32"/>
          <w:szCs w:val="32"/>
        </w:rPr>
        <w:t>是指</w:t>
      </w:r>
      <w:r>
        <w:rPr>
          <w:rFonts w:hint="eastAsia" w:ascii="仿宋_GB2312" w:hAnsi="仿宋" w:eastAsia="仿宋_GB2312"/>
          <w:color w:val="000000"/>
          <w:sz w:val="32"/>
          <w:szCs w:val="32"/>
        </w:rPr>
        <w:t>一般公共预算、政府性基金预算、国有资本经营预算拨款收支情况。</w:t>
      </w:r>
    </w:p>
    <w:p>
      <w:pPr>
        <w:pStyle w:val="14"/>
        <w:keepNext w:val="0"/>
        <w:keepLines w:val="0"/>
        <w:pageBreakBefore w:val="0"/>
        <w:shd w:val="clear" w:color="auto" w:fill="FFFFFF"/>
        <w:kinsoku/>
        <w:wordWrap/>
        <w:overflowPunct/>
        <w:topLinePunct w:val="0"/>
        <w:bidi w:val="0"/>
        <w:snapToGrid w:val="0"/>
        <w:spacing w:before="0" w:beforeAutospacing="0" w:after="0" w:afterAutospacing="0" w:line="360" w:lineRule="auto"/>
        <w:ind w:firstLine="640"/>
        <w:jc w:val="both"/>
        <w:textAlignment w:val="auto"/>
        <w:rPr>
          <w:rFonts w:ascii="仿宋" w:hAnsi="仿宋" w:eastAsia="仿宋"/>
          <w:color w:val="000000"/>
        </w:rPr>
      </w:pPr>
      <w:r>
        <w:rPr>
          <w:rFonts w:hint="eastAsia" w:ascii="仿宋_GB2312" w:hAnsi="仿宋" w:eastAsia="仿宋_GB2312"/>
          <w:color w:val="000000"/>
          <w:sz w:val="32"/>
          <w:szCs w:val="32"/>
        </w:rPr>
        <w:t>2.一般公共预算拨款收入：指县级财政当年拨付的资金。</w:t>
      </w:r>
    </w:p>
    <w:p>
      <w:pPr>
        <w:pStyle w:val="14"/>
        <w:keepNext w:val="0"/>
        <w:keepLines w:val="0"/>
        <w:pageBreakBefore w:val="0"/>
        <w:shd w:val="clear" w:color="auto" w:fill="FFFFFF"/>
        <w:kinsoku/>
        <w:wordWrap/>
        <w:overflowPunct/>
        <w:topLinePunct w:val="0"/>
        <w:bidi w:val="0"/>
        <w:snapToGrid w:val="0"/>
        <w:spacing w:before="0" w:beforeAutospacing="0" w:after="0" w:afterAutospacing="0" w:line="360" w:lineRule="auto"/>
        <w:ind w:firstLine="640"/>
        <w:jc w:val="both"/>
        <w:textAlignment w:val="auto"/>
        <w:rPr>
          <w:rFonts w:ascii="仿宋" w:hAnsi="仿宋" w:eastAsia="仿宋"/>
          <w:color w:val="000000"/>
        </w:rPr>
      </w:pPr>
      <w:r>
        <w:rPr>
          <w:rFonts w:hint="eastAsia" w:ascii="仿宋_GB2312" w:hAnsi="仿宋" w:eastAsia="仿宋_GB2312"/>
          <w:color w:val="000000"/>
          <w:sz w:val="32"/>
          <w:szCs w:val="32"/>
        </w:rPr>
        <w:t>3.事业收入：指事业单位开展专业业务活动及辅助活动所取得的收入。</w:t>
      </w:r>
    </w:p>
    <w:p>
      <w:pPr>
        <w:pStyle w:val="14"/>
        <w:keepNext w:val="0"/>
        <w:keepLines w:val="0"/>
        <w:pageBreakBefore w:val="0"/>
        <w:shd w:val="clear" w:color="auto" w:fill="FFFFFF"/>
        <w:kinsoku/>
        <w:wordWrap/>
        <w:overflowPunct/>
        <w:topLinePunct w:val="0"/>
        <w:bidi w:val="0"/>
        <w:snapToGrid w:val="0"/>
        <w:spacing w:before="0" w:beforeAutospacing="0" w:after="0" w:afterAutospacing="0" w:line="360" w:lineRule="auto"/>
        <w:ind w:firstLine="640"/>
        <w:jc w:val="both"/>
        <w:textAlignment w:val="auto"/>
        <w:rPr>
          <w:rFonts w:ascii="仿宋" w:hAnsi="仿宋" w:eastAsia="仿宋"/>
          <w:color w:val="000000"/>
        </w:rPr>
      </w:pPr>
      <w:r>
        <w:rPr>
          <w:rFonts w:hint="eastAsia" w:ascii="仿宋_GB2312" w:hAnsi="仿宋" w:eastAsia="仿宋_GB2312"/>
          <w:color w:val="000000"/>
          <w:sz w:val="32"/>
          <w:szCs w:val="32"/>
        </w:rPr>
        <w:t>4.事业单位经营收入：指事业单位在专业业务活动及其辅助活动之外开展非独立核算经营活动取得的收入。</w:t>
      </w:r>
    </w:p>
    <w:p>
      <w:pPr>
        <w:pStyle w:val="14"/>
        <w:keepNext w:val="0"/>
        <w:keepLines w:val="0"/>
        <w:pageBreakBefore w:val="0"/>
        <w:shd w:val="clear" w:color="auto" w:fill="FFFFFF"/>
        <w:kinsoku/>
        <w:wordWrap/>
        <w:overflowPunct/>
        <w:topLinePunct w:val="0"/>
        <w:bidi w:val="0"/>
        <w:snapToGrid w:val="0"/>
        <w:spacing w:before="0" w:beforeAutospacing="0" w:after="0" w:afterAutospacing="0" w:line="360" w:lineRule="auto"/>
        <w:ind w:firstLine="640"/>
        <w:jc w:val="both"/>
        <w:textAlignment w:val="auto"/>
        <w:rPr>
          <w:rFonts w:ascii="仿宋" w:hAnsi="仿宋" w:eastAsia="仿宋"/>
          <w:color w:val="000000"/>
        </w:rPr>
      </w:pPr>
      <w:r>
        <w:rPr>
          <w:rFonts w:hint="eastAsia" w:ascii="仿宋_GB2312" w:hAnsi="仿宋" w:eastAsia="仿宋_GB2312"/>
          <w:color w:val="000000"/>
          <w:sz w:val="32"/>
          <w:szCs w:val="32"/>
        </w:rPr>
        <w:t>5.上年结转：指以前年度尚未完成，结转到本年仍按原规定用途继续使用的资金。</w:t>
      </w:r>
    </w:p>
    <w:p>
      <w:pPr>
        <w:pStyle w:val="14"/>
        <w:keepNext w:val="0"/>
        <w:keepLines w:val="0"/>
        <w:pageBreakBefore w:val="0"/>
        <w:shd w:val="clear" w:color="auto" w:fill="FFFFFF"/>
        <w:kinsoku/>
        <w:wordWrap/>
        <w:overflowPunct/>
        <w:topLinePunct w:val="0"/>
        <w:bidi w:val="0"/>
        <w:snapToGrid w:val="0"/>
        <w:spacing w:before="0" w:beforeAutospacing="0" w:after="0" w:afterAutospacing="0" w:line="360" w:lineRule="auto"/>
        <w:ind w:firstLine="640"/>
        <w:jc w:val="both"/>
        <w:textAlignment w:val="auto"/>
        <w:rPr>
          <w:rFonts w:ascii="仿宋" w:hAnsi="仿宋" w:eastAsia="仿宋"/>
          <w:color w:val="000000"/>
        </w:rPr>
      </w:pPr>
      <w:r>
        <w:rPr>
          <w:rFonts w:hint="eastAsia" w:ascii="仿宋_GB2312" w:hAnsi="仿宋" w:eastAsia="仿宋_GB2312"/>
          <w:color w:val="000000"/>
          <w:sz w:val="32"/>
          <w:szCs w:val="32"/>
        </w:rPr>
        <w:t>6.社会保障和就业支出（类）行政事业单位养老支出（款）机关事业单位基本养老保险缴费支出（项）：指机关事业单位实施养老保险制度由单位缴纳的基本养老保险费支出。</w:t>
      </w:r>
    </w:p>
    <w:p>
      <w:pPr>
        <w:pStyle w:val="14"/>
        <w:keepNext w:val="0"/>
        <w:keepLines w:val="0"/>
        <w:pageBreakBefore w:val="0"/>
        <w:shd w:val="clear" w:color="auto" w:fill="FFFFFF"/>
        <w:kinsoku/>
        <w:wordWrap/>
        <w:overflowPunct/>
        <w:topLinePunct w:val="0"/>
        <w:bidi w:val="0"/>
        <w:snapToGrid w:val="0"/>
        <w:spacing w:before="0" w:beforeAutospacing="0" w:after="0" w:afterAutospacing="0" w:line="360" w:lineRule="auto"/>
        <w:ind w:firstLine="640"/>
        <w:jc w:val="both"/>
        <w:textAlignment w:val="auto"/>
        <w:rPr>
          <w:rFonts w:ascii="仿宋" w:hAnsi="仿宋" w:eastAsia="仿宋"/>
          <w:color w:val="000000"/>
        </w:rPr>
      </w:pPr>
      <w:r>
        <w:rPr>
          <w:rFonts w:hint="eastAsia" w:ascii="仿宋_GB2312" w:hAnsi="仿宋" w:eastAsia="仿宋_GB2312"/>
          <w:color w:val="000000"/>
          <w:sz w:val="32"/>
          <w:szCs w:val="32"/>
        </w:rPr>
        <w:t>7.社会保障和就业支出（类）行政事业单位养老支出（款）机关事业单位职业年金缴费支出（项）：指机关事业单位实施养老保险制度由单位缴纳的职业年金支出。</w:t>
      </w:r>
    </w:p>
    <w:p>
      <w:pPr>
        <w:pStyle w:val="14"/>
        <w:keepNext w:val="0"/>
        <w:keepLines w:val="0"/>
        <w:pageBreakBefore w:val="0"/>
        <w:shd w:val="clear" w:color="auto" w:fill="FFFFFF"/>
        <w:kinsoku/>
        <w:wordWrap/>
        <w:overflowPunct/>
        <w:topLinePunct w:val="0"/>
        <w:bidi w:val="0"/>
        <w:snapToGrid w:val="0"/>
        <w:spacing w:before="0" w:beforeAutospacing="0" w:after="0" w:afterAutospacing="0" w:line="360" w:lineRule="auto"/>
        <w:ind w:firstLine="640"/>
        <w:jc w:val="both"/>
        <w:textAlignment w:val="auto"/>
        <w:rPr>
          <w:rFonts w:ascii="仿宋" w:hAnsi="仿宋" w:eastAsia="仿宋"/>
          <w:color w:val="000000"/>
        </w:rPr>
      </w:pPr>
      <w:r>
        <w:rPr>
          <w:rFonts w:hint="eastAsia" w:ascii="仿宋_GB2312" w:hAnsi="仿宋" w:eastAsia="仿宋_GB2312"/>
          <w:color w:val="000000"/>
          <w:sz w:val="32"/>
          <w:szCs w:val="32"/>
        </w:rPr>
        <w:t>8.卫生健康支出（类）行政事业单位医疗（款）行政单位医疗（项）：指财政部门安排的行政单位（包括实行公务员管理的事业单位）基本医疗保险缴费经费，未参加医疗保险的行政单位的公费医疗经费，按国家规定享受离休人员、红军老战士待遇人员的医疗经费。</w:t>
      </w:r>
    </w:p>
    <w:p>
      <w:pPr>
        <w:pStyle w:val="14"/>
        <w:keepNext w:val="0"/>
        <w:keepLines w:val="0"/>
        <w:pageBreakBefore w:val="0"/>
        <w:shd w:val="clear" w:color="auto" w:fill="FFFFFF"/>
        <w:kinsoku/>
        <w:wordWrap/>
        <w:overflowPunct/>
        <w:topLinePunct w:val="0"/>
        <w:bidi w:val="0"/>
        <w:snapToGrid w:val="0"/>
        <w:spacing w:before="0" w:beforeAutospacing="0" w:after="0" w:afterAutospacing="0" w:line="360" w:lineRule="auto"/>
        <w:ind w:firstLine="640"/>
        <w:jc w:val="both"/>
        <w:textAlignment w:val="auto"/>
        <w:rPr>
          <w:rFonts w:ascii="仿宋" w:hAnsi="仿宋" w:eastAsia="仿宋"/>
          <w:color w:val="000000"/>
        </w:rPr>
      </w:pPr>
      <w:r>
        <w:rPr>
          <w:rFonts w:hint="eastAsia" w:ascii="仿宋_GB2312" w:hAnsi="仿宋" w:eastAsia="仿宋_GB2312"/>
          <w:color w:val="000000"/>
          <w:sz w:val="32"/>
          <w:szCs w:val="32"/>
        </w:rPr>
        <w:t>9.卫生健康支出（类）行政事业单位医疗（款）事业单位医疗（项）：指财政部门安排的事业单位基本医疗保险缴费经费，未参加医疗保险的事业单位的公费医疗经费，按国家规定享受离休人员、红军老战士待遇人员的医疗经费。</w:t>
      </w:r>
    </w:p>
    <w:p>
      <w:pPr>
        <w:pStyle w:val="14"/>
        <w:keepNext w:val="0"/>
        <w:keepLines w:val="0"/>
        <w:pageBreakBefore w:val="0"/>
        <w:shd w:val="clear" w:color="auto" w:fill="FFFFFF"/>
        <w:kinsoku/>
        <w:wordWrap/>
        <w:overflowPunct/>
        <w:topLinePunct w:val="0"/>
        <w:bidi w:val="0"/>
        <w:snapToGrid w:val="0"/>
        <w:spacing w:before="0" w:beforeAutospacing="0" w:after="0" w:afterAutospacing="0" w:line="360" w:lineRule="auto"/>
        <w:ind w:firstLine="640"/>
        <w:jc w:val="both"/>
        <w:textAlignment w:val="auto"/>
        <w:rPr>
          <w:rFonts w:ascii="仿宋" w:hAnsi="仿宋" w:eastAsia="仿宋"/>
          <w:color w:val="000000"/>
        </w:rPr>
      </w:pPr>
      <w:r>
        <w:rPr>
          <w:rFonts w:hint="eastAsia" w:ascii="仿宋_GB2312" w:hAnsi="仿宋" w:eastAsia="仿宋_GB2312"/>
          <w:color w:val="000000"/>
          <w:sz w:val="32"/>
          <w:szCs w:val="32"/>
        </w:rPr>
        <w:t>10.卫生健康支出（类）行政事业单位医疗（款）公务员医疗补助（项）：指财政部门安排的公务员医疗补助经费。</w:t>
      </w:r>
    </w:p>
    <w:p>
      <w:pPr>
        <w:pStyle w:val="14"/>
        <w:keepNext w:val="0"/>
        <w:keepLines w:val="0"/>
        <w:pageBreakBefore w:val="0"/>
        <w:shd w:val="clear" w:color="auto" w:fill="FFFFFF"/>
        <w:kinsoku/>
        <w:wordWrap/>
        <w:overflowPunct/>
        <w:topLinePunct w:val="0"/>
        <w:bidi w:val="0"/>
        <w:snapToGrid w:val="0"/>
        <w:spacing w:before="0" w:beforeAutospacing="0" w:after="0" w:afterAutospacing="0" w:line="360" w:lineRule="auto"/>
        <w:ind w:firstLine="640"/>
        <w:jc w:val="both"/>
        <w:textAlignment w:val="auto"/>
        <w:rPr>
          <w:rFonts w:ascii="仿宋" w:hAnsi="仿宋" w:eastAsia="仿宋"/>
          <w:color w:val="000000"/>
        </w:rPr>
      </w:pPr>
      <w:r>
        <w:rPr>
          <w:rFonts w:hint="eastAsia" w:ascii="仿宋_GB2312" w:hAnsi="仿宋" w:eastAsia="仿宋_GB2312"/>
          <w:color w:val="000000"/>
          <w:sz w:val="32"/>
          <w:szCs w:val="32"/>
        </w:rPr>
        <w:t>11.住房保障支出（类）住房改革支出（款）住房公积金（项）：指行政事业单位按人力资源和社会保障部、财政部规定的基本工资和津贴补贴以及规定比例为职缴纳的住房公积金。</w:t>
      </w:r>
    </w:p>
    <w:p>
      <w:pPr>
        <w:pStyle w:val="14"/>
        <w:keepNext w:val="0"/>
        <w:keepLines w:val="0"/>
        <w:pageBreakBefore w:val="0"/>
        <w:shd w:val="clear" w:color="auto" w:fill="FFFFFF"/>
        <w:kinsoku/>
        <w:wordWrap/>
        <w:overflowPunct/>
        <w:topLinePunct w:val="0"/>
        <w:bidi w:val="0"/>
        <w:snapToGrid w:val="0"/>
        <w:spacing w:before="0" w:beforeAutospacing="0" w:after="0" w:afterAutospacing="0" w:line="360" w:lineRule="auto"/>
        <w:ind w:firstLine="640"/>
        <w:jc w:val="both"/>
        <w:textAlignment w:val="auto"/>
        <w:rPr>
          <w:rFonts w:ascii="仿宋" w:hAnsi="仿宋" w:eastAsia="仿宋"/>
          <w:color w:val="000000"/>
        </w:rPr>
      </w:pPr>
      <w:r>
        <w:rPr>
          <w:rFonts w:hint="eastAsia" w:ascii="仿宋_GB2312" w:hAnsi="仿宋" w:eastAsia="仿宋_GB2312"/>
          <w:color w:val="000000"/>
          <w:sz w:val="32"/>
          <w:szCs w:val="32"/>
        </w:rPr>
        <w:t>12.基本支出：指为保证机构正常运转，完成日常工作任务而发生的人员支出和公用支出。</w:t>
      </w:r>
    </w:p>
    <w:p>
      <w:pPr>
        <w:pStyle w:val="14"/>
        <w:keepNext w:val="0"/>
        <w:keepLines w:val="0"/>
        <w:pageBreakBefore w:val="0"/>
        <w:shd w:val="clear" w:color="auto" w:fill="FFFFFF"/>
        <w:kinsoku/>
        <w:wordWrap/>
        <w:overflowPunct/>
        <w:topLinePunct w:val="0"/>
        <w:bidi w:val="0"/>
        <w:snapToGrid w:val="0"/>
        <w:spacing w:before="0" w:beforeAutospacing="0" w:after="0" w:afterAutospacing="0" w:line="360" w:lineRule="auto"/>
        <w:ind w:firstLine="640"/>
        <w:jc w:val="both"/>
        <w:textAlignment w:val="auto"/>
      </w:pPr>
      <w:r>
        <w:rPr>
          <w:rFonts w:hint="eastAsia" w:ascii="仿宋_GB2312" w:hAnsi="仿宋" w:eastAsia="仿宋_GB2312"/>
          <w:color w:val="000000"/>
          <w:sz w:val="32"/>
          <w:szCs w:val="32"/>
        </w:rPr>
        <w:t>13.项目支出：指在基本支出之外为完成特定行政任务和事业发展目标所发生的支出。</w:t>
      </w:r>
      <w:r>
        <w:rPr>
          <w:rFonts w:hint="eastAsia"/>
          <w:color w:val="000000"/>
        </w:rPr>
        <w:t> </w:t>
      </w:r>
    </w:p>
    <w:p>
      <w:pPr>
        <w:pStyle w:val="28"/>
        <w:keepNext w:val="0"/>
        <w:keepLines w:val="0"/>
        <w:pageBreakBefore w:val="0"/>
        <w:kinsoku/>
        <w:wordWrap/>
        <w:overflowPunct/>
        <w:topLinePunct w:val="0"/>
        <w:bidi w:val="0"/>
        <w:snapToGrid w:val="0"/>
        <w:spacing w:line="360" w:lineRule="auto"/>
        <w:ind w:firstLine="640" w:firstLineChars="200"/>
        <w:jc w:val="both"/>
        <w:textAlignment w:val="auto"/>
        <w:rPr>
          <w:rFonts w:ascii="仿宋_GB2312" w:eastAsia="仿宋_GB2312"/>
          <w:color w:val="auto"/>
          <w:sz w:val="32"/>
          <w:szCs w:val="32"/>
        </w:rPr>
      </w:pPr>
      <w:r>
        <w:rPr>
          <w:rFonts w:hint="eastAsia" w:ascii="仿宋_GB2312" w:eastAsia="仿宋_GB2312"/>
          <w:color w:val="auto"/>
          <w:sz w:val="32"/>
          <w:szCs w:val="32"/>
        </w:rPr>
        <w:t>14</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keepNext w:val="0"/>
        <w:keepLines w:val="0"/>
        <w:pageBreakBefore w:val="0"/>
        <w:kinsoku/>
        <w:wordWrap/>
        <w:overflowPunct/>
        <w:topLinePunct w:val="0"/>
        <w:bidi w:val="0"/>
        <w:snapToGrid w:val="0"/>
        <w:spacing w:line="360" w:lineRule="auto"/>
        <w:ind w:firstLine="640" w:firstLineChars="200"/>
        <w:jc w:val="both"/>
        <w:textAlignment w:val="auto"/>
        <w:rPr>
          <w:rFonts w:ascii="仿宋_GB2312" w:eastAsia="仿宋_GB2312"/>
          <w:color w:val="auto"/>
          <w:sz w:val="32"/>
          <w:szCs w:val="32"/>
        </w:rPr>
      </w:pPr>
      <w:r>
        <w:rPr>
          <w:rFonts w:hint="eastAsia" w:ascii="仿宋_GB2312" w:eastAsia="仿宋_GB2312"/>
          <w:color w:val="auto"/>
          <w:sz w:val="32"/>
          <w:szCs w:val="32"/>
        </w:rPr>
        <w:t>15</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8"/>
        <w:spacing w:before="93" w:line="560" w:lineRule="exact"/>
        <w:ind w:firstLine="640" w:firstLineChars="200"/>
        <w:rPr>
          <w:rFonts w:ascii="仿宋_GB2312" w:eastAsia="仿宋_GB2312"/>
          <w:color w:val="auto"/>
          <w:sz w:val="32"/>
          <w:szCs w:val="32"/>
        </w:rPr>
      </w:pPr>
    </w:p>
    <w:p>
      <w:pPr>
        <w:rPr>
          <w:rFonts w:ascii="仿宋_GB2312" w:eastAsia="仿宋_GB2312"/>
          <w:color w:val="auto"/>
          <w:sz w:val="32"/>
          <w:szCs w:val="32"/>
        </w:rPr>
      </w:pPr>
      <w:r>
        <w:rPr>
          <w:rFonts w:ascii="仿宋_GB2312" w:eastAsia="仿宋_GB2312"/>
          <w:color w:val="auto"/>
          <w:sz w:val="32"/>
          <w:szCs w:val="32"/>
        </w:rPr>
        <w:br w:type="page"/>
      </w:r>
    </w:p>
    <w:p>
      <w:pPr>
        <w:rPr>
          <w:rFonts w:ascii="仿宋_GB2312" w:eastAsia="仿宋_GB2312"/>
          <w:sz w:val="32"/>
          <w:szCs w:val="32"/>
        </w:rPr>
      </w:pPr>
    </w:p>
    <w:p>
      <w:pPr>
        <w:spacing w:line="600" w:lineRule="exact"/>
        <w:jc w:val="center"/>
        <w:outlineLvl w:val="0"/>
        <w:rPr>
          <w:rStyle w:val="30"/>
          <w:rFonts w:ascii="黑体" w:hAnsi="黑体" w:eastAsia="黑体"/>
          <w:b w:val="0"/>
        </w:rPr>
      </w:pPr>
      <w:bookmarkStart w:id="49" w:name="_Toc15396614"/>
      <w:bookmarkStart w:id="50" w:name="_Toc15377226"/>
      <w:r>
        <w:rPr>
          <w:rFonts w:hint="eastAsia" w:ascii="黑体" w:hAnsi="黑体" w:eastAsia="黑体"/>
          <w:sz w:val="44"/>
          <w:szCs w:val="44"/>
        </w:rPr>
        <w:t>第</w:t>
      </w:r>
      <w:r>
        <w:rPr>
          <w:rStyle w:val="30"/>
          <w:rFonts w:hint="eastAsia" w:ascii="黑体" w:hAnsi="黑体" w:eastAsia="黑体"/>
          <w:b w:val="0"/>
        </w:rPr>
        <w:t>四部分 附件</w:t>
      </w:r>
      <w:bookmarkEnd w:id="49"/>
    </w:p>
    <w:p>
      <w:pPr>
        <w:spacing w:line="572" w:lineRule="exact"/>
        <w:jc w:val="left"/>
        <w:outlineLvl w:val="0"/>
        <w:rPr>
          <w:rFonts w:hint="eastAsia" w:ascii="黑体" w:hAnsi="黑体" w:eastAsia="黑体" w:cs="黑体"/>
          <w:sz w:val="32"/>
          <w:szCs w:val="32"/>
        </w:rPr>
      </w:pPr>
    </w:p>
    <w:p>
      <w:pPr>
        <w:spacing w:line="572" w:lineRule="exact"/>
        <w:jc w:val="left"/>
        <w:outlineLvl w:val="0"/>
        <w:rPr>
          <w:rFonts w:ascii="方正小标宋简体" w:hAnsi="方正小标宋简体" w:eastAsia="黑体" w:cs="方正小标宋简体"/>
          <w:sz w:val="44"/>
          <w:szCs w:val="44"/>
        </w:rPr>
      </w:pPr>
      <w:r>
        <w:rPr>
          <w:rFonts w:hint="eastAsia" w:ascii="黑体" w:hAnsi="黑体" w:eastAsia="黑体" w:cs="黑体"/>
          <w:sz w:val="32"/>
          <w:szCs w:val="32"/>
        </w:rPr>
        <w:t>附件1</w:t>
      </w:r>
    </w:p>
    <w:p>
      <w:pPr>
        <w:widowControl/>
        <w:spacing w:line="560" w:lineRule="exact"/>
        <w:contextualSpacing/>
        <w:jc w:val="center"/>
        <w:rPr>
          <w:rFonts w:ascii="宋体" w:hAnsi="宋体"/>
          <w:b/>
          <w:sz w:val="36"/>
          <w:szCs w:val="36"/>
          <w:shd w:val="clear" w:color="auto" w:fill="FFFFFF"/>
        </w:rPr>
      </w:pPr>
      <w:r>
        <w:rPr>
          <w:rFonts w:hint="eastAsia" w:ascii="宋体" w:hAnsi="宋体"/>
          <w:b/>
          <w:sz w:val="36"/>
          <w:szCs w:val="36"/>
          <w:shd w:val="clear" w:color="auto" w:fill="FFFFFF"/>
        </w:rPr>
        <w:t>2022年部门整体绩效评价报告范本</w:t>
      </w:r>
    </w:p>
    <w:p>
      <w:pPr>
        <w:widowControl/>
        <w:adjustRightInd w:val="0"/>
        <w:snapToGrid w:val="0"/>
        <w:spacing w:line="560" w:lineRule="exact"/>
        <w:contextualSpacing/>
        <w:jc w:val="left"/>
        <w:rPr>
          <w:rFonts w:ascii="黑体" w:hAnsi="宋体" w:eastAsia="黑体" w:cs="宋体"/>
          <w:kern w:val="0"/>
          <w:sz w:val="32"/>
          <w:szCs w:val="32"/>
          <w:shd w:val="clear" w:color="auto" w:fill="FFFFFF"/>
        </w:rPr>
      </w:pPr>
    </w:p>
    <w:p>
      <w:pPr>
        <w:keepNext w:val="0"/>
        <w:keepLines w:val="0"/>
        <w:pageBreakBefore w:val="0"/>
        <w:widowControl/>
        <w:numPr>
          <w:ilvl w:val="0"/>
          <w:numId w:val="5"/>
        </w:numPr>
        <w:kinsoku/>
        <w:wordWrap/>
        <w:overflowPunct/>
        <w:topLinePunct w:val="0"/>
        <w:autoSpaceDE/>
        <w:autoSpaceDN/>
        <w:bidi w:val="0"/>
        <w:adjustRightInd w:val="0"/>
        <w:snapToGrid w:val="0"/>
        <w:spacing w:line="360" w:lineRule="auto"/>
        <w:ind w:firstLine="640" w:firstLineChars="200"/>
        <w:contextualSpacing/>
        <w:jc w:val="both"/>
        <w:textAlignment w:val="auto"/>
        <w:rPr>
          <w:rFonts w:ascii="黑体" w:hAnsi="宋体" w:eastAsia="黑体" w:cs="宋体"/>
          <w:kern w:val="0"/>
          <w:sz w:val="32"/>
          <w:szCs w:val="32"/>
          <w:shd w:val="clear" w:color="auto" w:fill="FFFFFF"/>
          <w:lang w:val="zh-CN"/>
        </w:rPr>
      </w:pPr>
      <w:r>
        <w:rPr>
          <w:rFonts w:hint="eastAsia" w:ascii="黑体" w:hAnsi="宋体" w:eastAsia="黑体" w:cs="宋体"/>
          <w:kern w:val="0"/>
          <w:sz w:val="32"/>
          <w:szCs w:val="32"/>
          <w:shd w:val="clear" w:color="auto" w:fill="FFFFFF"/>
          <w:lang w:val="zh-CN"/>
        </w:rPr>
        <w:t>部门（单位）基本情况</w:t>
      </w:r>
    </w:p>
    <w:p>
      <w:pPr>
        <w:keepNext w:val="0"/>
        <w:keepLines w:val="0"/>
        <w:pageBreakBefore w:val="0"/>
        <w:widowControl/>
        <w:numPr>
          <w:ilvl w:val="0"/>
          <w:numId w:val="6"/>
        </w:numPr>
        <w:kinsoku/>
        <w:wordWrap/>
        <w:overflowPunct/>
        <w:topLinePunct w:val="0"/>
        <w:autoSpaceDE/>
        <w:autoSpaceDN/>
        <w:bidi w:val="0"/>
        <w:adjustRightInd w:val="0"/>
        <w:snapToGrid w:val="0"/>
        <w:spacing w:line="360" w:lineRule="auto"/>
        <w:ind w:firstLine="643" w:firstLineChars="200"/>
        <w:contextualSpacing/>
        <w:jc w:val="both"/>
        <w:textAlignment w:val="auto"/>
        <w:rPr>
          <w:rFonts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机构组成。</w:t>
      </w:r>
    </w:p>
    <w:p>
      <w:pPr>
        <w:keepNext w:val="0"/>
        <w:keepLines w:val="0"/>
        <w:pageBreakBefore w:val="0"/>
        <w:kinsoku/>
        <w:wordWrap/>
        <w:overflowPunct/>
        <w:topLinePunct w:val="0"/>
        <w:autoSpaceDE/>
        <w:autoSpaceDN/>
        <w:bidi w:val="0"/>
        <w:snapToGrid w:val="0"/>
        <w:spacing w:line="360" w:lineRule="auto"/>
        <w:ind w:firstLine="641"/>
        <w:jc w:val="both"/>
        <w:textAlignment w:val="auto"/>
        <w:rPr>
          <w:lang w:val="zh-CN"/>
        </w:rPr>
      </w:pPr>
      <w:r>
        <w:rPr>
          <w:rFonts w:hint="eastAsia" w:ascii="仿宋_GB2312" w:hAnsi="仿宋_GB2312" w:eastAsia="仿宋_GB2312" w:cs="仿宋_GB2312"/>
          <w:color w:val="000000"/>
          <w:kern w:val="0"/>
          <w:sz w:val="32"/>
          <w:szCs w:val="32"/>
        </w:rPr>
        <w:t>按照预算管理有关规定和综合编制原则，行政审批局编制范围包括：行政审批局机关、下属事业单位沐川县政务大厅服务中心。 其中机关内设办公室、政务服务管理股、行政审批股、现场踏勘股。</w:t>
      </w:r>
    </w:p>
    <w:p>
      <w:pPr>
        <w:keepNext w:val="0"/>
        <w:keepLines w:val="0"/>
        <w:pageBreakBefore w:val="0"/>
        <w:widowControl/>
        <w:numPr>
          <w:ilvl w:val="0"/>
          <w:numId w:val="6"/>
        </w:numPr>
        <w:kinsoku/>
        <w:wordWrap/>
        <w:overflowPunct/>
        <w:topLinePunct w:val="0"/>
        <w:autoSpaceDE/>
        <w:autoSpaceDN/>
        <w:bidi w:val="0"/>
        <w:adjustRightInd w:val="0"/>
        <w:snapToGrid w:val="0"/>
        <w:spacing w:line="360" w:lineRule="auto"/>
        <w:ind w:firstLine="643" w:firstLineChars="200"/>
        <w:contextualSpacing/>
        <w:jc w:val="both"/>
        <w:textAlignment w:val="auto"/>
        <w:rPr>
          <w:rFonts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机构职能和人员概况。</w:t>
      </w:r>
    </w:p>
    <w:p>
      <w:pPr>
        <w:keepNext w:val="0"/>
        <w:keepLines w:val="0"/>
        <w:pageBreakBefore w:val="0"/>
        <w:kinsoku/>
        <w:wordWrap/>
        <w:overflowPunct/>
        <w:topLinePunct w:val="0"/>
        <w:autoSpaceDE/>
        <w:autoSpaceDN/>
        <w:bidi w:val="0"/>
        <w:snapToGrid w:val="0"/>
        <w:spacing w:line="360" w:lineRule="auto"/>
        <w:ind w:firstLine="641"/>
        <w:jc w:val="both"/>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沐川县行政审批局为县政府工作部门，负责贯彻落实党中央、省委、市委关于行政审批工作的方针政策和县委的决策部署，在履行职责过程中坚持和加强党对行政审批工作的集中统一领导。</w:t>
      </w:r>
    </w:p>
    <w:p>
      <w:pPr>
        <w:keepNext w:val="0"/>
        <w:keepLines w:val="0"/>
        <w:pageBreakBefore w:val="0"/>
        <w:kinsoku/>
        <w:wordWrap/>
        <w:overflowPunct/>
        <w:topLinePunct w:val="0"/>
        <w:autoSpaceDE/>
        <w:autoSpaceDN/>
        <w:bidi w:val="0"/>
        <w:snapToGrid w:val="0"/>
        <w:spacing w:line="360" w:lineRule="auto"/>
        <w:ind w:firstLine="641"/>
        <w:jc w:val="both"/>
        <w:textAlignment w:val="auto"/>
        <w:rPr>
          <w:lang w:val="zh-CN"/>
        </w:rPr>
      </w:pPr>
      <w:r>
        <w:rPr>
          <w:rFonts w:hint="eastAsia" w:ascii="仿宋_GB2312" w:hAnsi="仿宋_GB2312" w:eastAsia="仿宋_GB2312" w:cs="仿宋_GB2312"/>
          <w:color w:val="000000"/>
          <w:kern w:val="0"/>
          <w:sz w:val="32"/>
          <w:szCs w:val="32"/>
        </w:rPr>
        <w:t>共有编制35个，其中行政编制13个（含工勤编制1个），事业编制22个，实有人员31人。</w:t>
      </w:r>
    </w:p>
    <w:p>
      <w:pPr>
        <w:keepNext w:val="0"/>
        <w:keepLines w:val="0"/>
        <w:pageBreakBefore w:val="0"/>
        <w:widowControl/>
        <w:numPr>
          <w:ilvl w:val="0"/>
          <w:numId w:val="6"/>
        </w:numPr>
        <w:kinsoku/>
        <w:wordWrap/>
        <w:overflowPunct/>
        <w:topLinePunct w:val="0"/>
        <w:autoSpaceDE/>
        <w:autoSpaceDN/>
        <w:bidi w:val="0"/>
        <w:adjustRightInd w:val="0"/>
        <w:snapToGrid w:val="0"/>
        <w:spacing w:line="360" w:lineRule="auto"/>
        <w:ind w:firstLine="643" w:firstLineChars="200"/>
        <w:contextualSpacing/>
        <w:jc w:val="both"/>
        <w:textAlignment w:val="auto"/>
        <w:rPr>
          <w:rFonts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年度主要工作任务。</w:t>
      </w:r>
    </w:p>
    <w:p>
      <w:pPr>
        <w:keepNext w:val="0"/>
        <w:keepLines w:val="0"/>
        <w:pageBreakBefore w:val="0"/>
        <w:kinsoku/>
        <w:wordWrap/>
        <w:overflowPunct/>
        <w:topLinePunct w:val="0"/>
        <w:autoSpaceDE/>
        <w:autoSpaceDN/>
        <w:bidi w:val="0"/>
        <w:snapToGrid w:val="0"/>
        <w:spacing w:line="360" w:lineRule="auto"/>
        <w:ind w:firstLine="643"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持续牵头推进“一网通办”前提下的“最多跑一次”改革。</w:t>
      </w:r>
      <w:r>
        <w:rPr>
          <w:rFonts w:hint="eastAsia" w:ascii="仿宋_GB2312" w:hAnsi="仿宋_GB2312" w:eastAsia="仿宋_GB2312" w:cs="仿宋_GB2312"/>
          <w:color w:val="000000"/>
          <w:sz w:val="32"/>
          <w:szCs w:val="32"/>
        </w:rPr>
        <w:t>按照《四川省人民政府办公厅关于印发四川省“一网通办”三年行动方案的通知》（川办发〔2022〕64号）安排和部署，持续推进“一网通办”工作，时刻关注各项考核指标情况，分析指标内涵，加强与市营商环境局和市委网信办汇报对接，优化措施，提升考核得分，力争每月通报站稳全市第一方阵。</w:t>
      </w:r>
    </w:p>
    <w:p>
      <w:pPr>
        <w:keepNext w:val="0"/>
        <w:keepLines w:val="0"/>
        <w:pageBreakBefore w:val="0"/>
        <w:kinsoku/>
        <w:wordWrap/>
        <w:overflowPunct/>
        <w:topLinePunct w:val="0"/>
        <w:autoSpaceDE/>
        <w:autoSpaceDN/>
        <w:bidi w:val="0"/>
        <w:snapToGrid w:val="0"/>
        <w:spacing w:line="360" w:lineRule="auto"/>
        <w:ind w:firstLine="643" w:firstLineChars="200"/>
        <w:jc w:val="both"/>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sz w:val="32"/>
          <w:szCs w:val="32"/>
        </w:rPr>
        <w:t>持续做好行政审批业务工作。</w:t>
      </w:r>
      <w:r>
        <w:rPr>
          <w:rFonts w:hint="eastAsia" w:ascii="仿宋_GB2312" w:hAnsi="仿宋_GB2312" w:eastAsia="仿宋_GB2312" w:cs="仿宋_GB2312"/>
          <w:color w:val="000000"/>
          <w:sz w:val="32"/>
          <w:szCs w:val="32"/>
        </w:rPr>
        <w:t>依法依规做好各项审批事项办理，创新服务方式，优化办理程序，缩短办理时限，提升满意度。完善个体工商户注册登记服务下沉到乡镇便民服务中心，从代收代办、指导办理到独立办理，让群众少跑路。持续创新政务方式，</w:t>
      </w:r>
      <w:r>
        <w:rPr>
          <w:rFonts w:hint="eastAsia" w:ascii="仿宋_GB2312" w:hAnsi="仿宋_GB2312" w:eastAsia="仿宋_GB2312" w:cs="仿宋_GB2312"/>
          <w:color w:val="000000"/>
          <w:kern w:val="0"/>
          <w:sz w:val="32"/>
          <w:szCs w:val="32"/>
        </w:rPr>
        <w:t>推行延时办、错时办、预约办、上门办、专班办、“秘书制”、免费快递等方式，完善“容缺审批+告知承诺制”模式，方便企业和群众办理各项审批服务事项，提高企业和群众满意度。</w:t>
      </w:r>
    </w:p>
    <w:p>
      <w:pPr>
        <w:keepNext w:val="0"/>
        <w:keepLines w:val="0"/>
        <w:pageBreakBefore w:val="0"/>
        <w:kinsoku/>
        <w:wordWrap/>
        <w:overflowPunct/>
        <w:topLinePunct w:val="0"/>
        <w:autoSpaceDE/>
        <w:autoSpaceDN/>
        <w:bidi w:val="0"/>
        <w:snapToGrid w:val="0"/>
        <w:spacing w:line="360" w:lineRule="auto"/>
        <w:ind w:firstLine="643"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持续推进全县镇村便民服务体系建设工作。持续完善镇村便民服务体系，</w:t>
      </w:r>
      <w:r>
        <w:rPr>
          <w:rFonts w:hint="eastAsia" w:ascii="仿宋_GB2312" w:hAnsi="仿宋_GB2312" w:eastAsia="仿宋_GB2312" w:cs="仿宋_GB2312"/>
          <w:color w:val="000000"/>
          <w:sz w:val="32"/>
          <w:szCs w:val="32"/>
        </w:rPr>
        <w:t>根据</w:t>
      </w:r>
      <w:r>
        <w:rPr>
          <w:rFonts w:hint="eastAsia" w:eastAsia="仿宋_GB2312"/>
          <w:color w:val="000000"/>
          <w:sz w:val="32"/>
          <w:szCs w:val="32"/>
        </w:rPr>
        <w:t>沐川县乡镇级片区便民服务设施专项规划（2021-2035年）和《沐川“人民美好生活需要”对标补短三年行动计划（2021—2023 年）》（沐委办〔2021〕27号）部署，逐步推进便民服务设施提档升级。同时推动更多政务服务事项</w:t>
      </w:r>
      <w:r>
        <w:rPr>
          <w:rFonts w:hint="eastAsia" w:ascii="仿宋_GB2312" w:hAnsi="仿宋_GB2312" w:eastAsia="仿宋_GB2312" w:cs="仿宋_GB2312"/>
          <w:color w:val="000000"/>
          <w:sz w:val="32"/>
          <w:szCs w:val="32"/>
        </w:rPr>
        <w:t>向镇村下沉。</w:t>
      </w:r>
    </w:p>
    <w:p>
      <w:pPr>
        <w:keepNext w:val="0"/>
        <w:keepLines w:val="0"/>
        <w:pageBreakBefore w:val="0"/>
        <w:kinsoku/>
        <w:wordWrap/>
        <w:overflowPunct/>
        <w:topLinePunct w:val="0"/>
        <w:autoSpaceDE/>
        <w:autoSpaceDN/>
        <w:bidi w:val="0"/>
        <w:snapToGrid w:val="0"/>
        <w:spacing w:line="360" w:lineRule="auto"/>
        <w:ind w:firstLine="643"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继续推进行政许可事项清单管理工作。</w:t>
      </w:r>
      <w:r>
        <w:rPr>
          <w:rFonts w:hint="eastAsia" w:ascii="仿宋_GB2312" w:hAnsi="仿宋_GB2312" w:eastAsia="仿宋_GB2312" w:cs="仿宋_GB2312"/>
          <w:color w:val="000000"/>
          <w:sz w:val="32"/>
          <w:szCs w:val="32"/>
        </w:rPr>
        <w:t>持续完善行政许可事项的“一图一表”（行政许可事项运行图谱和实施要素一览表），进一步理顺关系，厘清职责。</w:t>
      </w:r>
    </w:p>
    <w:p>
      <w:pPr>
        <w:keepNext w:val="0"/>
        <w:keepLines w:val="0"/>
        <w:pageBreakBefore w:val="0"/>
        <w:kinsoku/>
        <w:wordWrap/>
        <w:overflowPunct/>
        <w:topLinePunct w:val="0"/>
        <w:autoSpaceDE/>
        <w:autoSpaceDN/>
        <w:bidi w:val="0"/>
        <w:snapToGrid w:val="0"/>
        <w:spacing w:line="360" w:lineRule="auto"/>
        <w:ind w:firstLine="643" w:firstLineChars="200"/>
        <w:jc w:val="both"/>
        <w:textAlignment w:val="auto"/>
        <w:rPr>
          <w:rFonts w:eastAsia="仿宋_GB2312"/>
          <w:sz w:val="32"/>
          <w:szCs w:val="32"/>
        </w:rPr>
      </w:pPr>
      <w:r>
        <w:rPr>
          <w:rFonts w:hint="eastAsia" w:ascii="仿宋_GB2312" w:hAnsi="仿宋_GB2312" w:eastAsia="仿宋_GB2312" w:cs="仿宋_GB2312"/>
          <w:b/>
          <w:bCs/>
          <w:color w:val="000000"/>
          <w:sz w:val="32"/>
          <w:szCs w:val="32"/>
        </w:rPr>
        <w:t>加快推进政务服务标准化规范化便利化。</w:t>
      </w:r>
      <w:r>
        <w:rPr>
          <w:rFonts w:hint="eastAsia" w:ascii="仿宋_GB2312" w:hAnsi="仿宋_GB2312" w:eastAsia="仿宋_GB2312" w:cs="仿宋_GB2312"/>
          <w:color w:val="000000"/>
          <w:sz w:val="32"/>
          <w:szCs w:val="32"/>
        </w:rPr>
        <w:t>按照《乐山市加快推进政务服务标准化规范化便利化工作方案》（乐府办发〔2022〕50号）部署，推动其他依申请办理的行政权力事项（行政确认、行政裁决、行政给付、行政奖励、行政备案及其他行政权力事项）及公共教育、劳动就业、社会保险、医疗卫生、养老服务、社会服务、住房保障、文化体育、残疾人服务等领域依申请办理的公共服务事项全面标准化。规范统一、集约高效、智慧便利的市县乡村四级综合性政务服务体系基本建立，适合网上办理的政务服务事项全部实现“全程网办”</w:t>
      </w:r>
      <w:r>
        <w:rPr>
          <w:rFonts w:hint="eastAsia" w:eastAsia="仿宋_GB2312"/>
          <w:sz w:val="32"/>
          <w:szCs w:val="32"/>
        </w:rPr>
        <w:t>。</w:t>
      </w:r>
    </w:p>
    <w:p>
      <w:pPr>
        <w:keepNext w:val="0"/>
        <w:keepLines w:val="0"/>
        <w:pageBreakBefore w:val="0"/>
        <w:kinsoku/>
        <w:wordWrap/>
        <w:overflowPunct/>
        <w:topLinePunct w:val="0"/>
        <w:autoSpaceDE/>
        <w:autoSpaceDN/>
        <w:bidi w:val="0"/>
        <w:snapToGrid w:val="0"/>
        <w:spacing w:line="360" w:lineRule="auto"/>
        <w:ind w:firstLine="643" w:firstLineChars="200"/>
        <w:jc w:val="both"/>
        <w:textAlignment w:val="auto"/>
        <w:rPr>
          <w:rFonts w:eastAsia="仿宋_GB2312"/>
          <w:sz w:val="32"/>
          <w:szCs w:val="32"/>
        </w:rPr>
      </w:pPr>
      <w:r>
        <w:rPr>
          <w:rFonts w:hint="eastAsia" w:ascii="仿宋_GB2312" w:hAnsi="仿宋_GB2312" w:eastAsia="仿宋_GB2312" w:cs="仿宋_GB2312"/>
          <w:b/>
          <w:bCs/>
          <w:color w:val="000000"/>
          <w:sz w:val="32"/>
          <w:szCs w:val="32"/>
        </w:rPr>
        <w:t>加强汇报与部门对接。</w:t>
      </w:r>
      <w:r>
        <w:rPr>
          <w:rFonts w:hint="eastAsia" w:eastAsia="仿宋_GB2312"/>
          <w:sz w:val="32"/>
          <w:szCs w:val="32"/>
        </w:rPr>
        <w:t>建立完善投资建设项目和工程建设项目审批机制，探索更加有效的项目审批服务方式，优化审批环节，压缩审批时限，加强指导，为投资建设和工程建设项目提供保姆式服务。</w:t>
      </w:r>
    </w:p>
    <w:p>
      <w:pPr>
        <w:keepNext w:val="0"/>
        <w:keepLines w:val="0"/>
        <w:pageBreakBefore w:val="0"/>
        <w:widowControl/>
        <w:numPr>
          <w:ilvl w:val="0"/>
          <w:numId w:val="6"/>
        </w:numPr>
        <w:kinsoku/>
        <w:wordWrap/>
        <w:overflowPunct/>
        <w:topLinePunct w:val="0"/>
        <w:autoSpaceDE/>
        <w:autoSpaceDN/>
        <w:bidi w:val="0"/>
        <w:adjustRightInd w:val="0"/>
        <w:snapToGrid w:val="0"/>
        <w:spacing w:line="360" w:lineRule="auto"/>
        <w:ind w:firstLine="643" w:firstLineChars="200"/>
        <w:contextualSpacing/>
        <w:jc w:val="both"/>
        <w:textAlignment w:val="auto"/>
        <w:rPr>
          <w:rFonts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部门整体支出绩效目标。</w:t>
      </w:r>
    </w:p>
    <w:p>
      <w:pPr>
        <w:keepNext w:val="0"/>
        <w:keepLines w:val="0"/>
        <w:pageBreakBefore w:val="0"/>
        <w:kinsoku/>
        <w:wordWrap/>
        <w:overflowPunct/>
        <w:topLinePunct w:val="0"/>
        <w:autoSpaceDE/>
        <w:autoSpaceDN/>
        <w:bidi w:val="0"/>
        <w:snapToGrid w:val="0"/>
        <w:spacing w:line="360" w:lineRule="auto"/>
        <w:ind w:firstLine="600" w:firstLineChars="200"/>
        <w:jc w:val="both"/>
        <w:textAlignment w:val="auto"/>
        <w:outlineLvl w:val="0"/>
        <w:rPr>
          <w:lang w:val="zh-CN"/>
        </w:rPr>
      </w:pPr>
      <w:r>
        <w:rPr>
          <w:rFonts w:hint="eastAsia" w:ascii="仿宋_GB2312" w:hAnsi="仿宋_GB2312" w:eastAsia="仿宋_GB2312" w:cs="仿宋_GB2312"/>
          <w:sz w:val="30"/>
          <w:szCs w:val="30"/>
        </w:rPr>
        <w:t>政务运转工作经费、船舶检测费、镇村便民服务体系建设经费、项目完成 100%，政务运转工作经费实现绩效目标管理和项目实施进度计划的正常开展。</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both"/>
        <w:textAlignment w:val="auto"/>
        <w:rPr>
          <w:rFonts w:ascii="黑体" w:hAnsi="宋体" w:eastAsia="黑体" w:cs="宋体"/>
          <w:kern w:val="0"/>
          <w:sz w:val="32"/>
          <w:szCs w:val="32"/>
          <w:shd w:val="clear" w:color="auto" w:fill="FFFFFF"/>
        </w:rPr>
      </w:pPr>
      <w:r>
        <w:rPr>
          <w:rFonts w:hint="eastAsia" w:ascii="黑体" w:hAnsi="宋体" w:eastAsia="黑体" w:cs="宋体"/>
          <w:kern w:val="0"/>
          <w:sz w:val="32"/>
          <w:szCs w:val="32"/>
          <w:shd w:val="clear" w:color="auto" w:fill="FFFFFF"/>
        </w:rPr>
        <w:t>二、部门资金收支情况</w:t>
      </w:r>
    </w:p>
    <w:p>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both"/>
        <w:textAlignment w:val="auto"/>
        <w:rPr>
          <w:rFonts w:ascii="仿宋_GB2312" w:hAnsi="仿宋_GB2312" w:eastAsia="仿宋_GB2312" w:cs="仿宋_GB2312"/>
          <w:kern w:val="0"/>
          <w:sz w:val="32"/>
          <w:szCs w:val="32"/>
          <w:shd w:val="clear" w:color="auto" w:fill="FFFFFF"/>
        </w:rPr>
      </w:pPr>
      <w:r>
        <w:rPr>
          <w:rFonts w:hint="eastAsia" w:ascii="楷体_GB2312" w:hAnsi="楷体_GB2312" w:eastAsia="楷体_GB2312" w:cs="楷体_GB2312"/>
          <w:b/>
          <w:bCs/>
          <w:kern w:val="0"/>
          <w:sz w:val="32"/>
          <w:szCs w:val="32"/>
          <w:shd w:val="clear" w:color="auto" w:fill="FFFFFF"/>
          <w:lang w:val="zh-CN"/>
        </w:rPr>
        <w:t>（一）部门总体收支情况。</w:t>
      </w:r>
    </w:p>
    <w:p>
      <w:pPr>
        <w:keepNext w:val="0"/>
        <w:keepLines w:val="0"/>
        <w:pageBreakBefore w:val="0"/>
        <w:widowControl/>
        <w:numPr>
          <w:ilvl w:val="0"/>
          <w:numId w:val="7"/>
        </w:numPr>
        <w:kinsoku/>
        <w:wordWrap/>
        <w:overflowPunct/>
        <w:topLinePunct w:val="0"/>
        <w:autoSpaceDE/>
        <w:autoSpaceDN/>
        <w:bidi w:val="0"/>
        <w:adjustRightInd w:val="0"/>
        <w:snapToGrid w:val="0"/>
        <w:spacing w:line="360" w:lineRule="auto"/>
        <w:ind w:firstLine="640" w:firstLineChars="200"/>
        <w:contextualSpacing/>
        <w:jc w:val="both"/>
        <w:textAlignment w:val="auto"/>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部门总体收入情况</w:t>
      </w:r>
    </w:p>
    <w:p>
      <w:pPr>
        <w:keepNext w:val="0"/>
        <w:keepLines w:val="0"/>
        <w:pageBreakBefore w:val="0"/>
        <w:kinsoku/>
        <w:wordWrap/>
        <w:overflowPunct/>
        <w:topLinePunct w:val="0"/>
        <w:autoSpaceDE/>
        <w:autoSpaceDN/>
        <w:bidi w:val="0"/>
        <w:snapToGrid w:val="0"/>
        <w:spacing w:line="360" w:lineRule="auto"/>
        <w:ind w:firstLine="641"/>
        <w:jc w:val="both"/>
        <w:textAlignment w:val="auto"/>
      </w:pPr>
      <w:r>
        <w:rPr>
          <w:rFonts w:hint="eastAsia" w:ascii="仿宋_GB2312" w:hAnsi="仿宋_GB2312" w:eastAsia="仿宋_GB2312" w:cs="仿宋_GB2312"/>
          <w:color w:val="000000"/>
          <w:kern w:val="0"/>
          <w:sz w:val="32"/>
          <w:szCs w:val="32"/>
        </w:rPr>
        <w:t>2022年行政审批局部门预算收入总额为574.2万元，其中：当年财政拨款574.2万元。</w:t>
      </w:r>
    </w:p>
    <w:p>
      <w:pPr>
        <w:keepNext w:val="0"/>
        <w:keepLines w:val="0"/>
        <w:pageBreakBefore w:val="0"/>
        <w:widowControl/>
        <w:kinsoku/>
        <w:wordWrap/>
        <w:overflowPunct/>
        <w:topLinePunct w:val="0"/>
        <w:autoSpaceDE/>
        <w:autoSpaceDN/>
        <w:bidi w:val="0"/>
        <w:adjustRightInd w:val="0"/>
        <w:snapToGrid w:val="0"/>
        <w:spacing w:line="360" w:lineRule="auto"/>
        <w:contextualSpacing/>
        <w:jc w:val="both"/>
        <w:textAlignment w:val="auto"/>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 xml:space="preserve">    2.  部门总体支出情况</w:t>
      </w:r>
    </w:p>
    <w:p>
      <w:pPr>
        <w:keepNext w:val="0"/>
        <w:keepLines w:val="0"/>
        <w:pageBreakBefore w:val="0"/>
        <w:kinsoku/>
        <w:wordWrap/>
        <w:overflowPunct/>
        <w:topLinePunct w:val="0"/>
        <w:autoSpaceDE/>
        <w:autoSpaceDN/>
        <w:bidi w:val="0"/>
        <w:snapToGrid w:val="0"/>
        <w:spacing w:line="360" w:lineRule="auto"/>
        <w:ind w:firstLine="641"/>
        <w:jc w:val="both"/>
        <w:textAlignment w:val="auto"/>
        <w:rPr>
          <w:rFonts w:ascii="仿宋_GB2312" w:hAnsi="宋体" w:eastAsia="仿宋_GB2312" w:cs="宋体"/>
          <w:color w:val="FFFFFF" w:themeColor="background1"/>
          <w:kern w:val="0"/>
          <w:sz w:val="32"/>
          <w:szCs w:val="32"/>
          <w:highlight w:val="black"/>
        </w:rPr>
      </w:pPr>
      <w:r>
        <w:rPr>
          <w:rFonts w:hint="eastAsia" w:ascii="仿宋_GB2312" w:hAnsi="宋体" w:eastAsia="仿宋_GB2312" w:cs="宋体"/>
          <w:color w:val="000000"/>
          <w:kern w:val="0"/>
          <w:sz w:val="32"/>
          <w:szCs w:val="32"/>
        </w:rPr>
        <w:t>2022年一般公共预算财政拨款支出574.2万元，其中：基本支出546.32万元，项目支出27.88万元。</w:t>
      </w:r>
    </w:p>
    <w:p>
      <w:pPr>
        <w:keepNext w:val="0"/>
        <w:keepLines w:val="0"/>
        <w:pageBreakBefore w:val="0"/>
        <w:kinsoku/>
        <w:wordWrap/>
        <w:overflowPunct/>
        <w:topLinePunct w:val="0"/>
        <w:autoSpaceDE/>
        <w:autoSpaceDN/>
        <w:bidi w:val="0"/>
        <w:snapToGrid w:val="0"/>
        <w:spacing w:line="360" w:lineRule="auto"/>
        <w:ind w:firstLine="640"/>
        <w:jc w:val="both"/>
        <w:textAlignment w:val="auto"/>
      </w:pPr>
      <w:r>
        <w:rPr>
          <w:rFonts w:hint="eastAsia" w:ascii="仿宋_GB2312" w:hAnsi="宋体" w:eastAsia="仿宋_GB2312" w:cs="宋体"/>
          <w:color w:val="000000"/>
          <w:kern w:val="0"/>
          <w:sz w:val="32"/>
          <w:szCs w:val="32"/>
        </w:rPr>
        <w:t>主要用于以下方面:一般公共服务支出470.08万元，占81.87%；社会保障和就业支出44.37万元，占7.73%；医疗卫生支出16.12万元，占2.81%；住房保障支出43.63万元，占7.6%。</w:t>
      </w:r>
    </w:p>
    <w:p>
      <w:pPr>
        <w:keepNext w:val="0"/>
        <w:keepLines w:val="0"/>
        <w:pageBreakBefore w:val="0"/>
        <w:widowControl/>
        <w:kinsoku/>
        <w:wordWrap/>
        <w:overflowPunct/>
        <w:topLinePunct w:val="0"/>
        <w:autoSpaceDE/>
        <w:autoSpaceDN/>
        <w:bidi w:val="0"/>
        <w:adjustRightInd w:val="0"/>
        <w:snapToGrid w:val="0"/>
        <w:spacing w:line="360" w:lineRule="auto"/>
        <w:ind w:left="420" w:leftChars="200"/>
        <w:contextualSpacing/>
        <w:jc w:val="both"/>
        <w:textAlignment w:val="auto"/>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3.部门总体结转结余情况</w:t>
      </w:r>
    </w:p>
    <w:p>
      <w:pPr>
        <w:pStyle w:val="2"/>
        <w:keepNext w:val="0"/>
        <w:keepLines w:val="0"/>
        <w:pageBreakBefore w:val="0"/>
        <w:kinsoku/>
        <w:wordWrap/>
        <w:overflowPunct/>
        <w:topLinePunct w:val="0"/>
        <w:autoSpaceDE/>
        <w:autoSpaceDN/>
        <w:bidi w:val="0"/>
        <w:snapToGrid w:val="0"/>
        <w:spacing w:beforeLines="0" w:line="360" w:lineRule="auto"/>
        <w:ind w:firstLine="600" w:firstLineChars="200"/>
        <w:textAlignment w:val="auto"/>
      </w:pPr>
      <w:r>
        <w:rPr>
          <w:rFonts w:hint="eastAsia"/>
        </w:rPr>
        <w:t>2022年没有资金结转结余。</w:t>
      </w:r>
    </w:p>
    <w:p>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（二）部门财政拨款收支情况。</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both"/>
        <w:textAlignment w:val="auto"/>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1.部门财政拨款收入情况</w:t>
      </w:r>
    </w:p>
    <w:p>
      <w:pPr>
        <w:keepNext w:val="0"/>
        <w:keepLines w:val="0"/>
        <w:pageBreakBefore w:val="0"/>
        <w:kinsoku/>
        <w:wordWrap/>
        <w:overflowPunct/>
        <w:topLinePunct w:val="0"/>
        <w:autoSpaceDE/>
        <w:autoSpaceDN/>
        <w:bidi w:val="0"/>
        <w:snapToGrid w:val="0"/>
        <w:spacing w:line="360" w:lineRule="auto"/>
        <w:ind w:firstLine="641"/>
        <w:jc w:val="both"/>
        <w:textAlignment w:val="auto"/>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color w:val="000000"/>
          <w:kern w:val="0"/>
          <w:sz w:val="32"/>
          <w:szCs w:val="32"/>
        </w:rPr>
        <w:t>2022年行政审批局部门预算收入总额为574.2万元，其中：当年财政拨款574.2万元。</w:t>
      </w:r>
    </w:p>
    <w:p>
      <w:pPr>
        <w:keepNext w:val="0"/>
        <w:keepLines w:val="0"/>
        <w:pageBreakBefore w:val="0"/>
        <w:widowControl/>
        <w:numPr>
          <w:ilvl w:val="0"/>
          <w:numId w:val="7"/>
        </w:numPr>
        <w:kinsoku/>
        <w:wordWrap/>
        <w:overflowPunct/>
        <w:topLinePunct w:val="0"/>
        <w:autoSpaceDE/>
        <w:autoSpaceDN/>
        <w:bidi w:val="0"/>
        <w:adjustRightInd w:val="0"/>
        <w:snapToGrid w:val="0"/>
        <w:spacing w:line="360" w:lineRule="auto"/>
        <w:ind w:firstLine="640" w:firstLineChars="200"/>
        <w:contextualSpacing/>
        <w:jc w:val="both"/>
        <w:textAlignment w:val="auto"/>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部门财政拨款支出情况</w:t>
      </w:r>
    </w:p>
    <w:p>
      <w:pPr>
        <w:keepNext w:val="0"/>
        <w:keepLines w:val="0"/>
        <w:pageBreakBefore w:val="0"/>
        <w:kinsoku/>
        <w:wordWrap/>
        <w:overflowPunct/>
        <w:topLinePunct w:val="0"/>
        <w:autoSpaceDE/>
        <w:autoSpaceDN/>
        <w:bidi w:val="0"/>
        <w:snapToGrid w:val="0"/>
        <w:spacing w:line="360" w:lineRule="auto"/>
        <w:ind w:firstLine="641"/>
        <w:jc w:val="both"/>
        <w:textAlignment w:val="auto"/>
        <w:rPr>
          <w:rFonts w:ascii="仿宋_GB2312" w:hAnsi="宋体" w:eastAsia="仿宋_GB2312" w:cs="宋体"/>
          <w:color w:val="FFFFFF" w:themeColor="background1"/>
          <w:kern w:val="0"/>
          <w:sz w:val="32"/>
          <w:szCs w:val="32"/>
          <w:highlight w:val="black"/>
        </w:rPr>
      </w:pPr>
      <w:r>
        <w:rPr>
          <w:rFonts w:hint="eastAsia" w:ascii="仿宋_GB2312" w:hAnsi="宋体" w:eastAsia="仿宋_GB2312" w:cs="宋体"/>
          <w:color w:val="000000"/>
          <w:kern w:val="0"/>
          <w:sz w:val="32"/>
          <w:szCs w:val="32"/>
        </w:rPr>
        <w:t>2022年一般公共预算财政拨款支出574.2万元，其中：基本支出546.32万元，项目支出27.88万元。</w:t>
      </w:r>
    </w:p>
    <w:p>
      <w:pPr>
        <w:keepNext w:val="0"/>
        <w:keepLines w:val="0"/>
        <w:pageBreakBefore w:val="0"/>
        <w:kinsoku/>
        <w:wordWrap/>
        <w:overflowPunct/>
        <w:topLinePunct w:val="0"/>
        <w:autoSpaceDE/>
        <w:autoSpaceDN/>
        <w:bidi w:val="0"/>
        <w:snapToGrid w:val="0"/>
        <w:spacing w:line="360" w:lineRule="auto"/>
        <w:ind w:firstLine="640"/>
        <w:jc w:val="both"/>
        <w:textAlignment w:val="auto"/>
      </w:pPr>
      <w:r>
        <w:rPr>
          <w:rFonts w:hint="eastAsia" w:ascii="仿宋_GB2312" w:hAnsi="宋体" w:eastAsia="仿宋_GB2312" w:cs="宋体"/>
          <w:color w:val="000000"/>
          <w:kern w:val="0"/>
          <w:sz w:val="32"/>
          <w:szCs w:val="32"/>
        </w:rPr>
        <w:t>主要用于以下方面:一般公共服务支出470.08万元，占81.87%；社会保障和就业支出44.37万元，占7.73%；医疗卫生支出16.12万元，占2.81%；住房保障支出43.63万元，占7.6%。</w:t>
      </w:r>
    </w:p>
    <w:p>
      <w:pPr>
        <w:keepNext w:val="0"/>
        <w:keepLines w:val="0"/>
        <w:pageBreakBefore w:val="0"/>
        <w:widowControl/>
        <w:numPr>
          <w:ilvl w:val="0"/>
          <w:numId w:val="7"/>
        </w:numPr>
        <w:kinsoku/>
        <w:wordWrap/>
        <w:overflowPunct/>
        <w:topLinePunct w:val="0"/>
        <w:autoSpaceDE/>
        <w:autoSpaceDN/>
        <w:bidi w:val="0"/>
        <w:adjustRightInd w:val="0"/>
        <w:snapToGrid w:val="0"/>
        <w:spacing w:line="360" w:lineRule="auto"/>
        <w:ind w:firstLine="640" w:firstLineChars="200"/>
        <w:contextualSpacing/>
        <w:jc w:val="both"/>
        <w:textAlignment w:val="auto"/>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部门财政拨款结转结余情况</w:t>
      </w:r>
    </w:p>
    <w:p>
      <w:pPr>
        <w:pStyle w:val="2"/>
        <w:keepNext w:val="0"/>
        <w:keepLines w:val="0"/>
        <w:pageBreakBefore w:val="0"/>
        <w:kinsoku/>
        <w:wordWrap/>
        <w:overflowPunct/>
        <w:topLinePunct w:val="0"/>
        <w:autoSpaceDE/>
        <w:autoSpaceDN/>
        <w:bidi w:val="0"/>
        <w:snapToGrid w:val="0"/>
        <w:spacing w:beforeLines="0" w:line="360" w:lineRule="auto"/>
        <w:ind w:firstLine="900" w:firstLineChars="300"/>
        <w:jc w:val="both"/>
        <w:textAlignment w:val="auto"/>
      </w:pPr>
      <w:r>
        <w:rPr>
          <w:rFonts w:hint="eastAsia"/>
        </w:rPr>
        <w:t>2022年没有资金结转结余。</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ascii="黑体" w:hAnsi="宋体" w:eastAsia="黑体" w:cs="宋体"/>
          <w:kern w:val="0"/>
          <w:sz w:val="32"/>
          <w:szCs w:val="32"/>
          <w:shd w:val="clear" w:color="auto" w:fill="FFFFFF"/>
        </w:rPr>
      </w:pPr>
      <w:r>
        <w:rPr>
          <w:rFonts w:hint="eastAsia" w:ascii="黑体" w:hAnsi="宋体" w:eastAsia="黑体" w:cs="宋体"/>
          <w:kern w:val="0"/>
          <w:sz w:val="32"/>
          <w:szCs w:val="32"/>
          <w:shd w:val="clear" w:color="auto" w:fill="FFFFFF"/>
        </w:rPr>
        <w:t>三、部门整体绩效分析</w:t>
      </w:r>
    </w:p>
    <w:p>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（一）部门预算项目绩效分析。</w:t>
      </w:r>
    </w:p>
    <w:p>
      <w:pPr>
        <w:keepNext w:val="0"/>
        <w:keepLines w:val="0"/>
        <w:pageBreakBefore w:val="0"/>
        <w:kinsoku/>
        <w:wordWrap/>
        <w:overflowPunct/>
        <w:topLinePunct w:val="0"/>
        <w:autoSpaceDE/>
        <w:autoSpaceDN/>
        <w:bidi w:val="0"/>
        <w:snapToGrid w:val="0"/>
        <w:spacing w:line="360" w:lineRule="auto"/>
        <w:ind w:firstLine="640"/>
        <w:jc w:val="both"/>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本部门在2022年度部门决算中反映“政务运转工作经费”1个项目绩效目标实际完成情况。</w:t>
      </w:r>
    </w:p>
    <w:p>
      <w:pPr>
        <w:keepNext w:val="0"/>
        <w:keepLines w:val="0"/>
        <w:pageBreakBefore w:val="0"/>
        <w:kinsoku/>
        <w:wordWrap/>
        <w:overflowPunct/>
        <w:topLinePunct w:val="0"/>
        <w:autoSpaceDE/>
        <w:autoSpaceDN/>
        <w:bidi w:val="0"/>
        <w:snapToGrid w:val="0"/>
        <w:spacing w:line="360" w:lineRule="auto"/>
        <w:ind w:firstLine="640"/>
        <w:jc w:val="both"/>
        <w:textAlignment w:val="auto"/>
        <w:rPr>
          <w:rFonts w:ascii="仿宋_GB2312" w:hAnsi="宋体" w:eastAsia="仿宋_GB2312" w:cs="宋体"/>
          <w:kern w:val="0"/>
          <w:sz w:val="32"/>
          <w:szCs w:val="32"/>
          <w:shd w:val="clear" w:color="auto" w:fill="FFFFFF"/>
          <w:lang w:val="zh-CN"/>
        </w:rPr>
      </w:pPr>
      <w:r>
        <w:rPr>
          <w:rFonts w:hint="eastAsia" w:ascii="仿宋_GB2312" w:hAnsi="宋体" w:eastAsia="仿宋_GB2312" w:cs="宋体"/>
          <w:color w:val="000000"/>
          <w:kern w:val="0"/>
          <w:sz w:val="32"/>
          <w:szCs w:val="32"/>
        </w:rPr>
        <w:t>项目全年预算数27.88万元，执行数为27.88万</w:t>
      </w:r>
      <w:r>
        <w:rPr>
          <w:rFonts w:hint="eastAsia" w:ascii="仿宋_GB2312" w:hAnsi="仿宋_GB2312" w:eastAsia="仿宋_GB2312" w:cs="仿宋_GB2312"/>
          <w:sz w:val="32"/>
          <w:szCs w:val="32"/>
        </w:rPr>
        <w:t>元，完成预算的100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。通过项目实施，保障了政务运转工作的开展，</w:t>
      </w:r>
    </w:p>
    <w:p>
      <w:pPr>
        <w:keepNext w:val="0"/>
        <w:keepLines w:val="0"/>
        <w:pageBreakBefore w:val="0"/>
        <w:kinsoku/>
        <w:wordWrap/>
        <w:overflowPunct/>
        <w:topLinePunct w:val="0"/>
        <w:autoSpaceDE/>
        <w:autoSpaceDN/>
        <w:bidi w:val="0"/>
        <w:snapToGrid w:val="0"/>
        <w:spacing w:line="360" w:lineRule="auto"/>
        <w:jc w:val="both"/>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确保绩效评价结果公正、客观、精准，做到了评价结果客 观公正、实事求是，真实反映绩效，如实反映问题，切实提高评价质量。</w:t>
      </w:r>
    </w:p>
    <w:p/>
    <w:p>
      <w:pPr>
        <w:rPr>
          <w:rFonts w:eastAsia="黑体"/>
          <w:sz w:val="28"/>
          <w:szCs w:val="36"/>
        </w:rPr>
      </w:pPr>
      <w:r>
        <w:rPr>
          <w:rFonts w:eastAsia="黑体"/>
          <w:sz w:val="28"/>
          <w:szCs w:val="36"/>
        </w:rPr>
        <w:br w:type="page"/>
      </w:r>
    </w:p>
    <w:p>
      <w:pPr>
        <w:rPr>
          <w:rFonts w:eastAsia="黑体"/>
          <w:sz w:val="28"/>
          <w:szCs w:val="36"/>
        </w:rPr>
      </w:pPr>
      <w:r>
        <w:rPr>
          <w:rFonts w:eastAsia="黑体"/>
          <w:sz w:val="28"/>
          <w:szCs w:val="36"/>
        </w:rPr>
        <w:t>附件2</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
        <w:gridCol w:w="650"/>
        <w:gridCol w:w="1605"/>
        <w:gridCol w:w="681"/>
        <w:gridCol w:w="1183"/>
        <w:gridCol w:w="785"/>
        <w:gridCol w:w="1213"/>
        <w:gridCol w:w="1287"/>
        <w:gridCol w:w="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5000" w:type="pct"/>
            <w:gridSpan w:val="9"/>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b/>
                <w:bCs/>
                <w:kern w:val="0"/>
                <w:sz w:val="32"/>
                <w:szCs w:val="32"/>
              </w:rPr>
            </w:pPr>
            <w:r>
              <w:rPr>
                <w:rFonts w:hint="eastAsia" w:eastAsia="方正小标宋简体"/>
                <w:color w:val="000000"/>
                <w:kern w:val="0"/>
                <w:sz w:val="32"/>
                <w:szCs w:val="32"/>
              </w:rPr>
              <w:t>行政审批局</w:t>
            </w:r>
            <w:r>
              <w:rPr>
                <w:rFonts w:eastAsia="方正小标宋简体"/>
                <w:color w:val="000000"/>
                <w:kern w:val="0"/>
                <w:sz w:val="32"/>
                <w:szCs w:val="32"/>
              </w:rPr>
              <w:t>部门整体支出绩效目标自评表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5000" w:type="pct"/>
            <w:gridSpan w:val="9"/>
            <w:tcBorders>
              <w:top w:val="nil"/>
              <w:left w:val="nil"/>
              <w:bottom w:val="single" w:color="auto" w:sz="4" w:space="0"/>
              <w:right w:val="nil"/>
            </w:tcBorders>
            <w:noWrap/>
            <w:vAlign w:val="center"/>
          </w:tcPr>
          <w:p>
            <w:pPr>
              <w:widowControl/>
              <w:spacing w:line="260" w:lineRule="exact"/>
              <w:jc w:val="center"/>
              <w:rPr>
                <w:kern w:val="0"/>
                <w:sz w:val="16"/>
                <w:szCs w:val="16"/>
              </w:rPr>
            </w:pPr>
            <w:r>
              <w:rPr>
                <w:color w:val="000000"/>
                <w:kern w:val="0"/>
                <w:sz w:val="22"/>
                <w:szCs w:val="22"/>
              </w:rPr>
              <w:t>（2022年度）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7" w:type="pct"/>
            <w:gridSpan w:val="2"/>
            <w:tcBorders>
              <w:top w:val="single" w:color="auto" w:sz="4" w:space="0"/>
            </w:tcBorders>
            <w:noWrap/>
            <w:vAlign w:val="center"/>
          </w:tcPr>
          <w:p>
            <w:pPr>
              <w:widowControl/>
              <w:spacing w:line="260" w:lineRule="exact"/>
              <w:jc w:val="center"/>
              <w:rPr>
                <w:kern w:val="0"/>
                <w:sz w:val="16"/>
                <w:szCs w:val="16"/>
              </w:rPr>
            </w:pPr>
            <w:r>
              <w:rPr>
                <w:kern w:val="0"/>
                <w:sz w:val="16"/>
                <w:szCs w:val="16"/>
              </w:rPr>
              <w:t>部门名称</w:t>
            </w:r>
          </w:p>
        </w:tc>
        <w:tc>
          <w:tcPr>
            <w:tcW w:w="4002" w:type="pct"/>
            <w:gridSpan w:val="7"/>
            <w:tcBorders>
              <w:top w:val="single" w:color="auto" w:sz="4" w:space="0"/>
            </w:tcBorders>
            <w:noWrap/>
            <w:vAlign w:val="center"/>
          </w:tcPr>
          <w:p>
            <w:pPr>
              <w:widowControl/>
              <w:spacing w:line="260" w:lineRule="exact"/>
              <w:jc w:val="center"/>
              <w:rPr>
                <w:kern w:val="0"/>
                <w:sz w:val="16"/>
                <w:szCs w:val="16"/>
              </w:rPr>
            </w:pPr>
            <w:r>
              <w:rPr>
                <w:rFonts w:hint="eastAsia"/>
                <w:kern w:val="0"/>
                <w:sz w:val="16"/>
                <w:szCs w:val="16"/>
              </w:rPr>
              <w:t>沐川县行政审批局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restart"/>
            <w:noWrap/>
            <w:vAlign w:val="center"/>
          </w:tcPr>
          <w:p>
            <w:pPr>
              <w:widowControl/>
              <w:spacing w:line="260" w:lineRule="exact"/>
              <w:jc w:val="center"/>
              <w:rPr>
                <w:kern w:val="0"/>
                <w:sz w:val="16"/>
                <w:szCs w:val="16"/>
              </w:rPr>
            </w:pPr>
            <w:r>
              <w:rPr>
                <w:kern w:val="0"/>
                <w:sz w:val="16"/>
                <w:szCs w:val="16"/>
              </w:rPr>
              <w:t>年度主要任务</w:t>
            </w:r>
          </w:p>
        </w:tc>
        <w:tc>
          <w:tcPr>
            <w:tcW w:w="576" w:type="pct"/>
            <w:vMerge w:val="restart"/>
            <w:noWrap/>
            <w:vAlign w:val="center"/>
          </w:tcPr>
          <w:p>
            <w:pPr>
              <w:widowControl/>
              <w:spacing w:line="260" w:lineRule="exact"/>
              <w:jc w:val="center"/>
              <w:rPr>
                <w:kern w:val="0"/>
                <w:sz w:val="16"/>
                <w:szCs w:val="16"/>
              </w:rPr>
            </w:pPr>
            <w:r>
              <w:rPr>
                <w:kern w:val="0"/>
                <w:sz w:val="16"/>
                <w:szCs w:val="16"/>
              </w:rPr>
              <w:t>任务名称</w:t>
            </w:r>
          </w:p>
        </w:tc>
        <w:tc>
          <w:tcPr>
            <w:tcW w:w="990" w:type="pct"/>
            <w:vMerge w:val="restart"/>
            <w:noWrap/>
            <w:vAlign w:val="center"/>
          </w:tcPr>
          <w:p>
            <w:pPr>
              <w:widowControl/>
              <w:spacing w:line="260" w:lineRule="exact"/>
              <w:jc w:val="center"/>
              <w:rPr>
                <w:kern w:val="0"/>
                <w:sz w:val="16"/>
                <w:szCs w:val="16"/>
              </w:rPr>
            </w:pPr>
            <w:r>
              <w:rPr>
                <w:kern w:val="0"/>
                <w:sz w:val="16"/>
                <w:szCs w:val="16"/>
              </w:rPr>
              <w:t>主要内容</w:t>
            </w:r>
          </w:p>
        </w:tc>
        <w:tc>
          <w:tcPr>
            <w:tcW w:w="1391" w:type="pct"/>
            <w:gridSpan w:val="3"/>
            <w:noWrap/>
            <w:vAlign w:val="center"/>
          </w:tcPr>
          <w:p>
            <w:pPr>
              <w:widowControl/>
              <w:spacing w:line="260" w:lineRule="exact"/>
              <w:jc w:val="center"/>
              <w:rPr>
                <w:kern w:val="0"/>
                <w:sz w:val="16"/>
                <w:szCs w:val="16"/>
              </w:rPr>
            </w:pPr>
            <w:r>
              <w:rPr>
                <w:kern w:val="0"/>
                <w:sz w:val="16"/>
                <w:szCs w:val="16"/>
              </w:rPr>
              <w:t>预算金额（万元）</w:t>
            </w:r>
          </w:p>
        </w:tc>
        <w:tc>
          <w:tcPr>
            <w:tcW w:w="1621" w:type="pct"/>
            <w:gridSpan w:val="3"/>
            <w:noWrap/>
            <w:vAlign w:val="center"/>
          </w:tcPr>
          <w:p>
            <w:pPr>
              <w:widowControl/>
              <w:spacing w:line="260" w:lineRule="exact"/>
              <w:jc w:val="center"/>
              <w:rPr>
                <w:color w:val="000000"/>
                <w:kern w:val="0"/>
                <w:sz w:val="16"/>
                <w:szCs w:val="16"/>
              </w:rPr>
            </w:pPr>
            <w:r>
              <w:rPr>
                <w:color w:val="000000"/>
                <w:kern w:val="0"/>
                <w:sz w:val="16"/>
                <w:szCs w:val="16"/>
              </w:rPr>
              <w:t>实际执行（万元）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pPr>
              <w:widowControl/>
              <w:spacing w:line="260" w:lineRule="exact"/>
              <w:jc w:val="center"/>
              <w:rPr>
                <w:kern w:val="0"/>
                <w:sz w:val="16"/>
                <w:szCs w:val="16"/>
              </w:rPr>
            </w:pPr>
          </w:p>
        </w:tc>
        <w:tc>
          <w:tcPr>
            <w:tcW w:w="576" w:type="pct"/>
            <w:vMerge w:val="continue"/>
            <w:noWrap/>
            <w:vAlign w:val="center"/>
          </w:tcPr>
          <w:p>
            <w:pPr>
              <w:widowControl/>
              <w:spacing w:line="260" w:lineRule="exact"/>
              <w:jc w:val="center"/>
              <w:rPr>
                <w:kern w:val="0"/>
                <w:sz w:val="16"/>
                <w:szCs w:val="16"/>
              </w:rPr>
            </w:pPr>
          </w:p>
        </w:tc>
        <w:tc>
          <w:tcPr>
            <w:tcW w:w="990" w:type="pct"/>
            <w:vMerge w:val="continue"/>
            <w:noWrap/>
            <w:vAlign w:val="center"/>
          </w:tcPr>
          <w:p>
            <w:pPr>
              <w:widowControl/>
              <w:spacing w:line="260" w:lineRule="exact"/>
              <w:jc w:val="center"/>
              <w:rPr>
                <w:kern w:val="0"/>
                <w:sz w:val="16"/>
                <w:szCs w:val="16"/>
              </w:rPr>
            </w:pPr>
          </w:p>
        </w:tc>
        <w:tc>
          <w:tcPr>
            <w:tcW w:w="375" w:type="pct"/>
            <w:noWrap/>
            <w:vAlign w:val="center"/>
          </w:tcPr>
          <w:p>
            <w:pPr>
              <w:widowControl/>
              <w:spacing w:line="260" w:lineRule="exact"/>
              <w:jc w:val="center"/>
              <w:rPr>
                <w:kern w:val="0"/>
                <w:sz w:val="16"/>
                <w:szCs w:val="16"/>
              </w:rPr>
            </w:pPr>
            <w:r>
              <w:rPr>
                <w:kern w:val="0"/>
                <w:sz w:val="16"/>
                <w:szCs w:val="16"/>
              </w:rPr>
              <w:t>总额</w:t>
            </w:r>
          </w:p>
        </w:tc>
        <w:tc>
          <w:tcPr>
            <w:tcW w:w="684" w:type="pct"/>
            <w:noWrap/>
            <w:vAlign w:val="center"/>
          </w:tcPr>
          <w:p>
            <w:pPr>
              <w:widowControl/>
              <w:spacing w:line="260" w:lineRule="exact"/>
              <w:jc w:val="center"/>
              <w:rPr>
                <w:kern w:val="0"/>
                <w:sz w:val="16"/>
                <w:szCs w:val="16"/>
              </w:rPr>
            </w:pPr>
            <w:r>
              <w:rPr>
                <w:kern w:val="0"/>
                <w:sz w:val="16"/>
                <w:szCs w:val="16"/>
              </w:rPr>
              <w:t>财政拨款</w:t>
            </w:r>
          </w:p>
        </w:tc>
        <w:tc>
          <w:tcPr>
            <w:tcW w:w="332" w:type="pct"/>
            <w:noWrap/>
            <w:vAlign w:val="center"/>
          </w:tcPr>
          <w:p>
            <w:pPr>
              <w:widowControl/>
              <w:spacing w:line="260" w:lineRule="exact"/>
              <w:jc w:val="center"/>
              <w:rPr>
                <w:kern w:val="0"/>
                <w:sz w:val="16"/>
                <w:szCs w:val="16"/>
              </w:rPr>
            </w:pPr>
            <w:r>
              <w:rPr>
                <w:kern w:val="0"/>
                <w:sz w:val="16"/>
                <w:szCs w:val="16"/>
              </w:rPr>
              <w:t>其他资金</w:t>
            </w:r>
          </w:p>
        </w:tc>
        <w:tc>
          <w:tcPr>
            <w:tcW w:w="531" w:type="pct"/>
            <w:noWrap/>
            <w:vAlign w:val="center"/>
          </w:tcPr>
          <w:p>
            <w:pPr>
              <w:widowControl/>
              <w:spacing w:line="260" w:lineRule="exact"/>
              <w:jc w:val="center"/>
              <w:rPr>
                <w:kern w:val="0"/>
                <w:sz w:val="16"/>
                <w:szCs w:val="16"/>
              </w:rPr>
            </w:pPr>
            <w:r>
              <w:rPr>
                <w:kern w:val="0"/>
                <w:sz w:val="16"/>
                <w:szCs w:val="16"/>
              </w:rPr>
              <w:t>总额</w:t>
            </w:r>
          </w:p>
        </w:tc>
        <w:tc>
          <w:tcPr>
            <w:tcW w:w="641" w:type="pct"/>
            <w:noWrap/>
            <w:vAlign w:val="center"/>
          </w:tcPr>
          <w:p>
            <w:pPr>
              <w:widowControl/>
              <w:spacing w:line="260" w:lineRule="exact"/>
              <w:jc w:val="center"/>
              <w:rPr>
                <w:kern w:val="0"/>
                <w:sz w:val="16"/>
                <w:szCs w:val="16"/>
              </w:rPr>
            </w:pPr>
            <w:r>
              <w:rPr>
                <w:kern w:val="0"/>
                <w:sz w:val="16"/>
                <w:szCs w:val="16"/>
              </w:rPr>
              <w:t>财政拨款</w:t>
            </w:r>
          </w:p>
        </w:tc>
        <w:tc>
          <w:tcPr>
            <w:tcW w:w="449" w:type="pct"/>
            <w:noWrap/>
            <w:vAlign w:val="center"/>
          </w:tcPr>
          <w:p>
            <w:pPr>
              <w:widowControl/>
              <w:spacing w:line="260" w:lineRule="exact"/>
              <w:jc w:val="center"/>
              <w:rPr>
                <w:kern w:val="0"/>
                <w:sz w:val="16"/>
                <w:szCs w:val="16"/>
              </w:rPr>
            </w:pPr>
            <w:r>
              <w:rPr>
                <w:kern w:val="0"/>
                <w:sz w:val="16"/>
                <w:szCs w:val="16"/>
              </w:rPr>
              <w:t>其他资金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pPr>
              <w:widowControl/>
              <w:spacing w:line="260" w:lineRule="exact"/>
              <w:jc w:val="center"/>
              <w:rPr>
                <w:kern w:val="0"/>
                <w:sz w:val="16"/>
                <w:szCs w:val="16"/>
              </w:rPr>
            </w:pPr>
          </w:p>
        </w:tc>
        <w:tc>
          <w:tcPr>
            <w:tcW w:w="576" w:type="pct"/>
            <w:noWrap/>
            <w:vAlign w:val="center"/>
          </w:tcPr>
          <w:p>
            <w:pPr>
              <w:widowControl/>
              <w:spacing w:line="260" w:lineRule="exact"/>
              <w:jc w:val="center"/>
              <w:rPr>
                <w:kern w:val="0"/>
                <w:sz w:val="16"/>
                <w:szCs w:val="16"/>
              </w:rPr>
            </w:pPr>
            <w:r>
              <w:rPr>
                <w:kern w:val="0"/>
                <w:sz w:val="16"/>
                <w:szCs w:val="16"/>
              </w:rPr>
              <w:t>任务1</w:t>
            </w:r>
          </w:p>
        </w:tc>
        <w:tc>
          <w:tcPr>
            <w:tcW w:w="990" w:type="pct"/>
            <w:noWrap/>
            <w:vAlign w:val="center"/>
          </w:tcPr>
          <w:p>
            <w:pPr>
              <w:widowControl/>
              <w:spacing w:line="260" w:lineRule="exact"/>
              <w:jc w:val="center"/>
              <w:rPr>
                <w:kern w:val="0"/>
                <w:sz w:val="16"/>
                <w:szCs w:val="16"/>
              </w:rPr>
            </w:pPr>
            <w:r>
              <w:rPr>
                <w:rFonts w:hint="eastAsia"/>
                <w:kern w:val="0"/>
                <w:sz w:val="16"/>
                <w:szCs w:val="16"/>
              </w:rPr>
              <w:t>政务运转工作经费</w:t>
            </w:r>
          </w:p>
        </w:tc>
        <w:tc>
          <w:tcPr>
            <w:tcW w:w="375" w:type="pct"/>
            <w:noWrap/>
            <w:vAlign w:val="center"/>
          </w:tcPr>
          <w:p>
            <w:pPr>
              <w:widowControl/>
              <w:spacing w:line="260" w:lineRule="exact"/>
              <w:jc w:val="center"/>
              <w:rPr>
                <w:kern w:val="0"/>
                <w:sz w:val="16"/>
                <w:szCs w:val="16"/>
              </w:rPr>
            </w:pPr>
            <w:r>
              <w:rPr>
                <w:rFonts w:hint="eastAsia"/>
                <w:kern w:val="0"/>
                <w:sz w:val="16"/>
                <w:szCs w:val="16"/>
              </w:rPr>
              <w:t>15</w:t>
            </w:r>
          </w:p>
        </w:tc>
        <w:tc>
          <w:tcPr>
            <w:tcW w:w="684" w:type="pct"/>
            <w:noWrap/>
            <w:vAlign w:val="center"/>
          </w:tcPr>
          <w:p>
            <w:pPr>
              <w:widowControl/>
              <w:spacing w:line="260" w:lineRule="exact"/>
              <w:jc w:val="center"/>
              <w:rPr>
                <w:kern w:val="0"/>
                <w:sz w:val="16"/>
                <w:szCs w:val="16"/>
              </w:rPr>
            </w:pPr>
            <w:r>
              <w:rPr>
                <w:rFonts w:hint="eastAsia"/>
                <w:kern w:val="0"/>
                <w:sz w:val="16"/>
                <w:szCs w:val="16"/>
              </w:rPr>
              <w:t>15</w:t>
            </w:r>
          </w:p>
        </w:tc>
        <w:tc>
          <w:tcPr>
            <w:tcW w:w="332" w:type="pct"/>
            <w:noWrap/>
            <w:vAlign w:val="center"/>
          </w:tcPr>
          <w:p>
            <w:pPr>
              <w:widowControl/>
              <w:spacing w:line="260" w:lineRule="exact"/>
              <w:jc w:val="center"/>
              <w:rPr>
                <w:kern w:val="0"/>
                <w:sz w:val="16"/>
                <w:szCs w:val="16"/>
              </w:rPr>
            </w:pPr>
          </w:p>
        </w:tc>
        <w:tc>
          <w:tcPr>
            <w:tcW w:w="531" w:type="pct"/>
            <w:noWrap/>
            <w:vAlign w:val="center"/>
          </w:tcPr>
          <w:p>
            <w:pPr>
              <w:widowControl/>
              <w:spacing w:line="260" w:lineRule="exact"/>
              <w:jc w:val="center"/>
              <w:rPr>
                <w:kern w:val="0"/>
                <w:sz w:val="16"/>
                <w:szCs w:val="16"/>
              </w:rPr>
            </w:pPr>
            <w:r>
              <w:rPr>
                <w:rFonts w:hint="eastAsia"/>
                <w:kern w:val="0"/>
                <w:sz w:val="16"/>
                <w:szCs w:val="16"/>
              </w:rPr>
              <w:t>15</w:t>
            </w:r>
          </w:p>
        </w:tc>
        <w:tc>
          <w:tcPr>
            <w:tcW w:w="641" w:type="pct"/>
            <w:noWrap/>
            <w:vAlign w:val="center"/>
          </w:tcPr>
          <w:p>
            <w:pPr>
              <w:widowControl/>
              <w:spacing w:line="260" w:lineRule="exact"/>
              <w:jc w:val="center"/>
              <w:rPr>
                <w:kern w:val="0"/>
                <w:sz w:val="16"/>
                <w:szCs w:val="16"/>
              </w:rPr>
            </w:pPr>
            <w:r>
              <w:rPr>
                <w:rFonts w:hint="eastAsia"/>
                <w:kern w:val="0"/>
                <w:sz w:val="16"/>
                <w:szCs w:val="16"/>
              </w:rPr>
              <w:t>15</w:t>
            </w:r>
          </w:p>
        </w:tc>
        <w:tc>
          <w:tcPr>
            <w:tcW w:w="449" w:type="pct"/>
            <w:noWrap/>
            <w:vAlign w:val="center"/>
          </w:tcPr>
          <w:p>
            <w:pPr>
              <w:widowControl/>
              <w:spacing w:line="260" w:lineRule="exact"/>
              <w:jc w:val="center"/>
              <w:rPr>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pPr>
              <w:widowControl/>
              <w:spacing w:line="260" w:lineRule="exact"/>
              <w:jc w:val="center"/>
              <w:rPr>
                <w:kern w:val="0"/>
                <w:sz w:val="16"/>
                <w:szCs w:val="16"/>
              </w:rPr>
            </w:pPr>
          </w:p>
        </w:tc>
        <w:tc>
          <w:tcPr>
            <w:tcW w:w="576" w:type="pct"/>
            <w:noWrap/>
            <w:vAlign w:val="center"/>
          </w:tcPr>
          <w:p>
            <w:pPr>
              <w:widowControl/>
              <w:spacing w:line="260" w:lineRule="exact"/>
              <w:jc w:val="center"/>
              <w:rPr>
                <w:kern w:val="0"/>
                <w:sz w:val="16"/>
                <w:szCs w:val="16"/>
              </w:rPr>
            </w:pPr>
            <w:r>
              <w:rPr>
                <w:kern w:val="0"/>
                <w:sz w:val="16"/>
                <w:szCs w:val="16"/>
              </w:rPr>
              <w:t>任务2</w:t>
            </w:r>
          </w:p>
        </w:tc>
        <w:tc>
          <w:tcPr>
            <w:tcW w:w="990" w:type="pct"/>
            <w:noWrap/>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eastAsia="方正小标宋简体"/>
                <w:kern w:val="0"/>
                <w:sz w:val="10"/>
                <w:szCs w:val="10"/>
              </w:rPr>
            </w:pPr>
            <w:r>
              <w:rPr>
                <w:rFonts w:hint="eastAsia" w:eastAsia="方正小标宋简体"/>
                <w:color w:val="000000"/>
                <w:kern w:val="0"/>
                <w:sz w:val="13"/>
                <w:szCs w:val="13"/>
              </w:rPr>
              <w:t>镇村便民服务体系建设宣传培训费用</w:t>
            </w:r>
          </w:p>
        </w:tc>
        <w:tc>
          <w:tcPr>
            <w:tcW w:w="375" w:type="pct"/>
            <w:noWrap/>
            <w:vAlign w:val="center"/>
          </w:tcPr>
          <w:p>
            <w:pPr>
              <w:widowControl/>
              <w:spacing w:line="260" w:lineRule="exact"/>
              <w:jc w:val="center"/>
              <w:rPr>
                <w:kern w:val="0"/>
                <w:sz w:val="16"/>
                <w:szCs w:val="16"/>
              </w:rPr>
            </w:pPr>
            <w:r>
              <w:rPr>
                <w:rFonts w:hint="eastAsia"/>
                <w:kern w:val="0"/>
                <w:sz w:val="16"/>
                <w:szCs w:val="16"/>
              </w:rPr>
              <w:t>2</w:t>
            </w:r>
          </w:p>
        </w:tc>
        <w:tc>
          <w:tcPr>
            <w:tcW w:w="684" w:type="pct"/>
            <w:noWrap/>
            <w:vAlign w:val="center"/>
          </w:tcPr>
          <w:p>
            <w:pPr>
              <w:widowControl/>
              <w:spacing w:line="260" w:lineRule="exact"/>
              <w:jc w:val="center"/>
              <w:rPr>
                <w:kern w:val="0"/>
                <w:sz w:val="16"/>
                <w:szCs w:val="16"/>
              </w:rPr>
            </w:pPr>
            <w:r>
              <w:rPr>
                <w:rFonts w:hint="eastAsia"/>
                <w:kern w:val="0"/>
                <w:sz w:val="16"/>
                <w:szCs w:val="16"/>
              </w:rPr>
              <w:t>2</w:t>
            </w:r>
          </w:p>
        </w:tc>
        <w:tc>
          <w:tcPr>
            <w:tcW w:w="332" w:type="pct"/>
            <w:noWrap/>
            <w:vAlign w:val="center"/>
          </w:tcPr>
          <w:p>
            <w:pPr>
              <w:widowControl/>
              <w:spacing w:line="260" w:lineRule="exact"/>
              <w:jc w:val="center"/>
              <w:rPr>
                <w:kern w:val="0"/>
                <w:sz w:val="16"/>
                <w:szCs w:val="16"/>
              </w:rPr>
            </w:pPr>
          </w:p>
        </w:tc>
        <w:tc>
          <w:tcPr>
            <w:tcW w:w="531" w:type="pct"/>
            <w:noWrap/>
            <w:vAlign w:val="center"/>
          </w:tcPr>
          <w:p>
            <w:pPr>
              <w:widowControl/>
              <w:spacing w:line="260" w:lineRule="exact"/>
              <w:jc w:val="center"/>
              <w:rPr>
                <w:kern w:val="0"/>
                <w:sz w:val="16"/>
                <w:szCs w:val="16"/>
              </w:rPr>
            </w:pPr>
            <w:r>
              <w:rPr>
                <w:rFonts w:hint="eastAsia"/>
                <w:kern w:val="0"/>
                <w:sz w:val="16"/>
                <w:szCs w:val="16"/>
              </w:rPr>
              <w:t>2</w:t>
            </w:r>
          </w:p>
        </w:tc>
        <w:tc>
          <w:tcPr>
            <w:tcW w:w="641" w:type="pct"/>
            <w:noWrap/>
            <w:vAlign w:val="center"/>
          </w:tcPr>
          <w:p>
            <w:pPr>
              <w:widowControl/>
              <w:spacing w:line="260" w:lineRule="exact"/>
              <w:jc w:val="center"/>
              <w:rPr>
                <w:kern w:val="0"/>
                <w:sz w:val="16"/>
                <w:szCs w:val="16"/>
              </w:rPr>
            </w:pPr>
            <w:r>
              <w:rPr>
                <w:rFonts w:hint="eastAsia"/>
                <w:kern w:val="0"/>
                <w:sz w:val="16"/>
                <w:szCs w:val="16"/>
              </w:rPr>
              <w:t>2</w:t>
            </w:r>
          </w:p>
        </w:tc>
        <w:tc>
          <w:tcPr>
            <w:tcW w:w="449" w:type="pct"/>
            <w:noWrap/>
            <w:vAlign w:val="center"/>
          </w:tcPr>
          <w:p>
            <w:pPr>
              <w:widowControl/>
              <w:spacing w:line="260" w:lineRule="exact"/>
              <w:jc w:val="center"/>
              <w:rPr>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pPr>
              <w:widowControl/>
              <w:spacing w:line="260" w:lineRule="exact"/>
              <w:jc w:val="center"/>
              <w:rPr>
                <w:kern w:val="0"/>
                <w:sz w:val="16"/>
                <w:szCs w:val="16"/>
              </w:rPr>
            </w:pPr>
          </w:p>
        </w:tc>
        <w:tc>
          <w:tcPr>
            <w:tcW w:w="576" w:type="pct"/>
            <w:noWrap/>
            <w:vAlign w:val="center"/>
          </w:tcPr>
          <w:p>
            <w:pPr>
              <w:widowControl/>
              <w:spacing w:line="260" w:lineRule="exact"/>
              <w:jc w:val="center"/>
              <w:rPr>
                <w:kern w:val="0"/>
                <w:sz w:val="16"/>
                <w:szCs w:val="16"/>
              </w:rPr>
            </w:pPr>
            <w:r>
              <w:rPr>
                <w:kern w:val="0"/>
                <w:sz w:val="16"/>
                <w:szCs w:val="16"/>
              </w:rPr>
              <w:t>任务3</w:t>
            </w:r>
          </w:p>
        </w:tc>
        <w:tc>
          <w:tcPr>
            <w:tcW w:w="990" w:type="pct"/>
            <w:noWrap/>
            <w:vAlign w:val="center"/>
          </w:tcPr>
          <w:p>
            <w:pPr>
              <w:widowControl/>
              <w:spacing w:line="260" w:lineRule="exact"/>
              <w:jc w:val="center"/>
              <w:rPr>
                <w:kern w:val="0"/>
                <w:sz w:val="16"/>
                <w:szCs w:val="16"/>
              </w:rPr>
            </w:pPr>
            <w:r>
              <w:rPr>
                <w:rFonts w:hint="eastAsia"/>
                <w:kern w:val="0"/>
                <w:sz w:val="16"/>
                <w:szCs w:val="16"/>
              </w:rPr>
              <w:t>船舶检测费</w:t>
            </w:r>
          </w:p>
        </w:tc>
        <w:tc>
          <w:tcPr>
            <w:tcW w:w="375" w:type="pct"/>
            <w:noWrap/>
            <w:vAlign w:val="center"/>
          </w:tcPr>
          <w:p>
            <w:pPr>
              <w:widowControl/>
              <w:spacing w:line="260" w:lineRule="exact"/>
              <w:jc w:val="center"/>
              <w:rPr>
                <w:kern w:val="0"/>
                <w:sz w:val="16"/>
                <w:szCs w:val="16"/>
              </w:rPr>
            </w:pPr>
            <w:r>
              <w:rPr>
                <w:rFonts w:hint="eastAsia"/>
                <w:kern w:val="0"/>
                <w:sz w:val="16"/>
                <w:szCs w:val="16"/>
              </w:rPr>
              <w:t>3.75</w:t>
            </w:r>
          </w:p>
        </w:tc>
        <w:tc>
          <w:tcPr>
            <w:tcW w:w="684" w:type="pct"/>
            <w:noWrap/>
            <w:vAlign w:val="center"/>
          </w:tcPr>
          <w:p>
            <w:pPr>
              <w:widowControl/>
              <w:spacing w:line="260" w:lineRule="exact"/>
              <w:jc w:val="center"/>
              <w:rPr>
                <w:kern w:val="0"/>
                <w:sz w:val="16"/>
                <w:szCs w:val="16"/>
              </w:rPr>
            </w:pPr>
            <w:r>
              <w:rPr>
                <w:rFonts w:hint="eastAsia"/>
                <w:kern w:val="0"/>
                <w:sz w:val="16"/>
                <w:szCs w:val="16"/>
              </w:rPr>
              <w:t>3.75</w:t>
            </w:r>
          </w:p>
        </w:tc>
        <w:tc>
          <w:tcPr>
            <w:tcW w:w="332" w:type="pct"/>
            <w:noWrap/>
            <w:vAlign w:val="center"/>
          </w:tcPr>
          <w:p>
            <w:pPr>
              <w:widowControl/>
              <w:spacing w:line="260" w:lineRule="exact"/>
              <w:jc w:val="center"/>
              <w:rPr>
                <w:kern w:val="0"/>
                <w:sz w:val="16"/>
                <w:szCs w:val="16"/>
              </w:rPr>
            </w:pPr>
          </w:p>
        </w:tc>
        <w:tc>
          <w:tcPr>
            <w:tcW w:w="531" w:type="pct"/>
            <w:noWrap/>
            <w:vAlign w:val="center"/>
          </w:tcPr>
          <w:p>
            <w:pPr>
              <w:widowControl/>
              <w:spacing w:line="260" w:lineRule="exact"/>
              <w:jc w:val="center"/>
              <w:rPr>
                <w:kern w:val="0"/>
                <w:sz w:val="16"/>
                <w:szCs w:val="16"/>
              </w:rPr>
            </w:pPr>
            <w:r>
              <w:rPr>
                <w:rFonts w:hint="eastAsia"/>
                <w:kern w:val="0"/>
                <w:sz w:val="16"/>
                <w:szCs w:val="16"/>
              </w:rPr>
              <w:t>1.66</w:t>
            </w:r>
          </w:p>
        </w:tc>
        <w:tc>
          <w:tcPr>
            <w:tcW w:w="641" w:type="pct"/>
            <w:noWrap/>
            <w:vAlign w:val="center"/>
          </w:tcPr>
          <w:p>
            <w:pPr>
              <w:widowControl/>
              <w:spacing w:line="260" w:lineRule="exact"/>
              <w:jc w:val="center"/>
              <w:rPr>
                <w:kern w:val="0"/>
                <w:sz w:val="16"/>
                <w:szCs w:val="16"/>
              </w:rPr>
            </w:pPr>
            <w:r>
              <w:rPr>
                <w:rFonts w:hint="eastAsia"/>
                <w:kern w:val="0"/>
                <w:sz w:val="16"/>
                <w:szCs w:val="16"/>
              </w:rPr>
              <w:t>1.66</w:t>
            </w:r>
          </w:p>
        </w:tc>
        <w:tc>
          <w:tcPr>
            <w:tcW w:w="449" w:type="pct"/>
            <w:noWrap/>
            <w:vAlign w:val="center"/>
          </w:tcPr>
          <w:p>
            <w:pPr>
              <w:widowControl/>
              <w:spacing w:line="260" w:lineRule="exact"/>
              <w:jc w:val="center"/>
              <w:rPr>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pPr>
              <w:widowControl/>
              <w:spacing w:line="260" w:lineRule="exact"/>
              <w:jc w:val="center"/>
              <w:rPr>
                <w:kern w:val="0"/>
                <w:sz w:val="16"/>
                <w:szCs w:val="16"/>
              </w:rPr>
            </w:pPr>
          </w:p>
        </w:tc>
        <w:tc>
          <w:tcPr>
            <w:tcW w:w="576" w:type="pct"/>
            <w:noWrap/>
            <w:vAlign w:val="center"/>
          </w:tcPr>
          <w:p>
            <w:pPr>
              <w:widowControl/>
              <w:spacing w:line="260" w:lineRule="exact"/>
              <w:ind w:firstLine="160" w:firstLineChars="100"/>
              <w:rPr>
                <w:kern w:val="0"/>
                <w:sz w:val="16"/>
                <w:szCs w:val="16"/>
              </w:rPr>
            </w:pPr>
            <w:r>
              <w:rPr>
                <w:kern w:val="0"/>
                <w:sz w:val="16"/>
                <w:szCs w:val="16"/>
              </w:rPr>
              <w:t>任务</w:t>
            </w:r>
            <w:r>
              <w:rPr>
                <w:rFonts w:hint="eastAsia"/>
                <w:kern w:val="0"/>
                <w:sz w:val="16"/>
                <w:szCs w:val="16"/>
              </w:rPr>
              <w:t>4</w:t>
            </w:r>
          </w:p>
        </w:tc>
        <w:tc>
          <w:tcPr>
            <w:tcW w:w="990" w:type="pct"/>
            <w:noWrap/>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eastAsia="方正小标宋简体"/>
                <w:kern w:val="0"/>
                <w:sz w:val="16"/>
                <w:szCs w:val="16"/>
              </w:rPr>
            </w:pPr>
            <w:r>
              <w:rPr>
                <w:rFonts w:hint="eastAsia" w:eastAsia="方正小标宋简体"/>
                <w:color w:val="000000"/>
                <w:kern w:val="0"/>
                <w:sz w:val="13"/>
                <w:szCs w:val="13"/>
              </w:rPr>
              <w:t>镇村便民服务体系建设经费</w:t>
            </w:r>
          </w:p>
        </w:tc>
        <w:tc>
          <w:tcPr>
            <w:tcW w:w="375" w:type="pct"/>
            <w:noWrap/>
            <w:vAlign w:val="center"/>
          </w:tcPr>
          <w:p>
            <w:pPr>
              <w:widowControl/>
              <w:spacing w:line="260" w:lineRule="exact"/>
              <w:jc w:val="center"/>
              <w:rPr>
                <w:kern w:val="0"/>
                <w:sz w:val="16"/>
                <w:szCs w:val="16"/>
              </w:rPr>
            </w:pPr>
            <w:r>
              <w:rPr>
                <w:rFonts w:hint="eastAsia"/>
                <w:kern w:val="0"/>
                <w:sz w:val="16"/>
                <w:szCs w:val="16"/>
              </w:rPr>
              <w:t>9.22</w:t>
            </w:r>
          </w:p>
        </w:tc>
        <w:tc>
          <w:tcPr>
            <w:tcW w:w="684" w:type="pct"/>
            <w:noWrap/>
            <w:vAlign w:val="center"/>
          </w:tcPr>
          <w:p>
            <w:pPr>
              <w:widowControl/>
              <w:spacing w:line="260" w:lineRule="exact"/>
              <w:jc w:val="center"/>
              <w:rPr>
                <w:kern w:val="0"/>
                <w:sz w:val="16"/>
                <w:szCs w:val="16"/>
              </w:rPr>
            </w:pPr>
            <w:r>
              <w:rPr>
                <w:rFonts w:hint="eastAsia"/>
                <w:kern w:val="0"/>
                <w:sz w:val="16"/>
                <w:szCs w:val="16"/>
              </w:rPr>
              <w:t>9.22</w:t>
            </w:r>
          </w:p>
        </w:tc>
        <w:tc>
          <w:tcPr>
            <w:tcW w:w="332" w:type="pct"/>
            <w:noWrap/>
            <w:vAlign w:val="center"/>
          </w:tcPr>
          <w:p>
            <w:pPr>
              <w:widowControl/>
              <w:spacing w:line="260" w:lineRule="exact"/>
              <w:jc w:val="center"/>
              <w:rPr>
                <w:kern w:val="0"/>
                <w:sz w:val="16"/>
                <w:szCs w:val="16"/>
              </w:rPr>
            </w:pPr>
          </w:p>
        </w:tc>
        <w:tc>
          <w:tcPr>
            <w:tcW w:w="531" w:type="pct"/>
            <w:noWrap/>
            <w:vAlign w:val="center"/>
          </w:tcPr>
          <w:p>
            <w:pPr>
              <w:widowControl/>
              <w:spacing w:line="260" w:lineRule="exact"/>
              <w:jc w:val="center"/>
              <w:rPr>
                <w:kern w:val="0"/>
                <w:sz w:val="16"/>
                <w:szCs w:val="16"/>
              </w:rPr>
            </w:pPr>
            <w:r>
              <w:rPr>
                <w:rFonts w:hint="eastAsia"/>
                <w:kern w:val="0"/>
                <w:sz w:val="16"/>
                <w:szCs w:val="16"/>
              </w:rPr>
              <w:t>9.22</w:t>
            </w:r>
          </w:p>
        </w:tc>
        <w:tc>
          <w:tcPr>
            <w:tcW w:w="641" w:type="pct"/>
            <w:noWrap/>
            <w:vAlign w:val="center"/>
          </w:tcPr>
          <w:p>
            <w:pPr>
              <w:widowControl/>
              <w:spacing w:line="260" w:lineRule="exact"/>
              <w:jc w:val="center"/>
              <w:rPr>
                <w:kern w:val="0"/>
                <w:sz w:val="16"/>
                <w:szCs w:val="16"/>
              </w:rPr>
            </w:pPr>
            <w:r>
              <w:rPr>
                <w:rFonts w:hint="eastAsia"/>
                <w:kern w:val="0"/>
                <w:sz w:val="16"/>
                <w:szCs w:val="16"/>
              </w:rPr>
              <w:t>9.22</w:t>
            </w:r>
          </w:p>
        </w:tc>
        <w:tc>
          <w:tcPr>
            <w:tcW w:w="449" w:type="pct"/>
            <w:noWrap/>
            <w:vAlign w:val="center"/>
          </w:tcPr>
          <w:p>
            <w:pPr>
              <w:widowControl/>
              <w:spacing w:line="260" w:lineRule="exact"/>
              <w:jc w:val="center"/>
              <w:rPr>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pPr>
              <w:widowControl/>
              <w:spacing w:line="260" w:lineRule="exact"/>
              <w:jc w:val="center"/>
              <w:rPr>
                <w:kern w:val="0"/>
                <w:sz w:val="16"/>
                <w:szCs w:val="16"/>
              </w:rPr>
            </w:pPr>
          </w:p>
        </w:tc>
        <w:tc>
          <w:tcPr>
            <w:tcW w:w="1567" w:type="pct"/>
            <w:gridSpan w:val="2"/>
            <w:noWrap/>
            <w:vAlign w:val="center"/>
          </w:tcPr>
          <w:p>
            <w:pPr>
              <w:widowControl/>
              <w:spacing w:line="260" w:lineRule="exact"/>
              <w:jc w:val="center"/>
              <w:rPr>
                <w:kern w:val="0"/>
                <w:sz w:val="16"/>
                <w:szCs w:val="16"/>
              </w:rPr>
            </w:pPr>
            <w:r>
              <w:rPr>
                <w:kern w:val="0"/>
                <w:sz w:val="16"/>
                <w:szCs w:val="16"/>
              </w:rPr>
              <w:t>金额合计</w:t>
            </w:r>
          </w:p>
        </w:tc>
        <w:tc>
          <w:tcPr>
            <w:tcW w:w="375" w:type="pct"/>
            <w:noWrap/>
            <w:vAlign w:val="center"/>
          </w:tcPr>
          <w:p>
            <w:pPr>
              <w:widowControl/>
              <w:spacing w:line="260" w:lineRule="exact"/>
              <w:jc w:val="center"/>
              <w:rPr>
                <w:kern w:val="0"/>
                <w:sz w:val="16"/>
                <w:szCs w:val="16"/>
              </w:rPr>
            </w:pPr>
            <w:r>
              <w:rPr>
                <w:rFonts w:hint="eastAsia"/>
                <w:kern w:val="0"/>
                <w:sz w:val="16"/>
                <w:szCs w:val="16"/>
              </w:rPr>
              <w:t>29.97</w:t>
            </w:r>
          </w:p>
        </w:tc>
        <w:tc>
          <w:tcPr>
            <w:tcW w:w="684" w:type="pct"/>
            <w:noWrap/>
            <w:vAlign w:val="center"/>
          </w:tcPr>
          <w:p>
            <w:pPr>
              <w:widowControl/>
              <w:spacing w:line="260" w:lineRule="exact"/>
              <w:jc w:val="center"/>
              <w:rPr>
                <w:kern w:val="0"/>
                <w:sz w:val="16"/>
                <w:szCs w:val="16"/>
              </w:rPr>
            </w:pPr>
            <w:r>
              <w:rPr>
                <w:rFonts w:hint="eastAsia"/>
                <w:kern w:val="0"/>
                <w:sz w:val="16"/>
                <w:szCs w:val="16"/>
              </w:rPr>
              <w:t>29.97</w:t>
            </w:r>
          </w:p>
        </w:tc>
        <w:tc>
          <w:tcPr>
            <w:tcW w:w="332" w:type="pct"/>
            <w:noWrap/>
            <w:vAlign w:val="center"/>
          </w:tcPr>
          <w:p>
            <w:pPr>
              <w:widowControl/>
              <w:spacing w:line="260" w:lineRule="exact"/>
              <w:jc w:val="center"/>
              <w:rPr>
                <w:kern w:val="0"/>
                <w:sz w:val="16"/>
                <w:szCs w:val="16"/>
              </w:rPr>
            </w:pPr>
          </w:p>
        </w:tc>
        <w:tc>
          <w:tcPr>
            <w:tcW w:w="531" w:type="pct"/>
            <w:noWrap/>
            <w:vAlign w:val="center"/>
          </w:tcPr>
          <w:p>
            <w:pPr>
              <w:widowControl/>
              <w:spacing w:line="260" w:lineRule="exact"/>
              <w:jc w:val="center"/>
              <w:rPr>
                <w:kern w:val="0"/>
                <w:sz w:val="16"/>
                <w:szCs w:val="16"/>
              </w:rPr>
            </w:pPr>
            <w:r>
              <w:rPr>
                <w:rFonts w:hint="eastAsia"/>
                <w:kern w:val="0"/>
                <w:sz w:val="16"/>
                <w:szCs w:val="16"/>
              </w:rPr>
              <w:t>27.88</w:t>
            </w:r>
          </w:p>
        </w:tc>
        <w:tc>
          <w:tcPr>
            <w:tcW w:w="641" w:type="pct"/>
            <w:noWrap/>
            <w:vAlign w:val="center"/>
          </w:tcPr>
          <w:p>
            <w:pPr>
              <w:widowControl/>
              <w:spacing w:line="260" w:lineRule="exact"/>
              <w:jc w:val="center"/>
              <w:rPr>
                <w:color w:val="000000"/>
                <w:kern w:val="0"/>
                <w:sz w:val="16"/>
                <w:szCs w:val="16"/>
              </w:rPr>
            </w:pPr>
            <w:r>
              <w:rPr>
                <w:rFonts w:hint="eastAsia"/>
                <w:color w:val="000000"/>
                <w:kern w:val="0"/>
                <w:sz w:val="16"/>
                <w:szCs w:val="16"/>
              </w:rPr>
              <w:t>27.88</w:t>
            </w:r>
          </w:p>
        </w:tc>
        <w:tc>
          <w:tcPr>
            <w:tcW w:w="449" w:type="pct"/>
            <w:noWrap/>
            <w:vAlign w:val="center"/>
          </w:tcPr>
          <w:p>
            <w:pPr>
              <w:widowControl/>
              <w:spacing w:line="260" w:lineRule="exact"/>
              <w:jc w:val="center"/>
              <w:rPr>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20" w:type="pct"/>
            <w:vMerge w:val="restart"/>
            <w:noWrap/>
            <w:vAlign w:val="center"/>
          </w:tcPr>
          <w:p>
            <w:pPr>
              <w:spacing w:line="260" w:lineRule="exact"/>
              <w:jc w:val="center"/>
              <w:rPr>
                <w:kern w:val="0"/>
                <w:sz w:val="16"/>
                <w:szCs w:val="16"/>
              </w:rPr>
            </w:pPr>
            <w:r>
              <w:rPr>
                <w:kern w:val="0"/>
                <w:sz w:val="16"/>
                <w:szCs w:val="16"/>
              </w:rPr>
              <w:t>年度总体目标</w:t>
            </w:r>
          </w:p>
        </w:tc>
        <w:tc>
          <w:tcPr>
            <w:tcW w:w="1942" w:type="pct"/>
            <w:gridSpan w:val="3"/>
            <w:noWrap/>
            <w:vAlign w:val="center"/>
          </w:tcPr>
          <w:p>
            <w:pPr>
              <w:widowControl/>
              <w:spacing w:line="260" w:lineRule="exact"/>
              <w:jc w:val="center"/>
              <w:rPr>
                <w:kern w:val="0"/>
                <w:sz w:val="16"/>
                <w:szCs w:val="16"/>
              </w:rPr>
            </w:pPr>
            <w:r>
              <w:rPr>
                <w:kern w:val="0"/>
                <w:sz w:val="16"/>
                <w:szCs w:val="16"/>
              </w:rPr>
              <w:t>预期目标</w:t>
            </w:r>
          </w:p>
        </w:tc>
        <w:tc>
          <w:tcPr>
            <w:tcW w:w="2637" w:type="pct"/>
            <w:gridSpan w:val="5"/>
            <w:noWrap/>
            <w:vAlign w:val="center"/>
          </w:tcPr>
          <w:p>
            <w:pPr>
              <w:widowControl/>
              <w:spacing w:line="260" w:lineRule="exact"/>
              <w:jc w:val="center"/>
              <w:rPr>
                <w:kern w:val="0"/>
                <w:sz w:val="16"/>
                <w:szCs w:val="16"/>
              </w:rPr>
            </w:pPr>
            <w:r>
              <w:rPr>
                <w:kern w:val="0"/>
                <w:sz w:val="16"/>
                <w:szCs w:val="16"/>
              </w:rPr>
              <w:t>实际完成目标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pPr>
              <w:widowControl/>
              <w:spacing w:line="260" w:lineRule="exact"/>
              <w:jc w:val="center"/>
              <w:rPr>
                <w:kern w:val="0"/>
                <w:sz w:val="16"/>
                <w:szCs w:val="16"/>
              </w:rPr>
            </w:pPr>
          </w:p>
        </w:tc>
        <w:tc>
          <w:tcPr>
            <w:tcW w:w="1942" w:type="pct"/>
            <w:gridSpan w:val="3"/>
            <w:noWrap/>
            <w:vAlign w:val="center"/>
          </w:tcPr>
          <w:p>
            <w:pPr>
              <w:widowControl/>
              <w:spacing w:line="260" w:lineRule="exact"/>
              <w:jc w:val="center"/>
              <w:rPr>
                <w:kern w:val="0"/>
                <w:sz w:val="16"/>
                <w:szCs w:val="16"/>
              </w:rPr>
            </w:pPr>
          </w:p>
        </w:tc>
        <w:tc>
          <w:tcPr>
            <w:tcW w:w="2637" w:type="pct"/>
            <w:gridSpan w:val="5"/>
            <w:noWrap/>
            <w:vAlign w:val="center"/>
          </w:tcPr>
          <w:p>
            <w:pPr>
              <w:widowControl/>
              <w:spacing w:line="260" w:lineRule="exact"/>
              <w:jc w:val="center"/>
              <w:rPr>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restart"/>
            <w:noWrap/>
            <w:vAlign w:val="center"/>
          </w:tcPr>
          <w:p>
            <w:pPr>
              <w:widowControl/>
              <w:spacing w:line="260" w:lineRule="exact"/>
              <w:jc w:val="center"/>
              <w:rPr>
                <w:kern w:val="0"/>
                <w:sz w:val="16"/>
                <w:szCs w:val="16"/>
              </w:rPr>
            </w:pPr>
            <w:r>
              <w:rPr>
                <w:kern w:val="0"/>
                <w:sz w:val="16"/>
                <w:szCs w:val="16"/>
              </w:rPr>
              <w:t>年度绩效指标</w:t>
            </w:r>
          </w:p>
        </w:tc>
        <w:tc>
          <w:tcPr>
            <w:tcW w:w="576" w:type="pct"/>
            <w:noWrap/>
            <w:vAlign w:val="center"/>
          </w:tcPr>
          <w:p>
            <w:pPr>
              <w:widowControl/>
              <w:spacing w:line="260" w:lineRule="exact"/>
              <w:jc w:val="center"/>
              <w:rPr>
                <w:kern w:val="0"/>
                <w:sz w:val="16"/>
                <w:szCs w:val="16"/>
              </w:rPr>
            </w:pPr>
            <w:r>
              <w:rPr>
                <w:kern w:val="0"/>
                <w:sz w:val="16"/>
                <w:szCs w:val="16"/>
              </w:rPr>
              <w:t>一级指标</w:t>
            </w:r>
          </w:p>
        </w:tc>
        <w:tc>
          <w:tcPr>
            <w:tcW w:w="990" w:type="pct"/>
            <w:noWrap/>
            <w:vAlign w:val="center"/>
          </w:tcPr>
          <w:p>
            <w:pPr>
              <w:widowControl/>
              <w:spacing w:line="260" w:lineRule="exact"/>
              <w:jc w:val="center"/>
              <w:rPr>
                <w:kern w:val="0"/>
                <w:sz w:val="16"/>
                <w:szCs w:val="16"/>
              </w:rPr>
            </w:pPr>
            <w:r>
              <w:rPr>
                <w:kern w:val="0"/>
                <w:sz w:val="16"/>
                <w:szCs w:val="16"/>
              </w:rPr>
              <w:t>二级指标</w:t>
            </w:r>
          </w:p>
        </w:tc>
        <w:tc>
          <w:tcPr>
            <w:tcW w:w="1059" w:type="pct"/>
            <w:gridSpan w:val="2"/>
            <w:noWrap/>
            <w:vAlign w:val="center"/>
          </w:tcPr>
          <w:p>
            <w:pPr>
              <w:widowControl/>
              <w:spacing w:line="260" w:lineRule="exact"/>
              <w:jc w:val="center"/>
              <w:rPr>
                <w:kern w:val="0"/>
                <w:sz w:val="16"/>
                <w:szCs w:val="16"/>
              </w:rPr>
            </w:pPr>
            <w:r>
              <w:rPr>
                <w:kern w:val="0"/>
                <w:sz w:val="16"/>
                <w:szCs w:val="16"/>
              </w:rPr>
              <w:t>三级指标</w:t>
            </w:r>
          </w:p>
        </w:tc>
        <w:tc>
          <w:tcPr>
            <w:tcW w:w="863" w:type="pct"/>
            <w:gridSpan w:val="2"/>
            <w:noWrap/>
            <w:vAlign w:val="center"/>
          </w:tcPr>
          <w:p>
            <w:pPr>
              <w:widowControl/>
              <w:spacing w:line="260" w:lineRule="exact"/>
              <w:jc w:val="center"/>
              <w:rPr>
                <w:color w:val="000000"/>
                <w:kern w:val="0"/>
                <w:sz w:val="16"/>
                <w:szCs w:val="16"/>
              </w:rPr>
            </w:pPr>
            <w:r>
              <w:rPr>
                <w:color w:val="000000"/>
                <w:kern w:val="0"/>
                <w:sz w:val="16"/>
                <w:szCs w:val="16"/>
              </w:rPr>
              <w:t>预期指标值（包含数字及文字描述）</w:t>
            </w:r>
          </w:p>
        </w:tc>
        <w:tc>
          <w:tcPr>
            <w:tcW w:w="1090" w:type="pct"/>
            <w:gridSpan w:val="2"/>
            <w:noWrap/>
            <w:vAlign w:val="center"/>
          </w:tcPr>
          <w:p>
            <w:pPr>
              <w:widowControl/>
              <w:spacing w:line="260" w:lineRule="exact"/>
              <w:jc w:val="center"/>
              <w:rPr>
                <w:color w:val="000000"/>
                <w:kern w:val="0"/>
                <w:sz w:val="16"/>
                <w:szCs w:val="16"/>
              </w:rPr>
            </w:pPr>
            <w:r>
              <w:rPr>
                <w:color w:val="000000"/>
                <w:kern w:val="0"/>
                <w:sz w:val="16"/>
                <w:szCs w:val="16"/>
              </w:rPr>
              <w:t>实际完成指标值（包含数字及文字描述）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pPr>
              <w:widowControl/>
              <w:spacing w:line="260" w:lineRule="exact"/>
              <w:jc w:val="center"/>
              <w:rPr>
                <w:kern w:val="0"/>
                <w:sz w:val="16"/>
                <w:szCs w:val="16"/>
              </w:rPr>
            </w:pPr>
          </w:p>
        </w:tc>
        <w:tc>
          <w:tcPr>
            <w:tcW w:w="576" w:type="pct"/>
            <w:vMerge w:val="restart"/>
            <w:noWrap/>
            <w:vAlign w:val="center"/>
          </w:tcPr>
          <w:p>
            <w:pPr>
              <w:widowControl/>
              <w:spacing w:line="260" w:lineRule="exact"/>
              <w:jc w:val="center"/>
              <w:rPr>
                <w:kern w:val="0"/>
                <w:sz w:val="16"/>
                <w:szCs w:val="16"/>
              </w:rPr>
            </w:pPr>
            <w:r>
              <w:rPr>
                <w:kern w:val="0"/>
                <w:sz w:val="16"/>
                <w:szCs w:val="16"/>
              </w:rPr>
              <w:t>完成指标</w:t>
            </w:r>
          </w:p>
        </w:tc>
        <w:tc>
          <w:tcPr>
            <w:tcW w:w="990" w:type="pct"/>
            <w:vMerge w:val="restart"/>
            <w:noWrap/>
            <w:vAlign w:val="center"/>
          </w:tcPr>
          <w:p>
            <w:pPr>
              <w:widowControl/>
              <w:spacing w:line="260" w:lineRule="exact"/>
              <w:jc w:val="center"/>
              <w:rPr>
                <w:kern w:val="0"/>
                <w:sz w:val="16"/>
                <w:szCs w:val="16"/>
              </w:rPr>
            </w:pPr>
            <w:r>
              <w:rPr>
                <w:kern w:val="0"/>
                <w:sz w:val="16"/>
                <w:szCs w:val="16"/>
              </w:rPr>
              <w:t>数量指标</w:t>
            </w:r>
          </w:p>
        </w:tc>
        <w:tc>
          <w:tcPr>
            <w:tcW w:w="1059" w:type="pct"/>
            <w:gridSpan w:val="2"/>
            <w:noWrap/>
            <w:vAlign w:val="center"/>
          </w:tcPr>
          <w:p>
            <w:pPr>
              <w:widowControl/>
              <w:spacing w:line="260" w:lineRule="exact"/>
              <w:jc w:val="center"/>
              <w:rPr>
                <w:kern w:val="0"/>
                <w:sz w:val="16"/>
                <w:szCs w:val="16"/>
              </w:rPr>
            </w:pPr>
            <w:r>
              <w:rPr>
                <w:kern w:val="0"/>
                <w:sz w:val="16"/>
                <w:szCs w:val="16"/>
              </w:rPr>
              <w:t>指标1：</w:t>
            </w:r>
            <w:r>
              <w:rPr>
                <w:rFonts w:hint="eastAsia"/>
                <w:kern w:val="0"/>
                <w:sz w:val="16"/>
                <w:szCs w:val="16"/>
              </w:rPr>
              <w:t>评估报告数量</w:t>
            </w:r>
          </w:p>
        </w:tc>
        <w:tc>
          <w:tcPr>
            <w:tcW w:w="863" w:type="pct"/>
            <w:gridSpan w:val="2"/>
            <w:noWrap/>
            <w:vAlign w:val="center"/>
          </w:tcPr>
          <w:p>
            <w:pPr>
              <w:widowControl/>
              <w:spacing w:line="260" w:lineRule="exact"/>
              <w:jc w:val="center"/>
              <w:rPr>
                <w:kern w:val="0"/>
                <w:sz w:val="16"/>
                <w:szCs w:val="16"/>
              </w:rPr>
            </w:pPr>
            <w:r>
              <w:rPr>
                <w:rFonts w:hint="eastAsia"/>
                <w:kern w:val="0"/>
                <w:sz w:val="16"/>
                <w:szCs w:val="16"/>
              </w:rPr>
              <w:t>10</w:t>
            </w:r>
          </w:p>
        </w:tc>
        <w:tc>
          <w:tcPr>
            <w:tcW w:w="1090" w:type="pct"/>
            <w:gridSpan w:val="2"/>
            <w:noWrap/>
            <w:vAlign w:val="center"/>
          </w:tcPr>
          <w:p>
            <w:pPr>
              <w:widowControl/>
              <w:spacing w:line="260" w:lineRule="exact"/>
              <w:jc w:val="center"/>
              <w:rPr>
                <w:color w:val="000000"/>
                <w:kern w:val="0"/>
                <w:sz w:val="16"/>
                <w:szCs w:val="16"/>
              </w:rPr>
            </w:pPr>
            <w:r>
              <w:rPr>
                <w:rFonts w:hint="eastAsia"/>
                <w:color w:val="000000"/>
                <w:kern w:val="0"/>
                <w:sz w:val="16"/>
                <w:szCs w:val="16"/>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pPr>
              <w:widowControl/>
              <w:spacing w:line="260" w:lineRule="exact"/>
              <w:jc w:val="center"/>
              <w:rPr>
                <w:kern w:val="0"/>
                <w:sz w:val="16"/>
                <w:szCs w:val="16"/>
              </w:rPr>
            </w:pPr>
          </w:p>
        </w:tc>
        <w:tc>
          <w:tcPr>
            <w:tcW w:w="576" w:type="pct"/>
            <w:vMerge w:val="continue"/>
            <w:noWrap/>
            <w:vAlign w:val="center"/>
          </w:tcPr>
          <w:p>
            <w:pPr>
              <w:widowControl/>
              <w:spacing w:line="260" w:lineRule="exact"/>
              <w:jc w:val="center"/>
              <w:rPr>
                <w:kern w:val="0"/>
                <w:sz w:val="16"/>
                <w:szCs w:val="16"/>
              </w:rPr>
            </w:pPr>
          </w:p>
        </w:tc>
        <w:tc>
          <w:tcPr>
            <w:tcW w:w="990" w:type="pct"/>
            <w:vMerge w:val="continue"/>
            <w:noWrap/>
            <w:vAlign w:val="center"/>
          </w:tcPr>
          <w:p>
            <w:pPr>
              <w:widowControl/>
              <w:spacing w:line="260" w:lineRule="exact"/>
              <w:jc w:val="center"/>
              <w:rPr>
                <w:kern w:val="0"/>
                <w:sz w:val="16"/>
                <w:szCs w:val="16"/>
              </w:rPr>
            </w:pPr>
          </w:p>
        </w:tc>
        <w:tc>
          <w:tcPr>
            <w:tcW w:w="1059" w:type="pct"/>
            <w:gridSpan w:val="2"/>
            <w:noWrap/>
            <w:vAlign w:val="center"/>
          </w:tcPr>
          <w:p>
            <w:pPr>
              <w:widowControl/>
              <w:spacing w:line="260" w:lineRule="exact"/>
              <w:jc w:val="center"/>
              <w:rPr>
                <w:kern w:val="0"/>
                <w:sz w:val="16"/>
                <w:szCs w:val="16"/>
              </w:rPr>
            </w:pPr>
            <w:r>
              <w:rPr>
                <w:kern w:val="0"/>
                <w:sz w:val="16"/>
                <w:szCs w:val="16"/>
              </w:rPr>
              <w:t>指标2：</w:t>
            </w:r>
            <w:r>
              <w:rPr>
                <w:rFonts w:hint="eastAsia"/>
                <w:kern w:val="0"/>
                <w:sz w:val="16"/>
                <w:szCs w:val="16"/>
              </w:rPr>
              <w:t>产出经济指标</w:t>
            </w:r>
          </w:p>
        </w:tc>
        <w:tc>
          <w:tcPr>
            <w:tcW w:w="863" w:type="pct"/>
            <w:gridSpan w:val="2"/>
            <w:noWrap/>
            <w:vAlign w:val="center"/>
          </w:tcPr>
          <w:p>
            <w:pPr>
              <w:widowControl/>
              <w:spacing w:line="260" w:lineRule="exact"/>
              <w:jc w:val="center"/>
              <w:rPr>
                <w:kern w:val="0"/>
                <w:sz w:val="16"/>
                <w:szCs w:val="16"/>
              </w:rPr>
            </w:pPr>
            <w:r>
              <w:rPr>
                <w:rFonts w:hint="eastAsia"/>
                <w:kern w:val="0"/>
                <w:sz w:val="16"/>
                <w:szCs w:val="16"/>
              </w:rPr>
              <w:t>10</w:t>
            </w:r>
          </w:p>
        </w:tc>
        <w:tc>
          <w:tcPr>
            <w:tcW w:w="1090" w:type="pct"/>
            <w:gridSpan w:val="2"/>
            <w:noWrap/>
            <w:vAlign w:val="center"/>
          </w:tcPr>
          <w:p>
            <w:pPr>
              <w:widowControl/>
              <w:spacing w:line="260" w:lineRule="exact"/>
              <w:jc w:val="center"/>
              <w:rPr>
                <w:color w:val="000000"/>
                <w:kern w:val="0"/>
                <w:sz w:val="16"/>
                <w:szCs w:val="16"/>
              </w:rPr>
            </w:pPr>
            <w:r>
              <w:rPr>
                <w:rFonts w:hint="eastAsia"/>
                <w:color w:val="000000"/>
                <w:kern w:val="0"/>
                <w:sz w:val="16"/>
                <w:szCs w:val="16"/>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pPr>
              <w:widowControl/>
              <w:spacing w:line="260" w:lineRule="exact"/>
              <w:jc w:val="center"/>
              <w:rPr>
                <w:kern w:val="0"/>
                <w:sz w:val="16"/>
                <w:szCs w:val="16"/>
              </w:rPr>
            </w:pPr>
          </w:p>
        </w:tc>
        <w:tc>
          <w:tcPr>
            <w:tcW w:w="576" w:type="pct"/>
            <w:vMerge w:val="continue"/>
            <w:noWrap/>
            <w:vAlign w:val="center"/>
          </w:tcPr>
          <w:p>
            <w:pPr>
              <w:widowControl/>
              <w:spacing w:line="260" w:lineRule="exact"/>
              <w:jc w:val="center"/>
              <w:rPr>
                <w:kern w:val="0"/>
                <w:sz w:val="16"/>
                <w:szCs w:val="16"/>
              </w:rPr>
            </w:pPr>
          </w:p>
        </w:tc>
        <w:tc>
          <w:tcPr>
            <w:tcW w:w="990" w:type="pct"/>
            <w:vMerge w:val="continue"/>
            <w:noWrap/>
            <w:vAlign w:val="center"/>
          </w:tcPr>
          <w:p>
            <w:pPr>
              <w:widowControl/>
              <w:spacing w:line="260" w:lineRule="exact"/>
              <w:jc w:val="center"/>
              <w:rPr>
                <w:kern w:val="0"/>
                <w:sz w:val="16"/>
                <w:szCs w:val="16"/>
              </w:rPr>
            </w:pPr>
          </w:p>
        </w:tc>
        <w:tc>
          <w:tcPr>
            <w:tcW w:w="1059" w:type="pct"/>
            <w:gridSpan w:val="2"/>
            <w:noWrap/>
            <w:vAlign w:val="center"/>
          </w:tcPr>
          <w:p>
            <w:pPr>
              <w:widowControl/>
              <w:spacing w:line="260" w:lineRule="exact"/>
              <w:jc w:val="center"/>
              <w:rPr>
                <w:kern w:val="0"/>
                <w:sz w:val="16"/>
                <w:szCs w:val="16"/>
              </w:rPr>
            </w:pPr>
            <w:r>
              <w:rPr>
                <w:kern w:val="0"/>
                <w:sz w:val="16"/>
                <w:szCs w:val="16"/>
              </w:rPr>
              <w:t>……</w:t>
            </w:r>
          </w:p>
        </w:tc>
        <w:tc>
          <w:tcPr>
            <w:tcW w:w="863" w:type="pct"/>
            <w:gridSpan w:val="2"/>
            <w:noWrap/>
            <w:vAlign w:val="center"/>
          </w:tcPr>
          <w:p>
            <w:pPr>
              <w:widowControl/>
              <w:spacing w:line="260" w:lineRule="exact"/>
              <w:jc w:val="center"/>
              <w:rPr>
                <w:kern w:val="0"/>
                <w:sz w:val="16"/>
                <w:szCs w:val="16"/>
              </w:rPr>
            </w:pPr>
          </w:p>
        </w:tc>
        <w:tc>
          <w:tcPr>
            <w:tcW w:w="1090" w:type="pct"/>
            <w:gridSpan w:val="2"/>
            <w:noWrap/>
            <w:vAlign w:val="center"/>
          </w:tcPr>
          <w:p>
            <w:pPr>
              <w:widowControl/>
              <w:spacing w:line="260" w:lineRule="exact"/>
              <w:jc w:val="center"/>
              <w:rPr>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420" w:type="pct"/>
            <w:vMerge w:val="continue"/>
            <w:noWrap/>
            <w:vAlign w:val="center"/>
          </w:tcPr>
          <w:p>
            <w:pPr>
              <w:widowControl/>
              <w:spacing w:line="260" w:lineRule="exact"/>
              <w:jc w:val="center"/>
              <w:rPr>
                <w:kern w:val="0"/>
                <w:sz w:val="16"/>
                <w:szCs w:val="16"/>
              </w:rPr>
            </w:pPr>
          </w:p>
        </w:tc>
        <w:tc>
          <w:tcPr>
            <w:tcW w:w="576" w:type="pct"/>
            <w:vMerge w:val="continue"/>
            <w:noWrap/>
            <w:vAlign w:val="center"/>
          </w:tcPr>
          <w:p>
            <w:pPr>
              <w:widowControl/>
              <w:spacing w:line="260" w:lineRule="exact"/>
              <w:jc w:val="center"/>
              <w:rPr>
                <w:kern w:val="0"/>
                <w:sz w:val="16"/>
                <w:szCs w:val="16"/>
              </w:rPr>
            </w:pPr>
          </w:p>
        </w:tc>
        <w:tc>
          <w:tcPr>
            <w:tcW w:w="990" w:type="pct"/>
            <w:vMerge w:val="restart"/>
            <w:noWrap/>
            <w:vAlign w:val="center"/>
          </w:tcPr>
          <w:p>
            <w:pPr>
              <w:widowControl/>
              <w:spacing w:line="260" w:lineRule="exact"/>
              <w:jc w:val="center"/>
              <w:rPr>
                <w:kern w:val="0"/>
                <w:sz w:val="16"/>
                <w:szCs w:val="16"/>
              </w:rPr>
            </w:pPr>
            <w:r>
              <w:rPr>
                <w:kern w:val="0"/>
                <w:sz w:val="16"/>
                <w:szCs w:val="16"/>
              </w:rPr>
              <w:t>质量指标</w:t>
            </w:r>
          </w:p>
        </w:tc>
        <w:tc>
          <w:tcPr>
            <w:tcW w:w="1059" w:type="pct"/>
            <w:gridSpan w:val="2"/>
            <w:noWrap/>
            <w:vAlign w:val="center"/>
          </w:tcPr>
          <w:p>
            <w:pPr>
              <w:widowControl/>
              <w:spacing w:line="260" w:lineRule="exact"/>
              <w:jc w:val="center"/>
              <w:rPr>
                <w:kern w:val="0"/>
                <w:sz w:val="16"/>
                <w:szCs w:val="16"/>
              </w:rPr>
            </w:pPr>
            <w:r>
              <w:rPr>
                <w:kern w:val="0"/>
                <w:sz w:val="16"/>
                <w:szCs w:val="16"/>
              </w:rPr>
              <w:t>指标1：</w:t>
            </w:r>
            <w:r>
              <w:rPr>
                <w:rFonts w:hint="eastAsia"/>
                <w:kern w:val="0"/>
                <w:sz w:val="16"/>
                <w:szCs w:val="16"/>
              </w:rPr>
              <w:t>来信签收核对率</w:t>
            </w:r>
          </w:p>
        </w:tc>
        <w:tc>
          <w:tcPr>
            <w:tcW w:w="863" w:type="pct"/>
            <w:gridSpan w:val="2"/>
            <w:noWrap/>
            <w:vAlign w:val="center"/>
          </w:tcPr>
          <w:p>
            <w:pPr>
              <w:widowControl/>
              <w:spacing w:line="260" w:lineRule="exact"/>
              <w:jc w:val="center"/>
              <w:rPr>
                <w:kern w:val="0"/>
                <w:sz w:val="16"/>
                <w:szCs w:val="16"/>
              </w:rPr>
            </w:pPr>
            <w:r>
              <w:rPr>
                <w:rFonts w:hint="eastAsia"/>
                <w:kern w:val="0"/>
                <w:sz w:val="16"/>
                <w:szCs w:val="16"/>
              </w:rPr>
              <w:t>10</w:t>
            </w:r>
          </w:p>
        </w:tc>
        <w:tc>
          <w:tcPr>
            <w:tcW w:w="1090" w:type="pct"/>
            <w:gridSpan w:val="2"/>
            <w:noWrap/>
            <w:vAlign w:val="center"/>
          </w:tcPr>
          <w:p>
            <w:pPr>
              <w:widowControl/>
              <w:spacing w:line="260" w:lineRule="exact"/>
              <w:jc w:val="center"/>
              <w:rPr>
                <w:color w:val="000000"/>
                <w:kern w:val="0"/>
                <w:sz w:val="16"/>
                <w:szCs w:val="16"/>
              </w:rPr>
            </w:pPr>
            <w:r>
              <w:rPr>
                <w:rFonts w:hint="eastAsia"/>
                <w:color w:val="000000"/>
                <w:kern w:val="0"/>
                <w:sz w:val="16"/>
                <w:szCs w:val="16"/>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pPr>
              <w:widowControl/>
              <w:spacing w:line="260" w:lineRule="exact"/>
              <w:jc w:val="center"/>
              <w:rPr>
                <w:kern w:val="0"/>
                <w:sz w:val="16"/>
                <w:szCs w:val="16"/>
              </w:rPr>
            </w:pPr>
          </w:p>
        </w:tc>
        <w:tc>
          <w:tcPr>
            <w:tcW w:w="576" w:type="pct"/>
            <w:vMerge w:val="continue"/>
            <w:noWrap/>
            <w:vAlign w:val="center"/>
          </w:tcPr>
          <w:p>
            <w:pPr>
              <w:widowControl/>
              <w:spacing w:line="260" w:lineRule="exact"/>
              <w:jc w:val="center"/>
              <w:rPr>
                <w:kern w:val="0"/>
                <w:sz w:val="16"/>
                <w:szCs w:val="16"/>
              </w:rPr>
            </w:pPr>
          </w:p>
        </w:tc>
        <w:tc>
          <w:tcPr>
            <w:tcW w:w="990" w:type="pct"/>
            <w:vMerge w:val="continue"/>
            <w:noWrap/>
            <w:vAlign w:val="center"/>
          </w:tcPr>
          <w:p>
            <w:pPr>
              <w:widowControl/>
              <w:spacing w:line="260" w:lineRule="exact"/>
              <w:jc w:val="center"/>
              <w:rPr>
                <w:kern w:val="0"/>
                <w:sz w:val="16"/>
                <w:szCs w:val="16"/>
              </w:rPr>
            </w:pPr>
          </w:p>
        </w:tc>
        <w:tc>
          <w:tcPr>
            <w:tcW w:w="1059" w:type="pct"/>
            <w:gridSpan w:val="2"/>
            <w:noWrap/>
            <w:vAlign w:val="center"/>
          </w:tcPr>
          <w:p>
            <w:pPr>
              <w:widowControl/>
              <w:spacing w:line="260" w:lineRule="exact"/>
              <w:jc w:val="center"/>
              <w:rPr>
                <w:kern w:val="0"/>
                <w:sz w:val="16"/>
                <w:szCs w:val="16"/>
              </w:rPr>
            </w:pPr>
            <w:r>
              <w:rPr>
                <w:kern w:val="0"/>
                <w:sz w:val="16"/>
                <w:szCs w:val="16"/>
              </w:rPr>
              <w:t>指标2：</w:t>
            </w:r>
          </w:p>
        </w:tc>
        <w:tc>
          <w:tcPr>
            <w:tcW w:w="863" w:type="pct"/>
            <w:gridSpan w:val="2"/>
            <w:noWrap/>
            <w:vAlign w:val="center"/>
          </w:tcPr>
          <w:p>
            <w:pPr>
              <w:widowControl/>
              <w:spacing w:line="260" w:lineRule="exact"/>
              <w:jc w:val="center"/>
              <w:rPr>
                <w:kern w:val="0"/>
                <w:sz w:val="16"/>
                <w:szCs w:val="16"/>
              </w:rPr>
            </w:pPr>
          </w:p>
        </w:tc>
        <w:tc>
          <w:tcPr>
            <w:tcW w:w="1090" w:type="pct"/>
            <w:gridSpan w:val="2"/>
            <w:noWrap/>
            <w:vAlign w:val="center"/>
          </w:tcPr>
          <w:p>
            <w:pPr>
              <w:widowControl/>
              <w:spacing w:line="260" w:lineRule="exact"/>
              <w:jc w:val="center"/>
              <w:rPr>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pPr>
              <w:widowControl/>
              <w:spacing w:line="260" w:lineRule="exact"/>
              <w:jc w:val="center"/>
              <w:rPr>
                <w:kern w:val="0"/>
                <w:sz w:val="16"/>
                <w:szCs w:val="16"/>
              </w:rPr>
            </w:pPr>
          </w:p>
        </w:tc>
        <w:tc>
          <w:tcPr>
            <w:tcW w:w="576" w:type="pct"/>
            <w:vMerge w:val="continue"/>
            <w:noWrap/>
            <w:vAlign w:val="center"/>
          </w:tcPr>
          <w:p>
            <w:pPr>
              <w:widowControl/>
              <w:spacing w:line="260" w:lineRule="exact"/>
              <w:jc w:val="center"/>
              <w:rPr>
                <w:kern w:val="0"/>
                <w:sz w:val="16"/>
                <w:szCs w:val="16"/>
              </w:rPr>
            </w:pPr>
          </w:p>
        </w:tc>
        <w:tc>
          <w:tcPr>
            <w:tcW w:w="990" w:type="pct"/>
            <w:vMerge w:val="continue"/>
            <w:noWrap/>
            <w:vAlign w:val="center"/>
          </w:tcPr>
          <w:p>
            <w:pPr>
              <w:widowControl/>
              <w:spacing w:line="260" w:lineRule="exact"/>
              <w:jc w:val="center"/>
              <w:rPr>
                <w:kern w:val="0"/>
                <w:sz w:val="16"/>
                <w:szCs w:val="16"/>
              </w:rPr>
            </w:pPr>
          </w:p>
        </w:tc>
        <w:tc>
          <w:tcPr>
            <w:tcW w:w="1059" w:type="pct"/>
            <w:gridSpan w:val="2"/>
            <w:noWrap/>
            <w:vAlign w:val="center"/>
          </w:tcPr>
          <w:p>
            <w:pPr>
              <w:widowControl/>
              <w:spacing w:line="260" w:lineRule="exact"/>
              <w:jc w:val="center"/>
              <w:rPr>
                <w:kern w:val="0"/>
                <w:sz w:val="16"/>
                <w:szCs w:val="16"/>
              </w:rPr>
            </w:pPr>
            <w:r>
              <w:rPr>
                <w:kern w:val="0"/>
                <w:sz w:val="16"/>
                <w:szCs w:val="16"/>
              </w:rPr>
              <w:t>……</w:t>
            </w:r>
          </w:p>
        </w:tc>
        <w:tc>
          <w:tcPr>
            <w:tcW w:w="863" w:type="pct"/>
            <w:gridSpan w:val="2"/>
            <w:noWrap/>
            <w:vAlign w:val="center"/>
          </w:tcPr>
          <w:p>
            <w:pPr>
              <w:widowControl/>
              <w:spacing w:line="260" w:lineRule="exact"/>
              <w:jc w:val="center"/>
              <w:rPr>
                <w:kern w:val="0"/>
                <w:sz w:val="16"/>
                <w:szCs w:val="16"/>
              </w:rPr>
            </w:pPr>
          </w:p>
        </w:tc>
        <w:tc>
          <w:tcPr>
            <w:tcW w:w="1090" w:type="pct"/>
            <w:gridSpan w:val="2"/>
            <w:noWrap/>
            <w:vAlign w:val="center"/>
          </w:tcPr>
          <w:p>
            <w:pPr>
              <w:widowControl/>
              <w:spacing w:line="260" w:lineRule="exact"/>
              <w:jc w:val="center"/>
              <w:rPr>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pPr>
              <w:widowControl/>
              <w:spacing w:line="260" w:lineRule="exact"/>
              <w:jc w:val="center"/>
              <w:rPr>
                <w:kern w:val="0"/>
                <w:sz w:val="16"/>
                <w:szCs w:val="16"/>
              </w:rPr>
            </w:pPr>
          </w:p>
        </w:tc>
        <w:tc>
          <w:tcPr>
            <w:tcW w:w="576" w:type="pct"/>
            <w:vMerge w:val="continue"/>
            <w:noWrap/>
            <w:vAlign w:val="center"/>
          </w:tcPr>
          <w:p>
            <w:pPr>
              <w:widowControl/>
              <w:spacing w:line="260" w:lineRule="exact"/>
              <w:jc w:val="center"/>
              <w:rPr>
                <w:kern w:val="0"/>
                <w:sz w:val="16"/>
                <w:szCs w:val="16"/>
              </w:rPr>
            </w:pPr>
          </w:p>
        </w:tc>
        <w:tc>
          <w:tcPr>
            <w:tcW w:w="990" w:type="pct"/>
            <w:vMerge w:val="restart"/>
            <w:noWrap/>
            <w:vAlign w:val="center"/>
          </w:tcPr>
          <w:p>
            <w:pPr>
              <w:widowControl/>
              <w:spacing w:line="260" w:lineRule="exact"/>
              <w:jc w:val="center"/>
              <w:rPr>
                <w:kern w:val="0"/>
                <w:sz w:val="16"/>
                <w:szCs w:val="16"/>
              </w:rPr>
            </w:pPr>
            <w:r>
              <w:rPr>
                <w:kern w:val="0"/>
                <w:sz w:val="16"/>
                <w:szCs w:val="16"/>
              </w:rPr>
              <w:t>时效指标</w:t>
            </w:r>
          </w:p>
        </w:tc>
        <w:tc>
          <w:tcPr>
            <w:tcW w:w="1059" w:type="pct"/>
            <w:gridSpan w:val="2"/>
            <w:noWrap/>
            <w:vAlign w:val="center"/>
          </w:tcPr>
          <w:p>
            <w:pPr>
              <w:widowControl/>
              <w:spacing w:line="260" w:lineRule="exact"/>
              <w:jc w:val="center"/>
              <w:rPr>
                <w:kern w:val="0"/>
                <w:sz w:val="16"/>
                <w:szCs w:val="16"/>
              </w:rPr>
            </w:pPr>
            <w:r>
              <w:rPr>
                <w:kern w:val="0"/>
                <w:sz w:val="16"/>
                <w:szCs w:val="16"/>
              </w:rPr>
              <w:t>指标1：</w:t>
            </w:r>
            <w:r>
              <w:rPr>
                <w:rFonts w:hint="eastAsia"/>
                <w:kern w:val="0"/>
                <w:sz w:val="16"/>
                <w:szCs w:val="16"/>
              </w:rPr>
              <w:t>信访事项按期办结率</w:t>
            </w:r>
          </w:p>
        </w:tc>
        <w:tc>
          <w:tcPr>
            <w:tcW w:w="863" w:type="pct"/>
            <w:gridSpan w:val="2"/>
            <w:noWrap/>
            <w:vAlign w:val="center"/>
          </w:tcPr>
          <w:p>
            <w:pPr>
              <w:widowControl/>
              <w:spacing w:line="260" w:lineRule="exact"/>
              <w:jc w:val="center"/>
              <w:rPr>
                <w:kern w:val="0"/>
                <w:sz w:val="16"/>
                <w:szCs w:val="16"/>
              </w:rPr>
            </w:pPr>
            <w:r>
              <w:rPr>
                <w:rFonts w:hint="eastAsia"/>
                <w:kern w:val="0"/>
                <w:sz w:val="16"/>
                <w:szCs w:val="16"/>
              </w:rPr>
              <w:t>50</w:t>
            </w:r>
          </w:p>
        </w:tc>
        <w:tc>
          <w:tcPr>
            <w:tcW w:w="1090" w:type="pct"/>
            <w:gridSpan w:val="2"/>
            <w:noWrap/>
            <w:vAlign w:val="center"/>
          </w:tcPr>
          <w:p>
            <w:pPr>
              <w:widowControl/>
              <w:spacing w:line="260" w:lineRule="exact"/>
              <w:jc w:val="center"/>
              <w:rPr>
                <w:color w:val="000000"/>
                <w:kern w:val="0"/>
                <w:sz w:val="16"/>
                <w:szCs w:val="16"/>
              </w:rPr>
            </w:pPr>
            <w:r>
              <w:rPr>
                <w:rFonts w:hint="eastAsia"/>
                <w:color w:val="000000"/>
                <w:kern w:val="0"/>
                <w:sz w:val="16"/>
                <w:szCs w:val="16"/>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pPr>
              <w:widowControl/>
              <w:spacing w:line="260" w:lineRule="exact"/>
              <w:jc w:val="center"/>
              <w:rPr>
                <w:kern w:val="0"/>
                <w:sz w:val="16"/>
                <w:szCs w:val="16"/>
              </w:rPr>
            </w:pPr>
          </w:p>
        </w:tc>
        <w:tc>
          <w:tcPr>
            <w:tcW w:w="576" w:type="pct"/>
            <w:vMerge w:val="continue"/>
            <w:noWrap/>
            <w:vAlign w:val="center"/>
          </w:tcPr>
          <w:p>
            <w:pPr>
              <w:widowControl/>
              <w:spacing w:line="260" w:lineRule="exact"/>
              <w:jc w:val="center"/>
              <w:rPr>
                <w:kern w:val="0"/>
                <w:sz w:val="16"/>
                <w:szCs w:val="16"/>
              </w:rPr>
            </w:pPr>
          </w:p>
        </w:tc>
        <w:tc>
          <w:tcPr>
            <w:tcW w:w="990" w:type="pct"/>
            <w:vMerge w:val="continue"/>
            <w:noWrap/>
            <w:vAlign w:val="center"/>
          </w:tcPr>
          <w:p>
            <w:pPr>
              <w:widowControl/>
              <w:spacing w:line="260" w:lineRule="exact"/>
              <w:jc w:val="center"/>
              <w:rPr>
                <w:kern w:val="0"/>
                <w:sz w:val="16"/>
                <w:szCs w:val="16"/>
              </w:rPr>
            </w:pPr>
          </w:p>
        </w:tc>
        <w:tc>
          <w:tcPr>
            <w:tcW w:w="1059" w:type="pct"/>
            <w:gridSpan w:val="2"/>
            <w:noWrap/>
            <w:vAlign w:val="center"/>
          </w:tcPr>
          <w:p>
            <w:pPr>
              <w:widowControl/>
              <w:spacing w:line="260" w:lineRule="exact"/>
              <w:jc w:val="center"/>
              <w:rPr>
                <w:kern w:val="0"/>
                <w:sz w:val="16"/>
                <w:szCs w:val="16"/>
              </w:rPr>
            </w:pPr>
            <w:r>
              <w:rPr>
                <w:kern w:val="0"/>
                <w:sz w:val="16"/>
                <w:szCs w:val="16"/>
              </w:rPr>
              <w:t>指标2：</w:t>
            </w:r>
          </w:p>
        </w:tc>
        <w:tc>
          <w:tcPr>
            <w:tcW w:w="863" w:type="pct"/>
            <w:gridSpan w:val="2"/>
            <w:noWrap/>
            <w:vAlign w:val="center"/>
          </w:tcPr>
          <w:p>
            <w:pPr>
              <w:widowControl/>
              <w:spacing w:line="260" w:lineRule="exact"/>
              <w:jc w:val="center"/>
              <w:rPr>
                <w:kern w:val="0"/>
                <w:sz w:val="16"/>
                <w:szCs w:val="16"/>
              </w:rPr>
            </w:pPr>
          </w:p>
        </w:tc>
        <w:tc>
          <w:tcPr>
            <w:tcW w:w="1090" w:type="pct"/>
            <w:gridSpan w:val="2"/>
            <w:noWrap/>
            <w:vAlign w:val="center"/>
          </w:tcPr>
          <w:p>
            <w:pPr>
              <w:widowControl/>
              <w:spacing w:line="260" w:lineRule="exact"/>
              <w:jc w:val="center"/>
              <w:rPr>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pPr>
              <w:widowControl/>
              <w:spacing w:line="260" w:lineRule="exact"/>
              <w:jc w:val="center"/>
              <w:rPr>
                <w:kern w:val="0"/>
                <w:sz w:val="16"/>
                <w:szCs w:val="16"/>
              </w:rPr>
            </w:pPr>
          </w:p>
        </w:tc>
        <w:tc>
          <w:tcPr>
            <w:tcW w:w="576" w:type="pct"/>
            <w:vMerge w:val="continue"/>
            <w:noWrap/>
            <w:vAlign w:val="center"/>
          </w:tcPr>
          <w:p>
            <w:pPr>
              <w:widowControl/>
              <w:spacing w:line="260" w:lineRule="exact"/>
              <w:jc w:val="center"/>
              <w:rPr>
                <w:kern w:val="0"/>
                <w:sz w:val="16"/>
                <w:szCs w:val="16"/>
              </w:rPr>
            </w:pPr>
          </w:p>
        </w:tc>
        <w:tc>
          <w:tcPr>
            <w:tcW w:w="990" w:type="pct"/>
            <w:vMerge w:val="continue"/>
            <w:noWrap/>
            <w:vAlign w:val="center"/>
          </w:tcPr>
          <w:p>
            <w:pPr>
              <w:widowControl/>
              <w:spacing w:line="260" w:lineRule="exact"/>
              <w:jc w:val="center"/>
              <w:rPr>
                <w:kern w:val="0"/>
                <w:sz w:val="16"/>
                <w:szCs w:val="16"/>
              </w:rPr>
            </w:pPr>
          </w:p>
        </w:tc>
        <w:tc>
          <w:tcPr>
            <w:tcW w:w="1059" w:type="pct"/>
            <w:gridSpan w:val="2"/>
            <w:noWrap/>
            <w:vAlign w:val="center"/>
          </w:tcPr>
          <w:p>
            <w:pPr>
              <w:widowControl/>
              <w:spacing w:line="260" w:lineRule="exact"/>
              <w:jc w:val="center"/>
              <w:rPr>
                <w:kern w:val="0"/>
                <w:sz w:val="16"/>
                <w:szCs w:val="16"/>
              </w:rPr>
            </w:pPr>
            <w:r>
              <w:rPr>
                <w:kern w:val="0"/>
                <w:sz w:val="16"/>
                <w:szCs w:val="16"/>
              </w:rPr>
              <w:t>……</w:t>
            </w:r>
          </w:p>
        </w:tc>
        <w:tc>
          <w:tcPr>
            <w:tcW w:w="863" w:type="pct"/>
            <w:gridSpan w:val="2"/>
            <w:noWrap/>
            <w:vAlign w:val="center"/>
          </w:tcPr>
          <w:p>
            <w:pPr>
              <w:widowControl/>
              <w:spacing w:line="260" w:lineRule="exact"/>
              <w:jc w:val="center"/>
              <w:rPr>
                <w:kern w:val="0"/>
                <w:sz w:val="16"/>
                <w:szCs w:val="16"/>
              </w:rPr>
            </w:pPr>
          </w:p>
        </w:tc>
        <w:tc>
          <w:tcPr>
            <w:tcW w:w="1090" w:type="pct"/>
            <w:gridSpan w:val="2"/>
            <w:noWrap/>
            <w:vAlign w:val="center"/>
          </w:tcPr>
          <w:p>
            <w:pPr>
              <w:widowControl/>
              <w:spacing w:line="260" w:lineRule="exact"/>
              <w:jc w:val="center"/>
              <w:rPr>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pPr>
              <w:widowControl/>
              <w:spacing w:line="260" w:lineRule="exact"/>
              <w:jc w:val="center"/>
              <w:rPr>
                <w:kern w:val="0"/>
                <w:sz w:val="16"/>
                <w:szCs w:val="16"/>
              </w:rPr>
            </w:pPr>
          </w:p>
        </w:tc>
        <w:tc>
          <w:tcPr>
            <w:tcW w:w="576" w:type="pct"/>
            <w:vMerge w:val="continue"/>
            <w:noWrap/>
            <w:vAlign w:val="center"/>
          </w:tcPr>
          <w:p>
            <w:pPr>
              <w:widowControl/>
              <w:spacing w:line="260" w:lineRule="exact"/>
              <w:jc w:val="center"/>
              <w:rPr>
                <w:kern w:val="0"/>
                <w:sz w:val="16"/>
                <w:szCs w:val="16"/>
              </w:rPr>
            </w:pPr>
          </w:p>
        </w:tc>
        <w:tc>
          <w:tcPr>
            <w:tcW w:w="990" w:type="pct"/>
            <w:vMerge w:val="restart"/>
            <w:noWrap/>
            <w:vAlign w:val="center"/>
          </w:tcPr>
          <w:p>
            <w:pPr>
              <w:widowControl/>
              <w:spacing w:line="260" w:lineRule="exact"/>
              <w:jc w:val="center"/>
              <w:rPr>
                <w:kern w:val="0"/>
                <w:sz w:val="16"/>
                <w:szCs w:val="16"/>
              </w:rPr>
            </w:pPr>
            <w:r>
              <w:rPr>
                <w:kern w:val="0"/>
                <w:sz w:val="16"/>
                <w:szCs w:val="16"/>
              </w:rPr>
              <w:t>成本指标</w:t>
            </w:r>
          </w:p>
        </w:tc>
        <w:tc>
          <w:tcPr>
            <w:tcW w:w="1059" w:type="pct"/>
            <w:gridSpan w:val="2"/>
            <w:noWrap/>
            <w:vAlign w:val="center"/>
          </w:tcPr>
          <w:p>
            <w:pPr>
              <w:widowControl/>
              <w:spacing w:line="260" w:lineRule="exact"/>
              <w:jc w:val="center"/>
              <w:rPr>
                <w:kern w:val="0"/>
                <w:sz w:val="16"/>
                <w:szCs w:val="16"/>
              </w:rPr>
            </w:pPr>
            <w:r>
              <w:rPr>
                <w:kern w:val="0"/>
                <w:sz w:val="16"/>
                <w:szCs w:val="16"/>
              </w:rPr>
              <w:t>指标1：</w:t>
            </w:r>
            <w:r>
              <w:rPr>
                <w:rFonts w:hint="eastAsia"/>
                <w:kern w:val="0"/>
                <w:sz w:val="16"/>
                <w:szCs w:val="16"/>
              </w:rPr>
              <w:t>成本支出</w:t>
            </w:r>
          </w:p>
        </w:tc>
        <w:tc>
          <w:tcPr>
            <w:tcW w:w="863" w:type="pct"/>
            <w:gridSpan w:val="2"/>
            <w:noWrap/>
            <w:vAlign w:val="center"/>
          </w:tcPr>
          <w:p>
            <w:pPr>
              <w:widowControl/>
              <w:spacing w:line="260" w:lineRule="exact"/>
              <w:jc w:val="center"/>
              <w:rPr>
                <w:kern w:val="0"/>
                <w:sz w:val="16"/>
                <w:szCs w:val="16"/>
              </w:rPr>
            </w:pPr>
            <w:r>
              <w:rPr>
                <w:rFonts w:hint="eastAsia"/>
                <w:kern w:val="0"/>
                <w:sz w:val="16"/>
                <w:szCs w:val="16"/>
              </w:rPr>
              <w:t>4</w:t>
            </w:r>
          </w:p>
        </w:tc>
        <w:tc>
          <w:tcPr>
            <w:tcW w:w="1090" w:type="pct"/>
            <w:gridSpan w:val="2"/>
            <w:noWrap/>
            <w:vAlign w:val="center"/>
          </w:tcPr>
          <w:p>
            <w:pPr>
              <w:widowControl/>
              <w:spacing w:line="260" w:lineRule="exact"/>
              <w:jc w:val="center"/>
              <w:rPr>
                <w:color w:val="000000"/>
                <w:kern w:val="0"/>
                <w:sz w:val="16"/>
                <w:szCs w:val="16"/>
              </w:rPr>
            </w:pPr>
            <w:r>
              <w:rPr>
                <w:rFonts w:hint="eastAsia"/>
                <w:color w:val="000000"/>
                <w:kern w:val="0"/>
                <w:sz w:val="16"/>
                <w:szCs w:val="16"/>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pPr>
              <w:widowControl/>
              <w:spacing w:line="260" w:lineRule="exact"/>
              <w:jc w:val="center"/>
              <w:rPr>
                <w:kern w:val="0"/>
                <w:sz w:val="16"/>
                <w:szCs w:val="16"/>
              </w:rPr>
            </w:pPr>
          </w:p>
        </w:tc>
        <w:tc>
          <w:tcPr>
            <w:tcW w:w="576" w:type="pct"/>
            <w:vMerge w:val="continue"/>
            <w:noWrap/>
            <w:vAlign w:val="center"/>
          </w:tcPr>
          <w:p>
            <w:pPr>
              <w:widowControl/>
              <w:spacing w:line="260" w:lineRule="exact"/>
              <w:jc w:val="center"/>
              <w:rPr>
                <w:kern w:val="0"/>
                <w:sz w:val="16"/>
                <w:szCs w:val="16"/>
              </w:rPr>
            </w:pPr>
          </w:p>
        </w:tc>
        <w:tc>
          <w:tcPr>
            <w:tcW w:w="990" w:type="pct"/>
            <w:vMerge w:val="continue"/>
            <w:noWrap/>
            <w:vAlign w:val="center"/>
          </w:tcPr>
          <w:p>
            <w:pPr>
              <w:widowControl/>
              <w:spacing w:line="260" w:lineRule="exact"/>
              <w:jc w:val="center"/>
              <w:rPr>
                <w:kern w:val="0"/>
                <w:sz w:val="16"/>
                <w:szCs w:val="16"/>
              </w:rPr>
            </w:pPr>
          </w:p>
        </w:tc>
        <w:tc>
          <w:tcPr>
            <w:tcW w:w="1059" w:type="pct"/>
            <w:gridSpan w:val="2"/>
            <w:noWrap/>
            <w:vAlign w:val="center"/>
          </w:tcPr>
          <w:p>
            <w:pPr>
              <w:widowControl/>
              <w:spacing w:line="260" w:lineRule="exact"/>
              <w:jc w:val="center"/>
              <w:rPr>
                <w:kern w:val="0"/>
                <w:sz w:val="16"/>
                <w:szCs w:val="16"/>
              </w:rPr>
            </w:pPr>
            <w:r>
              <w:rPr>
                <w:kern w:val="0"/>
                <w:sz w:val="16"/>
                <w:szCs w:val="16"/>
              </w:rPr>
              <w:t>指标2：</w:t>
            </w:r>
          </w:p>
        </w:tc>
        <w:tc>
          <w:tcPr>
            <w:tcW w:w="863" w:type="pct"/>
            <w:gridSpan w:val="2"/>
            <w:noWrap/>
            <w:vAlign w:val="center"/>
          </w:tcPr>
          <w:p>
            <w:pPr>
              <w:widowControl/>
              <w:spacing w:line="260" w:lineRule="exact"/>
              <w:jc w:val="center"/>
              <w:rPr>
                <w:kern w:val="0"/>
                <w:sz w:val="16"/>
                <w:szCs w:val="16"/>
              </w:rPr>
            </w:pPr>
          </w:p>
        </w:tc>
        <w:tc>
          <w:tcPr>
            <w:tcW w:w="1090" w:type="pct"/>
            <w:gridSpan w:val="2"/>
            <w:noWrap/>
            <w:vAlign w:val="center"/>
          </w:tcPr>
          <w:p>
            <w:pPr>
              <w:widowControl/>
              <w:spacing w:line="260" w:lineRule="exact"/>
              <w:jc w:val="center"/>
              <w:rPr>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pPr>
              <w:widowControl/>
              <w:spacing w:line="260" w:lineRule="exact"/>
              <w:jc w:val="center"/>
              <w:rPr>
                <w:kern w:val="0"/>
                <w:sz w:val="16"/>
                <w:szCs w:val="16"/>
              </w:rPr>
            </w:pPr>
          </w:p>
        </w:tc>
        <w:tc>
          <w:tcPr>
            <w:tcW w:w="576" w:type="pct"/>
            <w:vMerge w:val="continue"/>
            <w:noWrap/>
            <w:vAlign w:val="center"/>
          </w:tcPr>
          <w:p>
            <w:pPr>
              <w:widowControl/>
              <w:spacing w:line="260" w:lineRule="exact"/>
              <w:jc w:val="center"/>
              <w:rPr>
                <w:kern w:val="0"/>
                <w:sz w:val="16"/>
                <w:szCs w:val="16"/>
              </w:rPr>
            </w:pPr>
          </w:p>
        </w:tc>
        <w:tc>
          <w:tcPr>
            <w:tcW w:w="990" w:type="pct"/>
            <w:vMerge w:val="continue"/>
            <w:noWrap/>
            <w:vAlign w:val="center"/>
          </w:tcPr>
          <w:p>
            <w:pPr>
              <w:widowControl/>
              <w:spacing w:line="260" w:lineRule="exact"/>
              <w:jc w:val="center"/>
              <w:rPr>
                <w:kern w:val="0"/>
                <w:sz w:val="16"/>
                <w:szCs w:val="16"/>
              </w:rPr>
            </w:pPr>
          </w:p>
        </w:tc>
        <w:tc>
          <w:tcPr>
            <w:tcW w:w="1059" w:type="pct"/>
            <w:gridSpan w:val="2"/>
            <w:noWrap/>
            <w:vAlign w:val="center"/>
          </w:tcPr>
          <w:p>
            <w:pPr>
              <w:widowControl/>
              <w:spacing w:line="260" w:lineRule="exact"/>
              <w:jc w:val="center"/>
              <w:rPr>
                <w:kern w:val="0"/>
                <w:sz w:val="16"/>
                <w:szCs w:val="16"/>
              </w:rPr>
            </w:pPr>
            <w:r>
              <w:rPr>
                <w:kern w:val="0"/>
                <w:sz w:val="16"/>
                <w:szCs w:val="16"/>
              </w:rPr>
              <w:t>……</w:t>
            </w:r>
          </w:p>
        </w:tc>
        <w:tc>
          <w:tcPr>
            <w:tcW w:w="863" w:type="pct"/>
            <w:gridSpan w:val="2"/>
            <w:noWrap/>
            <w:vAlign w:val="center"/>
          </w:tcPr>
          <w:p>
            <w:pPr>
              <w:widowControl/>
              <w:spacing w:line="260" w:lineRule="exact"/>
              <w:jc w:val="center"/>
              <w:rPr>
                <w:kern w:val="0"/>
                <w:sz w:val="16"/>
                <w:szCs w:val="16"/>
              </w:rPr>
            </w:pPr>
          </w:p>
        </w:tc>
        <w:tc>
          <w:tcPr>
            <w:tcW w:w="1090" w:type="pct"/>
            <w:gridSpan w:val="2"/>
            <w:noWrap/>
            <w:vAlign w:val="center"/>
          </w:tcPr>
          <w:p>
            <w:pPr>
              <w:widowControl/>
              <w:spacing w:line="260" w:lineRule="exact"/>
              <w:jc w:val="center"/>
              <w:rPr>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pPr>
              <w:widowControl/>
              <w:spacing w:line="260" w:lineRule="exact"/>
              <w:jc w:val="center"/>
              <w:rPr>
                <w:kern w:val="0"/>
                <w:sz w:val="16"/>
                <w:szCs w:val="16"/>
              </w:rPr>
            </w:pPr>
          </w:p>
        </w:tc>
        <w:tc>
          <w:tcPr>
            <w:tcW w:w="576" w:type="pct"/>
            <w:vMerge w:val="restart"/>
            <w:noWrap/>
            <w:vAlign w:val="center"/>
          </w:tcPr>
          <w:p>
            <w:pPr>
              <w:widowControl/>
              <w:spacing w:line="260" w:lineRule="exact"/>
              <w:jc w:val="center"/>
              <w:rPr>
                <w:kern w:val="0"/>
                <w:sz w:val="16"/>
                <w:szCs w:val="16"/>
              </w:rPr>
            </w:pPr>
            <w:r>
              <w:rPr>
                <w:kern w:val="0"/>
                <w:sz w:val="16"/>
                <w:szCs w:val="16"/>
              </w:rPr>
              <w:t>效益指标</w:t>
            </w:r>
          </w:p>
        </w:tc>
        <w:tc>
          <w:tcPr>
            <w:tcW w:w="990" w:type="pct"/>
            <w:vMerge w:val="restart"/>
            <w:noWrap/>
            <w:vAlign w:val="center"/>
          </w:tcPr>
          <w:p>
            <w:pPr>
              <w:widowControl/>
              <w:spacing w:line="260" w:lineRule="exact"/>
              <w:jc w:val="center"/>
              <w:rPr>
                <w:kern w:val="0"/>
                <w:sz w:val="16"/>
                <w:szCs w:val="16"/>
              </w:rPr>
            </w:pPr>
            <w:r>
              <w:rPr>
                <w:kern w:val="0"/>
                <w:sz w:val="16"/>
                <w:szCs w:val="16"/>
              </w:rPr>
              <w:t>经济效益</w:t>
            </w:r>
            <w:r>
              <w:rPr>
                <w:kern w:val="0"/>
                <w:sz w:val="16"/>
                <w:szCs w:val="16"/>
              </w:rPr>
              <w:br w:type="textWrapping"/>
            </w:r>
            <w:r>
              <w:rPr>
                <w:kern w:val="0"/>
                <w:sz w:val="16"/>
                <w:szCs w:val="16"/>
              </w:rPr>
              <w:t>指标</w:t>
            </w:r>
          </w:p>
        </w:tc>
        <w:tc>
          <w:tcPr>
            <w:tcW w:w="1059" w:type="pct"/>
            <w:gridSpan w:val="2"/>
            <w:noWrap/>
            <w:vAlign w:val="center"/>
          </w:tcPr>
          <w:p>
            <w:pPr>
              <w:widowControl/>
              <w:spacing w:line="260" w:lineRule="exact"/>
              <w:jc w:val="center"/>
              <w:rPr>
                <w:kern w:val="0"/>
                <w:sz w:val="16"/>
                <w:szCs w:val="16"/>
              </w:rPr>
            </w:pPr>
            <w:r>
              <w:rPr>
                <w:kern w:val="0"/>
                <w:sz w:val="16"/>
                <w:szCs w:val="16"/>
              </w:rPr>
              <w:t>指标1：</w:t>
            </w:r>
            <w:r>
              <w:rPr>
                <w:rFonts w:hint="eastAsia"/>
                <w:kern w:val="0"/>
                <w:sz w:val="16"/>
                <w:szCs w:val="16"/>
              </w:rPr>
              <w:t>满意度指标</w:t>
            </w:r>
          </w:p>
        </w:tc>
        <w:tc>
          <w:tcPr>
            <w:tcW w:w="863" w:type="pct"/>
            <w:gridSpan w:val="2"/>
            <w:noWrap/>
            <w:vAlign w:val="center"/>
          </w:tcPr>
          <w:p>
            <w:pPr>
              <w:widowControl/>
              <w:spacing w:line="260" w:lineRule="exact"/>
              <w:jc w:val="center"/>
              <w:rPr>
                <w:kern w:val="0"/>
                <w:sz w:val="16"/>
                <w:szCs w:val="16"/>
              </w:rPr>
            </w:pPr>
            <w:r>
              <w:rPr>
                <w:rFonts w:hint="eastAsia"/>
                <w:kern w:val="0"/>
                <w:sz w:val="16"/>
                <w:szCs w:val="16"/>
              </w:rPr>
              <w:t>40</w:t>
            </w:r>
          </w:p>
        </w:tc>
        <w:tc>
          <w:tcPr>
            <w:tcW w:w="1090" w:type="pct"/>
            <w:gridSpan w:val="2"/>
            <w:noWrap/>
            <w:vAlign w:val="center"/>
          </w:tcPr>
          <w:p>
            <w:pPr>
              <w:widowControl/>
              <w:spacing w:line="260" w:lineRule="exact"/>
              <w:jc w:val="center"/>
              <w:rPr>
                <w:color w:val="000000"/>
                <w:kern w:val="0"/>
                <w:sz w:val="16"/>
                <w:szCs w:val="16"/>
              </w:rPr>
            </w:pPr>
            <w:r>
              <w:rPr>
                <w:rFonts w:hint="eastAsia"/>
                <w:color w:val="000000"/>
                <w:kern w:val="0"/>
                <w:sz w:val="16"/>
                <w:szCs w:val="16"/>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pPr>
              <w:widowControl/>
              <w:spacing w:line="260" w:lineRule="exact"/>
              <w:jc w:val="center"/>
              <w:rPr>
                <w:kern w:val="0"/>
                <w:sz w:val="16"/>
                <w:szCs w:val="16"/>
              </w:rPr>
            </w:pPr>
          </w:p>
        </w:tc>
        <w:tc>
          <w:tcPr>
            <w:tcW w:w="576" w:type="pct"/>
            <w:vMerge w:val="continue"/>
            <w:noWrap/>
            <w:vAlign w:val="center"/>
          </w:tcPr>
          <w:p>
            <w:pPr>
              <w:widowControl/>
              <w:spacing w:line="260" w:lineRule="exact"/>
              <w:jc w:val="center"/>
              <w:rPr>
                <w:kern w:val="0"/>
                <w:sz w:val="16"/>
                <w:szCs w:val="16"/>
              </w:rPr>
            </w:pPr>
          </w:p>
        </w:tc>
        <w:tc>
          <w:tcPr>
            <w:tcW w:w="990" w:type="pct"/>
            <w:vMerge w:val="continue"/>
            <w:noWrap/>
            <w:vAlign w:val="center"/>
          </w:tcPr>
          <w:p>
            <w:pPr>
              <w:widowControl/>
              <w:spacing w:line="260" w:lineRule="exact"/>
              <w:jc w:val="center"/>
              <w:rPr>
                <w:kern w:val="0"/>
                <w:sz w:val="16"/>
                <w:szCs w:val="16"/>
              </w:rPr>
            </w:pPr>
          </w:p>
        </w:tc>
        <w:tc>
          <w:tcPr>
            <w:tcW w:w="1059" w:type="pct"/>
            <w:gridSpan w:val="2"/>
            <w:noWrap/>
            <w:vAlign w:val="center"/>
          </w:tcPr>
          <w:p>
            <w:pPr>
              <w:widowControl/>
              <w:spacing w:line="260" w:lineRule="exact"/>
              <w:jc w:val="center"/>
              <w:rPr>
                <w:kern w:val="0"/>
                <w:sz w:val="16"/>
                <w:szCs w:val="16"/>
              </w:rPr>
            </w:pPr>
            <w:r>
              <w:rPr>
                <w:kern w:val="0"/>
                <w:sz w:val="16"/>
                <w:szCs w:val="16"/>
              </w:rPr>
              <w:t>指标2：</w:t>
            </w:r>
          </w:p>
        </w:tc>
        <w:tc>
          <w:tcPr>
            <w:tcW w:w="863" w:type="pct"/>
            <w:gridSpan w:val="2"/>
            <w:noWrap/>
            <w:vAlign w:val="center"/>
          </w:tcPr>
          <w:p>
            <w:pPr>
              <w:widowControl/>
              <w:spacing w:line="260" w:lineRule="exact"/>
              <w:jc w:val="center"/>
              <w:rPr>
                <w:kern w:val="0"/>
                <w:sz w:val="16"/>
                <w:szCs w:val="16"/>
              </w:rPr>
            </w:pPr>
          </w:p>
        </w:tc>
        <w:tc>
          <w:tcPr>
            <w:tcW w:w="1090" w:type="pct"/>
            <w:gridSpan w:val="2"/>
            <w:noWrap/>
            <w:vAlign w:val="center"/>
          </w:tcPr>
          <w:p>
            <w:pPr>
              <w:widowControl/>
              <w:spacing w:line="260" w:lineRule="exact"/>
              <w:jc w:val="center"/>
              <w:rPr>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pPr>
              <w:widowControl/>
              <w:spacing w:line="260" w:lineRule="exact"/>
              <w:jc w:val="center"/>
              <w:rPr>
                <w:kern w:val="0"/>
                <w:sz w:val="16"/>
                <w:szCs w:val="16"/>
              </w:rPr>
            </w:pPr>
          </w:p>
        </w:tc>
        <w:tc>
          <w:tcPr>
            <w:tcW w:w="576" w:type="pct"/>
            <w:vMerge w:val="continue"/>
            <w:noWrap/>
            <w:vAlign w:val="center"/>
          </w:tcPr>
          <w:p>
            <w:pPr>
              <w:widowControl/>
              <w:spacing w:line="260" w:lineRule="exact"/>
              <w:jc w:val="center"/>
              <w:rPr>
                <w:kern w:val="0"/>
                <w:sz w:val="16"/>
                <w:szCs w:val="16"/>
              </w:rPr>
            </w:pPr>
          </w:p>
        </w:tc>
        <w:tc>
          <w:tcPr>
            <w:tcW w:w="990" w:type="pct"/>
            <w:vMerge w:val="continue"/>
            <w:noWrap/>
            <w:vAlign w:val="center"/>
          </w:tcPr>
          <w:p>
            <w:pPr>
              <w:widowControl/>
              <w:spacing w:line="260" w:lineRule="exact"/>
              <w:jc w:val="center"/>
              <w:rPr>
                <w:kern w:val="0"/>
                <w:sz w:val="16"/>
                <w:szCs w:val="16"/>
              </w:rPr>
            </w:pPr>
          </w:p>
        </w:tc>
        <w:tc>
          <w:tcPr>
            <w:tcW w:w="1059" w:type="pct"/>
            <w:gridSpan w:val="2"/>
            <w:noWrap/>
            <w:vAlign w:val="center"/>
          </w:tcPr>
          <w:p>
            <w:pPr>
              <w:widowControl/>
              <w:spacing w:line="260" w:lineRule="exact"/>
              <w:jc w:val="center"/>
              <w:rPr>
                <w:kern w:val="0"/>
                <w:sz w:val="16"/>
                <w:szCs w:val="16"/>
              </w:rPr>
            </w:pPr>
            <w:r>
              <w:rPr>
                <w:kern w:val="0"/>
                <w:sz w:val="16"/>
                <w:szCs w:val="16"/>
              </w:rPr>
              <w:t>……</w:t>
            </w:r>
          </w:p>
        </w:tc>
        <w:tc>
          <w:tcPr>
            <w:tcW w:w="863" w:type="pct"/>
            <w:gridSpan w:val="2"/>
            <w:noWrap/>
            <w:vAlign w:val="center"/>
          </w:tcPr>
          <w:p>
            <w:pPr>
              <w:widowControl/>
              <w:spacing w:line="260" w:lineRule="exact"/>
              <w:jc w:val="center"/>
              <w:rPr>
                <w:kern w:val="0"/>
                <w:sz w:val="16"/>
                <w:szCs w:val="16"/>
              </w:rPr>
            </w:pPr>
          </w:p>
        </w:tc>
        <w:tc>
          <w:tcPr>
            <w:tcW w:w="1090" w:type="pct"/>
            <w:gridSpan w:val="2"/>
            <w:noWrap/>
            <w:vAlign w:val="center"/>
          </w:tcPr>
          <w:p>
            <w:pPr>
              <w:widowControl/>
              <w:spacing w:line="260" w:lineRule="exact"/>
              <w:jc w:val="center"/>
              <w:rPr>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20" w:type="pct"/>
            <w:vMerge w:val="continue"/>
            <w:noWrap/>
            <w:vAlign w:val="center"/>
          </w:tcPr>
          <w:p>
            <w:pPr>
              <w:widowControl/>
              <w:spacing w:line="260" w:lineRule="exact"/>
              <w:jc w:val="center"/>
              <w:rPr>
                <w:kern w:val="0"/>
                <w:sz w:val="16"/>
                <w:szCs w:val="16"/>
              </w:rPr>
            </w:pPr>
          </w:p>
        </w:tc>
        <w:tc>
          <w:tcPr>
            <w:tcW w:w="576" w:type="pct"/>
            <w:vMerge w:val="continue"/>
            <w:noWrap/>
            <w:vAlign w:val="center"/>
          </w:tcPr>
          <w:p>
            <w:pPr>
              <w:widowControl/>
              <w:spacing w:line="260" w:lineRule="exact"/>
              <w:jc w:val="center"/>
              <w:rPr>
                <w:kern w:val="0"/>
                <w:sz w:val="16"/>
                <w:szCs w:val="16"/>
              </w:rPr>
            </w:pPr>
          </w:p>
        </w:tc>
        <w:tc>
          <w:tcPr>
            <w:tcW w:w="990" w:type="pct"/>
            <w:vMerge w:val="restart"/>
            <w:noWrap/>
            <w:vAlign w:val="center"/>
          </w:tcPr>
          <w:p>
            <w:pPr>
              <w:widowControl/>
              <w:spacing w:line="260" w:lineRule="exact"/>
              <w:jc w:val="center"/>
              <w:rPr>
                <w:kern w:val="0"/>
                <w:sz w:val="16"/>
                <w:szCs w:val="16"/>
              </w:rPr>
            </w:pPr>
            <w:r>
              <w:rPr>
                <w:kern w:val="0"/>
                <w:sz w:val="16"/>
                <w:szCs w:val="16"/>
              </w:rPr>
              <w:t>社会效益</w:t>
            </w:r>
            <w:r>
              <w:rPr>
                <w:kern w:val="0"/>
                <w:sz w:val="16"/>
                <w:szCs w:val="16"/>
              </w:rPr>
              <w:br w:type="textWrapping"/>
            </w:r>
            <w:r>
              <w:rPr>
                <w:kern w:val="0"/>
                <w:sz w:val="16"/>
                <w:szCs w:val="16"/>
              </w:rPr>
              <w:t>指标</w:t>
            </w:r>
          </w:p>
        </w:tc>
        <w:tc>
          <w:tcPr>
            <w:tcW w:w="1059" w:type="pct"/>
            <w:gridSpan w:val="2"/>
            <w:noWrap/>
            <w:vAlign w:val="center"/>
          </w:tcPr>
          <w:p>
            <w:pPr>
              <w:widowControl/>
              <w:spacing w:line="260" w:lineRule="exact"/>
              <w:jc w:val="center"/>
              <w:rPr>
                <w:kern w:val="0"/>
                <w:sz w:val="16"/>
                <w:szCs w:val="16"/>
              </w:rPr>
            </w:pPr>
            <w:r>
              <w:rPr>
                <w:kern w:val="0"/>
                <w:sz w:val="16"/>
                <w:szCs w:val="16"/>
              </w:rPr>
              <w:t>指标1：</w:t>
            </w:r>
            <w:r>
              <w:rPr>
                <w:rFonts w:hint="eastAsia"/>
                <w:kern w:val="0"/>
                <w:sz w:val="16"/>
                <w:szCs w:val="16"/>
              </w:rPr>
              <w:t>实地督查结果网上公开率</w:t>
            </w:r>
          </w:p>
        </w:tc>
        <w:tc>
          <w:tcPr>
            <w:tcW w:w="863" w:type="pct"/>
            <w:gridSpan w:val="2"/>
            <w:noWrap/>
            <w:vAlign w:val="center"/>
          </w:tcPr>
          <w:p>
            <w:pPr>
              <w:widowControl/>
              <w:spacing w:line="260" w:lineRule="exact"/>
              <w:jc w:val="center"/>
              <w:rPr>
                <w:kern w:val="0"/>
                <w:sz w:val="16"/>
                <w:szCs w:val="16"/>
              </w:rPr>
            </w:pPr>
            <w:r>
              <w:rPr>
                <w:rFonts w:hint="eastAsia"/>
                <w:kern w:val="0"/>
                <w:sz w:val="16"/>
                <w:szCs w:val="16"/>
              </w:rPr>
              <w:t>20</w:t>
            </w:r>
          </w:p>
        </w:tc>
        <w:tc>
          <w:tcPr>
            <w:tcW w:w="1090" w:type="pct"/>
            <w:gridSpan w:val="2"/>
            <w:noWrap/>
            <w:vAlign w:val="center"/>
          </w:tcPr>
          <w:p>
            <w:pPr>
              <w:widowControl/>
              <w:spacing w:line="260" w:lineRule="exact"/>
              <w:jc w:val="center"/>
              <w:rPr>
                <w:color w:val="000000"/>
                <w:kern w:val="0"/>
                <w:sz w:val="16"/>
                <w:szCs w:val="16"/>
              </w:rPr>
            </w:pPr>
            <w:r>
              <w:rPr>
                <w:rFonts w:hint="eastAsia"/>
                <w:color w:val="000000"/>
                <w:kern w:val="0"/>
                <w:sz w:val="16"/>
                <w:szCs w:val="16"/>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pPr>
              <w:widowControl/>
              <w:spacing w:line="260" w:lineRule="exact"/>
              <w:jc w:val="center"/>
              <w:rPr>
                <w:kern w:val="0"/>
                <w:sz w:val="16"/>
                <w:szCs w:val="16"/>
              </w:rPr>
            </w:pPr>
          </w:p>
        </w:tc>
        <w:tc>
          <w:tcPr>
            <w:tcW w:w="576" w:type="pct"/>
            <w:vMerge w:val="continue"/>
            <w:noWrap/>
            <w:vAlign w:val="center"/>
          </w:tcPr>
          <w:p>
            <w:pPr>
              <w:widowControl/>
              <w:spacing w:line="260" w:lineRule="exact"/>
              <w:jc w:val="center"/>
              <w:rPr>
                <w:kern w:val="0"/>
                <w:sz w:val="16"/>
                <w:szCs w:val="16"/>
              </w:rPr>
            </w:pPr>
          </w:p>
        </w:tc>
        <w:tc>
          <w:tcPr>
            <w:tcW w:w="990" w:type="pct"/>
            <w:vMerge w:val="continue"/>
            <w:noWrap/>
            <w:vAlign w:val="center"/>
          </w:tcPr>
          <w:p>
            <w:pPr>
              <w:widowControl/>
              <w:spacing w:line="260" w:lineRule="exact"/>
              <w:jc w:val="center"/>
              <w:rPr>
                <w:kern w:val="0"/>
                <w:sz w:val="16"/>
                <w:szCs w:val="16"/>
              </w:rPr>
            </w:pPr>
          </w:p>
        </w:tc>
        <w:tc>
          <w:tcPr>
            <w:tcW w:w="1059" w:type="pct"/>
            <w:gridSpan w:val="2"/>
            <w:noWrap/>
            <w:vAlign w:val="center"/>
          </w:tcPr>
          <w:p>
            <w:pPr>
              <w:widowControl/>
              <w:spacing w:line="260" w:lineRule="exact"/>
              <w:jc w:val="center"/>
              <w:rPr>
                <w:kern w:val="0"/>
                <w:sz w:val="16"/>
                <w:szCs w:val="16"/>
              </w:rPr>
            </w:pPr>
            <w:r>
              <w:rPr>
                <w:kern w:val="0"/>
                <w:sz w:val="16"/>
                <w:szCs w:val="16"/>
              </w:rPr>
              <w:t>指标2：</w:t>
            </w:r>
          </w:p>
        </w:tc>
        <w:tc>
          <w:tcPr>
            <w:tcW w:w="863" w:type="pct"/>
            <w:gridSpan w:val="2"/>
            <w:noWrap/>
            <w:vAlign w:val="center"/>
          </w:tcPr>
          <w:p>
            <w:pPr>
              <w:widowControl/>
              <w:spacing w:line="260" w:lineRule="exact"/>
              <w:jc w:val="center"/>
              <w:rPr>
                <w:kern w:val="0"/>
                <w:sz w:val="16"/>
                <w:szCs w:val="16"/>
              </w:rPr>
            </w:pPr>
          </w:p>
        </w:tc>
        <w:tc>
          <w:tcPr>
            <w:tcW w:w="1090" w:type="pct"/>
            <w:gridSpan w:val="2"/>
            <w:noWrap/>
            <w:vAlign w:val="center"/>
          </w:tcPr>
          <w:p>
            <w:pPr>
              <w:widowControl/>
              <w:spacing w:line="260" w:lineRule="exact"/>
              <w:jc w:val="center"/>
              <w:rPr>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pPr>
              <w:widowControl/>
              <w:spacing w:line="260" w:lineRule="exact"/>
              <w:jc w:val="center"/>
              <w:rPr>
                <w:kern w:val="0"/>
                <w:sz w:val="16"/>
                <w:szCs w:val="16"/>
              </w:rPr>
            </w:pPr>
          </w:p>
        </w:tc>
        <w:tc>
          <w:tcPr>
            <w:tcW w:w="576" w:type="pct"/>
            <w:vMerge w:val="continue"/>
            <w:noWrap/>
            <w:vAlign w:val="center"/>
          </w:tcPr>
          <w:p>
            <w:pPr>
              <w:widowControl/>
              <w:spacing w:line="260" w:lineRule="exact"/>
              <w:jc w:val="center"/>
              <w:rPr>
                <w:kern w:val="0"/>
                <w:sz w:val="16"/>
                <w:szCs w:val="16"/>
              </w:rPr>
            </w:pPr>
          </w:p>
        </w:tc>
        <w:tc>
          <w:tcPr>
            <w:tcW w:w="990" w:type="pct"/>
            <w:vMerge w:val="continue"/>
            <w:noWrap/>
            <w:vAlign w:val="center"/>
          </w:tcPr>
          <w:p>
            <w:pPr>
              <w:widowControl/>
              <w:spacing w:line="260" w:lineRule="exact"/>
              <w:jc w:val="center"/>
              <w:rPr>
                <w:kern w:val="0"/>
                <w:sz w:val="16"/>
                <w:szCs w:val="16"/>
              </w:rPr>
            </w:pPr>
          </w:p>
        </w:tc>
        <w:tc>
          <w:tcPr>
            <w:tcW w:w="1059" w:type="pct"/>
            <w:gridSpan w:val="2"/>
            <w:noWrap/>
            <w:vAlign w:val="center"/>
          </w:tcPr>
          <w:p>
            <w:pPr>
              <w:widowControl/>
              <w:spacing w:line="260" w:lineRule="exact"/>
              <w:jc w:val="center"/>
              <w:rPr>
                <w:kern w:val="0"/>
                <w:sz w:val="16"/>
                <w:szCs w:val="16"/>
              </w:rPr>
            </w:pPr>
            <w:r>
              <w:rPr>
                <w:kern w:val="0"/>
                <w:sz w:val="16"/>
                <w:szCs w:val="16"/>
              </w:rPr>
              <w:t>……</w:t>
            </w:r>
          </w:p>
        </w:tc>
        <w:tc>
          <w:tcPr>
            <w:tcW w:w="863" w:type="pct"/>
            <w:gridSpan w:val="2"/>
            <w:noWrap/>
            <w:vAlign w:val="center"/>
          </w:tcPr>
          <w:p>
            <w:pPr>
              <w:widowControl/>
              <w:spacing w:line="260" w:lineRule="exact"/>
              <w:jc w:val="center"/>
              <w:rPr>
                <w:kern w:val="0"/>
                <w:sz w:val="16"/>
                <w:szCs w:val="16"/>
              </w:rPr>
            </w:pPr>
          </w:p>
        </w:tc>
        <w:tc>
          <w:tcPr>
            <w:tcW w:w="1090" w:type="pct"/>
            <w:gridSpan w:val="2"/>
            <w:noWrap/>
            <w:vAlign w:val="center"/>
          </w:tcPr>
          <w:p>
            <w:pPr>
              <w:widowControl/>
              <w:spacing w:line="260" w:lineRule="exact"/>
              <w:jc w:val="center"/>
              <w:rPr>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pPr>
              <w:widowControl/>
              <w:spacing w:line="260" w:lineRule="exact"/>
              <w:jc w:val="center"/>
              <w:rPr>
                <w:kern w:val="0"/>
                <w:sz w:val="16"/>
                <w:szCs w:val="16"/>
              </w:rPr>
            </w:pPr>
          </w:p>
        </w:tc>
        <w:tc>
          <w:tcPr>
            <w:tcW w:w="576" w:type="pct"/>
            <w:vMerge w:val="continue"/>
            <w:noWrap/>
            <w:vAlign w:val="center"/>
          </w:tcPr>
          <w:p>
            <w:pPr>
              <w:widowControl/>
              <w:spacing w:line="260" w:lineRule="exact"/>
              <w:jc w:val="center"/>
              <w:rPr>
                <w:kern w:val="0"/>
                <w:sz w:val="16"/>
                <w:szCs w:val="16"/>
              </w:rPr>
            </w:pPr>
          </w:p>
        </w:tc>
        <w:tc>
          <w:tcPr>
            <w:tcW w:w="990" w:type="pct"/>
            <w:vMerge w:val="restart"/>
            <w:noWrap/>
            <w:vAlign w:val="center"/>
          </w:tcPr>
          <w:p>
            <w:pPr>
              <w:widowControl/>
              <w:spacing w:line="260" w:lineRule="exact"/>
              <w:jc w:val="center"/>
              <w:rPr>
                <w:kern w:val="0"/>
                <w:sz w:val="16"/>
                <w:szCs w:val="16"/>
              </w:rPr>
            </w:pPr>
            <w:r>
              <w:rPr>
                <w:kern w:val="0"/>
                <w:sz w:val="16"/>
                <w:szCs w:val="16"/>
              </w:rPr>
              <w:t>生态效益</w:t>
            </w:r>
            <w:r>
              <w:rPr>
                <w:kern w:val="0"/>
                <w:sz w:val="16"/>
                <w:szCs w:val="16"/>
              </w:rPr>
              <w:br w:type="textWrapping"/>
            </w:r>
            <w:r>
              <w:rPr>
                <w:kern w:val="0"/>
                <w:sz w:val="16"/>
                <w:szCs w:val="16"/>
              </w:rPr>
              <w:t>指标</w:t>
            </w:r>
          </w:p>
        </w:tc>
        <w:tc>
          <w:tcPr>
            <w:tcW w:w="1059" w:type="pct"/>
            <w:gridSpan w:val="2"/>
            <w:noWrap/>
            <w:vAlign w:val="center"/>
          </w:tcPr>
          <w:p>
            <w:pPr>
              <w:widowControl/>
              <w:spacing w:line="260" w:lineRule="exact"/>
              <w:jc w:val="center"/>
              <w:rPr>
                <w:kern w:val="0"/>
                <w:sz w:val="16"/>
                <w:szCs w:val="16"/>
              </w:rPr>
            </w:pPr>
            <w:r>
              <w:rPr>
                <w:kern w:val="0"/>
                <w:sz w:val="16"/>
                <w:szCs w:val="16"/>
              </w:rPr>
              <w:t>指标1：</w:t>
            </w:r>
          </w:p>
        </w:tc>
        <w:tc>
          <w:tcPr>
            <w:tcW w:w="863" w:type="pct"/>
            <w:gridSpan w:val="2"/>
            <w:noWrap/>
            <w:vAlign w:val="center"/>
          </w:tcPr>
          <w:p>
            <w:pPr>
              <w:widowControl/>
              <w:spacing w:line="260" w:lineRule="exact"/>
              <w:jc w:val="center"/>
              <w:rPr>
                <w:kern w:val="0"/>
                <w:sz w:val="16"/>
                <w:szCs w:val="16"/>
              </w:rPr>
            </w:pPr>
          </w:p>
        </w:tc>
        <w:tc>
          <w:tcPr>
            <w:tcW w:w="1090" w:type="pct"/>
            <w:gridSpan w:val="2"/>
            <w:noWrap/>
            <w:vAlign w:val="center"/>
          </w:tcPr>
          <w:p>
            <w:pPr>
              <w:widowControl/>
              <w:spacing w:line="260" w:lineRule="exact"/>
              <w:jc w:val="center"/>
              <w:rPr>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pPr>
              <w:widowControl/>
              <w:spacing w:line="260" w:lineRule="exact"/>
              <w:jc w:val="center"/>
              <w:rPr>
                <w:kern w:val="0"/>
                <w:sz w:val="16"/>
                <w:szCs w:val="16"/>
              </w:rPr>
            </w:pPr>
          </w:p>
        </w:tc>
        <w:tc>
          <w:tcPr>
            <w:tcW w:w="576" w:type="pct"/>
            <w:vMerge w:val="continue"/>
            <w:noWrap/>
            <w:vAlign w:val="center"/>
          </w:tcPr>
          <w:p>
            <w:pPr>
              <w:widowControl/>
              <w:spacing w:line="260" w:lineRule="exact"/>
              <w:jc w:val="center"/>
              <w:rPr>
                <w:kern w:val="0"/>
                <w:sz w:val="16"/>
                <w:szCs w:val="16"/>
              </w:rPr>
            </w:pPr>
          </w:p>
        </w:tc>
        <w:tc>
          <w:tcPr>
            <w:tcW w:w="990" w:type="pct"/>
            <w:vMerge w:val="continue"/>
            <w:noWrap/>
            <w:vAlign w:val="center"/>
          </w:tcPr>
          <w:p>
            <w:pPr>
              <w:widowControl/>
              <w:spacing w:line="260" w:lineRule="exact"/>
              <w:jc w:val="center"/>
              <w:rPr>
                <w:kern w:val="0"/>
                <w:sz w:val="16"/>
                <w:szCs w:val="16"/>
              </w:rPr>
            </w:pPr>
          </w:p>
        </w:tc>
        <w:tc>
          <w:tcPr>
            <w:tcW w:w="1059" w:type="pct"/>
            <w:gridSpan w:val="2"/>
            <w:noWrap/>
            <w:vAlign w:val="center"/>
          </w:tcPr>
          <w:p>
            <w:pPr>
              <w:widowControl/>
              <w:spacing w:line="260" w:lineRule="exact"/>
              <w:jc w:val="center"/>
              <w:rPr>
                <w:kern w:val="0"/>
                <w:sz w:val="16"/>
                <w:szCs w:val="16"/>
              </w:rPr>
            </w:pPr>
            <w:r>
              <w:rPr>
                <w:kern w:val="0"/>
                <w:sz w:val="16"/>
                <w:szCs w:val="16"/>
              </w:rPr>
              <w:t>指标2：</w:t>
            </w:r>
          </w:p>
        </w:tc>
        <w:tc>
          <w:tcPr>
            <w:tcW w:w="863" w:type="pct"/>
            <w:gridSpan w:val="2"/>
            <w:noWrap/>
            <w:vAlign w:val="center"/>
          </w:tcPr>
          <w:p>
            <w:pPr>
              <w:widowControl/>
              <w:spacing w:line="260" w:lineRule="exact"/>
              <w:jc w:val="center"/>
              <w:rPr>
                <w:kern w:val="0"/>
                <w:sz w:val="16"/>
                <w:szCs w:val="16"/>
              </w:rPr>
            </w:pPr>
          </w:p>
        </w:tc>
        <w:tc>
          <w:tcPr>
            <w:tcW w:w="1090" w:type="pct"/>
            <w:gridSpan w:val="2"/>
            <w:noWrap/>
            <w:vAlign w:val="center"/>
          </w:tcPr>
          <w:p>
            <w:pPr>
              <w:widowControl/>
              <w:spacing w:line="260" w:lineRule="exact"/>
              <w:jc w:val="center"/>
              <w:rPr>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pPr>
              <w:widowControl/>
              <w:spacing w:line="260" w:lineRule="exact"/>
              <w:jc w:val="center"/>
              <w:rPr>
                <w:kern w:val="0"/>
                <w:sz w:val="16"/>
                <w:szCs w:val="16"/>
              </w:rPr>
            </w:pPr>
          </w:p>
        </w:tc>
        <w:tc>
          <w:tcPr>
            <w:tcW w:w="576" w:type="pct"/>
            <w:vMerge w:val="continue"/>
            <w:noWrap/>
            <w:vAlign w:val="center"/>
          </w:tcPr>
          <w:p>
            <w:pPr>
              <w:widowControl/>
              <w:spacing w:line="260" w:lineRule="exact"/>
              <w:jc w:val="center"/>
              <w:rPr>
                <w:kern w:val="0"/>
                <w:sz w:val="16"/>
                <w:szCs w:val="16"/>
              </w:rPr>
            </w:pPr>
          </w:p>
        </w:tc>
        <w:tc>
          <w:tcPr>
            <w:tcW w:w="990" w:type="pct"/>
            <w:vMerge w:val="continue"/>
            <w:noWrap/>
            <w:vAlign w:val="center"/>
          </w:tcPr>
          <w:p>
            <w:pPr>
              <w:widowControl/>
              <w:spacing w:line="260" w:lineRule="exact"/>
              <w:jc w:val="center"/>
              <w:rPr>
                <w:kern w:val="0"/>
                <w:sz w:val="16"/>
                <w:szCs w:val="16"/>
              </w:rPr>
            </w:pPr>
          </w:p>
        </w:tc>
        <w:tc>
          <w:tcPr>
            <w:tcW w:w="1059" w:type="pct"/>
            <w:gridSpan w:val="2"/>
            <w:noWrap/>
            <w:vAlign w:val="center"/>
          </w:tcPr>
          <w:p>
            <w:pPr>
              <w:widowControl/>
              <w:spacing w:line="260" w:lineRule="exact"/>
              <w:jc w:val="center"/>
              <w:rPr>
                <w:kern w:val="0"/>
                <w:sz w:val="16"/>
                <w:szCs w:val="16"/>
              </w:rPr>
            </w:pPr>
            <w:r>
              <w:rPr>
                <w:kern w:val="0"/>
                <w:sz w:val="16"/>
                <w:szCs w:val="16"/>
              </w:rPr>
              <w:t>……</w:t>
            </w:r>
          </w:p>
        </w:tc>
        <w:tc>
          <w:tcPr>
            <w:tcW w:w="863" w:type="pct"/>
            <w:gridSpan w:val="2"/>
            <w:noWrap/>
            <w:vAlign w:val="center"/>
          </w:tcPr>
          <w:p>
            <w:pPr>
              <w:widowControl/>
              <w:spacing w:line="260" w:lineRule="exact"/>
              <w:jc w:val="center"/>
              <w:rPr>
                <w:kern w:val="0"/>
                <w:sz w:val="16"/>
                <w:szCs w:val="16"/>
              </w:rPr>
            </w:pPr>
          </w:p>
        </w:tc>
        <w:tc>
          <w:tcPr>
            <w:tcW w:w="1090" w:type="pct"/>
            <w:gridSpan w:val="2"/>
            <w:noWrap/>
            <w:vAlign w:val="center"/>
          </w:tcPr>
          <w:p>
            <w:pPr>
              <w:widowControl/>
              <w:spacing w:line="260" w:lineRule="exact"/>
              <w:jc w:val="center"/>
              <w:rPr>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pPr>
              <w:widowControl/>
              <w:spacing w:line="260" w:lineRule="exact"/>
              <w:jc w:val="center"/>
              <w:rPr>
                <w:kern w:val="0"/>
                <w:sz w:val="16"/>
                <w:szCs w:val="16"/>
              </w:rPr>
            </w:pPr>
          </w:p>
        </w:tc>
        <w:tc>
          <w:tcPr>
            <w:tcW w:w="576" w:type="pct"/>
            <w:vMerge w:val="continue"/>
            <w:noWrap/>
            <w:vAlign w:val="center"/>
          </w:tcPr>
          <w:p>
            <w:pPr>
              <w:widowControl/>
              <w:spacing w:line="260" w:lineRule="exact"/>
              <w:jc w:val="center"/>
              <w:rPr>
                <w:kern w:val="0"/>
                <w:sz w:val="16"/>
                <w:szCs w:val="16"/>
              </w:rPr>
            </w:pPr>
          </w:p>
        </w:tc>
        <w:tc>
          <w:tcPr>
            <w:tcW w:w="990" w:type="pct"/>
            <w:vMerge w:val="restart"/>
            <w:noWrap/>
            <w:vAlign w:val="center"/>
          </w:tcPr>
          <w:p>
            <w:pPr>
              <w:widowControl/>
              <w:spacing w:line="260" w:lineRule="exact"/>
              <w:jc w:val="center"/>
              <w:rPr>
                <w:kern w:val="0"/>
                <w:sz w:val="16"/>
                <w:szCs w:val="16"/>
              </w:rPr>
            </w:pPr>
            <w:r>
              <w:rPr>
                <w:kern w:val="0"/>
                <w:sz w:val="16"/>
                <w:szCs w:val="16"/>
              </w:rPr>
              <w:t>可持续影响</w:t>
            </w:r>
            <w:r>
              <w:rPr>
                <w:kern w:val="0"/>
                <w:sz w:val="16"/>
                <w:szCs w:val="16"/>
              </w:rPr>
              <w:br w:type="textWrapping"/>
            </w:r>
            <w:r>
              <w:rPr>
                <w:kern w:val="0"/>
                <w:sz w:val="16"/>
                <w:szCs w:val="16"/>
              </w:rPr>
              <w:t>指标</w:t>
            </w:r>
          </w:p>
        </w:tc>
        <w:tc>
          <w:tcPr>
            <w:tcW w:w="1059" w:type="pct"/>
            <w:gridSpan w:val="2"/>
            <w:noWrap/>
            <w:vAlign w:val="center"/>
          </w:tcPr>
          <w:p>
            <w:pPr>
              <w:widowControl/>
              <w:spacing w:line="260" w:lineRule="exact"/>
              <w:jc w:val="center"/>
              <w:rPr>
                <w:kern w:val="0"/>
                <w:sz w:val="16"/>
                <w:szCs w:val="16"/>
              </w:rPr>
            </w:pPr>
            <w:r>
              <w:rPr>
                <w:kern w:val="0"/>
                <w:sz w:val="16"/>
                <w:szCs w:val="16"/>
              </w:rPr>
              <w:t>指标1：</w:t>
            </w:r>
          </w:p>
        </w:tc>
        <w:tc>
          <w:tcPr>
            <w:tcW w:w="863" w:type="pct"/>
            <w:gridSpan w:val="2"/>
            <w:noWrap/>
            <w:vAlign w:val="center"/>
          </w:tcPr>
          <w:p>
            <w:pPr>
              <w:widowControl/>
              <w:spacing w:line="260" w:lineRule="exact"/>
              <w:jc w:val="center"/>
              <w:rPr>
                <w:kern w:val="0"/>
                <w:sz w:val="16"/>
                <w:szCs w:val="16"/>
              </w:rPr>
            </w:pPr>
          </w:p>
        </w:tc>
        <w:tc>
          <w:tcPr>
            <w:tcW w:w="1090" w:type="pct"/>
            <w:gridSpan w:val="2"/>
            <w:noWrap/>
            <w:vAlign w:val="center"/>
          </w:tcPr>
          <w:p>
            <w:pPr>
              <w:widowControl/>
              <w:spacing w:line="260" w:lineRule="exact"/>
              <w:jc w:val="center"/>
              <w:rPr>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pPr>
              <w:widowControl/>
              <w:spacing w:line="260" w:lineRule="exact"/>
              <w:jc w:val="center"/>
              <w:rPr>
                <w:kern w:val="0"/>
                <w:sz w:val="16"/>
                <w:szCs w:val="16"/>
              </w:rPr>
            </w:pPr>
          </w:p>
        </w:tc>
        <w:tc>
          <w:tcPr>
            <w:tcW w:w="576" w:type="pct"/>
            <w:vMerge w:val="continue"/>
            <w:noWrap/>
            <w:vAlign w:val="center"/>
          </w:tcPr>
          <w:p>
            <w:pPr>
              <w:widowControl/>
              <w:spacing w:line="260" w:lineRule="exact"/>
              <w:jc w:val="center"/>
              <w:rPr>
                <w:kern w:val="0"/>
                <w:sz w:val="16"/>
                <w:szCs w:val="16"/>
              </w:rPr>
            </w:pPr>
          </w:p>
        </w:tc>
        <w:tc>
          <w:tcPr>
            <w:tcW w:w="990" w:type="pct"/>
            <w:vMerge w:val="continue"/>
            <w:noWrap/>
            <w:vAlign w:val="center"/>
          </w:tcPr>
          <w:p>
            <w:pPr>
              <w:widowControl/>
              <w:spacing w:line="260" w:lineRule="exact"/>
              <w:jc w:val="center"/>
              <w:rPr>
                <w:kern w:val="0"/>
                <w:sz w:val="16"/>
                <w:szCs w:val="16"/>
              </w:rPr>
            </w:pPr>
          </w:p>
        </w:tc>
        <w:tc>
          <w:tcPr>
            <w:tcW w:w="1059" w:type="pct"/>
            <w:gridSpan w:val="2"/>
            <w:noWrap/>
            <w:vAlign w:val="center"/>
          </w:tcPr>
          <w:p>
            <w:pPr>
              <w:widowControl/>
              <w:spacing w:line="260" w:lineRule="exact"/>
              <w:jc w:val="center"/>
              <w:rPr>
                <w:kern w:val="0"/>
                <w:sz w:val="16"/>
                <w:szCs w:val="16"/>
              </w:rPr>
            </w:pPr>
            <w:r>
              <w:rPr>
                <w:kern w:val="0"/>
                <w:sz w:val="16"/>
                <w:szCs w:val="16"/>
              </w:rPr>
              <w:t>指标2：</w:t>
            </w:r>
          </w:p>
        </w:tc>
        <w:tc>
          <w:tcPr>
            <w:tcW w:w="863" w:type="pct"/>
            <w:gridSpan w:val="2"/>
            <w:noWrap/>
            <w:vAlign w:val="center"/>
          </w:tcPr>
          <w:p>
            <w:pPr>
              <w:widowControl/>
              <w:spacing w:line="260" w:lineRule="exact"/>
              <w:jc w:val="center"/>
              <w:rPr>
                <w:kern w:val="0"/>
                <w:sz w:val="16"/>
                <w:szCs w:val="16"/>
              </w:rPr>
            </w:pPr>
          </w:p>
        </w:tc>
        <w:tc>
          <w:tcPr>
            <w:tcW w:w="1090" w:type="pct"/>
            <w:gridSpan w:val="2"/>
            <w:noWrap/>
            <w:vAlign w:val="center"/>
          </w:tcPr>
          <w:p>
            <w:pPr>
              <w:widowControl/>
              <w:spacing w:line="260" w:lineRule="exact"/>
              <w:jc w:val="center"/>
              <w:rPr>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pPr>
              <w:widowControl/>
              <w:spacing w:line="260" w:lineRule="exact"/>
              <w:jc w:val="center"/>
              <w:rPr>
                <w:kern w:val="0"/>
                <w:sz w:val="16"/>
                <w:szCs w:val="16"/>
              </w:rPr>
            </w:pPr>
          </w:p>
        </w:tc>
        <w:tc>
          <w:tcPr>
            <w:tcW w:w="576" w:type="pct"/>
            <w:vMerge w:val="continue"/>
            <w:noWrap/>
            <w:vAlign w:val="center"/>
          </w:tcPr>
          <w:p>
            <w:pPr>
              <w:widowControl/>
              <w:spacing w:line="260" w:lineRule="exact"/>
              <w:jc w:val="center"/>
              <w:rPr>
                <w:kern w:val="0"/>
                <w:sz w:val="16"/>
                <w:szCs w:val="16"/>
              </w:rPr>
            </w:pPr>
          </w:p>
        </w:tc>
        <w:tc>
          <w:tcPr>
            <w:tcW w:w="990" w:type="pct"/>
            <w:vMerge w:val="continue"/>
            <w:noWrap/>
            <w:vAlign w:val="center"/>
          </w:tcPr>
          <w:p>
            <w:pPr>
              <w:widowControl/>
              <w:spacing w:line="260" w:lineRule="exact"/>
              <w:jc w:val="center"/>
              <w:rPr>
                <w:kern w:val="0"/>
                <w:sz w:val="16"/>
                <w:szCs w:val="16"/>
              </w:rPr>
            </w:pPr>
          </w:p>
        </w:tc>
        <w:tc>
          <w:tcPr>
            <w:tcW w:w="1059" w:type="pct"/>
            <w:gridSpan w:val="2"/>
            <w:noWrap/>
            <w:vAlign w:val="center"/>
          </w:tcPr>
          <w:p>
            <w:pPr>
              <w:widowControl/>
              <w:spacing w:line="260" w:lineRule="exact"/>
              <w:jc w:val="center"/>
              <w:rPr>
                <w:kern w:val="0"/>
                <w:sz w:val="16"/>
                <w:szCs w:val="16"/>
              </w:rPr>
            </w:pPr>
            <w:r>
              <w:rPr>
                <w:kern w:val="0"/>
                <w:sz w:val="16"/>
                <w:szCs w:val="16"/>
              </w:rPr>
              <w:t>……</w:t>
            </w:r>
          </w:p>
        </w:tc>
        <w:tc>
          <w:tcPr>
            <w:tcW w:w="863" w:type="pct"/>
            <w:gridSpan w:val="2"/>
            <w:noWrap/>
            <w:vAlign w:val="center"/>
          </w:tcPr>
          <w:p>
            <w:pPr>
              <w:widowControl/>
              <w:spacing w:line="260" w:lineRule="exact"/>
              <w:jc w:val="center"/>
              <w:rPr>
                <w:kern w:val="0"/>
                <w:sz w:val="16"/>
                <w:szCs w:val="16"/>
              </w:rPr>
            </w:pPr>
          </w:p>
        </w:tc>
        <w:tc>
          <w:tcPr>
            <w:tcW w:w="1090" w:type="pct"/>
            <w:gridSpan w:val="2"/>
            <w:noWrap/>
            <w:vAlign w:val="center"/>
          </w:tcPr>
          <w:p>
            <w:pPr>
              <w:widowControl/>
              <w:spacing w:line="260" w:lineRule="exact"/>
              <w:jc w:val="center"/>
              <w:rPr>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pPr>
              <w:widowControl/>
              <w:spacing w:line="260" w:lineRule="exact"/>
              <w:jc w:val="center"/>
              <w:rPr>
                <w:kern w:val="0"/>
                <w:sz w:val="16"/>
                <w:szCs w:val="16"/>
              </w:rPr>
            </w:pPr>
          </w:p>
        </w:tc>
        <w:tc>
          <w:tcPr>
            <w:tcW w:w="576" w:type="pct"/>
            <w:vMerge w:val="restart"/>
            <w:noWrap/>
            <w:vAlign w:val="center"/>
          </w:tcPr>
          <w:p>
            <w:pPr>
              <w:widowControl/>
              <w:spacing w:line="260" w:lineRule="exact"/>
              <w:jc w:val="center"/>
              <w:rPr>
                <w:kern w:val="0"/>
                <w:sz w:val="16"/>
                <w:szCs w:val="16"/>
              </w:rPr>
            </w:pPr>
            <w:r>
              <w:rPr>
                <w:kern w:val="0"/>
                <w:sz w:val="16"/>
                <w:szCs w:val="16"/>
              </w:rPr>
              <w:t>满意度</w:t>
            </w:r>
            <w:r>
              <w:rPr>
                <w:kern w:val="0"/>
                <w:sz w:val="16"/>
                <w:szCs w:val="16"/>
              </w:rPr>
              <w:br w:type="textWrapping"/>
            </w:r>
            <w:r>
              <w:rPr>
                <w:kern w:val="0"/>
                <w:sz w:val="16"/>
                <w:szCs w:val="16"/>
              </w:rPr>
              <w:t>指标</w:t>
            </w:r>
          </w:p>
        </w:tc>
        <w:tc>
          <w:tcPr>
            <w:tcW w:w="990" w:type="pct"/>
            <w:vMerge w:val="restart"/>
            <w:noWrap/>
            <w:vAlign w:val="center"/>
          </w:tcPr>
          <w:p>
            <w:pPr>
              <w:widowControl/>
              <w:spacing w:line="260" w:lineRule="exact"/>
              <w:jc w:val="center"/>
              <w:rPr>
                <w:kern w:val="0"/>
                <w:sz w:val="16"/>
                <w:szCs w:val="16"/>
              </w:rPr>
            </w:pPr>
            <w:r>
              <w:rPr>
                <w:kern w:val="0"/>
                <w:sz w:val="16"/>
                <w:szCs w:val="16"/>
              </w:rPr>
              <w:t>满意度指标</w:t>
            </w:r>
          </w:p>
        </w:tc>
        <w:tc>
          <w:tcPr>
            <w:tcW w:w="1059" w:type="pct"/>
            <w:gridSpan w:val="2"/>
            <w:noWrap/>
            <w:vAlign w:val="center"/>
          </w:tcPr>
          <w:p>
            <w:pPr>
              <w:widowControl/>
              <w:spacing w:line="260" w:lineRule="exact"/>
              <w:jc w:val="center"/>
              <w:rPr>
                <w:kern w:val="0"/>
                <w:sz w:val="16"/>
                <w:szCs w:val="16"/>
              </w:rPr>
            </w:pPr>
            <w:r>
              <w:rPr>
                <w:kern w:val="0"/>
                <w:sz w:val="16"/>
                <w:szCs w:val="16"/>
              </w:rPr>
              <w:t>指标1：</w:t>
            </w:r>
            <w:r>
              <w:rPr>
                <w:rFonts w:hint="eastAsia"/>
                <w:kern w:val="0"/>
                <w:sz w:val="16"/>
                <w:szCs w:val="16"/>
              </w:rPr>
              <w:t>信访事项满意度</w:t>
            </w:r>
          </w:p>
        </w:tc>
        <w:tc>
          <w:tcPr>
            <w:tcW w:w="863" w:type="pct"/>
            <w:gridSpan w:val="2"/>
            <w:noWrap/>
            <w:vAlign w:val="center"/>
          </w:tcPr>
          <w:p>
            <w:pPr>
              <w:widowControl/>
              <w:spacing w:line="260" w:lineRule="exact"/>
              <w:rPr>
                <w:kern w:val="0"/>
                <w:sz w:val="16"/>
                <w:szCs w:val="16"/>
              </w:rPr>
            </w:pPr>
            <w:r>
              <w:rPr>
                <w:rFonts w:hint="eastAsia"/>
                <w:kern w:val="0"/>
                <w:sz w:val="16"/>
                <w:szCs w:val="16"/>
              </w:rPr>
              <w:t>10</w:t>
            </w:r>
          </w:p>
        </w:tc>
        <w:tc>
          <w:tcPr>
            <w:tcW w:w="1090" w:type="pct"/>
            <w:gridSpan w:val="2"/>
            <w:noWrap/>
            <w:vAlign w:val="center"/>
          </w:tcPr>
          <w:p>
            <w:pPr>
              <w:widowControl/>
              <w:spacing w:line="260" w:lineRule="exact"/>
              <w:jc w:val="center"/>
              <w:rPr>
                <w:color w:val="000000"/>
                <w:kern w:val="0"/>
                <w:sz w:val="16"/>
                <w:szCs w:val="16"/>
              </w:rPr>
            </w:pPr>
            <w:r>
              <w:rPr>
                <w:rFonts w:hint="eastAsia"/>
                <w:color w:val="000000"/>
                <w:kern w:val="0"/>
                <w:sz w:val="16"/>
                <w:szCs w:val="16"/>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pPr>
              <w:widowControl/>
              <w:spacing w:line="260" w:lineRule="exact"/>
              <w:jc w:val="center"/>
              <w:rPr>
                <w:kern w:val="0"/>
                <w:sz w:val="16"/>
                <w:szCs w:val="16"/>
              </w:rPr>
            </w:pPr>
          </w:p>
        </w:tc>
        <w:tc>
          <w:tcPr>
            <w:tcW w:w="576" w:type="pct"/>
            <w:vMerge w:val="continue"/>
            <w:noWrap/>
            <w:vAlign w:val="center"/>
          </w:tcPr>
          <w:p>
            <w:pPr>
              <w:widowControl/>
              <w:spacing w:line="260" w:lineRule="exact"/>
              <w:jc w:val="center"/>
              <w:rPr>
                <w:kern w:val="0"/>
                <w:sz w:val="16"/>
                <w:szCs w:val="16"/>
              </w:rPr>
            </w:pPr>
          </w:p>
        </w:tc>
        <w:tc>
          <w:tcPr>
            <w:tcW w:w="990" w:type="pct"/>
            <w:vMerge w:val="continue"/>
            <w:noWrap/>
            <w:vAlign w:val="center"/>
          </w:tcPr>
          <w:p>
            <w:pPr>
              <w:widowControl/>
              <w:spacing w:line="260" w:lineRule="exact"/>
              <w:jc w:val="center"/>
              <w:rPr>
                <w:kern w:val="0"/>
                <w:sz w:val="16"/>
                <w:szCs w:val="16"/>
              </w:rPr>
            </w:pPr>
          </w:p>
        </w:tc>
        <w:tc>
          <w:tcPr>
            <w:tcW w:w="1059" w:type="pct"/>
            <w:gridSpan w:val="2"/>
            <w:noWrap/>
            <w:vAlign w:val="center"/>
          </w:tcPr>
          <w:p>
            <w:pPr>
              <w:widowControl/>
              <w:spacing w:line="260" w:lineRule="exact"/>
              <w:jc w:val="center"/>
              <w:rPr>
                <w:kern w:val="0"/>
                <w:sz w:val="16"/>
                <w:szCs w:val="16"/>
              </w:rPr>
            </w:pPr>
            <w:r>
              <w:rPr>
                <w:kern w:val="0"/>
                <w:sz w:val="16"/>
                <w:szCs w:val="16"/>
              </w:rPr>
              <w:t>指标2：</w:t>
            </w:r>
          </w:p>
        </w:tc>
        <w:tc>
          <w:tcPr>
            <w:tcW w:w="863" w:type="pct"/>
            <w:gridSpan w:val="2"/>
            <w:noWrap/>
            <w:vAlign w:val="center"/>
          </w:tcPr>
          <w:p>
            <w:pPr>
              <w:widowControl/>
              <w:spacing w:line="260" w:lineRule="exact"/>
              <w:jc w:val="center"/>
              <w:rPr>
                <w:kern w:val="0"/>
                <w:sz w:val="16"/>
                <w:szCs w:val="16"/>
              </w:rPr>
            </w:pPr>
          </w:p>
        </w:tc>
        <w:tc>
          <w:tcPr>
            <w:tcW w:w="1090" w:type="pct"/>
            <w:gridSpan w:val="2"/>
            <w:noWrap/>
            <w:vAlign w:val="center"/>
          </w:tcPr>
          <w:p>
            <w:pPr>
              <w:widowControl/>
              <w:spacing w:line="260" w:lineRule="exact"/>
              <w:jc w:val="center"/>
              <w:rPr>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pPr>
              <w:widowControl/>
              <w:spacing w:line="260" w:lineRule="exact"/>
              <w:jc w:val="center"/>
              <w:rPr>
                <w:kern w:val="0"/>
                <w:sz w:val="16"/>
                <w:szCs w:val="16"/>
              </w:rPr>
            </w:pPr>
          </w:p>
        </w:tc>
        <w:tc>
          <w:tcPr>
            <w:tcW w:w="576" w:type="pct"/>
            <w:vMerge w:val="continue"/>
            <w:noWrap/>
            <w:vAlign w:val="center"/>
          </w:tcPr>
          <w:p>
            <w:pPr>
              <w:widowControl/>
              <w:spacing w:line="260" w:lineRule="exact"/>
              <w:jc w:val="center"/>
              <w:rPr>
                <w:kern w:val="0"/>
                <w:sz w:val="16"/>
                <w:szCs w:val="16"/>
              </w:rPr>
            </w:pPr>
          </w:p>
        </w:tc>
        <w:tc>
          <w:tcPr>
            <w:tcW w:w="990" w:type="pct"/>
            <w:vMerge w:val="continue"/>
            <w:noWrap/>
            <w:vAlign w:val="center"/>
          </w:tcPr>
          <w:p>
            <w:pPr>
              <w:widowControl/>
              <w:spacing w:line="260" w:lineRule="exact"/>
              <w:jc w:val="center"/>
              <w:rPr>
                <w:kern w:val="0"/>
                <w:sz w:val="16"/>
                <w:szCs w:val="16"/>
              </w:rPr>
            </w:pPr>
          </w:p>
        </w:tc>
        <w:tc>
          <w:tcPr>
            <w:tcW w:w="1059" w:type="pct"/>
            <w:gridSpan w:val="2"/>
            <w:noWrap/>
            <w:vAlign w:val="center"/>
          </w:tcPr>
          <w:p>
            <w:pPr>
              <w:widowControl/>
              <w:spacing w:line="260" w:lineRule="exact"/>
              <w:jc w:val="center"/>
              <w:rPr>
                <w:kern w:val="0"/>
                <w:sz w:val="16"/>
                <w:szCs w:val="16"/>
              </w:rPr>
            </w:pPr>
            <w:r>
              <w:rPr>
                <w:kern w:val="0"/>
                <w:sz w:val="16"/>
                <w:szCs w:val="16"/>
              </w:rPr>
              <w:t>……</w:t>
            </w:r>
          </w:p>
        </w:tc>
        <w:tc>
          <w:tcPr>
            <w:tcW w:w="863" w:type="pct"/>
            <w:gridSpan w:val="2"/>
            <w:noWrap/>
            <w:vAlign w:val="center"/>
          </w:tcPr>
          <w:p>
            <w:pPr>
              <w:widowControl/>
              <w:spacing w:line="260" w:lineRule="exact"/>
              <w:jc w:val="center"/>
              <w:rPr>
                <w:kern w:val="0"/>
                <w:sz w:val="16"/>
                <w:szCs w:val="16"/>
              </w:rPr>
            </w:pPr>
          </w:p>
        </w:tc>
        <w:tc>
          <w:tcPr>
            <w:tcW w:w="1090" w:type="pct"/>
            <w:gridSpan w:val="2"/>
            <w:noWrap/>
            <w:vAlign w:val="center"/>
          </w:tcPr>
          <w:p>
            <w:pPr>
              <w:widowControl/>
              <w:spacing w:line="260" w:lineRule="exact"/>
              <w:jc w:val="center"/>
              <w:rPr>
                <w:color w:val="000000"/>
                <w:kern w:val="0"/>
                <w:sz w:val="16"/>
                <w:szCs w:val="16"/>
              </w:rPr>
            </w:pPr>
          </w:p>
        </w:tc>
      </w:tr>
    </w:tbl>
    <w:p>
      <w:pPr>
        <w:sectPr>
          <w:footerReference r:id="rId5" w:type="default"/>
          <w:pgSz w:w="11906" w:h="16838"/>
          <w:pgMar w:top="2041" w:right="1468" w:bottom="1587" w:left="1468" w:header="454" w:footer="454" w:gutter="0"/>
          <w:pgNumType w:start="1"/>
          <w:cols w:space="720" w:num="1"/>
          <w:docGrid w:type="lines" w:linePitch="440" w:charSpace="0"/>
        </w:sectPr>
      </w:pPr>
    </w:p>
    <w:p>
      <w:pPr>
        <w:widowControl/>
        <w:adjustRightInd w:val="0"/>
        <w:snapToGrid w:val="0"/>
        <w:spacing w:line="560" w:lineRule="exact"/>
        <w:contextualSpacing/>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一、运转类项目绩效分析</w:t>
      </w:r>
    </w:p>
    <w:p>
      <w:pPr>
        <w:spacing w:line="520" w:lineRule="exact"/>
        <w:rPr>
          <w:rFonts w:eastAsia="黑体"/>
        </w:rPr>
      </w:pPr>
      <w:r>
        <w:rPr>
          <w:rFonts w:eastAsia="黑体"/>
        </w:rPr>
        <w:t>附件1</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3"/>
        <w:gridCol w:w="639"/>
        <w:gridCol w:w="809"/>
        <w:gridCol w:w="1351"/>
        <w:gridCol w:w="981"/>
        <w:gridCol w:w="1152"/>
        <w:gridCol w:w="915"/>
        <w:gridCol w:w="17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000" w:type="pct"/>
            <w:gridSpan w:val="8"/>
            <w:tcBorders>
              <w:top w:val="nil"/>
              <w:left w:val="nil"/>
              <w:bottom w:val="nil"/>
              <w:right w:val="nil"/>
            </w:tcBorders>
            <w:noWrap/>
            <w:vAlign w:val="center"/>
          </w:tcPr>
          <w:p>
            <w:pPr>
              <w:widowControl/>
              <w:spacing w:line="440" w:lineRule="exact"/>
              <w:jc w:val="center"/>
              <w:textAlignment w:val="center"/>
              <w:rPr>
                <w:rFonts w:eastAsia="方正小标宋简体"/>
                <w:color w:val="000000"/>
              </w:rPr>
            </w:pPr>
            <w:r>
              <w:rPr>
                <w:rFonts w:hint="eastAsia" w:eastAsia="方正小标宋简体"/>
                <w:color w:val="000000"/>
                <w:kern w:val="0"/>
              </w:rPr>
              <w:t>政务运转工作经费</w:t>
            </w:r>
            <w:r>
              <w:rPr>
                <w:rFonts w:eastAsia="方正小标宋简体"/>
                <w:color w:val="000000"/>
                <w:kern w:val="0"/>
              </w:rPr>
              <w:t>项目绩效目标自评表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5000" w:type="pct"/>
            <w:gridSpan w:val="8"/>
            <w:tcBorders>
              <w:top w:val="nil"/>
              <w:left w:val="nil"/>
              <w:bottom w:val="single" w:color="auto" w:sz="4" w:space="0"/>
              <w:right w:val="nil"/>
            </w:tcBorders>
            <w:noWrap/>
          </w:tcPr>
          <w:p>
            <w:pPr>
              <w:widowControl/>
              <w:spacing w:line="320" w:lineRule="exact"/>
              <w:jc w:val="center"/>
              <w:textAlignment w:val="top"/>
              <w:rPr>
                <w:color w:val="000000"/>
                <w:sz w:val="22"/>
                <w:szCs w:val="22"/>
              </w:rPr>
            </w:pPr>
            <w:r>
              <w:rPr>
                <w:color w:val="000000"/>
                <w:kern w:val="0"/>
                <w:sz w:val="22"/>
                <w:szCs w:val="22"/>
              </w:rPr>
              <w:t>（2022年度）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6" w:type="pct"/>
            <w:gridSpan w:val="3"/>
            <w:tcBorders>
              <w:top w:val="single" w:color="auto" w:sz="4" w:space="0"/>
            </w:tcBorders>
            <w:noWrap/>
            <w:vAlign w:val="center"/>
          </w:tcPr>
          <w:p>
            <w:pPr>
              <w:widowControl/>
              <w:spacing w:line="200" w:lineRule="exact"/>
              <w:jc w:val="center"/>
              <w:textAlignment w:val="center"/>
              <w:rPr>
                <w:color w:val="000000"/>
                <w:sz w:val="16"/>
                <w:szCs w:val="16"/>
              </w:rPr>
            </w:pPr>
            <w:r>
              <w:rPr>
                <w:color w:val="000000"/>
                <w:kern w:val="0"/>
                <w:sz w:val="16"/>
                <w:szCs w:val="16"/>
              </w:rPr>
              <w:t>项目（政策）名称</w:t>
            </w:r>
          </w:p>
        </w:tc>
        <w:tc>
          <w:tcPr>
            <w:tcW w:w="3753" w:type="pct"/>
            <w:gridSpan w:val="5"/>
            <w:tcBorders>
              <w:top w:val="single" w:color="auto" w:sz="4" w:space="0"/>
            </w:tcBorders>
            <w:noWrap/>
            <w:vAlign w:val="center"/>
          </w:tcPr>
          <w:p>
            <w:pPr>
              <w:widowControl/>
              <w:spacing w:line="200" w:lineRule="exact"/>
              <w:jc w:val="left"/>
              <w:rPr>
                <w:color w:val="000000"/>
                <w:sz w:val="16"/>
                <w:szCs w:val="16"/>
              </w:rPr>
            </w:pPr>
            <w:r>
              <w:rPr>
                <w:rFonts w:hint="eastAsia"/>
                <w:kern w:val="0"/>
                <w:sz w:val="16"/>
                <w:szCs w:val="16"/>
              </w:rPr>
              <w:t>政务运转工作经费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6" w:type="pct"/>
            <w:gridSpan w:val="3"/>
            <w:noWrap/>
            <w:vAlign w:val="center"/>
          </w:tcPr>
          <w:p>
            <w:pPr>
              <w:widowControl/>
              <w:spacing w:line="200" w:lineRule="exact"/>
              <w:jc w:val="center"/>
              <w:textAlignment w:val="center"/>
              <w:rPr>
                <w:color w:val="000000"/>
                <w:sz w:val="16"/>
                <w:szCs w:val="16"/>
              </w:rPr>
            </w:pPr>
            <w:r>
              <w:rPr>
                <w:color w:val="000000"/>
                <w:kern w:val="0"/>
                <w:sz w:val="16"/>
                <w:szCs w:val="16"/>
              </w:rPr>
              <w:t>项目主管部门</w:t>
            </w:r>
          </w:p>
        </w:tc>
        <w:tc>
          <w:tcPr>
            <w:tcW w:w="1648" w:type="pct"/>
            <w:gridSpan w:val="2"/>
            <w:noWrap/>
            <w:vAlign w:val="center"/>
          </w:tcPr>
          <w:p>
            <w:pPr>
              <w:widowControl/>
              <w:spacing w:line="200" w:lineRule="exact"/>
              <w:rPr>
                <w:color w:val="000000"/>
                <w:sz w:val="16"/>
                <w:szCs w:val="16"/>
              </w:rPr>
            </w:pPr>
            <w:r>
              <w:rPr>
                <w:rFonts w:hint="eastAsia"/>
                <w:color w:val="000000"/>
                <w:sz w:val="16"/>
                <w:szCs w:val="16"/>
              </w:rPr>
              <w:t>沐川县财政局</w:t>
            </w:r>
          </w:p>
        </w:tc>
        <w:tc>
          <w:tcPr>
            <w:tcW w:w="625" w:type="pct"/>
            <w:noWrap/>
            <w:vAlign w:val="center"/>
          </w:tcPr>
          <w:p>
            <w:pPr>
              <w:widowControl/>
              <w:spacing w:line="200" w:lineRule="exact"/>
              <w:jc w:val="center"/>
              <w:textAlignment w:val="center"/>
              <w:rPr>
                <w:color w:val="000000"/>
                <w:kern w:val="0"/>
                <w:sz w:val="16"/>
                <w:szCs w:val="16"/>
              </w:rPr>
            </w:pPr>
            <w:r>
              <w:rPr>
                <w:color w:val="000000"/>
                <w:kern w:val="0"/>
                <w:sz w:val="16"/>
                <w:szCs w:val="16"/>
              </w:rPr>
              <w:t>资金使用单位</w:t>
            </w:r>
          </w:p>
        </w:tc>
        <w:tc>
          <w:tcPr>
            <w:tcW w:w="1479" w:type="pct"/>
            <w:gridSpan w:val="2"/>
            <w:noWrap/>
            <w:vAlign w:val="center"/>
          </w:tcPr>
          <w:p>
            <w:pPr>
              <w:widowControl/>
              <w:spacing w:line="200" w:lineRule="exact"/>
              <w:jc w:val="center"/>
              <w:rPr>
                <w:color w:val="000000"/>
                <w:sz w:val="16"/>
                <w:szCs w:val="16"/>
              </w:rPr>
            </w:pPr>
            <w:r>
              <w:rPr>
                <w:rFonts w:hint="eastAsia"/>
                <w:color w:val="000000"/>
                <w:sz w:val="16"/>
                <w:szCs w:val="16"/>
              </w:rPr>
              <w:t>沐川县行政审批局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6" w:type="pct"/>
            <w:gridSpan w:val="3"/>
            <w:vMerge w:val="restart"/>
            <w:noWrap/>
            <w:vAlign w:val="center"/>
          </w:tcPr>
          <w:p>
            <w:pPr>
              <w:widowControl/>
              <w:spacing w:line="200" w:lineRule="exact"/>
              <w:jc w:val="center"/>
              <w:textAlignment w:val="center"/>
              <w:rPr>
                <w:color w:val="000000"/>
                <w:sz w:val="16"/>
                <w:szCs w:val="16"/>
              </w:rPr>
            </w:pPr>
            <w:r>
              <w:rPr>
                <w:color w:val="000000"/>
                <w:kern w:val="0"/>
                <w:sz w:val="16"/>
                <w:szCs w:val="16"/>
              </w:rPr>
              <w:t>项目资金</w:t>
            </w:r>
            <w:r>
              <w:rPr>
                <w:color w:val="000000"/>
                <w:kern w:val="0"/>
                <w:sz w:val="16"/>
                <w:szCs w:val="16"/>
              </w:rPr>
              <w:br w:type="textWrapping"/>
            </w:r>
            <w:r>
              <w:rPr>
                <w:color w:val="000000"/>
                <w:kern w:val="0"/>
                <w:sz w:val="16"/>
                <w:szCs w:val="16"/>
              </w:rPr>
              <w:t>（万元）</w:t>
            </w:r>
          </w:p>
        </w:tc>
        <w:tc>
          <w:tcPr>
            <w:tcW w:w="967" w:type="pct"/>
            <w:noWrap/>
            <w:vAlign w:val="center"/>
          </w:tcPr>
          <w:p>
            <w:pPr>
              <w:widowControl/>
              <w:spacing w:line="200" w:lineRule="exact"/>
              <w:rPr>
                <w:color w:val="000000"/>
                <w:sz w:val="16"/>
                <w:szCs w:val="16"/>
              </w:rPr>
            </w:pPr>
          </w:p>
        </w:tc>
        <w:tc>
          <w:tcPr>
            <w:tcW w:w="680" w:type="pct"/>
            <w:noWrap/>
            <w:vAlign w:val="center"/>
          </w:tcPr>
          <w:p>
            <w:pPr>
              <w:widowControl/>
              <w:spacing w:line="200" w:lineRule="exact"/>
              <w:jc w:val="center"/>
              <w:textAlignment w:val="center"/>
              <w:rPr>
                <w:color w:val="000000"/>
                <w:sz w:val="16"/>
                <w:szCs w:val="16"/>
              </w:rPr>
            </w:pPr>
            <w:r>
              <w:rPr>
                <w:color w:val="000000"/>
                <w:kern w:val="0"/>
                <w:sz w:val="16"/>
                <w:szCs w:val="16"/>
              </w:rPr>
              <w:t>全年预算数</w:t>
            </w:r>
          </w:p>
        </w:tc>
        <w:tc>
          <w:tcPr>
            <w:tcW w:w="1109" w:type="pct"/>
            <w:gridSpan w:val="2"/>
            <w:noWrap/>
            <w:vAlign w:val="center"/>
          </w:tcPr>
          <w:p>
            <w:pPr>
              <w:widowControl/>
              <w:spacing w:line="200" w:lineRule="exact"/>
              <w:jc w:val="center"/>
              <w:textAlignment w:val="center"/>
              <w:rPr>
                <w:color w:val="000000"/>
                <w:sz w:val="16"/>
                <w:szCs w:val="16"/>
              </w:rPr>
            </w:pPr>
            <w:r>
              <w:rPr>
                <w:color w:val="000000"/>
                <w:kern w:val="0"/>
                <w:sz w:val="16"/>
                <w:szCs w:val="16"/>
              </w:rPr>
              <w:t>全年执行数</w:t>
            </w:r>
          </w:p>
        </w:tc>
        <w:tc>
          <w:tcPr>
            <w:tcW w:w="995" w:type="pct"/>
            <w:noWrap/>
            <w:vAlign w:val="center"/>
          </w:tcPr>
          <w:p>
            <w:pPr>
              <w:widowControl/>
              <w:spacing w:line="200" w:lineRule="exact"/>
              <w:jc w:val="center"/>
              <w:textAlignment w:val="center"/>
              <w:rPr>
                <w:color w:val="000000"/>
                <w:sz w:val="16"/>
                <w:szCs w:val="16"/>
              </w:rPr>
            </w:pPr>
            <w:r>
              <w:rPr>
                <w:color w:val="000000"/>
                <w:kern w:val="0"/>
                <w:sz w:val="16"/>
                <w:szCs w:val="16"/>
              </w:rPr>
              <w:t>预算执行率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6" w:type="pct"/>
            <w:gridSpan w:val="3"/>
            <w:vMerge w:val="continue"/>
            <w:noWrap/>
            <w:vAlign w:val="center"/>
          </w:tcPr>
          <w:p>
            <w:pPr>
              <w:widowControl/>
              <w:spacing w:line="200" w:lineRule="exact"/>
              <w:jc w:val="center"/>
              <w:rPr>
                <w:color w:val="000000"/>
                <w:sz w:val="16"/>
                <w:szCs w:val="16"/>
              </w:rPr>
            </w:pPr>
          </w:p>
        </w:tc>
        <w:tc>
          <w:tcPr>
            <w:tcW w:w="967" w:type="pct"/>
            <w:noWrap/>
            <w:vAlign w:val="center"/>
          </w:tcPr>
          <w:p>
            <w:pPr>
              <w:widowControl/>
              <w:spacing w:line="200" w:lineRule="exact"/>
              <w:jc w:val="left"/>
              <w:textAlignment w:val="center"/>
              <w:rPr>
                <w:color w:val="000000"/>
                <w:sz w:val="16"/>
                <w:szCs w:val="16"/>
              </w:rPr>
            </w:pPr>
            <w:r>
              <w:rPr>
                <w:color w:val="000000"/>
                <w:kern w:val="0"/>
                <w:sz w:val="16"/>
                <w:szCs w:val="16"/>
              </w:rPr>
              <w:t>年度资金总额：</w:t>
            </w:r>
          </w:p>
        </w:tc>
        <w:tc>
          <w:tcPr>
            <w:tcW w:w="680" w:type="pct"/>
            <w:noWrap/>
            <w:vAlign w:val="center"/>
          </w:tcPr>
          <w:p>
            <w:pPr>
              <w:widowControl/>
              <w:spacing w:line="200" w:lineRule="exact"/>
              <w:jc w:val="center"/>
              <w:rPr>
                <w:color w:val="000000"/>
                <w:sz w:val="16"/>
                <w:szCs w:val="16"/>
              </w:rPr>
            </w:pPr>
          </w:p>
        </w:tc>
        <w:tc>
          <w:tcPr>
            <w:tcW w:w="1109" w:type="pct"/>
            <w:gridSpan w:val="2"/>
            <w:noWrap/>
            <w:vAlign w:val="center"/>
          </w:tcPr>
          <w:p>
            <w:pPr>
              <w:widowControl/>
              <w:spacing w:line="200" w:lineRule="exact"/>
              <w:jc w:val="center"/>
              <w:rPr>
                <w:color w:val="000000"/>
                <w:sz w:val="16"/>
                <w:szCs w:val="16"/>
              </w:rPr>
            </w:pPr>
          </w:p>
        </w:tc>
        <w:tc>
          <w:tcPr>
            <w:tcW w:w="995" w:type="pct"/>
            <w:noWrap/>
            <w:vAlign w:val="center"/>
          </w:tcPr>
          <w:p>
            <w:pPr>
              <w:widowControl/>
              <w:spacing w:line="200" w:lineRule="exact"/>
              <w:jc w:val="left"/>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6" w:type="pct"/>
            <w:gridSpan w:val="3"/>
            <w:vMerge w:val="continue"/>
            <w:noWrap/>
            <w:vAlign w:val="center"/>
          </w:tcPr>
          <w:p>
            <w:pPr>
              <w:widowControl/>
              <w:spacing w:line="200" w:lineRule="exact"/>
              <w:jc w:val="center"/>
              <w:rPr>
                <w:color w:val="000000"/>
                <w:sz w:val="16"/>
                <w:szCs w:val="16"/>
              </w:rPr>
            </w:pPr>
          </w:p>
        </w:tc>
        <w:tc>
          <w:tcPr>
            <w:tcW w:w="967" w:type="pct"/>
            <w:noWrap/>
            <w:vAlign w:val="center"/>
          </w:tcPr>
          <w:p>
            <w:pPr>
              <w:widowControl/>
              <w:spacing w:line="200" w:lineRule="exact"/>
              <w:jc w:val="left"/>
              <w:textAlignment w:val="center"/>
              <w:rPr>
                <w:color w:val="000000"/>
                <w:sz w:val="16"/>
                <w:szCs w:val="16"/>
              </w:rPr>
            </w:pPr>
            <w:r>
              <w:rPr>
                <w:rStyle w:val="38"/>
                <w:rFonts w:hint="default" w:ascii="Times New Roman" w:hAnsi="Times New Roman" w:cs="Times New Roman"/>
              </w:rPr>
              <w:t>其中：中央、省补助</w:t>
            </w:r>
          </w:p>
        </w:tc>
        <w:tc>
          <w:tcPr>
            <w:tcW w:w="680" w:type="pct"/>
            <w:noWrap/>
            <w:vAlign w:val="center"/>
          </w:tcPr>
          <w:p>
            <w:pPr>
              <w:widowControl/>
              <w:spacing w:line="200" w:lineRule="exact"/>
              <w:jc w:val="center"/>
              <w:rPr>
                <w:color w:val="000000"/>
                <w:sz w:val="16"/>
                <w:szCs w:val="16"/>
              </w:rPr>
            </w:pPr>
          </w:p>
        </w:tc>
        <w:tc>
          <w:tcPr>
            <w:tcW w:w="1109" w:type="pct"/>
            <w:gridSpan w:val="2"/>
            <w:noWrap/>
            <w:vAlign w:val="center"/>
          </w:tcPr>
          <w:p>
            <w:pPr>
              <w:widowControl/>
              <w:spacing w:line="200" w:lineRule="exact"/>
              <w:jc w:val="center"/>
              <w:rPr>
                <w:color w:val="000000"/>
                <w:sz w:val="16"/>
                <w:szCs w:val="16"/>
              </w:rPr>
            </w:pPr>
          </w:p>
        </w:tc>
        <w:tc>
          <w:tcPr>
            <w:tcW w:w="995" w:type="pct"/>
            <w:noWrap/>
            <w:vAlign w:val="center"/>
          </w:tcPr>
          <w:p>
            <w:pPr>
              <w:widowControl/>
              <w:spacing w:line="200" w:lineRule="exact"/>
              <w:jc w:val="left"/>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6" w:type="pct"/>
            <w:gridSpan w:val="3"/>
            <w:vMerge w:val="continue"/>
            <w:noWrap/>
            <w:vAlign w:val="center"/>
          </w:tcPr>
          <w:p>
            <w:pPr>
              <w:widowControl/>
              <w:spacing w:line="200" w:lineRule="exact"/>
              <w:jc w:val="center"/>
              <w:rPr>
                <w:color w:val="000000"/>
                <w:sz w:val="16"/>
                <w:szCs w:val="16"/>
              </w:rPr>
            </w:pPr>
          </w:p>
        </w:tc>
        <w:tc>
          <w:tcPr>
            <w:tcW w:w="967" w:type="pct"/>
            <w:noWrap/>
            <w:vAlign w:val="center"/>
          </w:tcPr>
          <w:p>
            <w:pPr>
              <w:widowControl/>
              <w:spacing w:line="200" w:lineRule="exact"/>
              <w:jc w:val="left"/>
              <w:textAlignment w:val="center"/>
              <w:rPr>
                <w:color w:val="000000"/>
                <w:sz w:val="16"/>
                <w:szCs w:val="16"/>
              </w:rPr>
            </w:pPr>
            <w:r>
              <w:rPr>
                <w:rStyle w:val="38"/>
                <w:rFonts w:hint="default" w:ascii="Times New Roman" w:hAnsi="Times New Roman" w:cs="Times New Roman"/>
              </w:rPr>
              <w:t xml:space="preserve">      市级财政资</w:t>
            </w:r>
          </w:p>
        </w:tc>
        <w:tc>
          <w:tcPr>
            <w:tcW w:w="680" w:type="pct"/>
            <w:noWrap/>
            <w:vAlign w:val="center"/>
          </w:tcPr>
          <w:p>
            <w:pPr>
              <w:widowControl/>
              <w:spacing w:line="200" w:lineRule="exact"/>
              <w:jc w:val="center"/>
              <w:rPr>
                <w:color w:val="000000"/>
                <w:sz w:val="16"/>
                <w:szCs w:val="16"/>
              </w:rPr>
            </w:pPr>
          </w:p>
        </w:tc>
        <w:tc>
          <w:tcPr>
            <w:tcW w:w="1109" w:type="pct"/>
            <w:gridSpan w:val="2"/>
            <w:noWrap/>
            <w:vAlign w:val="center"/>
          </w:tcPr>
          <w:p>
            <w:pPr>
              <w:widowControl/>
              <w:spacing w:line="200" w:lineRule="exact"/>
              <w:jc w:val="center"/>
              <w:rPr>
                <w:color w:val="000000"/>
                <w:sz w:val="16"/>
                <w:szCs w:val="16"/>
              </w:rPr>
            </w:pPr>
          </w:p>
        </w:tc>
        <w:tc>
          <w:tcPr>
            <w:tcW w:w="995" w:type="pct"/>
            <w:noWrap/>
            <w:vAlign w:val="center"/>
          </w:tcPr>
          <w:p>
            <w:pPr>
              <w:widowControl/>
              <w:spacing w:line="200" w:lineRule="exact"/>
              <w:jc w:val="left"/>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6" w:type="pct"/>
            <w:gridSpan w:val="3"/>
            <w:vMerge w:val="continue"/>
            <w:noWrap/>
            <w:vAlign w:val="center"/>
          </w:tcPr>
          <w:p>
            <w:pPr>
              <w:widowControl/>
              <w:spacing w:line="200" w:lineRule="exact"/>
              <w:jc w:val="center"/>
              <w:rPr>
                <w:color w:val="000000"/>
                <w:sz w:val="16"/>
                <w:szCs w:val="16"/>
              </w:rPr>
            </w:pPr>
          </w:p>
        </w:tc>
        <w:tc>
          <w:tcPr>
            <w:tcW w:w="967" w:type="pct"/>
            <w:noWrap/>
            <w:vAlign w:val="center"/>
          </w:tcPr>
          <w:p>
            <w:pPr>
              <w:widowControl/>
              <w:spacing w:line="200" w:lineRule="exact"/>
              <w:jc w:val="left"/>
              <w:textAlignment w:val="center"/>
              <w:rPr>
                <w:color w:val="000000"/>
                <w:sz w:val="16"/>
                <w:szCs w:val="16"/>
              </w:rPr>
            </w:pPr>
            <w:r>
              <w:rPr>
                <w:color w:val="000000"/>
                <w:kern w:val="0"/>
                <w:sz w:val="16"/>
                <w:szCs w:val="16"/>
              </w:rPr>
              <w:t xml:space="preserve">       县级财政资</w:t>
            </w:r>
            <w:r>
              <w:rPr>
                <w:rFonts w:hint="eastAsia"/>
                <w:color w:val="000000"/>
                <w:kern w:val="0"/>
                <w:sz w:val="16"/>
                <w:szCs w:val="16"/>
              </w:rPr>
              <w:t>金</w:t>
            </w:r>
          </w:p>
        </w:tc>
        <w:tc>
          <w:tcPr>
            <w:tcW w:w="680" w:type="pct"/>
            <w:noWrap/>
            <w:vAlign w:val="center"/>
          </w:tcPr>
          <w:p>
            <w:pPr>
              <w:widowControl/>
              <w:spacing w:line="200" w:lineRule="exact"/>
              <w:jc w:val="center"/>
              <w:rPr>
                <w:color w:val="000000"/>
                <w:sz w:val="16"/>
                <w:szCs w:val="16"/>
              </w:rPr>
            </w:pPr>
            <w:r>
              <w:rPr>
                <w:rFonts w:hint="eastAsia"/>
                <w:color w:val="000000"/>
                <w:sz w:val="16"/>
                <w:szCs w:val="16"/>
              </w:rPr>
              <w:t>150000</w:t>
            </w:r>
          </w:p>
        </w:tc>
        <w:tc>
          <w:tcPr>
            <w:tcW w:w="1109" w:type="pct"/>
            <w:gridSpan w:val="2"/>
            <w:noWrap/>
            <w:vAlign w:val="center"/>
          </w:tcPr>
          <w:p>
            <w:pPr>
              <w:widowControl/>
              <w:spacing w:line="200" w:lineRule="exact"/>
              <w:jc w:val="center"/>
              <w:rPr>
                <w:color w:val="000000"/>
                <w:sz w:val="16"/>
                <w:szCs w:val="16"/>
              </w:rPr>
            </w:pPr>
            <w:r>
              <w:rPr>
                <w:rFonts w:hint="eastAsia"/>
                <w:color w:val="000000"/>
                <w:sz w:val="16"/>
                <w:szCs w:val="16"/>
              </w:rPr>
              <w:t>150000</w:t>
            </w:r>
          </w:p>
        </w:tc>
        <w:tc>
          <w:tcPr>
            <w:tcW w:w="995" w:type="pct"/>
            <w:noWrap/>
            <w:vAlign w:val="center"/>
          </w:tcPr>
          <w:p>
            <w:pPr>
              <w:widowControl/>
              <w:spacing w:line="200" w:lineRule="exact"/>
              <w:jc w:val="left"/>
              <w:rPr>
                <w:color w:val="000000"/>
                <w:sz w:val="16"/>
                <w:szCs w:val="16"/>
              </w:rPr>
            </w:pPr>
            <w:r>
              <w:rPr>
                <w:rFonts w:hint="eastAsia"/>
                <w:color w:val="000000"/>
                <w:sz w:val="16"/>
                <w:szCs w:val="16"/>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6" w:type="pct"/>
            <w:gridSpan w:val="3"/>
            <w:vMerge w:val="continue"/>
            <w:noWrap/>
            <w:vAlign w:val="center"/>
          </w:tcPr>
          <w:p>
            <w:pPr>
              <w:widowControl/>
              <w:spacing w:line="200" w:lineRule="exact"/>
              <w:jc w:val="center"/>
              <w:rPr>
                <w:color w:val="000000"/>
                <w:sz w:val="16"/>
                <w:szCs w:val="16"/>
              </w:rPr>
            </w:pPr>
          </w:p>
        </w:tc>
        <w:tc>
          <w:tcPr>
            <w:tcW w:w="967" w:type="pct"/>
            <w:noWrap/>
            <w:vAlign w:val="center"/>
          </w:tcPr>
          <w:p>
            <w:pPr>
              <w:widowControl/>
              <w:spacing w:line="200" w:lineRule="exact"/>
              <w:jc w:val="left"/>
              <w:textAlignment w:val="center"/>
              <w:rPr>
                <w:color w:val="000000"/>
                <w:sz w:val="16"/>
                <w:szCs w:val="16"/>
              </w:rPr>
            </w:pPr>
            <w:r>
              <w:rPr>
                <w:rStyle w:val="38"/>
                <w:rFonts w:hint="default" w:ascii="Times New Roman" w:hAnsi="Times New Roman" w:cs="Times New Roman"/>
              </w:rPr>
              <w:t xml:space="preserve"> 其他资金</w:t>
            </w:r>
          </w:p>
        </w:tc>
        <w:tc>
          <w:tcPr>
            <w:tcW w:w="680" w:type="pct"/>
            <w:noWrap/>
            <w:vAlign w:val="center"/>
          </w:tcPr>
          <w:p>
            <w:pPr>
              <w:widowControl/>
              <w:spacing w:line="200" w:lineRule="exact"/>
              <w:jc w:val="center"/>
              <w:rPr>
                <w:color w:val="000000"/>
                <w:sz w:val="16"/>
                <w:szCs w:val="16"/>
              </w:rPr>
            </w:pPr>
          </w:p>
        </w:tc>
        <w:tc>
          <w:tcPr>
            <w:tcW w:w="1109" w:type="pct"/>
            <w:gridSpan w:val="2"/>
            <w:noWrap/>
            <w:vAlign w:val="center"/>
          </w:tcPr>
          <w:p>
            <w:pPr>
              <w:widowControl/>
              <w:spacing w:line="200" w:lineRule="exact"/>
              <w:jc w:val="center"/>
              <w:rPr>
                <w:color w:val="000000"/>
                <w:sz w:val="16"/>
                <w:szCs w:val="16"/>
              </w:rPr>
            </w:pPr>
          </w:p>
        </w:tc>
        <w:tc>
          <w:tcPr>
            <w:tcW w:w="995" w:type="pct"/>
            <w:noWrap/>
            <w:vAlign w:val="center"/>
          </w:tcPr>
          <w:p>
            <w:pPr>
              <w:widowControl/>
              <w:spacing w:line="200" w:lineRule="exact"/>
              <w:jc w:val="left"/>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restart"/>
            <w:noWrap/>
            <w:vAlign w:val="center"/>
          </w:tcPr>
          <w:p>
            <w:pPr>
              <w:widowControl/>
              <w:spacing w:line="180" w:lineRule="exact"/>
              <w:jc w:val="center"/>
              <w:textAlignment w:val="center"/>
              <w:rPr>
                <w:color w:val="000000"/>
                <w:sz w:val="16"/>
                <w:szCs w:val="16"/>
              </w:rPr>
            </w:pPr>
            <w:r>
              <w:rPr>
                <w:color w:val="000000"/>
                <w:kern w:val="0"/>
                <w:sz w:val="16"/>
                <w:szCs w:val="16"/>
              </w:rPr>
              <w:t>总体目标完成情况</w:t>
            </w:r>
          </w:p>
        </w:tc>
        <w:tc>
          <w:tcPr>
            <w:tcW w:w="2448" w:type="pct"/>
            <w:gridSpan w:val="4"/>
            <w:noWrap/>
            <w:vAlign w:val="center"/>
          </w:tcPr>
          <w:p>
            <w:pPr>
              <w:widowControl/>
              <w:spacing w:line="200" w:lineRule="exact"/>
              <w:jc w:val="center"/>
              <w:textAlignment w:val="center"/>
              <w:rPr>
                <w:color w:val="000000"/>
                <w:sz w:val="16"/>
                <w:szCs w:val="16"/>
              </w:rPr>
            </w:pPr>
            <w:r>
              <w:rPr>
                <w:color w:val="000000"/>
                <w:kern w:val="0"/>
                <w:sz w:val="16"/>
                <w:szCs w:val="16"/>
              </w:rPr>
              <w:t>总体目标</w:t>
            </w:r>
          </w:p>
        </w:tc>
        <w:tc>
          <w:tcPr>
            <w:tcW w:w="2105" w:type="pct"/>
            <w:gridSpan w:val="3"/>
            <w:noWrap/>
            <w:vAlign w:val="center"/>
          </w:tcPr>
          <w:p>
            <w:pPr>
              <w:widowControl/>
              <w:spacing w:line="200" w:lineRule="exact"/>
              <w:jc w:val="center"/>
              <w:textAlignment w:val="center"/>
              <w:rPr>
                <w:color w:val="000000"/>
                <w:sz w:val="16"/>
                <w:szCs w:val="16"/>
              </w:rPr>
            </w:pPr>
            <w:r>
              <w:rPr>
                <w:color w:val="000000"/>
                <w:kern w:val="0"/>
                <w:sz w:val="16"/>
                <w:szCs w:val="16"/>
              </w:rPr>
              <w:t>全年实际完成情况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jc w:val="center"/>
        </w:trPr>
        <w:tc>
          <w:tcPr>
            <w:tcW w:w="445" w:type="pct"/>
            <w:vMerge w:val="continue"/>
            <w:noWrap/>
            <w:vAlign w:val="center"/>
          </w:tcPr>
          <w:p>
            <w:pPr>
              <w:widowControl/>
              <w:spacing w:line="200" w:lineRule="exact"/>
              <w:jc w:val="center"/>
              <w:rPr>
                <w:color w:val="000000"/>
                <w:sz w:val="16"/>
                <w:szCs w:val="16"/>
              </w:rPr>
            </w:pPr>
          </w:p>
        </w:tc>
        <w:tc>
          <w:tcPr>
            <w:tcW w:w="2448" w:type="pct"/>
            <w:gridSpan w:val="4"/>
            <w:noWrap/>
            <w:vAlign w:val="center"/>
          </w:tcPr>
          <w:p>
            <w:pPr>
              <w:widowControl/>
              <w:spacing w:line="200" w:lineRule="exact"/>
              <w:jc w:val="left"/>
              <w:rPr>
                <w:color w:val="000000"/>
                <w:sz w:val="10"/>
                <w:szCs w:val="10"/>
              </w:rPr>
            </w:pPr>
            <w:r>
              <w:rPr>
                <w:rFonts w:hint="eastAsia"/>
                <w:color w:val="000000"/>
                <w:sz w:val="18"/>
                <w:szCs w:val="18"/>
              </w:rPr>
              <w:t>一楼和三楼的政务大厅水、电、邮电费和维修（护）费等日常工作运转。</w:t>
            </w:r>
          </w:p>
        </w:tc>
        <w:tc>
          <w:tcPr>
            <w:tcW w:w="2105" w:type="pct"/>
            <w:gridSpan w:val="3"/>
            <w:noWrap/>
            <w:vAlign w:val="center"/>
          </w:tcPr>
          <w:p>
            <w:pPr>
              <w:widowControl/>
              <w:spacing w:line="200" w:lineRule="exact"/>
              <w:jc w:val="left"/>
              <w:rPr>
                <w:color w:val="000000"/>
                <w:sz w:val="16"/>
                <w:szCs w:val="16"/>
              </w:rPr>
            </w:pPr>
            <w:r>
              <w:rPr>
                <w:rFonts w:hint="eastAsia"/>
                <w:color w:val="000000"/>
                <w:sz w:val="18"/>
                <w:szCs w:val="18"/>
              </w:rPr>
              <w:t>基本完成一楼和三楼的政务大厅水、电、邮电费和维修（护）费等日常工作运转。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restart"/>
            <w:noWrap/>
            <w:textDirection w:val="tbRlV"/>
            <w:vAlign w:val="center"/>
          </w:tcPr>
          <w:p>
            <w:pPr>
              <w:widowControl/>
              <w:spacing w:line="200" w:lineRule="exact"/>
              <w:jc w:val="center"/>
              <w:textAlignment w:val="center"/>
              <w:rPr>
                <w:color w:val="000000"/>
                <w:sz w:val="16"/>
                <w:szCs w:val="16"/>
              </w:rPr>
            </w:pPr>
            <w:r>
              <w:rPr>
                <w:color w:val="000000"/>
                <w:kern w:val="0"/>
                <w:sz w:val="16"/>
                <w:szCs w:val="16"/>
              </w:rPr>
              <w:t>绩效指标</w:t>
            </w:r>
          </w:p>
        </w:tc>
        <w:tc>
          <w:tcPr>
            <w:tcW w:w="293" w:type="pct"/>
            <w:noWrap/>
            <w:vAlign w:val="center"/>
          </w:tcPr>
          <w:p>
            <w:pPr>
              <w:widowControl/>
              <w:spacing w:line="180" w:lineRule="exact"/>
              <w:jc w:val="center"/>
              <w:textAlignment w:val="center"/>
              <w:rPr>
                <w:color w:val="000000"/>
                <w:sz w:val="16"/>
                <w:szCs w:val="16"/>
              </w:rPr>
            </w:pPr>
            <w:r>
              <w:rPr>
                <w:color w:val="000000"/>
                <w:kern w:val="0"/>
                <w:sz w:val="16"/>
                <w:szCs w:val="16"/>
              </w:rPr>
              <w:t>一级</w:t>
            </w:r>
            <w:r>
              <w:rPr>
                <w:color w:val="000000"/>
                <w:kern w:val="0"/>
                <w:sz w:val="16"/>
                <w:szCs w:val="16"/>
              </w:rPr>
              <w:br w:type="textWrapping"/>
            </w:r>
            <w:r>
              <w:rPr>
                <w:color w:val="000000"/>
                <w:kern w:val="0"/>
                <w:sz w:val="16"/>
                <w:szCs w:val="16"/>
              </w:rPr>
              <w:t>指标</w:t>
            </w:r>
          </w:p>
        </w:tc>
        <w:tc>
          <w:tcPr>
            <w:tcW w:w="506" w:type="pct"/>
            <w:noWrap/>
            <w:vAlign w:val="center"/>
          </w:tcPr>
          <w:p>
            <w:pPr>
              <w:widowControl/>
              <w:spacing w:line="200" w:lineRule="exact"/>
              <w:jc w:val="center"/>
              <w:textAlignment w:val="center"/>
              <w:rPr>
                <w:color w:val="000000"/>
                <w:sz w:val="16"/>
                <w:szCs w:val="16"/>
              </w:rPr>
            </w:pPr>
            <w:r>
              <w:rPr>
                <w:color w:val="000000"/>
                <w:kern w:val="0"/>
                <w:sz w:val="16"/>
                <w:szCs w:val="16"/>
              </w:rPr>
              <w:t>二级指标</w:t>
            </w:r>
          </w:p>
        </w:tc>
        <w:tc>
          <w:tcPr>
            <w:tcW w:w="1648" w:type="pct"/>
            <w:gridSpan w:val="2"/>
            <w:noWrap/>
            <w:vAlign w:val="center"/>
          </w:tcPr>
          <w:p>
            <w:pPr>
              <w:widowControl/>
              <w:spacing w:line="200" w:lineRule="exact"/>
              <w:jc w:val="center"/>
              <w:textAlignment w:val="center"/>
              <w:rPr>
                <w:color w:val="000000"/>
                <w:sz w:val="16"/>
                <w:szCs w:val="16"/>
              </w:rPr>
            </w:pPr>
            <w:r>
              <w:rPr>
                <w:color w:val="000000"/>
                <w:kern w:val="0"/>
                <w:sz w:val="16"/>
                <w:szCs w:val="16"/>
              </w:rPr>
              <w:t>三级指标</w:t>
            </w:r>
          </w:p>
        </w:tc>
        <w:tc>
          <w:tcPr>
            <w:tcW w:w="625" w:type="pct"/>
            <w:noWrap/>
            <w:vAlign w:val="center"/>
          </w:tcPr>
          <w:p>
            <w:pPr>
              <w:widowControl/>
              <w:spacing w:line="200" w:lineRule="exact"/>
              <w:jc w:val="center"/>
              <w:textAlignment w:val="center"/>
              <w:rPr>
                <w:color w:val="000000"/>
                <w:sz w:val="16"/>
                <w:szCs w:val="16"/>
              </w:rPr>
            </w:pPr>
            <w:r>
              <w:rPr>
                <w:color w:val="000000"/>
                <w:kern w:val="0"/>
                <w:sz w:val="16"/>
                <w:szCs w:val="16"/>
              </w:rPr>
              <w:t>指标值</w:t>
            </w:r>
          </w:p>
        </w:tc>
        <w:tc>
          <w:tcPr>
            <w:tcW w:w="483" w:type="pct"/>
            <w:noWrap/>
            <w:vAlign w:val="center"/>
          </w:tcPr>
          <w:p>
            <w:pPr>
              <w:widowControl/>
              <w:spacing w:line="200" w:lineRule="exact"/>
              <w:jc w:val="center"/>
              <w:textAlignment w:val="center"/>
              <w:rPr>
                <w:color w:val="000000"/>
                <w:sz w:val="16"/>
                <w:szCs w:val="16"/>
              </w:rPr>
            </w:pPr>
            <w:r>
              <w:rPr>
                <w:color w:val="000000"/>
                <w:kern w:val="0"/>
                <w:sz w:val="16"/>
                <w:szCs w:val="16"/>
              </w:rPr>
              <w:t>全年实际完成值</w:t>
            </w:r>
          </w:p>
        </w:tc>
        <w:tc>
          <w:tcPr>
            <w:tcW w:w="995" w:type="pct"/>
            <w:noWrap/>
            <w:vAlign w:val="center"/>
          </w:tcPr>
          <w:p>
            <w:pPr>
              <w:widowControl/>
              <w:spacing w:line="200" w:lineRule="exact"/>
              <w:jc w:val="center"/>
              <w:textAlignment w:val="center"/>
              <w:rPr>
                <w:color w:val="000000"/>
                <w:sz w:val="16"/>
                <w:szCs w:val="16"/>
              </w:rPr>
            </w:pPr>
            <w:r>
              <w:rPr>
                <w:color w:val="000000"/>
                <w:kern w:val="0"/>
                <w:sz w:val="16"/>
                <w:szCs w:val="16"/>
              </w:rPr>
              <w:t>未完成原因和改进措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restart"/>
            <w:noWrap/>
            <w:vAlign w:val="center"/>
          </w:tcPr>
          <w:p>
            <w:pPr>
              <w:widowControl/>
              <w:spacing w:line="200" w:lineRule="exact"/>
              <w:jc w:val="center"/>
              <w:textAlignment w:val="center"/>
              <w:rPr>
                <w:color w:val="000000"/>
                <w:sz w:val="16"/>
                <w:szCs w:val="16"/>
              </w:rPr>
            </w:pPr>
            <w:r>
              <w:rPr>
                <w:color w:val="000000"/>
                <w:kern w:val="0"/>
                <w:sz w:val="16"/>
                <w:szCs w:val="16"/>
              </w:rPr>
              <w:t>产</w:t>
            </w:r>
            <w:r>
              <w:rPr>
                <w:color w:val="000000"/>
                <w:kern w:val="0"/>
                <w:sz w:val="16"/>
                <w:szCs w:val="16"/>
              </w:rPr>
              <w:br w:type="textWrapping"/>
            </w:r>
            <w:r>
              <w:rPr>
                <w:color w:val="000000"/>
                <w:kern w:val="0"/>
                <w:sz w:val="16"/>
                <w:szCs w:val="16"/>
              </w:rPr>
              <w:t>出</w:t>
            </w:r>
            <w:r>
              <w:rPr>
                <w:color w:val="000000"/>
                <w:kern w:val="0"/>
                <w:sz w:val="16"/>
                <w:szCs w:val="16"/>
              </w:rPr>
              <w:br w:type="textWrapping"/>
            </w:r>
            <w:r>
              <w:rPr>
                <w:color w:val="000000"/>
                <w:kern w:val="0"/>
                <w:sz w:val="16"/>
                <w:szCs w:val="16"/>
              </w:rPr>
              <w:t>指</w:t>
            </w:r>
            <w:r>
              <w:rPr>
                <w:color w:val="000000"/>
                <w:kern w:val="0"/>
                <w:sz w:val="16"/>
                <w:szCs w:val="16"/>
              </w:rPr>
              <w:br w:type="textWrapping"/>
            </w:r>
            <w:r>
              <w:rPr>
                <w:color w:val="000000"/>
                <w:kern w:val="0"/>
                <w:sz w:val="16"/>
                <w:szCs w:val="16"/>
              </w:rPr>
              <w:t>标</w:t>
            </w:r>
          </w:p>
        </w:tc>
        <w:tc>
          <w:tcPr>
            <w:tcW w:w="506" w:type="pct"/>
            <w:vMerge w:val="restart"/>
            <w:noWrap/>
            <w:vAlign w:val="center"/>
          </w:tcPr>
          <w:p>
            <w:pPr>
              <w:widowControl/>
              <w:spacing w:line="200" w:lineRule="exact"/>
              <w:jc w:val="center"/>
              <w:textAlignment w:val="center"/>
              <w:rPr>
                <w:color w:val="000000"/>
                <w:sz w:val="16"/>
                <w:szCs w:val="16"/>
              </w:rPr>
            </w:pPr>
            <w:r>
              <w:rPr>
                <w:color w:val="000000"/>
                <w:kern w:val="0"/>
                <w:sz w:val="16"/>
                <w:szCs w:val="16"/>
              </w:rPr>
              <w:t>数量指标</w:t>
            </w:r>
          </w:p>
        </w:tc>
        <w:tc>
          <w:tcPr>
            <w:tcW w:w="1648" w:type="pct"/>
            <w:gridSpan w:val="2"/>
            <w:noWrap/>
            <w:vAlign w:val="center"/>
          </w:tcPr>
          <w:p>
            <w:pPr>
              <w:widowControl/>
              <w:spacing w:line="200" w:lineRule="exact"/>
              <w:jc w:val="center"/>
              <w:rPr>
                <w:color w:val="000000"/>
                <w:sz w:val="16"/>
                <w:szCs w:val="16"/>
              </w:rPr>
            </w:pPr>
            <w:r>
              <w:rPr>
                <w:rFonts w:hint="eastAsia"/>
                <w:color w:val="000000"/>
                <w:sz w:val="16"/>
                <w:szCs w:val="16"/>
              </w:rPr>
              <w:t>评估报告数量</w:t>
            </w:r>
          </w:p>
        </w:tc>
        <w:tc>
          <w:tcPr>
            <w:tcW w:w="625" w:type="pct"/>
            <w:noWrap/>
            <w:vAlign w:val="center"/>
          </w:tcPr>
          <w:p>
            <w:pPr>
              <w:widowControl/>
              <w:spacing w:line="200" w:lineRule="exact"/>
              <w:jc w:val="center"/>
              <w:rPr>
                <w:color w:val="000000"/>
                <w:sz w:val="16"/>
                <w:szCs w:val="16"/>
              </w:rPr>
            </w:pPr>
            <w:r>
              <w:rPr>
                <w:rFonts w:hint="eastAsia"/>
                <w:color w:val="000000"/>
                <w:sz w:val="16"/>
                <w:szCs w:val="16"/>
              </w:rPr>
              <w:t>10000</w:t>
            </w:r>
          </w:p>
        </w:tc>
        <w:tc>
          <w:tcPr>
            <w:tcW w:w="483" w:type="pct"/>
            <w:noWrap/>
            <w:vAlign w:val="center"/>
          </w:tcPr>
          <w:p>
            <w:pPr>
              <w:widowControl/>
              <w:spacing w:line="200" w:lineRule="exact"/>
              <w:rPr>
                <w:color w:val="000000"/>
                <w:sz w:val="16"/>
                <w:szCs w:val="16"/>
              </w:rPr>
            </w:pPr>
            <w:r>
              <w:rPr>
                <w:rFonts w:hint="eastAsia"/>
                <w:color w:val="000000"/>
                <w:sz w:val="16"/>
                <w:szCs w:val="16"/>
              </w:rPr>
              <w:t>10000</w:t>
            </w: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vMerge w:val="continue"/>
            <w:noWrap/>
            <w:vAlign w:val="center"/>
          </w:tcPr>
          <w:p>
            <w:pPr>
              <w:widowControl/>
              <w:spacing w:line="200" w:lineRule="exact"/>
              <w:jc w:val="center"/>
              <w:rPr>
                <w:color w:val="000000"/>
                <w:sz w:val="16"/>
                <w:szCs w:val="16"/>
              </w:rPr>
            </w:pPr>
          </w:p>
        </w:tc>
        <w:tc>
          <w:tcPr>
            <w:tcW w:w="1648" w:type="pct"/>
            <w:gridSpan w:val="2"/>
            <w:noWrap/>
            <w:vAlign w:val="center"/>
          </w:tcPr>
          <w:p>
            <w:pPr>
              <w:widowControl/>
              <w:spacing w:line="200" w:lineRule="exact"/>
              <w:jc w:val="center"/>
              <w:rPr>
                <w:color w:val="000000"/>
                <w:sz w:val="16"/>
                <w:szCs w:val="16"/>
              </w:rPr>
            </w:pPr>
          </w:p>
        </w:tc>
        <w:tc>
          <w:tcPr>
            <w:tcW w:w="625" w:type="pct"/>
            <w:noWrap/>
            <w:vAlign w:val="center"/>
          </w:tcPr>
          <w:p>
            <w:pPr>
              <w:widowControl/>
              <w:spacing w:line="200" w:lineRule="exact"/>
              <w:jc w:val="center"/>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vMerge w:val="restart"/>
            <w:noWrap/>
            <w:vAlign w:val="center"/>
          </w:tcPr>
          <w:p>
            <w:pPr>
              <w:widowControl/>
              <w:spacing w:line="200" w:lineRule="exact"/>
              <w:jc w:val="center"/>
              <w:textAlignment w:val="center"/>
              <w:rPr>
                <w:color w:val="000000"/>
                <w:sz w:val="16"/>
                <w:szCs w:val="16"/>
              </w:rPr>
            </w:pPr>
            <w:r>
              <w:rPr>
                <w:color w:val="000000"/>
                <w:kern w:val="0"/>
                <w:sz w:val="16"/>
                <w:szCs w:val="16"/>
              </w:rPr>
              <w:t>质量指标</w:t>
            </w:r>
          </w:p>
        </w:tc>
        <w:tc>
          <w:tcPr>
            <w:tcW w:w="1648" w:type="pct"/>
            <w:gridSpan w:val="2"/>
            <w:noWrap/>
            <w:vAlign w:val="center"/>
          </w:tcPr>
          <w:p>
            <w:pPr>
              <w:widowControl/>
              <w:spacing w:line="200" w:lineRule="exact"/>
              <w:jc w:val="center"/>
              <w:rPr>
                <w:color w:val="000000"/>
                <w:sz w:val="16"/>
                <w:szCs w:val="16"/>
              </w:rPr>
            </w:pPr>
            <w:r>
              <w:rPr>
                <w:rFonts w:hint="eastAsia"/>
                <w:color w:val="000000"/>
                <w:sz w:val="16"/>
                <w:szCs w:val="16"/>
              </w:rPr>
              <w:t>给据类群众来信签收核对率</w:t>
            </w:r>
          </w:p>
        </w:tc>
        <w:tc>
          <w:tcPr>
            <w:tcW w:w="625" w:type="pct"/>
            <w:noWrap/>
            <w:vAlign w:val="center"/>
          </w:tcPr>
          <w:p>
            <w:pPr>
              <w:widowControl/>
              <w:spacing w:line="200" w:lineRule="exact"/>
              <w:jc w:val="center"/>
              <w:rPr>
                <w:color w:val="000000"/>
                <w:sz w:val="16"/>
                <w:szCs w:val="16"/>
              </w:rPr>
            </w:pPr>
            <w:r>
              <w:rPr>
                <w:rFonts w:hint="eastAsia"/>
                <w:color w:val="000000"/>
                <w:sz w:val="16"/>
                <w:szCs w:val="16"/>
              </w:rPr>
              <w:t>10</w:t>
            </w:r>
          </w:p>
        </w:tc>
        <w:tc>
          <w:tcPr>
            <w:tcW w:w="483" w:type="pct"/>
            <w:noWrap/>
            <w:vAlign w:val="center"/>
          </w:tcPr>
          <w:p>
            <w:pPr>
              <w:widowControl/>
              <w:spacing w:line="200" w:lineRule="exact"/>
              <w:rPr>
                <w:color w:val="000000"/>
                <w:sz w:val="16"/>
                <w:szCs w:val="16"/>
              </w:rPr>
            </w:pPr>
            <w:r>
              <w:rPr>
                <w:rFonts w:hint="eastAsia"/>
                <w:color w:val="000000"/>
                <w:sz w:val="16"/>
                <w:szCs w:val="16"/>
              </w:rPr>
              <w:t>10</w:t>
            </w: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vMerge w:val="continue"/>
            <w:noWrap/>
            <w:vAlign w:val="center"/>
          </w:tcPr>
          <w:p>
            <w:pPr>
              <w:widowControl/>
              <w:spacing w:line="200" w:lineRule="exact"/>
              <w:jc w:val="center"/>
              <w:rPr>
                <w:color w:val="000000"/>
                <w:sz w:val="16"/>
                <w:szCs w:val="16"/>
              </w:rPr>
            </w:pPr>
          </w:p>
        </w:tc>
        <w:tc>
          <w:tcPr>
            <w:tcW w:w="1648" w:type="pct"/>
            <w:gridSpan w:val="2"/>
            <w:noWrap/>
            <w:vAlign w:val="center"/>
          </w:tcPr>
          <w:p>
            <w:pPr>
              <w:widowControl/>
              <w:spacing w:line="200" w:lineRule="exact"/>
              <w:jc w:val="center"/>
              <w:rPr>
                <w:color w:val="000000"/>
                <w:sz w:val="16"/>
                <w:szCs w:val="16"/>
              </w:rPr>
            </w:pPr>
          </w:p>
        </w:tc>
        <w:tc>
          <w:tcPr>
            <w:tcW w:w="625" w:type="pct"/>
            <w:noWrap/>
            <w:vAlign w:val="center"/>
          </w:tcPr>
          <w:p>
            <w:pPr>
              <w:widowControl/>
              <w:spacing w:line="200" w:lineRule="exact"/>
              <w:jc w:val="center"/>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vMerge w:val="restart"/>
            <w:noWrap/>
            <w:vAlign w:val="center"/>
          </w:tcPr>
          <w:p>
            <w:pPr>
              <w:widowControl/>
              <w:spacing w:line="200" w:lineRule="exact"/>
              <w:jc w:val="center"/>
              <w:textAlignment w:val="center"/>
              <w:rPr>
                <w:color w:val="000000"/>
                <w:sz w:val="16"/>
                <w:szCs w:val="16"/>
              </w:rPr>
            </w:pPr>
            <w:r>
              <w:rPr>
                <w:color w:val="000000"/>
                <w:kern w:val="0"/>
                <w:sz w:val="16"/>
                <w:szCs w:val="16"/>
              </w:rPr>
              <w:t>时效指标</w:t>
            </w:r>
          </w:p>
        </w:tc>
        <w:tc>
          <w:tcPr>
            <w:tcW w:w="1648" w:type="pct"/>
            <w:gridSpan w:val="2"/>
            <w:noWrap/>
            <w:vAlign w:val="center"/>
          </w:tcPr>
          <w:p>
            <w:pPr>
              <w:widowControl/>
              <w:spacing w:line="200" w:lineRule="exact"/>
              <w:jc w:val="center"/>
              <w:rPr>
                <w:color w:val="000000"/>
                <w:sz w:val="16"/>
                <w:szCs w:val="16"/>
              </w:rPr>
            </w:pPr>
            <w:r>
              <w:rPr>
                <w:rFonts w:hint="eastAsia"/>
                <w:color w:val="000000"/>
                <w:sz w:val="16"/>
                <w:szCs w:val="16"/>
              </w:rPr>
              <w:t>评估报告按时完成率</w:t>
            </w:r>
          </w:p>
        </w:tc>
        <w:tc>
          <w:tcPr>
            <w:tcW w:w="625" w:type="pct"/>
            <w:noWrap/>
            <w:vAlign w:val="center"/>
          </w:tcPr>
          <w:p>
            <w:pPr>
              <w:widowControl/>
              <w:spacing w:line="200" w:lineRule="exact"/>
              <w:jc w:val="center"/>
              <w:rPr>
                <w:color w:val="000000"/>
                <w:sz w:val="16"/>
                <w:szCs w:val="16"/>
              </w:rPr>
            </w:pPr>
            <w:r>
              <w:rPr>
                <w:rFonts w:hint="eastAsia"/>
                <w:color w:val="000000"/>
                <w:sz w:val="16"/>
                <w:szCs w:val="16"/>
              </w:rPr>
              <w:t>5</w:t>
            </w:r>
          </w:p>
        </w:tc>
        <w:tc>
          <w:tcPr>
            <w:tcW w:w="483" w:type="pct"/>
            <w:noWrap/>
            <w:vAlign w:val="center"/>
          </w:tcPr>
          <w:p>
            <w:pPr>
              <w:widowControl/>
              <w:spacing w:line="200" w:lineRule="exact"/>
              <w:rPr>
                <w:color w:val="000000"/>
                <w:sz w:val="16"/>
                <w:szCs w:val="16"/>
              </w:rPr>
            </w:pPr>
            <w:r>
              <w:rPr>
                <w:rFonts w:hint="eastAsia"/>
                <w:color w:val="000000"/>
                <w:sz w:val="16"/>
                <w:szCs w:val="16"/>
              </w:rPr>
              <w:t>5</w:t>
            </w: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vMerge w:val="continue"/>
            <w:noWrap/>
            <w:vAlign w:val="center"/>
          </w:tcPr>
          <w:p>
            <w:pPr>
              <w:widowControl/>
              <w:spacing w:line="200" w:lineRule="exact"/>
              <w:jc w:val="center"/>
              <w:rPr>
                <w:color w:val="000000"/>
                <w:sz w:val="16"/>
                <w:szCs w:val="16"/>
              </w:rPr>
            </w:pPr>
          </w:p>
        </w:tc>
        <w:tc>
          <w:tcPr>
            <w:tcW w:w="1648" w:type="pct"/>
            <w:gridSpan w:val="2"/>
            <w:noWrap/>
            <w:vAlign w:val="center"/>
          </w:tcPr>
          <w:p>
            <w:pPr>
              <w:widowControl/>
              <w:spacing w:line="200" w:lineRule="exact"/>
              <w:jc w:val="center"/>
              <w:rPr>
                <w:color w:val="000000"/>
                <w:sz w:val="16"/>
                <w:szCs w:val="16"/>
              </w:rPr>
            </w:pPr>
          </w:p>
        </w:tc>
        <w:tc>
          <w:tcPr>
            <w:tcW w:w="625" w:type="pct"/>
            <w:noWrap/>
            <w:vAlign w:val="center"/>
          </w:tcPr>
          <w:p>
            <w:pPr>
              <w:widowControl/>
              <w:spacing w:line="200" w:lineRule="exact"/>
              <w:jc w:val="center"/>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vMerge w:val="restart"/>
            <w:noWrap/>
            <w:vAlign w:val="center"/>
          </w:tcPr>
          <w:p>
            <w:pPr>
              <w:widowControl/>
              <w:spacing w:line="200" w:lineRule="exact"/>
              <w:jc w:val="center"/>
              <w:textAlignment w:val="center"/>
              <w:rPr>
                <w:color w:val="000000"/>
                <w:sz w:val="16"/>
                <w:szCs w:val="16"/>
              </w:rPr>
            </w:pPr>
            <w:r>
              <w:rPr>
                <w:color w:val="000000"/>
                <w:kern w:val="0"/>
                <w:sz w:val="16"/>
                <w:szCs w:val="16"/>
              </w:rPr>
              <w:t>成本指标</w:t>
            </w:r>
          </w:p>
        </w:tc>
        <w:tc>
          <w:tcPr>
            <w:tcW w:w="1648" w:type="pct"/>
            <w:gridSpan w:val="2"/>
            <w:noWrap/>
            <w:vAlign w:val="center"/>
          </w:tcPr>
          <w:p>
            <w:pPr>
              <w:widowControl/>
              <w:spacing w:line="200" w:lineRule="exact"/>
              <w:jc w:val="center"/>
              <w:rPr>
                <w:color w:val="000000"/>
                <w:sz w:val="16"/>
                <w:szCs w:val="16"/>
              </w:rPr>
            </w:pPr>
          </w:p>
        </w:tc>
        <w:tc>
          <w:tcPr>
            <w:tcW w:w="625" w:type="pct"/>
            <w:noWrap/>
            <w:vAlign w:val="center"/>
          </w:tcPr>
          <w:p>
            <w:pPr>
              <w:widowControl/>
              <w:spacing w:line="200" w:lineRule="exact"/>
              <w:jc w:val="center"/>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vMerge w:val="continue"/>
            <w:noWrap/>
            <w:vAlign w:val="center"/>
          </w:tcPr>
          <w:p>
            <w:pPr>
              <w:widowControl/>
              <w:spacing w:line="200" w:lineRule="exact"/>
              <w:jc w:val="center"/>
              <w:rPr>
                <w:color w:val="000000"/>
                <w:sz w:val="16"/>
                <w:szCs w:val="16"/>
              </w:rPr>
            </w:pPr>
          </w:p>
        </w:tc>
        <w:tc>
          <w:tcPr>
            <w:tcW w:w="1648" w:type="pct"/>
            <w:gridSpan w:val="2"/>
            <w:noWrap/>
            <w:vAlign w:val="center"/>
          </w:tcPr>
          <w:p>
            <w:pPr>
              <w:widowControl/>
              <w:spacing w:line="200" w:lineRule="exact"/>
              <w:jc w:val="center"/>
              <w:rPr>
                <w:color w:val="000000"/>
                <w:sz w:val="16"/>
                <w:szCs w:val="16"/>
              </w:rPr>
            </w:pPr>
          </w:p>
        </w:tc>
        <w:tc>
          <w:tcPr>
            <w:tcW w:w="625" w:type="pct"/>
            <w:noWrap/>
            <w:vAlign w:val="center"/>
          </w:tcPr>
          <w:p>
            <w:pPr>
              <w:widowControl/>
              <w:spacing w:line="200" w:lineRule="exact"/>
              <w:jc w:val="center"/>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noWrap/>
            <w:vAlign w:val="center"/>
          </w:tcPr>
          <w:p>
            <w:pPr>
              <w:widowControl/>
              <w:spacing w:line="200" w:lineRule="exact"/>
              <w:jc w:val="center"/>
              <w:textAlignment w:val="center"/>
              <w:rPr>
                <w:color w:val="000000"/>
                <w:sz w:val="16"/>
                <w:szCs w:val="16"/>
              </w:rPr>
            </w:pPr>
            <w:r>
              <w:rPr>
                <w:color w:val="000000"/>
                <w:kern w:val="0"/>
                <w:sz w:val="16"/>
                <w:szCs w:val="16"/>
              </w:rPr>
              <w:t>……</w:t>
            </w:r>
          </w:p>
        </w:tc>
        <w:tc>
          <w:tcPr>
            <w:tcW w:w="1648" w:type="pct"/>
            <w:gridSpan w:val="2"/>
            <w:noWrap/>
            <w:vAlign w:val="center"/>
          </w:tcPr>
          <w:p>
            <w:pPr>
              <w:widowControl/>
              <w:spacing w:line="200" w:lineRule="exact"/>
              <w:jc w:val="center"/>
              <w:rPr>
                <w:color w:val="000000"/>
                <w:sz w:val="16"/>
                <w:szCs w:val="16"/>
              </w:rPr>
            </w:pPr>
          </w:p>
        </w:tc>
        <w:tc>
          <w:tcPr>
            <w:tcW w:w="625" w:type="pct"/>
            <w:noWrap/>
            <w:vAlign w:val="center"/>
          </w:tcPr>
          <w:p>
            <w:pPr>
              <w:widowControl/>
              <w:spacing w:line="200" w:lineRule="exact"/>
              <w:jc w:val="center"/>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restart"/>
            <w:noWrap/>
            <w:vAlign w:val="center"/>
          </w:tcPr>
          <w:p>
            <w:pPr>
              <w:widowControl/>
              <w:spacing w:line="200" w:lineRule="exact"/>
              <w:jc w:val="center"/>
              <w:textAlignment w:val="center"/>
              <w:rPr>
                <w:color w:val="000000"/>
                <w:sz w:val="16"/>
                <w:szCs w:val="16"/>
              </w:rPr>
            </w:pPr>
            <w:r>
              <w:rPr>
                <w:color w:val="000000"/>
                <w:kern w:val="0"/>
                <w:sz w:val="16"/>
                <w:szCs w:val="16"/>
              </w:rPr>
              <w:t>效</w:t>
            </w:r>
            <w:r>
              <w:rPr>
                <w:color w:val="000000"/>
                <w:kern w:val="0"/>
                <w:sz w:val="16"/>
                <w:szCs w:val="16"/>
              </w:rPr>
              <w:br w:type="textWrapping"/>
            </w:r>
            <w:r>
              <w:rPr>
                <w:color w:val="000000"/>
                <w:kern w:val="0"/>
                <w:sz w:val="16"/>
                <w:szCs w:val="16"/>
              </w:rPr>
              <w:t>益</w:t>
            </w:r>
            <w:r>
              <w:rPr>
                <w:color w:val="000000"/>
                <w:kern w:val="0"/>
                <w:sz w:val="16"/>
                <w:szCs w:val="16"/>
              </w:rPr>
              <w:br w:type="textWrapping"/>
            </w:r>
            <w:r>
              <w:rPr>
                <w:color w:val="000000"/>
                <w:kern w:val="0"/>
                <w:sz w:val="16"/>
                <w:szCs w:val="16"/>
              </w:rPr>
              <w:t>指</w:t>
            </w:r>
            <w:r>
              <w:rPr>
                <w:color w:val="000000"/>
                <w:kern w:val="0"/>
                <w:sz w:val="16"/>
                <w:szCs w:val="16"/>
              </w:rPr>
              <w:br w:type="textWrapping"/>
            </w:r>
            <w:r>
              <w:rPr>
                <w:color w:val="000000"/>
                <w:kern w:val="0"/>
                <w:sz w:val="16"/>
                <w:szCs w:val="16"/>
              </w:rPr>
              <w:t>标</w:t>
            </w:r>
          </w:p>
        </w:tc>
        <w:tc>
          <w:tcPr>
            <w:tcW w:w="506" w:type="pct"/>
            <w:vMerge w:val="restart"/>
            <w:noWrap/>
            <w:vAlign w:val="center"/>
          </w:tcPr>
          <w:p>
            <w:pPr>
              <w:widowControl/>
              <w:spacing w:line="200" w:lineRule="exact"/>
              <w:jc w:val="center"/>
              <w:textAlignment w:val="center"/>
              <w:rPr>
                <w:color w:val="000000"/>
                <w:sz w:val="16"/>
                <w:szCs w:val="16"/>
              </w:rPr>
            </w:pPr>
            <w:r>
              <w:rPr>
                <w:color w:val="000000"/>
                <w:kern w:val="0"/>
                <w:sz w:val="16"/>
                <w:szCs w:val="16"/>
              </w:rPr>
              <w:t>经济效益</w:t>
            </w:r>
            <w:r>
              <w:rPr>
                <w:color w:val="000000"/>
                <w:kern w:val="0"/>
                <w:sz w:val="16"/>
                <w:szCs w:val="16"/>
              </w:rPr>
              <w:br w:type="textWrapping"/>
            </w:r>
            <w:r>
              <w:rPr>
                <w:color w:val="000000"/>
                <w:kern w:val="0"/>
                <w:sz w:val="16"/>
                <w:szCs w:val="16"/>
              </w:rPr>
              <w:t>指标</w:t>
            </w:r>
          </w:p>
        </w:tc>
        <w:tc>
          <w:tcPr>
            <w:tcW w:w="1648" w:type="pct"/>
            <w:gridSpan w:val="2"/>
            <w:noWrap/>
            <w:vAlign w:val="center"/>
          </w:tcPr>
          <w:p>
            <w:pPr>
              <w:widowControl/>
              <w:spacing w:line="200" w:lineRule="exact"/>
              <w:rPr>
                <w:color w:val="000000"/>
                <w:sz w:val="16"/>
                <w:szCs w:val="16"/>
              </w:rPr>
            </w:pPr>
          </w:p>
        </w:tc>
        <w:tc>
          <w:tcPr>
            <w:tcW w:w="625" w:type="pct"/>
            <w:noWrap/>
            <w:vAlign w:val="center"/>
          </w:tcPr>
          <w:p>
            <w:pPr>
              <w:widowControl/>
              <w:spacing w:line="200" w:lineRule="exact"/>
              <w:jc w:val="center"/>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vMerge w:val="continue"/>
            <w:noWrap/>
            <w:vAlign w:val="center"/>
          </w:tcPr>
          <w:p>
            <w:pPr>
              <w:widowControl/>
              <w:spacing w:line="200" w:lineRule="exact"/>
              <w:jc w:val="center"/>
              <w:rPr>
                <w:color w:val="000000"/>
                <w:sz w:val="16"/>
                <w:szCs w:val="16"/>
              </w:rPr>
            </w:pPr>
          </w:p>
        </w:tc>
        <w:tc>
          <w:tcPr>
            <w:tcW w:w="1648" w:type="pct"/>
            <w:gridSpan w:val="2"/>
            <w:noWrap/>
            <w:vAlign w:val="center"/>
          </w:tcPr>
          <w:p>
            <w:pPr>
              <w:widowControl/>
              <w:spacing w:line="200" w:lineRule="exact"/>
              <w:jc w:val="center"/>
              <w:rPr>
                <w:color w:val="000000"/>
                <w:sz w:val="16"/>
                <w:szCs w:val="16"/>
              </w:rPr>
            </w:pPr>
          </w:p>
        </w:tc>
        <w:tc>
          <w:tcPr>
            <w:tcW w:w="625" w:type="pct"/>
            <w:noWrap/>
            <w:vAlign w:val="center"/>
          </w:tcPr>
          <w:p>
            <w:pPr>
              <w:widowControl/>
              <w:spacing w:line="200" w:lineRule="exact"/>
              <w:jc w:val="center"/>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vMerge w:val="restart"/>
            <w:noWrap/>
            <w:vAlign w:val="center"/>
          </w:tcPr>
          <w:p>
            <w:pPr>
              <w:widowControl/>
              <w:spacing w:line="200" w:lineRule="exact"/>
              <w:jc w:val="center"/>
              <w:textAlignment w:val="center"/>
              <w:rPr>
                <w:color w:val="000000"/>
                <w:sz w:val="16"/>
                <w:szCs w:val="16"/>
              </w:rPr>
            </w:pPr>
            <w:r>
              <w:rPr>
                <w:color w:val="000000"/>
                <w:kern w:val="0"/>
                <w:sz w:val="16"/>
                <w:szCs w:val="16"/>
              </w:rPr>
              <w:t>社会效益</w:t>
            </w:r>
            <w:r>
              <w:rPr>
                <w:color w:val="000000"/>
                <w:kern w:val="0"/>
                <w:sz w:val="16"/>
                <w:szCs w:val="16"/>
              </w:rPr>
              <w:br w:type="textWrapping"/>
            </w:r>
            <w:r>
              <w:rPr>
                <w:color w:val="000000"/>
                <w:kern w:val="0"/>
                <w:sz w:val="16"/>
                <w:szCs w:val="16"/>
              </w:rPr>
              <w:t>指标</w:t>
            </w:r>
          </w:p>
        </w:tc>
        <w:tc>
          <w:tcPr>
            <w:tcW w:w="1648" w:type="pct"/>
            <w:gridSpan w:val="2"/>
            <w:noWrap/>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实地督查结果网上公开率</w:t>
            </w:r>
          </w:p>
        </w:tc>
        <w:tc>
          <w:tcPr>
            <w:tcW w:w="625" w:type="pct"/>
            <w:noWrap/>
            <w:vAlign w:val="center"/>
          </w:tcPr>
          <w:p>
            <w:pPr>
              <w:widowControl/>
              <w:spacing w:line="200" w:lineRule="exact"/>
              <w:jc w:val="center"/>
              <w:rPr>
                <w:color w:val="000000"/>
                <w:sz w:val="16"/>
                <w:szCs w:val="16"/>
              </w:rPr>
            </w:pPr>
            <w:r>
              <w:rPr>
                <w:rFonts w:hint="eastAsia"/>
                <w:color w:val="000000"/>
                <w:sz w:val="16"/>
                <w:szCs w:val="16"/>
              </w:rPr>
              <w:t>20</w:t>
            </w:r>
          </w:p>
        </w:tc>
        <w:tc>
          <w:tcPr>
            <w:tcW w:w="483" w:type="pct"/>
            <w:noWrap/>
            <w:vAlign w:val="center"/>
          </w:tcPr>
          <w:p>
            <w:pPr>
              <w:widowControl/>
              <w:spacing w:line="200" w:lineRule="exact"/>
              <w:rPr>
                <w:color w:val="000000"/>
                <w:sz w:val="16"/>
                <w:szCs w:val="16"/>
              </w:rPr>
            </w:pPr>
            <w:r>
              <w:rPr>
                <w:rFonts w:hint="eastAsia"/>
                <w:color w:val="000000"/>
                <w:sz w:val="16"/>
                <w:szCs w:val="16"/>
              </w:rPr>
              <w:t>20</w:t>
            </w: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vMerge w:val="continue"/>
            <w:noWrap/>
            <w:vAlign w:val="center"/>
          </w:tcPr>
          <w:p>
            <w:pPr>
              <w:widowControl/>
              <w:spacing w:line="200" w:lineRule="exact"/>
              <w:jc w:val="center"/>
              <w:rPr>
                <w:color w:val="000000"/>
                <w:sz w:val="16"/>
                <w:szCs w:val="16"/>
              </w:rPr>
            </w:pPr>
          </w:p>
        </w:tc>
        <w:tc>
          <w:tcPr>
            <w:tcW w:w="1648" w:type="pct"/>
            <w:gridSpan w:val="2"/>
            <w:noWrap/>
            <w:vAlign w:val="center"/>
          </w:tcPr>
          <w:p>
            <w:pPr>
              <w:widowControl/>
              <w:spacing w:line="200" w:lineRule="exact"/>
              <w:jc w:val="center"/>
              <w:rPr>
                <w:color w:val="000000"/>
                <w:sz w:val="16"/>
                <w:szCs w:val="16"/>
              </w:rPr>
            </w:pPr>
          </w:p>
        </w:tc>
        <w:tc>
          <w:tcPr>
            <w:tcW w:w="625" w:type="pct"/>
            <w:noWrap/>
            <w:vAlign w:val="center"/>
          </w:tcPr>
          <w:p>
            <w:pPr>
              <w:widowControl/>
              <w:spacing w:line="200" w:lineRule="exact"/>
              <w:jc w:val="left"/>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noWrap/>
            <w:vAlign w:val="center"/>
          </w:tcPr>
          <w:p>
            <w:pPr>
              <w:widowControl/>
              <w:spacing w:line="200" w:lineRule="exact"/>
              <w:jc w:val="center"/>
              <w:textAlignment w:val="center"/>
              <w:rPr>
                <w:color w:val="000000"/>
                <w:sz w:val="16"/>
                <w:szCs w:val="16"/>
              </w:rPr>
            </w:pPr>
            <w:r>
              <w:rPr>
                <w:color w:val="000000"/>
                <w:kern w:val="0"/>
                <w:sz w:val="16"/>
                <w:szCs w:val="16"/>
              </w:rPr>
              <w:t>生态效益</w:t>
            </w:r>
            <w:r>
              <w:rPr>
                <w:color w:val="000000"/>
                <w:kern w:val="0"/>
                <w:sz w:val="16"/>
                <w:szCs w:val="16"/>
              </w:rPr>
              <w:br w:type="textWrapping"/>
            </w:r>
            <w:r>
              <w:rPr>
                <w:color w:val="000000"/>
                <w:kern w:val="0"/>
                <w:sz w:val="16"/>
                <w:szCs w:val="16"/>
              </w:rPr>
              <w:t>指标</w:t>
            </w:r>
          </w:p>
        </w:tc>
        <w:tc>
          <w:tcPr>
            <w:tcW w:w="1648" w:type="pct"/>
            <w:gridSpan w:val="2"/>
            <w:noWrap/>
            <w:vAlign w:val="center"/>
          </w:tcPr>
          <w:p>
            <w:pPr>
              <w:widowControl/>
              <w:spacing w:line="200" w:lineRule="exact"/>
              <w:jc w:val="center"/>
              <w:rPr>
                <w:color w:val="000000"/>
                <w:sz w:val="16"/>
                <w:szCs w:val="16"/>
              </w:rPr>
            </w:pPr>
          </w:p>
        </w:tc>
        <w:tc>
          <w:tcPr>
            <w:tcW w:w="625" w:type="pct"/>
            <w:noWrap/>
            <w:vAlign w:val="center"/>
          </w:tcPr>
          <w:p>
            <w:pPr>
              <w:widowControl/>
              <w:spacing w:line="200" w:lineRule="exact"/>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noWrap/>
            <w:vAlign w:val="center"/>
          </w:tcPr>
          <w:p>
            <w:pPr>
              <w:widowControl/>
              <w:spacing w:line="200" w:lineRule="exact"/>
              <w:jc w:val="center"/>
              <w:textAlignment w:val="center"/>
              <w:rPr>
                <w:color w:val="000000"/>
                <w:sz w:val="16"/>
                <w:szCs w:val="16"/>
              </w:rPr>
            </w:pPr>
            <w:r>
              <w:rPr>
                <w:color w:val="000000"/>
                <w:kern w:val="0"/>
                <w:sz w:val="16"/>
                <w:szCs w:val="16"/>
              </w:rPr>
              <w:t>可持续影响指标</w:t>
            </w:r>
          </w:p>
        </w:tc>
        <w:tc>
          <w:tcPr>
            <w:tcW w:w="1648" w:type="pct"/>
            <w:gridSpan w:val="2"/>
            <w:noWrap/>
            <w:vAlign w:val="center"/>
          </w:tcPr>
          <w:p>
            <w:pPr>
              <w:widowControl/>
              <w:spacing w:line="200" w:lineRule="exact"/>
              <w:jc w:val="center"/>
              <w:rPr>
                <w:color w:val="000000"/>
                <w:sz w:val="16"/>
                <w:szCs w:val="16"/>
              </w:rPr>
            </w:pPr>
          </w:p>
        </w:tc>
        <w:tc>
          <w:tcPr>
            <w:tcW w:w="625" w:type="pct"/>
            <w:noWrap/>
            <w:vAlign w:val="center"/>
          </w:tcPr>
          <w:p>
            <w:pPr>
              <w:widowControl/>
              <w:spacing w:line="200" w:lineRule="exact"/>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noWrap/>
            <w:vAlign w:val="center"/>
          </w:tcPr>
          <w:p>
            <w:pPr>
              <w:widowControl/>
              <w:spacing w:line="200" w:lineRule="exact"/>
              <w:jc w:val="center"/>
              <w:textAlignment w:val="center"/>
              <w:rPr>
                <w:color w:val="000000"/>
                <w:sz w:val="16"/>
                <w:szCs w:val="16"/>
              </w:rPr>
            </w:pPr>
            <w:r>
              <w:rPr>
                <w:color w:val="000000"/>
                <w:kern w:val="0"/>
                <w:sz w:val="16"/>
                <w:szCs w:val="16"/>
              </w:rPr>
              <w:t>……</w:t>
            </w:r>
          </w:p>
        </w:tc>
        <w:tc>
          <w:tcPr>
            <w:tcW w:w="1648" w:type="pct"/>
            <w:gridSpan w:val="2"/>
            <w:noWrap/>
            <w:vAlign w:val="center"/>
          </w:tcPr>
          <w:p>
            <w:pPr>
              <w:widowControl/>
              <w:spacing w:line="200" w:lineRule="exact"/>
              <w:jc w:val="center"/>
              <w:rPr>
                <w:color w:val="000000"/>
                <w:sz w:val="16"/>
                <w:szCs w:val="16"/>
              </w:rPr>
            </w:pPr>
          </w:p>
        </w:tc>
        <w:tc>
          <w:tcPr>
            <w:tcW w:w="625" w:type="pct"/>
            <w:noWrap/>
            <w:vAlign w:val="center"/>
          </w:tcPr>
          <w:p>
            <w:pPr>
              <w:widowControl/>
              <w:spacing w:line="200" w:lineRule="exact"/>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noWrap/>
            <w:vAlign w:val="center"/>
          </w:tcPr>
          <w:p>
            <w:pPr>
              <w:widowControl/>
              <w:spacing w:line="180" w:lineRule="exact"/>
              <w:jc w:val="center"/>
              <w:textAlignment w:val="center"/>
              <w:rPr>
                <w:color w:val="000000"/>
                <w:sz w:val="16"/>
                <w:szCs w:val="16"/>
              </w:rPr>
            </w:pPr>
            <w:r>
              <w:rPr>
                <w:color w:val="000000"/>
                <w:kern w:val="0"/>
                <w:sz w:val="16"/>
                <w:szCs w:val="16"/>
              </w:rPr>
              <w:t>满意度指标</w:t>
            </w:r>
          </w:p>
        </w:tc>
        <w:tc>
          <w:tcPr>
            <w:tcW w:w="506" w:type="pct"/>
            <w:noWrap/>
            <w:vAlign w:val="center"/>
          </w:tcPr>
          <w:p>
            <w:pPr>
              <w:widowControl/>
              <w:spacing w:line="200" w:lineRule="exact"/>
              <w:jc w:val="center"/>
              <w:textAlignment w:val="center"/>
              <w:rPr>
                <w:color w:val="000000"/>
                <w:sz w:val="16"/>
                <w:szCs w:val="16"/>
              </w:rPr>
            </w:pPr>
            <w:r>
              <w:rPr>
                <w:color w:val="000000"/>
                <w:kern w:val="0"/>
                <w:sz w:val="16"/>
                <w:szCs w:val="16"/>
              </w:rPr>
              <w:t>服务对象</w:t>
            </w:r>
            <w:r>
              <w:rPr>
                <w:color w:val="000000"/>
                <w:kern w:val="0"/>
                <w:sz w:val="16"/>
                <w:szCs w:val="16"/>
              </w:rPr>
              <w:br w:type="textWrapping"/>
            </w:r>
            <w:r>
              <w:rPr>
                <w:color w:val="000000"/>
                <w:kern w:val="0"/>
                <w:sz w:val="16"/>
                <w:szCs w:val="16"/>
              </w:rPr>
              <w:t>满意度指标</w:t>
            </w:r>
          </w:p>
        </w:tc>
        <w:tc>
          <w:tcPr>
            <w:tcW w:w="1648" w:type="pct"/>
            <w:gridSpan w:val="2"/>
            <w:noWrap/>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信访事项处理群众满意率</w:t>
            </w:r>
          </w:p>
        </w:tc>
        <w:tc>
          <w:tcPr>
            <w:tcW w:w="625" w:type="pct"/>
            <w:noWrap/>
            <w:vAlign w:val="center"/>
          </w:tcPr>
          <w:p>
            <w:pPr>
              <w:widowControl/>
              <w:spacing w:line="200" w:lineRule="exact"/>
              <w:rPr>
                <w:color w:val="000000"/>
                <w:sz w:val="16"/>
                <w:szCs w:val="16"/>
              </w:rPr>
            </w:pPr>
            <w:r>
              <w:rPr>
                <w:rFonts w:hint="eastAsia"/>
                <w:color w:val="000000"/>
                <w:sz w:val="16"/>
                <w:szCs w:val="16"/>
              </w:rPr>
              <w:t>10</w:t>
            </w:r>
          </w:p>
        </w:tc>
        <w:tc>
          <w:tcPr>
            <w:tcW w:w="483" w:type="pct"/>
            <w:noWrap/>
            <w:vAlign w:val="center"/>
          </w:tcPr>
          <w:p>
            <w:pPr>
              <w:widowControl/>
              <w:spacing w:line="200" w:lineRule="exact"/>
              <w:rPr>
                <w:color w:val="000000"/>
                <w:sz w:val="16"/>
                <w:szCs w:val="16"/>
              </w:rPr>
            </w:pPr>
            <w:r>
              <w:rPr>
                <w:rFonts w:hint="eastAsia"/>
                <w:color w:val="000000"/>
                <w:sz w:val="16"/>
                <w:szCs w:val="16"/>
              </w:rPr>
              <w:t>10</w:t>
            </w: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tcBorders>
              <w:bottom w:val="single" w:color="auto" w:sz="4" w:space="0"/>
            </w:tcBorders>
            <w:noWrap/>
            <w:vAlign w:val="center"/>
          </w:tcPr>
          <w:p>
            <w:pPr>
              <w:widowControl/>
              <w:spacing w:line="200" w:lineRule="exact"/>
              <w:jc w:val="center"/>
              <w:textAlignment w:val="center"/>
              <w:rPr>
                <w:color w:val="000000"/>
                <w:sz w:val="16"/>
                <w:szCs w:val="16"/>
              </w:rPr>
            </w:pPr>
            <w:r>
              <w:rPr>
                <w:color w:val="000000"/>
                <w:kern w:val="0"/>
                <w:sz w:val="16"/>
                <w:szCs w:val="16"/>
              </w:rPr>
              <w:t>说明</w:t>
            </w:r>
          </w:p>
        </w:tc>
        <w:tc>
          <w:tcPr>
            <w:tcW w:w="4554" w:type="pct"/>
            <w:gridSpan w:val="7"/>
            <w:tcBorders>
              <w:bottom w:val="single" w:color="auto" w:sz="4" w:space="0"/>
            </w:tcBorders>
            <w:noWrap/>
            <w:vAlign w:val="center"/>
          </w:tcPr>
          <w:p>
            <w:pPr>
              <w:widowControl/>
              <w:spacing w:line="200" w:lineRule="exact"/>
              <w:jc w:val="left"/>
              <w:textAlignment w:val="center"/>
              <w:rPr>
                <w:color w:val="000000"/>
                <w:sz w:val="16"/>
                <w:szCs w:val="16"/>
              </w:rPr>
            </w:pPr>
            <w:r>
              <w:rPr>
                <w:rFonts w:hint="eastAsia"/>
                <w:color w:val="000000"/>
                <w:sz w:val="16"/>
                <w:szCs w:val="16"/>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8"/>
            <w:tcBorders>
              <w:top w:val="single" w:color="auto" w:sz="4" w:space="0"/>
              <w:left w:val="nil"/>
              <w:bottom w:val="nil"/>
              <w:right w:val="nil"/>
            </w:tcBorders>
            <w:noWrap/>
            <w:vAlign w:val="center"/>
          </w:tcPr>
          <w:p>
            <w:pPr>
              <w:widowControl/>
              <w:spacing w:line="180" w:lineRule="exact"/>
              <w:jc w:val="left"/>
              <w:textAlignment w:val="center"/>
              <w:rPr>
                <w:rFonts w:eastAsia="楷体_GB2312"/>
                <w:color w:val="000000"/>
                <w:sz w:val="16"/>
                <w:szCs w:val="16"/>
              </w:rPr>
            </w:pPr>
            <w:r>
              <w:rPr>
                <w:rFonts w:eastAsia="楷体_GB2312"/>
                <w:color w:val="000000"/>
                <w:kern w:val="0"/>
                <w:sz w:val="16"/>
                <w:szCs w:val="16"/>
              </w:rPr>
              <w:t>注：1.其他资金包括与中央、省级财政补助资金、市（县）级财政资金共同投入到同一项目的自有资金、社会资金，以及以前年度的结转结余资金等。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000" w:type="pct"/>
            <w:gridSpan w:val="8"/>
            <w:tcBorders>
              <w:top w:val="nil"/>
              <w:left w:val="nil"/>
              <w:bottom w:val="nil"/>
              <w:right w:val="nil"/>
            </w:tcBorders>
            <w:noWrap/>
            <w:vAlign w:val="center"/>
          </w:tcPr>
          <w:p>
            <w:pPr>
              <w:widowControl/>
              <w:spacing w:line="180" w:lineRule="exact"/>
              <w:jc w:val="left"/>
              <w:textAlignment w:val="center"/>
              <w:rPr>
                <w:rFonts w:eastAsia="楷体_GB2312"/>
                <w:color w:val="000000"/>
                <w:sz w:val="16"/>
                <w:szCs w:val="16"/>
              </w:rPr>
            </w:pPr>
            <w:r>
              <w:rPr>
                <w:rFonts w:eastAsia="楷体_GB2312"/>
                <w:color w:val="000000"/>
                <w:kern w:val="0"/>
                <w:sz w:val="16"/>
                <w:szCs w:val="16"/>
              </w:rPr>
              <w:t xml:space="preserve">    2.定量指标，主管部门对资金使用单位填写的实际完成值汇总时，绝对值直接累加计算，相对值按照资金额度加权平均计算。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000" w:type="pct"/>
            <w:gridSpan w:val="8"/>
            <w:tcBorders>
              <w:top w:val="nil"/>
              <w:left w:val="nil"/>
              <w:bottom w:val="nil"/>
              <w:right w:val="nil"/>
            </w:tcBorders>
            <w:noWrap/>
            <w:vAlign w:val="center"/>
          </w:tcPr>
          <w:p>
            <w:pPr>
              <w:widowControl/>
              <w:spacing w:line="180" w:lineRule="exact"/>
              <w:jc w:val="left"/>
              <w:textAlignment w:val="center"/>
              <w:rPr>
                <w:rFonts w:eastAsia="楷体_GB2312"/>
                <w:color w:val="000000"/>
                <w:sz w:val="16"/>
                <w:szCs w:val="16"/>
              </w:rPr>
            </w:pPr>
            <w:r>
              <w:rPr>
                <w:rFonts w:eastAsia="楷体_GB2312"/>
                <w:color w:val="000000"/>
                <w:kern w:val="0"/>
                <w:sz w:val="16"/>
                <w:szCs w:val="16"/>
              </w:rPr>
              <w:t xml:space="preserve">    3.定性指标。资金使用单位分别按照100%-80%（含）、80%-60%（含）、60-0%合理填写实际完成值，在汇总时，按照资金额度加权平均计算。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8"/>
            <w:tcBorders>
              <w:top w:val="nil"/>
              <w:left w:val="nil"/>
              <w:bottom w:val="nil"/>
              <w:right w:val="nil"/>
            </w:tcBorders>
            <w:noWrap/>
            <w:vAlign w:val="center"/>
          </w:tcPr>
          <w:p>
            <w:pPr>
              <w:widowControl/>
              <w:spacing w:line="180" w:lineRule="exact"/>
              <w:jc w:val="left"/>
              <w:textAlignment w:val="center"/>
              <w:rPr>
                <w:rFonts w:eastAsia="楷体_GB2312"/>
                <w:color w:val="000000"/>
                <w:sz w:val="16"/>
                <w:szCs w:val="16"/>
              </w:rPr>
            </w:pPr>
            <w:r>
              <w:rPr>
                <w:rFonts w:eastAsia="楷体_GB2312"/>
                <w:color w:val="000000"/>
                <w:kern w:val="0"/>
                <w:sz w:val="16"/>
                <w:szCs w:val="16"/>
              </w:rPr>
              <w:t xml:space="preserve">    4.全年执行数是指按照国库集中支付制度要求，支付到商品和劳务供应者或者用款单位形成的实际支出。</w:t>
            </w:r>
          </w:p>
        </w:tc>
      </w:tr>
    </w:tbl>
    <w:p>
      <w:pPr>
        <w:pStyle w:val="13"/>
      </w:pPr>
    </w:p>
    <w:p>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（一）预算执行进度情况分析。该项目预算资金申报、批复都是严格按照财经的相关规定和程序执行，是符合资金管理办法的相关规定。</w:t>
      </w:r>
    </w:p>
    <w:p>
      <w:pPr>
        <w:keepNext w:val="0"/>
        <w:keepLines w:val="0"/>
        <w:pageBreakBefore w:val="0"/>
        <w:widowControl w:val="0"/>
        <w:kinsoku/>
        <w:wordWrap/>
        <w:overflowPunct/>
        <w:topLinePunct w:val="0"/>
        <w:autoSpaceDE/>
        <w:autoSpaceDN/>
        <w:bidi w:val="0"/>
        <w:snapToGrid w:val="0"/>
        <w:spacing w:line="360" w:lineRule="auto"/>
        <w:ind w:firstLine="600" w:firstLineChars="200"/>
        <w:textAlignment w:val="auto"/>
        <w:outlineLvl w:val="0"/>
        <w:rPr>
          <w:rFonts w:ascii="仿宋_GB2312" w:hAnsi="仿宋_GB2312" w:eastAsia="仿宋_GB2312" w:cs="仿宋_GB2312"/>
          <w:sz w:val="30"/>
          <w:szCs w:val="30"/>
        </w:rPr>
      </w:pPr>
      <w:r>
        <w:rPr>
          <w:rFonts w:hint="eastAsia" w:ascii="仿宋_GB2312" w:hAnsi="仿宋_GB2312" w:eastAsia="仿宋_GB2312" w:cs="仿宋_GB2312"/>
          <w:color w:val="000000"/>
          <w:sz w:val="30"/>
          <w:szCs w:val="30"/>
        </w:rPr>
        <w:t>（二）总体绩效目标完成情况分析。</w:t>
      </w:r>
      <w:r>
        <w:rPr>
          <w:rFonts w:hint="eastAsia" w:ascii="仿宋_GB2312" w:hAnsi="仿宋_GB2312" w:eastAsia="仿宋_GB2312" w:cs="仿宋_GB2312"/>
          <w:sz w:val="30"/>
          <w:szCs w:val="30"/>
        </w:rPr>
        <w:t>政务运转工作经费项目完成 100%，政务运转工作经费实现绩效目标管理和项目实施进度计划的正常开展。</w:t>
      </w:r>
    </w:p>
    <w:p>
      <w:pPr>
        <w:keepNext w:val="0"/>
        <w:keepLines w:val="0"/>
        <w:pageBreakBefore w:val="0"/>
        <w:widowControl w:val="0"/>
        <w:kinsoku/>
        <w:wordWrap/>
        <w:overflowPunct/>
        <w:topLinePunct w:val="0"/>
        <w:autoSpaceDE/>
        <w:autoSpaceDN/>
        <w:bidi w:val="0"/>
        <w:snapToGrid w:val="0"/>
        <w:spacing w:line="360" w:lineRule="auto"/>
        <w:ind w:firstLine="600" w:firstLineChars="200"/>
        <w:textAlignment w:val="auto"/>
        <w:outlineLvl w:val="0"/>
        <w:rPr>
          <w:rFonts w:ascii="仿宋_GB2312" w:hAnsi="仿宋_GB2312" w:eastAsia="仿宋_GB2312" w:cs="仿宋_GB2312"/>
          <w:sz w:val="30"/>
          <w:szCs w:val="30"/>
        </w:rPr>
      </w:pPr>
      <w:r>
        <w:rPr>
          <w:rFonts w:hint="eastAsia" w:ascii="仿宋_GB2312" w:hAnsi="仿宋_GB2312" w:eastAsia="仿宋_GB2312" w:cs="仿宋_GB2312"/>
          <w:color w:val="000000"/>
          <w:sz w:val="30"/>
          <w:szCs w:val="30"/>
        </w:rPr>
        <w:t>（三）绩效指标完成情况分析。</w:t>
      </w:r>
      <w:r>
        <w:rPr>
          <w:rFonts w:hint="eastAsia" w:ascii="仿宋_GB2312" w:hAnsi="仿宋_GB2312" w:eastAsia="仿宋_GB2312" w:cs="仿宋_GB2312"/>
          <w:sz w:val="30"/>
          <w:szCs w:val="30"/>
        </w:rPr>
        <w:t>政务运转工作经费项目完成 100%，数量、质量、时效、 成本，项目无资金结余情况和违规记录等情况，对照项目计划完成目标 100%，对截止评价时点的任务量完成、质量标准、进度计划、成本控制目标的实现程度进行。</w:t>
      </w:r>
    </w:p>
    <w:p>
      <w:pPr>
        <w:keepNext w:val="0"/>
        <w:keepLines w:val="0"/>
        <w:pageBreakBefore w:val="0"/>
        <w:widowControl w:val="0"/>
        <w:kinsoku/>
        <w:wordWrap/>
        <w:overflowPunct/>
        <w:topLinePunct w:val="0"/>
        <w:autoSpaceDE/>
        <w:autoSpaceDN/>
        <w:bidi w:val="0"/>
        <w:snapToGrid w:val="0"/>
        <w:spacing w:line="360" w:lineRule="auto"/>
        <w:ind w:firstLine="600" w:firstLineChars="200"/>
        <w:textAlignment w:val="auto"/>
        <w:outlineLvl w:val="0"/>
        <w:rPr>
          <w:rFonts w:ascii="仿宋_GB2312" w:hAnsi="仿宋_GB2312" w:eastAsia="仿宋_GB2312" w:cs="仿宋_GB2312"/>
          <w:color w:val="C0504D"/>
          <w:sz w:val="30"/>
          <w:szCs w:val="30"/>
        </w:rPr>
      </w:pPr>
      <w:r>
        <w:rPr>
          <w:rFonts w:hint="eastAsia" w:ascii="仿宋_GB2312" w:hAnsi="仿宋_GB2312" w:eastAsia="仿宋_GB2312" w:cs="仿宋_GB2312"/>
          <w:color w:val="000000"/>
          <w:sz w:val="30"/>
          <w:szCs w:val="30"/>
        </w:rPr>
        <w:t>（四）项目效益分析。</w:t>
      </w:r>
      <w:r>
        <w:rPr>
          <w:rFonts w:hint="eastAsia" w:ascii="仿宋_GB2312" w:hAnsi="仿宋_GB2312" w:eastAsia="仿宋_GB2312" w:cs="仿宋_GB2312"/>
          <w:sz w:val="30"/>
          <w:szCs w:val="30"/>
        </w:rPr>
        <w:t>该项目绩效目标完成100%，推进行政审批提质增效、降低实体经济制度性交易成本、提升便利化水平。推动实现行政审批更简、透明化程度更高、服务质量更优，提升行政审批服务效能，助推全县经济社会发展。</w:t>
      </w:r>
    </w:p>
    <w:p>
      <w:pPr>
        <w:keepNext w:val="0"/>
        <w:keepLines w:val="0"/>
        <w:pageBreakBefore w:val="0"/>
        <w:widowControl w:val="0"/>
        <w:kinsoku/>
        <w:wordWrap/>
        <w:overflowPunct/>
        <w:topLinePunct w:val="0"/>
        <w:autoSpaceDE/>
        <w:autoSpaceDN/>
        <w:bidi w:val="0"/>
        <w:snapToGrid w:val="0"/>
        <w:spacing w:line="360" w:lineRule="auto"/>
        <w:ind w:firstLine="600" w:firstLineChars="200"/>
        <w:textAlignment w:val="auto"/>
        <w:rPr>
          <w:rFonts w:ascii="仿宋_GB2312" w:hAnsi="仿宋_GB2312" w:eastAsia="仿宋_GB2312" w:cs="仿宋_GB2312"/>
          <w:color w:val="000000"/>
          <w:sz w:val="30"/>
          <w:szCs w:val="30"/>
        </w:rPr>
      </w:pPr>
      <w:r>
        <w:rPr>
          <w:rFonts w:hint="eastAsia" w:ascii="仿宋_GB2312" w:hAnsi="仿宋_GB2312" w:eastAsia="仿宋_GB2312" w:cs="仿宋_GB2312"/>
          <w:bCs/>
          <w:color w:val="000000"/>
          <w:sz w:val="30"/>
          <w:szCs w:val="30"/>
        </w:rPr>
        <w:t>二、偏离绩效目标的原因和下一步改进措施</w:t>
      </w:r>
    </w:p>
    <w:p>
      <w:pPr>
        <w:keepNext w:val="0"/>
        <w:keepLines w:val="0"/>
        <w:pageBreakBefore w:val="0"/>
        <w:widowControl w:val="0"/>
        <w:kinsoku/>
        <w:wordWrap/>
        <w:overflowPunct/>
        <w:topLinePunct w:val="0"/>
        <w:autoSpaceDE/>
        <w:autoSpaceDN/>
        <w:bidi w:val="0"/>
        <w:snapToGrid w:val="0"/>
        <w:spacing w:line="360" w:lineRule="auto"/>
        <w:ind w:firstLine="600" w:firstLineChars="200"/>
        <w:textAlignment w:val="auto"/>
        <w:outlineLvl w:val="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该项目总体绩效目标和绩效指标完成100%，没有出现超指标值较多的原政策执行或项目实施中存在的问题和原因。</w:t>
      </w:r>
    </w:p>
    <w:p>
      <w:pPr>
        <w:keepNext w:val="0"/>
        <w:keepLines w:val="0"/>
        <w:pageBreakBefore w:val="0"/>
        <w:widowControl w:val="0"/>
        <w:kinsoku/>
        <w:wordWrap/>
        <w:overflowPunct/>
        <w:topLinePunct w:val="0"/>
        <w:autoSpaceDE/>
        <w:autoSpaceDN/>
        <w:bidi w:val="0"/>
        <w:snapToGrid w:val="0"/>
        <w:spacing w:line="360" w:lineRule="auto"/>
        <w:ind w:firstLine="600" w:firstLineChars="200"/>
        <w:textAlignment w:val="auto"/>
        <w:rPr>
          <w:rFonts w:ascii="仿宋_GB2312" w:hAnsi="仿宋_GB2312" w:eastAsia="仿宋_GB2312" w:cs="仿宋_GB2312"/>
          <w:bCs/>
          <w:color w:val="000000"/>
          <w:sz w:val="30"/>
          <w:szCs w:val="30"/>
        </w:rPr>
      </w:pPr>
      <w:r>
        <w:rPr>
          <w:rFonts w:hint="eastAsia" w:ascii="仿宋_GB2312" w:hAnsi="仿宋_GB2312" w:eastAsia="仿宋_GB2312" w:cs="仿宋_GB2312"/>
          <w:bCs/>
          <w:color w:val="000000"/>
          <w:sz w:val="30"/>
          <w:szCs w:val="30"/>
        </w:rPr>
        <w:t>三、绩效自评结果拟应用和公开情况</w:t>
      </w:r>
    </w:p>
    <w:p>
      <w:pPr>
        <w:pStyle w:val="13"/>
        <w:keepNext w:val="0"/>
        <w:keepLines w:val="0"/>
        <w:pageBreakBefore w:val="0"/>
        <w:widowControl w:val="0"/>
        <w:kinsoku/>
        <w:wordWrap/>
        <w:overflowPunct/>
        <w:topLinePunct w:val="0"/>
        <w:autoSpaceDE/>
        <w:autoSpaceDN/>
        <w:bidi w:val="0"/>
        <w:snapToGrid w:val="0"/>
        <w:spacing w:line="360" w:lineRule="auto"/>
        <w:textAlignment w:val="auto"/>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 xml:space="preserve">     建议增加政务运转工作经费的预算，把政务运转的证照费和企业的档案扫描费统一预算在政务运转工作经费中列支。</w:t>
      </w:r>
    </w:p>
    <w:p>
      <w:pPr>
        <w:keepNext w:val="0"/>
        <w:keepLines w:val="0"/>
        <w:pageBreakBefore w:val="0"/>
        <w:widowControl w:val="0"/>
        <w:kinsoku/>
        <w:wordWrap/>
        <w:overflowPunct/>
        <w:topLinePunct w:val="0"/>
        <w:autoSpaceDE/>
        <w:autoSpaceDN/>
        <w:bidi w:val="0"/>
        <w:snapToGrid w:val="0"/>
        <w:spacing w:line="360" w:lineRule="auto"/>
        <w:ind w:firstLine="600" w:firstLineChars="200"/>
        <w:textAlignment w:val="auto"/>
        <w:rPr>
          <w:rFonts w:ascii="仿宋_GB2312" w:hAnsi="仿宋_GB2312" w:eastAsia="仿宋_GB2312" w:cs="仿宋_GB2312"/>
          <w:bCs/>
          <w:color w:val="000000"/>
          <w:sz w:val="30"/>
          <w:szCs w:val="30"/>
        </w:rPr>
      </w:pPr>
      <w:r>
        <w:rPr>
          <w:rFonts w:hint="eastAsia" w:ascii="仿宋_GB2312" w:hAnsi="仿宋_GB2312" w:eastAsia="仿宋_GB2312" w:cs="仿宋_GB2312"/>
          <w:bCs/>
          <w:color w:val="000000"/>
          <w:sz w:val="30"/>
          <w:szCs w:val="30"/>
        </w:rPr>
        <w:t>四、其他需要说明的问题</w:t>
      </w:r>
    </w:p>
    <w:p>
      <w:pPr>
        <w:keepNext w:val="0"/>
        <w:keepLines w:val="0"/>
        <w:pageBreakBefore w:val="0"/>
        <w:widowControl w:val="0"/>
        <w:kinsoku/>
        <w:wordWrap/>
        <w:overflowPunct/>
        <w:topLinePunct w:val="0"/>
        <w:autoSpaceDE/>
        <w:autoSpaceDN/>
        <w:bidi w:val="0"/>
        <w:snapToGrid w:val="0"/>
        <w:spacing w:line="360" w:lineRule="auto"/>
        <w:ind w:firstLine="600" w:firstLineChars="200"/>
        <w:textAlignment w:val="auto"/>
        <w:outlineLvl w:val="0"/>
        <w:rPr>
          <w:sz w:val="30"/>
          <w:szCs w:val="30"/>
        </w:rPr>
      </w:pPr>
      <w:r>
        <w:rPr>
          <w:rFonts w:hint="eastAsia" w:ascii="仿宋_GB2312" w:hAnsi="仿宋_GB2312" w:eastAsia="仿宋_GB2312" w:cs="仿宋_GB2312"/>
          <w:color w:val="000000"/>
          <w:sz w:val="30"/>
          <w:szCs w:val="30"/>
        </w:rPr>
        <w:t>没有出现各级巡视（巡察）、各级审计和财政监督发现的问题及其所涉及的金额。</w:t>
      </w:r>
    </w:p>
    <w:p>
      <w:pPr>
        <w:keepNext w:val="0"/>
        <w:keepLines w:val="0"/>
        <w:pageBreakBefore w:val="0"/>
        <w:widowControl w:val="0"/>
        <w:numPr>
          <w:ilvl w:val="0"/>
          <w:numId w:val="8"/>
        </w:numPr>
        <w:kinsoku/>
        <w:wordWrap/>
        <w:overflowPunct/>
        <w:topLinePunct w:val="0"/>
        <w:autoSpaceDE/>
        <w:autoSpaceDN/>
        <w:bidi w:val="0"/>
        <w:adjustRightInd w:val="0"/>
        <w:snapToGrid w:val="0"/>
        <w:spacing w:line="360" w:lineRule="auto"/>
        <w:ind w:firstLine="600" w:firstLineChars="200"/>
        <w:contextualSpacing/>
        <w:jc w:val="left"/>
        <w:textAlignment w:val="auto"/>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0"/>
          <w:szCs w:val="30"/>
          <w:shd w:val="clear" w:color="auto" w:fill="FFFFFF"/>
        </w:rPr>
        <w:t>特定目标类项目绩效分析</w:t>
      </w:r>
    </w:p>
    <w:p>
      <w:pPr>
        <w:pStyle w:val="13"/>
      </w:pPr>
    </w:p>
    <w:p>
      <w:pPr>
        <w:spacing w:line="520" w:lineRule="exact"/>
        <w:rPr>
          <w:rFonts w:eastAsia="黑体"/>
          <w:sz w:val="28"/>
          <w:szCs w:val="36"/>
        </w:rPr>
      </w:pPr>
      <w:r>
        <w:rPr>
          <w:rFonts w:eastAsia="黑体"/>
          <w:sz w:val="28"/>
          <w:szCs w:val="36"/>
        </w:rPr>
        <w:t>附件1</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8"/>
        <w:gridCol w:w="816"/>
        <w:gridCol w:w="979"/>
        <w:gridCol w:w="1718"/>
        <w:gridCol w:w="818"/>
        <w:gridCol w:w="859"/>
        <w:gridCol w:w="955"/>
        <w:gridCol w:w="1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000" w:type="pct"/>
            <w:gridSpan w:val="8"/>
            <w:tcBorders>
              <w:top w:val="nil"/>
              <w:left w:val="nil"/>
              <w:bottom w:val="nil"/>
              <w:right w:val="nil"/>
            </w:tcBorders>
            <w:noWrap/>
            <w:vAlign w:val="center"/>
          </w:tcPr>
          <w:p>
            <w:pPr>
              <w:widowControl/>
              <w:spacing w:line="440" w:lineRule="exact"/>
              <w:jc w:val="center"/>
              <w:textAlignment w:val="center"/>
              <w:rPr>
                <w:rFonts w:eastAsia="方正小标宋简体"/>
                <w:color w:val="000000"/>
                <w:sz w:val="36"/>
                <w:szCs w:val="36"/>
              </w:rPr>
            </w:pPr>
            <w:r>
              <w:rPr>
                <w:rFonts w:hint="eastAsia" w:eastAsia="方正小标宋简体"/>
                <w:color w:val="000000"/>
                <w:kern w:val="0"/>
                <w:sz w:val="36"/>
                <w:szCs w:val="36"/>
              </w:rPr>
              <w:t>船舶检测费</w:t>
            </w:r>
            <w:r>
              <w:rPr>
                <w:rFonts w:eastAsia="方正小标宋简体"/>
                <w:color w:val="000000"/>
                <w:kern w:val="0"/>
                <w:sz w:val="36"/>
                <w:szCs w:val="36"/>
              </w:rPr>
              <w:t>项目绩效目标自评表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5000" w:type="pct"/>
            <w:gridSpan w:val="8"/>
            <w:tcBorders>
              <w:top w:val="nil"/>
              <w:left w:val="nil"/>
              <w:bottom w:val="single" w:color="auto" w:sz="4" w:space="0"/>
              <w:right w:val="nil"/>
            </w:tcBorders>
            <w:noWrap/>
          </w:tcPr>
          <w:p>
            <w:pPr>
              <w:widowControl/>
              <w:spacing w:line="320" w:lineRule="exact"/>
              <w:jc w:val="center"/>
              <w:textAlignment w:val="top"/>
              <w:rPr>
                <w:color w:val="000000"/>
                <w:sz w:val="22"/>
                <w:szCs w:val="22"/>
              </w:rPr>
            </w:pPr>
            <w:r>
              <w:rPr>
                <w:color w:val="000000"/>
                <w:kern w:val="0"/>
                <w:sz w:val="22"/>
                <w:szCs w:val="22"/>
              </w:rPr>
              <w:t>（2022年度）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744" w:type="pct"/>
            <w:gridSpan w:val="3"/>
            <w:tcBorders>
              <w:top w:val="single" w:color="auto" w:sz="4" w:space="0"/>
            </w:tcBorders>
            <w:noWrap/>
            <w:vAlign w:val="center"/>
          </w:tcPr>
          <w:p>
            <w:pPr>
              <w:widowControl/>
              <w:spacing w:line="200" w:lineRule="exact"/>
              <w:jc w:val="center"/>
              <w:textAlignment w:val="center"/>
              <w:rPr>
                <w:color w:val="000000"/>
                <w:sz w:val="16"/>
                <w:szCs w:val="16"/>
              </w:rPr>
            </w:pPr>
            <w:r>
              <w:rPr>
                <w:color w:val="000000"/>
                <w:kern w:val="0"/>
                <w:sz w:val="16"/>
                <w:szCs w:val="16"/>
              </w:rPr>
              <w:t>项目（政策）名称</w:t>
            </w:r>
          </w:p>
        </w:tc>
        <w:tc>
          <w:tcPr>
            <w:tcW w:w="3255" w:type="pct"/>
            <w:gridSpan w:val="5"/>
            <w:tcBorders>
              <w:top w:val="single" w:color="auto" w:sz="4" w:space="0"/>
            </w:tcBorders>
            <w:noWrap/>
            <w:vAlign w:val="center"/>
          </w:tcPr>
          <w:p>
            <w:pPr>
              <w:widowControl/>
              <w:spacing w:line="200" w:lineRule="exact"/>
              <w:jc w:val="left"/>
              <w:rPr>
                <w:color w:val="000000"/>
                <w:sz w:val="16"/>
                <w:szCs w:val="16"/>
              </w:rPr>
            </w:pPr>
            <w:r>
              <w:rPr>
                <w:rFonts w:hint="eastAsia"/>
                <w:color w:val="000000"/>
                <w:sz w:val="16"/>
                <w:szCs w:val="16"/>
              </w:rPr>
              <w:t>船舶检测费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744" w:type="pct"/>
            <w:gridSpan w:val="3"/>
            <w:noWrap/>
            <w:vAlign w:val="center"/>
          </w:tcPr>
          <w:p>
            <w:pPr>
              <w:widowControl/>
              <w:spacing w:line="200" w:lineRule="exact"/>
              <w:jc w:val="center"/>
              <w:textAlignment w:val="center"/>
              <w:rPr>
                <w:color w:val="000000"/>
                <w:sz w:val="16"/>
                <w:szCs w:val="16"/>
              </w:rPr>
            </w:pPr>
            <w:r>
              <w:rPr>
                <w:color w:val="000000"/>
                <w:kern w:val="0"/>
                <w:sz w:val="16"/>
                <w:szCs w:val="16"/>
              </w:rPr>
              <w:t>项目主管部门</w:t>
            </w:r>
          </w:p>
        </w:tc>
        <w:tc>
          <w:tcPr>
            <w:tcW w:w="1487" w:type="pct"/>
            <w:gridSpan w:val="2"/>
            <w:noWrap/>
            <w:vAlign w:val="center"/>
          </w:tcPr>
          <w:p>
            <w:pPr>
              <w:widowControl/>
              <w:spacing w:line="200" w:lineRule="exact"/>
              <w:rPr>
                <w:color w:val="000000"/>
                <w:sz w:val="16"/>
                <w:szCs w:val="16"/>
              </w:rPr>
            </w:pPr>
            <w:r>
              <w:rPr>
                <w:rFonts w:hint="eastAsia"/>
                <w:color w:val="000000"/>
                <w:sz w:val="16"/>
                <w:szCs w:val="16"/>
              </w:rPr>
              <w:t>沐川县财政局</w:t>
            </w:r>
          </w:p>
        </w:tc>
        <w:tc>
          <w:tcPr>
            <w:tcW w:w="503" w:type="pct"/>
            <w:noWrap/>
            <w:vAlign w:val="center"/>
          </w:tcPr>
          <w:p>
            <w:pPr>
              <w:widowControl/>
              <w:spacing w:line="200" w:lineRule="exact"/>
              <w:jc w:val="center"/>
              <w:textAlignment w:val="center"/>
              <w:rPr>
                <w:color w:val="000000"/>
                <w:kern w:val="0"/>
                <w:sz w:val="16"/>
                <w:szCs w:val="16"/>
              </w:rPr>
            </w:pPr>
            <w:r>
              <w:rPr>
                <w:color w:val="000000"/>
                <w:kern w:val="0"/>
                <w:sz w:val="16"/>
                <w:szCs w:val="16"/>
              </w:rPr>
              <w:t>资金使用单位</w:t>
            </w:r>
          </w:p>
        </w:tc>
        <w:tc>
          <w:tcPr>
            <w:tcW w:w="1263" w:type="pct"/>
            <w:gridSpan w:val="2"/>
            <w:noWrap/>
            <w:vAlign w:val="center"/>
          </w:tcPr>
          <w:p>
            <w:pPr>
              <w:widowControl/>
              <w:spacing w:line="200" w:lineRule="exact"/>
              <w:jc w:val="center"/>
              <w:rPr>
                <w:color w:val="000000"/>
                <w:sz w:val="16"/>
                <w:szCs w:val="16"/>
              </w:rPr>
            </w:pPr>
            <w:r>
              <w:rPr>
                <w:rFonts w:hint="eastAsia"/>
                <w:color w:val="000000"/>
                <w:sz w:val="16"/>
                <w:szCs w:val="16"/>
              </w:rPr>
              <w:t>沐川县行政审批局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744" w:type="pct"/>
            <w:gridSpan w:val="3"/>
            <w:vMerge w:val="restart"/>
            <w:noWrap/>
            <w:vAlign w:val="center"/>
          </w:tcPr>
          <w:p>
            <w:pPr>
              <w:widowControl/>
              <w:spacing w:line="200" w:lineRule="exact"/>
              <w:jc w:val="center"/>
              <w:textAlignment w:val="center"/>
              <w:rPr>
                <w:color w:val="000000"/>
                <w:sz w:val="16"/>
                <w:szCs w:val="16"/>
              </w:rPr>
            </w:pPr>
            <w:r>
              <w:rPr>
                <w:color w:val="000000"/>
                <w:kern w:val="0"/>
                <w:sz w:val="16"/>
                <w:szCs w:val="16"/>
              </w:rPr>
              <w:t>项目资金</w:t>
            </w:r>
            <w:r>
              <w:rPr>
                <w:color w:val="000000"/>
                <w:kern w:val="0"/>
                <w:sz w:val="16"/>
                <w:szCs w:val="16"/>
              </w:rPr>
              <w:br w:type="textWrapping"/>
            </w:r>
            <w:r>
              <w:rPr>
                <w:color w:val="000000"/>
                <w:kern w:val="0"/>
                <w:sz w:val="16"/>
                <w:szCs w:val="16"/>
              </w:rPr>
              <w:t>（万元）</w:t>
            </w:r>
          </w:p>
        </w:tc>
        <w:tc>
          <w:tcPr>
            <w:tcW w:w="1007" w:type="pct"/>
            <w:noWrap/>
            <w:vAlign w:val="center"/>
          </w:tcPr>
          <w:p>
            <w:pPr>
              <w:widowControl/>
              <w:spacing w:line="200" w:lineRule="exact"/>
              <w:rPr>
                <w:color w:val="000000"/>
                <w:sz w:val="16"/>
                <w:szCs w:val="16"/>
              </w:rPr>
            </w:pPr>
          </w:p>
        </w:tc>
        <w:tc>
          <w:tcPr>
            <w:tcW w:w="479" w:type="pct"/>
            <w:noWrap/>
            <w:vAlign w:val="center"/>
          </w:tcPr>
          <w:p>
            <w:pPr>
              <w:widowControl/>
              <w:spacing w:line="200" w:lineRule="exact"/>
              <w:jc w:val="center"/>
              <w:textAlignment w:val="center"/>
              <w:rPr>
                <w:color w:val="000000"/>
                <w:sz w:val="16"/>
                <w:szCs w:val="16"/>
              </w:rPr>
            </w:pPr>
            <w:r>
              <w:rPr>
                <w:color w:val="000000"/>
                <w:kern w:val="0"/>
                <w:sz w:val="16"/>
                <w:szCs w:val="16"/>
              </w:rPr>
              <w:t>全年预算数</w:t>
            </w:r>
          </w:p>
        </w:tc>
        <w:tc>
          <w:tcPr>
            <w:tcW w:w="1064" w:type="pct"/>
            <w:gridSpan w:val="2"/>
            <w:noWrap/>
            <w:vAlign w:val="center"/>
          </w:tcPr>
          <w:p>
            <w:pPr>
              <w:widowControl/>
              <w:spacing w:line="200" w:lineRule="exact"/>
              <w:jc w:val="center"/>
              <w:textAlignment w:val="center"/>
              <w:rPr>
                <w:color w:val="000000"/>
                <w:sz w:val="16"/>
                <w:szCs w:val="16"/>
              </w:rPr>
            </w:pPr>
            <w:r>
              <w:rPr>
                <w:color w:val="000000"/>
                <w:kern w:val="0"/>
                <w:sz w:val="16"/>
                <w:szCs w:val="16"/>
              </w:rPr>
              <w:t>全年执行数</w:t>
            </w:r>
          </w:p>
        </w:tc>
        <w:tc>
          <w:tcPr>
            <w:tcW w:w="703" w:type="pct"/>
            <w:noWrap/>
            <w:vAlign w:val="center"/>
          </w:tcPr>
          <w:p>
            <w:pPr>
              <w:widowControl/>
              <w:spacing w:line="200" w:lineRule="exact"/>
              <w:jc w:val="center"/>
              <w:textAlignment w:val="center"/>
              <w:rPr>
                <w:color w:val="000000"/>
                <w:sz w:val="16"/>
                <w:szCs w:val="16"/>
              </w:rPr>
            </w:pPr>
            <w:r>
              <w:rPr>
                <w:color w:val="000000"/>
                <w:kern w:val="0"/>
                <w:sz w:val="16"/>
                <w:szCs w:val="16"/>
              </w:rPr>
              <w:t>预算执行率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744" w:type="pct"/>
            <w:gridSpan w:val="3"/>
            <w:vMerge w:val="continue"/>
            <w:noWrap/>
            <w:vAlign w:val="center"/>
          </w:tcPr>
          <w:p>
            <w:pPr>
              <w:widowControl/>
              <w:spacing w:line="200" w:lineRule="exact"/>
              <w:jc w:val="center"/>
              <w:rPr>
                <w:color w:val="000000"/>
                <w:sz w:val="16"/>
                <w:szCs w:val="16"/>
              </w:rPr>
            </w:pPr>
          </w:p>
        </w:tc>
        <w:tc>
          <w:tcPr>
            <w:tcW w:w="1007" w:type="pct"/>
            <w:noWrap/>
            <w:vAlign w:val="center"/>
          </w:tcPr>
          <w:p>
            <w:pPr>
              <w:widowControl/>
              <w:spacing w:line="200" w:lineRule="exact"/>
              <w:jc w:val="left"/>
              <w:textAlignment w:val="center"/>
              <w:rPr>
                <w:color w:val="000000"/>
                <w:sz w:val="16"/>
                <w:szCs w:val="16"/>
              </w:rPr>
            </w:pPr>
            <w:r>
              <w:rPr>
                <w:color w:val="000000"/>
                <w:kern w:val="0"/>
                <w:sz w:val="16"/>
                <w:szCs w:val="16"/>
              </w:rPr>
              <w:t>年度资金总额：</w:t>
            </w:r>
          </w:p>
        </w:tc>
        <w:tc>
          <w:tcPr>
            <w:tcW w:w="479" w:type="pct"/>
            <w:noWrap/>
            <w:vAlign w:val="center"/>
          </w:tcPr>
          <w:p>
            <w:pPr>
              <w:widowControl/>
              <w:spacing w:line="200" w:lineRule="exact"/>
              <w:jc w:val="center"/>
              <w:rPr>
                <w:color w:val="000000"/>
                <w:sz w:val="16"/>
                <w:szCs w:val="16"/>
              </w:rPr>
            </w:pPr>
          </w:p>
        </w:tc>
        <w:tc>
          <w:tcPr>
            <w:tcW w:w="1064" w:type="pct"/>
            <w:gridSpan w:val="2"/>
            <w:noWrap/>
            <w:vAlign w:val="center"/>
          </w:tcPr>
          <w:p>
            <w:pPr>
              <w:widowControl/>
              <w:spacing w:line="200" w:lineRule="exact"/>
              <w:jc w:val="center"/>
              <w:rPr>
                <w:color w:val="000000"/>
                <w:sz w:val="16"/>
                <w:szCs w:val="16"/>
              </w:rPr>
            </w:pPr>
          </w:p>
        </w:tc>
        <w:tc>
          <w:tcPr>
            <w:tcW w:w="703" w:type="pct"/>
            <w:noWrap/>
            <w:vAlign w:val="center"/>
          </w:tcPr>
          <w:p>
            <w:pPr>
              <w:widowControl/>
              <w:spacing w:line="200" w:lineRule="exact"/>
              <w:jc w:val="left"/>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744" w:type="pct"/>
            <w:gridSpan w:val="3"/>
            <w:vMerge w:val="continue"/>
            <w:noWrap/>
            <w:vAlign w:val="center"/>
          </w:tcPr>
          <w:p>
            <w:pPr>
              <w:widowControl/>
              <w:spacing w:line="200" w:lineRule="exact"/>
              <w:jc w:val="center"/>
              <w:rPr>
                <w:color w:val="000000"/>
                <w:sz w:val="16"/>
                <w:szCs w:val="16"/>
              </w:rPr>
            </w:pPr>
          </w:p>
        </w:tc>
        <w:tc>
          <w:tcPr>
            <w:tcW w:w="1007" w:type="pct"/>
            <w:noWrap/>
            <w:vAlign w:val="center"/>
          </w:tcPr>
          <w:p>
            <w:pPr>
              <w:widowControl/>
              <w:spacing w:line="200" w:lineRule="exact"/>
              <w:jc w:val="left"/>
              <w:textAlignment w:val="center"/>
              <w:rPr>
                <w:color w:val="000000"/>
                <w:sz w:val="16"/>
                <w:szCs w:val="16"/>
              </w:rPr>
            </w:pPr>
            <w:r>
              <w:rPr>
                <w:rStyle w:val="38"/>
                <w:rFonts w:hint="default" w:ascii="Times New Roman" w:hAnsi="Times New Roman" w:cs="Times New Roman"/>
              </w:rPr>
              <w:t>其中：中央、省补助</w:t>
            </w:r>
          </w:p>
        </w:tc>
        <w:tc>
          <w:tcPr>
            <w:tcW w:w="479" w:type="pct"/>
            <w:noWrap/>
            <w:vAlign w:val="center"/>
          </w:tcPr>
          <w:p>
            <w:pPr>
              <w:widowControl/>
              <w:spacing w:line="200" w:lineRule="exact"/>
              <w:jc w:val="center"/>
              <w:rPr>
                <w:color w:val="000000"/>
                <w:sz w:val="16"/>
                <w:szCs w:val="16"/>
              </w:rPr>
            </w:pPr>
          </w:p>
        </w:tc>
        <w:tc>
          <w:tcPr>
            <w:tcW w:w="1064" w:type="pct"/>
            <w:gridSpan w:val="2"/>
            <w:noWrap/>
            <w:vAlign w:val="center"/>
          </w:tcPr>
          <w:p>
            <w:pPr>
              <w:widowControl/>
              <w:spacing w:line="200" w:lineRule="exact"/>
              <w:jc w:val="center"/>
              <w:rPr>
                <w:color w:val="000000"/>
                <w:sz w:val="16"/>
                <w:szCs w:val="16"/>
              </w:rPr>
            </w:pPr>
          </w:p>
        </w:tc>
        <w:tc>
          <w:tcPr>
            <w:tcW w:w="703" w:type="pct"/>
            <w:noWrap/>
            <w:vAlign w:val="center"/>
          </w:tcPr>
          <w:p>
            <w:pPr>
              <w:widowControl/>
              <w:spacing w:line="200" w:lineRule="exact"/>
              <w:jc w:val="left"/>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744" w:type="pct"/>
            <w:gridSpan w:val="3"/>
            <w:vMerge w:val="continue"/>
            <w:noWrap/>
            <w:vAlign w:val="center"/>
          </w:tcPr>
          <w:p>
            <w:pPr>
              <w:widowControl/>
              <w:spacing w:line="200" w:lineRule="exact"/>
              <w:jc w:val="center"/>
              <w:rPr>
                <w:color w:val="000000"/>
                <w:sz w:val="16"/>
                <w:szCs w:val="16"/>
              </w:rPr>
            </w:pPr>
          </w:p>
        </w:tc>
        <w:tc>
          <w:tcPr>
            <w:tcW w:w="1007" w:type="pct"/>
            <w:noWrap/>
            <w:vAlign w:val="center"/>
          </w:tcPr>
          <w:p>
            <w:pPr>
              <w:widowControl/>
              <w:spacing w:line="200" w:lineRule="exact"/>
              <w:jc w:val="left"/>
              <w:textAlignment w:val="center"/>
              <w:rPr>
                <w:color w:val="000000"/>
                <w:sz w:val="16"/>
                <w:szCs w:val="16"/>
              </w:rPr>
            </w:pPr>
            <w:r>
              <w:rPr>
                <w:rStyle w:val="38"/>
                <w:rFonts w:hint="default" w:ascii="Times New Roman" w:hAnsi="Times New Roman" w:cs="Times New Roman"/>
              </w:rPr>
              <w:t xml:space="preserve">      市级财政资</w:t>
            </w:r>
          </w:p>
        </w:tc>
        <w:tc>
          <w:tcPr>
            <w:tcW w:w="479" w:type="pct"/>
            <w:noWrap/>
            <w:vAlign w:val="center"/>
          </w:tcPr>
          <w:p>
            <w:pPr>
              <w:widowControl/>
              <w:spacing w:line="200" w:lineRule="exact"/>
              <w:jc w:val="center"/>
              <w:rPr>
                <w:color w:val="000000"/>
                <w:sz w:val="16"/>
                <w:szCs w:val="16"/>
              </w:rPr>
            </w:pPr>
          </w:p>
        </w:tc>
        <w:tc>
          <w:tcPr>
            <w:tcW w:w="1064" w:type="pct"/>
            <w:gridSpan w:val="2"/>
            <w:noWrap/>
            <w:vAlign w:val="center"/>
          </w:tcPr>
          <w:p>
            <w:pPr>
              <w:widowControl/>
              <w:spacing w:line="200" w:lineRule="exact"/>
              <w:jc w:val="center"/>
              <w:rPr>
                <w:color w:val="000000"/>
                <w:sz w:val="16"/>
                <w:szCs w:val="16"/>
              </w:rPr>
            </w:pPr>
          </w:p>
        </w:tc>
        <w:tc>
          <w:tcPr>
            <w:tcW w:w="703" w:type="pct"/>
            <w:noWrap/>
            <w:vAlign w:val="center"/>
          </w:tcPr>
          <w:p>
            <w:pPr>
              <w:widowControl/>
              <w:spacing w:line="200" w:lineRule="exact"/>
              <w:jc w:val="left"/>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744" w:type="pct"/>
            <w:gridSpan w:val="3"/>
            <w:vMerge w:val="continue"/>
            <w:noWrap/>
            <w:vAlign w:val="center"/>
          </w:tcPr>
          <w:p>
            <w:pPr>
              <w:widowControl/>
              <w:spacing w:line="200" w:lineRule="exact"/>
              <w:jc w:val="center"/>
              <w:rPr>
                <w:color w:val="000000"/>
                <w:sz w:val="16"/>
                <w:szCs w:val="16"/>
              </w:rPr>
            </w:pPr>
          </w:p>
        </w:tc>
        <w:tc>
          <w:tcPr>
            <w:tcW w:w="1007" w:type="pct"/>
            <w:noWrap/>
            <w:vAlign w:val="center"/>
          </w:tcPr>
          <w:p>
            <w:pPr>
              <w:widowControl/>
              <w:spacing w:line="200" w:lineRule="exact"/>
              <w:jc w:val="left"/>
              <w:textAlignment w:val="center"/>
              <w:rPr>
                <w:color w:val="000000"/>
                <w:sz w:val="16"/>
                <w:szCs w:val="16"/>
              </w:rPr>
            </w:pPr>
            <w:r>
              <w:rPr>
                <w:color w:val="000000"/>
                <w:kern w:val="0"/>
                <w:sz w:val="16"/>
                <w:szCs w:val="16"/>
              </w:rPr>
              <w:t xml:space="preserve">      县级财政资</w:t>
            </w:r>
            <w:r>
              <w:rPr>
                <w:rFonts w:hint="eastAsia"/>
                <w:color w:val="000000"/>
                <w:kern w:val="0"/>
                <w:sz w:val="16"/>
                <w:szCs w:val="16"/>
              </w:rPr>
              <w:t>金</w:t>
            </w:r>
          </w:p>
        </w:tc>
        <w:tc>
          <w:tcPr>
            <w:tcW w:w="479" w:type="pct"/>
            <w:noWrap/>
            <w:vAlign w:val="center"/>
          </w:tcPr>
          <w:p>
            <w:pPr>
              <w:widowControl/>
              <w:spacing w:line="200" w:lineRule="exact"/>
              <w:jc w:val="center"/>
              <w:rPr>
                <w:color w:val="000000"/>
                <w:sz w:val="16"/>
                <w:szCs w:val="16"/>
              </w:rPr>
            </w:pPr>
            <w:r>
              <w:rPr>
                <w:rFonts w:hint="eastAsia"/>
                <w:color w:val="000000"/>
                <w:sz w:val="16"/>
                <w:szCs w:val="16"/>
              </w:rPr>
              <w:t>37500</w:t>
            </w:r>
          </w:p>
        </w:tc>
        <w:tc>
          <w:tcPr>
            <w:tcW w:w="1064" w:type="pct"/>
            <w:gridSpan w:val="2"/>
            <w:noWrap/>
            <w:vAlign w:val="center"/>
          </w:tcPr>
          <w:p>
            <w:pPr>
              <w:widowControl/>
              <w:spacing w:line="200" w:lineRule="exact"/>
              <w:jc w:val="center"/>
              <w:rPr>
                <w:color w:val="000000"/>
                <w:sz w:val="16"/>
                <w:szCs w:val="16"/>
              </w:rPr>
            </w:pPr>
            <w:r>
              <w:rPr>
                <w:rFonts w:hint="eastAsia"/>
                <w:color w:val="000000"/>
                <w:sz w:val="16"/>
                <w:szCs w:val="16"/>
              </w:rPr>
              <w:t>16525</w:t>
            </w:r>
          </w:p>
        </w:tc>
        <w:tc>
          <w:tcPr>
            <w:tcW w:w="703" w:type="pct"/>
            <w:noWrap/>
            <w:vAlign w:val="center"/>
          </w:tcPr>
          <w:p>
            <w:pPr>
              <w:widowControl/>
              <w:spacing w:line="200" w:lineRule="exact"/>
              <w:jc w:val="left"/>
              <w:rPr>
                <w:color w:val="000000"/>
                <w:sz w:val="16"/>
                <w:szCs w:val="16"/>
              </w:rPr>
            </w:pPr>
            <w:r>
              <w:rPr>
                <w:rFonts w:hint="eastAsia"/>
                <w:color w:val="000000"/>
                <w:sz w:val="16"/>
                <w:szCs w:val="16"/>
              </w:rP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744" w:type="pct"/>
            <w:gridSpan w:val="3"/>
            <w:vMerge w:val="continue"/>
            <w:noWrap/>
            <w:vAlign w:val="center"/>
          </w:tcPr>
          <w:p>
            <w:pPr>
              <w:widowControl/>
              <w:spacing w:line="200" w:lineRule="exact"/>
              <w:jc w:val="center"/>
              <w:rPr>
                <w:color w:val="000000"/>
                <w:sz w:val="16"/>
                <w:szCs w:val="16"/>
              </w:rPr>
            </w:pPr>
          </w:p>
        </w:tc>
        <w:tc>
          <w:tcPr>
            <w:tcW w:w="1007" w:type="pct"/>
            <w:noWrap/>
            <w:vAlign w:val="center"/>
          </w:tcPr>
          <w:p>
            <w:pPr>
              <w:widowControl/>
              <w:spacing w:line="200" w:lineRule="exact"/>
              <w:jc w:val="left"/>
              <w:textAlignment w:val="center"/>
              <w:rPr>
                <w:color w:val="000000"/>
                <w:sz w:val="16"/>
                <w:szCs w:val="16"/>
              </w:rPr>
            </w:pPr>
            <w:r>
              <w:rPr>
                <w:rStyle w:val="38"/>
                <w:rFonts w:hint="default" w:ascii="Times New Roman" w:hAnsi="Times New Roman" w:cs="Times New Roman"/>
              </w:rPr>
              <w:t xml:space="preserve"> 其他资金</w:t>
            </w:r>
          </w:p>
        </w:tc>
        <w:tc>
          <w:tcPr>
            <w:tcW w:w="479" w:type="pct"/>
            <w:noWrap/>
            <w:vAlign w:val="center"/>
          </w:tcPr>
          <w:p>
            <w:pPr>
              <w:widowControl/>
              <w:spacing w:line="200" w:lineRule="exact"/>
              <w:jc w:val="center"/>
              <w:rPr>
                <w:color w:val="000000"/>
                <w:sz w:val="16"/>
                <w:szCs w:val="16"/>
              </w:rPr>
            </w:pPr>
          </w:p>
        </w:tc>
        <w:tc>
          <w:tcPr>
            <w:tcW w:w="1064" w:type="pct"/>
            <w:gridSpan w:val="2"/>
            <w:noWrap/>
            <w:vAlign w:val="center"/>
          </w:tcPr>
          <w:p>
            <w:pPr>
              <w:widowControl/>
              <w:spacing w:line="200" w:lineRule="exact"/>
              <w:jc w:val="center"/>
              <w:rPr>
                <w:color w:val="000000"/>
                <w:sz w:val="16"/>
                <w:szCs w:val="16"/>
              </w:rPr>
            </w:pPr>
          </w:p>
        </w:tc>
        <w:tc>
          <w:tcPr>
            <w:tcW w:w="703" w:type="pct"/>
            <w:noWrap/>
            <w:vAlign w:val="center"/>
          </w:tcPr>
          <w:p>
            <w:pPr>
              <w:widowControl/>
              <w:spacing w:line="200" w:lineRule="exact"/>
              <w:jc w:val="left"/>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91" w:type="pct"/>
            <w:vMerge w:val="restart"/>
            <w:noWrap/>
            <w:vAlign w:val="center"/>
          </w:tcPr>
          <w:p>
            <w:pPr>
              <w:widowControl/>
              <w:spacing w:line="180" w:lineRule="exact"/>
              <w:jc w:val="center"/>
              <w:textAlignment w:val="center"/>
              <w:rPr>
                <w:color w:val="000000"/>
                <w:sz w:val="16"/>
                <w:szCs w:val="16"/>
              </w:rPr>
            </w:pPr>
            <w:r>
              <w:rPr>
                <w:color w:val="000000"/>
                <w:kern w:val="0"/>
                <w:sz w:val="16"/>
                <w:szCs w:val="16"/>
              </w:rPr>
              <w:t>总体目标完成情况</w:t>
            </w:r>
          </w:p>
        </w:tc>
        <w:tc>
          <w:tcPr>
            <w:tcW w:w="2541" w:type="pct"/>
            <w:gridSpan w:val="4"/>
            <w:noWrap/>
            <w:vAlign w:val="center"/>
          </w:tcPr>
          <w:p>
            <w:pPr>
              <w:widowControl/>
              <w:spacing w:line="200" w:lineRule="exact"/>
              <w:jc w:val="center"/>
              <w:textAlignment w:val="center"/>
              <w:rPr>
                <w:color w:val="000000"/>
                <w:sz w:val="16"/>
                <w:szCs w:val="16"/>
              </w:rPr>
            </w:pPr>
            <w:r>
              <w:rPr>
                <w:color w:val="000000"/>
                <w:kern w:val="0"/>
                <w:sz w:val="16"/>
                <w:szCs w:val="16"/>
              </w:rPr>
              <w:t>总体目标</w:t>
            </w:r>
          </w:p>
        </w:tc>
        <w:tc>
          <w:tcPr>
            <w:tcW w:w="1767" w:type="pct"/>
            <w:gridSpan w:val="3"/>
            <w:noWrap/>
            <w:vAlign w:val="center"/>
          </w:tcPr>
          <w:p>
            <w:pPr>
              <w:widowControl/>
              <w:spacing w:line="200" w:lineRule="exact"/>
              <w:jc w:val="center"/>
              <w:textAlignment w:val="center"/>
              <w:rPr>
                <w:color w:val="000000"/>
                <w:sz w:val="16"/>
                <w:szCs w:val="16"/>
              </w:rPr>
            </w:pPr>
            <w:r>
              <w:rPr>
                <w:color w:val="000000"/>
                <w:kern w:val="0"/>
                <w:sz w:val="16"/>
                <w:szCs w:val="16"/>
              </w:rPr>
              <w:t>全年实际完成情况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jc w:val="center"/>
        </w:trPr>
        <w:tc>
          <w:tcPr>
            <w:tcW w:w="691" w:type="pct"/>
            <w:vMerge w:val="continue"/>
            <w:noWrap/>
            <w:vAlign w:val="center"/>
          </w:tcPr>
          <w:p>
            <w:pPr>
              <w:widowControl/>
              <w:spacing w:line="200" w:lineRule="exact"/>
              <w:jc w:val="center"/>
              <w:rPr>
                <w:color w:val="000000"/>
                <w:sz w:val="16"/>
                <w:szCs w:val="16"/>
              </w:rPr>
            </w:pPr>
          </w:p>
        </w:tc>
        <w:tc>
          <w:tcPr>
            <w:tcW w:w="2541" w:type="pct"/>
            <w:gridSpan w:val="4"/>
            <w:noWrap/>
            <w:vAlign w:val="center"/>
          </w:tcPr>
          <w:p>
            <w:pPr>
              <w:widowControl/>
              <w:spacing w:line="200" w:lineRule="exact"/>
              <w:jc w:val="left"/>
              <w:rPr>
                <w:color w:val="000000"/>
                <w:sz w:val="10"/>
                <w:szCs w:val="10"/>
              </w:rPr>
            </w:pPr>
            <w:r>
              <w:rPr>
                <w:rFonts w:hint="eastAsia" w:eastAsia="楷体_GB2312"/>
                <w:sz w:val="15"/>
                <w:szCs w:val="15"/>
              </w:rPr>
              <w:t>全县船舶年检工作</w:t>
            </w:r>
          </w:p>
        </w:tc>
        <w:tc>
          <w:tcPr>
            <w:tcW w:w="1767" w:type="pct"/>
            <w:gridSpan w:val="3"/>
            <w:noWrap/>
            <w:vAlign w:val="center"/>
          </w:tcPr>
          <w:p>
            <w:pPr>
              <w:widowControl/>
              <w:spacing w:line="200" w:lineRule="exact"/>
              <w:jc w:val="left"/>
              <w:rPr>
                <w:color w:val="000000"/>
                <w:sz w:val="16"/>
                <w:szCs w:val="16"/>
              </w:rPr>
            </w:pPr>
            <w:r>
              <w:rPr>
                <w:rFonts w:hint="eastAsia"/>
                <w:color w:val="000000"/>
                <w:sz w:val="16"/>
                <w:szCs w:val="16"/>
              </w:rPr>
              <w:t>完成部分船舶年检工作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91" w:type="pct"/>
            <w:vMerge w:val="restart"/>
            <w:noWrap/>
            <w:textDirection w:val="tbRlV"/>
            <w:vAlign w:val="center"/>
          </w:tcPr>
          <w:p>
            <w:pPr>
              <w:widowControl/>
              <w:spacing w:line="200" w:lineRule="exact"/>
              <w:jc w:val="center"/>
              <w:textAlignment w:val="center"/>
              <w:rPr>
                <w:color w:val="000000"/>
                <w:sz w:val="16"/>
                <w:szCs w:val="16"/>
              </w:rPr>
            </w:pPr>
            <w:r>
              <w:rPr>
                <w:color w:val="000000"/>
                <w:kern w:val="0"/>
                <w:sz w:val="16"/>
                <w:szCs w:val="16"/>
              </w:rPr>
              <w:t>绩效指标</w:t>
            </w:r>
          </w:p>
        </w:tc>
        <w:tc>
          <w:tcPr>
            <w:tcW w:w="478" w:type="pct"/>
            <w:noWrap/>
            <w:vAlign w:val="center"/>
          </w:tcPr>
          <w:p>
            <w:pPr>
              <w:widowControl/>
              <w:spacing w:line="180" w:lineRule="exact"/>
              <w:jc w:val="center"/>
              <w:textAlignment w:val="center"/>
              <w:rPr>
                <w:color w:val="000000"/>
                <w:sz w:val="16"/>
                <w:szCs w:val="16"/>
              </w:rPr>
            </w:pPr>
            <w:r>
              <w:rPr>
                <w:color w:val="000000"/>
                <w:kern w:val="0"/>
                <w:sz w:val="16"/>
                <w:szCs w:val="16"/>
              </w:rPr>
              <w:t>一级</w:t>
            </w:r>
            <w:r>
              <w:rPr>
                <w:color w:val="000000"/>
                <w:kern w:val="0"/>
                <w:sz w:val="16"/>
                <w:szCs w:val="16"/>
              </w:rPr>
              <w:br w:type="textWrapping"/>
            </w:r>
            <w:r>
              <w:rPr>
                <w:color w:val="000000"/>
                <w:kern w:val="0"/>
                <w:sz w:val="16"/>
                <w:szCs w:val="16"/>
              </w:rPr>
              <w:t>指标</w:t>
            </w:r>
          </w:p>
        </w:tc>
        <w:tc>
          <w:tcPr>
            <w:tcW w:w="574" w:type="pct"/>
            <w:noWrap/>
            <w:vAlign w:val="center"/>
          </w:tcPr>
          <w:p>
            <w:pPr>
              <w:widowControl/>
              <w:spacing w:line="200" w:lineRule="exact"/>
              <w:jc w:val="center"/>
              <w:textAlignment w:val="center"/>
              <w:rPr>
                <w:color w:val="000000"/>
                <w:sz w:val="16"/>
                <w:szCs w:val="16"/>
              </w:rPr>
            </w:pPr>
            <w:r>
              <w:rPr>
                <w:color w:val="000000"/>
                <w:kern w:val="0"/>
                <w:sz w:val="16"/>
                <w:szCs w:val="16"/>
              </w:rPr>
              <w:t>二级指标</w:t>
            </w:r>
          </w:p>
        </w:tc>
        <w:tc>
          <w:tcPr>
            <w:tcW w:w="1487" w:type="pct"/>
            <w:gridSpan w:val="2"/>
            <w:noWrap/>
            <w:vAlign w:val="center"/>
          </w:tcPr>
          <w:p>
            <w:pPr>
              <w:widowControl/>
              <w:spacing w:line="200" w:lineRule="exact"/>
              <w:jc w:val="center"/>
              <w:textAlignment w:val="center"/>
              <w:rPr>
                <w:color w:val="000000"/>
                <w:sz w:val="16"/>
                <w:szCs w:val="16"/>
              </w:rPr>
            </w:pPr>
            <w:r>
              <w:rPr>
                <w:color w:val="000000"/>
                <w:kern w:val="0"/>
                <w:sz w:val="16"/>
                <w:szCs w:val="16"/>
              </w:rPr>
              <w:t>三级指标</w:t>
            </w:r>
          </w:p>
        </w:tc>
        <w:tc>
          <w:tcPr>
            <w:tcW w:w="503" w:type="pct"/>
            <w:noWrap/>
            <w:vAlign w:val="center"/>
          </w:tcPr>
          <w:p>
            <w:pPr>
              <w:widowControl/>
              <w:spacing w:line="200" w:lineRule="exact"/>
              <w:jc w:val="center"/>
              <w:textAlignment w:val="center"/>
              <w:rPr>
                <w:color w:val="000000"/>
                <w:sz w:val="16"/>
                <w:szCs w:val="16"/>
              </w:rPr>
            </w:pPr>
            <w:r>
              <w:rPr>
                <w:color w:val="000000"/>
                <w:kern w:val="0"/>
                <w:sz w:val="16"/>
                <w:szCs w:val="16"/>
              </w:rPr>
              <w:t>指标值</w:t>
            </w:r>
          </w:p>
        </w:tc>
        <w:tc>
          <w:tcPr>
            <w:tcW w:w="560" w:type="pct"/>
            <w:noWrap/>
            <w:vAlign w:val="center"/>
          </w:tcPr>
          <w:p>
            <w:pPr>
              <w:widowControl/>
              <w:spacing w:line="200" w:lineRule="exact"/>
              <w:jc w:val="center"/>
              <w:textAlignment w:val="center"/>
              <w:rPr>
                <w:color w:val="000000"/>
                <w:sz w:val="16"/>
                <w:szCs w:val="16"/>
              </w:rPr>
            </w:pPr>
            <w:r>
              <w:rPr>
                <w:color w:val="000000"/>
                <w:kern w:val="0"/>
                <w:sz w:val="16"/>
                <w:szCs w:val="16"/>
              </w:rPr>
              <w:t>全年实际完成值</w:t>
            </w:r>
          </w:p>
        </w:tc>
        <w:tc>
          <w:tcPr>
            <w:tcW w:w="703" w:type="pct"/>
            <w:noWrap/>
            <w:vAlign w:val="center"/>
          </w:tcPr>
          <w:p>
            <w:pPr>
              <w:widowControl/>
              <w:spacing w:line="200" w:lineRule="exact"/>
              <w:jc w:val="center"/>
              <w:textAlignment w:val="center"/>
              <w:rPr>
                <w:color w:val="000000"/>
                <w:sz w:val="16"/>
                <w:szCs w:val="16"/>
              </w:rPr>
            </w:pPr>
            <w:r>
              <w:rPr>
                <w:color w:val="000000"/>
                <w:kern w:val="0"/>
                <w:sz w:val="16"/>
                <w:szCs w:val="16"/>
              </w:rPr>
              <w:t>未完成原因和改进措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91" w:type="pct"/>
            <w:vMerge w:val="continue"/>
            <w:noWrap/>
            <w:textDirection w:val="tbRlV"/>
            <w:vAlign w:val="center"/>
          </w:tcPr>
          <w:p>
            <w:pPr>
              <w:widowControl/>
              <w:spacing w:line="200" w:lineRule="exact"/>
              <w:jc w:val="center"/>
              <w:rPr>
                <w:color w:val="000000"/>
                <w:sz w:val="16"/>
                <w:szCs w:val="16"/>
              </w:rPr>
            </w:pPr>
          </w:p>
        </w:tc>
        <w:tc>
          <w:tcPr>
            <w:tcW w:w="478" w:type="pct"/>
            <w:vMerge w:val="restart"/>
            <w:noWrap/>
            <w:vAlign w:val="center"/>
          </w:tcPr>
          <w:p>
            <w:pPr>
              <w:widowControl/>
              <w:spacing w:line="200" w:lineRule="exact"/>
              <w:jc w:val="center"/>
              <w:textAlignment w:val="center"/>
              <w:rPr>
                <w:color w:val="000000"/>
                <w:sz w:val="16"/>
                <w:szCs w:val="16"/>
              </w:rPr>
            </w:pPr>
            <w:r>
              <w:rPr>
                <w:color w:val="000000"/>
                <w:kern w:val="0"/>
                <w:sz w:val="16"/>
                <w:szCs w:val="16"/>
              </w:rPr>
              <w:t>产</w:t>
            </w:r>
            <w:r>
              <w:rPr>
                <w:color w:val="000000"/>
                <w:kern w:val="0"/>
                <w:sz w:val="16"/>
                <w:szCs w:val="16"/>
              </w:rPr>
              <w:br w:type="textWrapping"/>
            </w:r>
            <w:r>
              <w:rPr>
                <w:color w:val="000000"/>
                <w:kern w:val="0"/>
                <w:sz w:val="16"/>
                <w:szCs w:val="16"/>
              </w:rPr>
              <w:t>出</w:t>
            </w:r>
            <w:r>
              <w:rPr>
                <w:color w:val="000000"/>
                <w:kern w:val="0"/>
                <w:sz w:val="16"/>
                <w:szCs w:val="16"/>
              </w:rPr>
              <w:br w:type="textWrapping"/>
            </w:r>
            <w:r>
              <w:rPr>
                <w:color w:val="000000"/>
                <w:kern w:val="0"/>
                <w:sz w:val="16"/>
                <w:szCs w:val="16"/>
              </w:rPr>
              <w:t>指</w:t>
            </w:r>
            <w:r>
              <w:rPr>
                <w:color w:val="000000"/>
                <w:kern w:val="0"/>
                <w:sz w:val="16"/>
                <w:szCs w:val="16"/>
              </w:rPr>
              <w:br w:type="textWrapping"/>
            </w:r>
            <w:r>
              <w:rPr>
                <w:color w:val="000000"/>
                <w:kern w:val="0"/>
                <w:sz w:val="16"/>
                <w:szCs w:val="16"/>
              </w:rPr>
              <w:t>标</w:t>
            </w:r>
          </w:p>
        </w:tc>
        <w:tc>
          <w:tcPr>
            <w:tcW w:w="574" w:type="pct"/>
            <w:vMerge w:val="restart"/>
            <w:noWrap/>
            <w:vAlign w:val="center"/>
          </w:tcPr>
          <w:p>
            <w:pPr>
              <w:widowControl/>
              <w:spacing w:line="200" w:lineRule="exact"/>
              <w:jc w:val="center"/>
              <w:textAlignment w:val="center"/>
              <w:rPr>
                <w:color w:val="000000"/>
                <w:sz w:val="16"/>
                <w:szCs w:val="16"/>
              </w:rPr>
            </w:pPr>
            <w:r>
              <w:rPr>
                <w:color w:val="000000"/>
                <w:kern w:val="0"/>
                <w:sz w:val="16"/>
                <w:szCs w:val="16"/>
              </w:rPr>
              <w:t>数量指标</w:t>
            </w:r>
          </w:p>
        </w:tc>
        <w:tc>
          <w:tcPr>
            <w:tcW w:w="1487" w:type="pct"/>
            <w:gridSpan w:val="2"/>
            <w:noWrap/>
            <w:vAlign w:val="center"/>
          </w:tcPr>
          <w:p>
            <w:pPr>
              <w:widowControl/>
              <w:spacing w:line="200" w:lineRule="exact"/>
              <w:jc w:val="center"/>
              <w:rPr>
                <w:color w:val="000000"/>
                <w:sz w:val="16"/>
                <w:szCs w:val="16"/>
              </w:rPr>
            </w:pPr>
            <w:r>
              <w:rPr>
                <w:rFonts w:hint="eastAsia"/>
                <w:color w:val="000000"/>
                <w:sz w:val="16"/>
                <w:szCs w:val="16"/>
              </w:rPr>
              <w:t>评估报告数量</w:t>
            </w:r>
          </w:p>
        </w:tc>
        <w:tc>
          <w:tcPr>
            <w:tcW w:w="503" w:type="pct"/>
            <w:noWrap/>
            <w:vAlign w:val="center"/>
          </w:tcPr>
          <w:p>
            <w:pPr>
              <w:widowControl/>
              <w:spacing w:line="200" w:lineRule="exact"/>
              <w:jc w:val="center"/>
              <w:rPr>
                <w:color w:val="000000"/>
                <w:sz w:val="16"/>
                <w:szCs w:val="16"/>
              </w:rPr>
            </w:pPr>
            <w:r>
              <w:rPr>
                <w:rFonts w:hint="eastAsia"/>
                <w:color w:val="000000"/>
                <w:sz w:val="16"/>
                <w:szCs w:val="16"/>
              </w:rPr>
              <w:t>16</w:t>
            </w:r>
          </w:p>
        </w:tc>
        <w:tc>
          <w:tcPr>
            <w:tcW w:w="560" w:type="pct"/>
            <w:noWrap/>
            <w:vAlign w:val="center"/>
          </w:tcPr>
          <w:p>
            <w:pPr>
              <w:widowControl/>
              <w:spacing w:line="200" w:lineRule="exact"/>
              <w:rPr>
                <w:color w:val="000000"/>
                <w:sz w:val="16"/>
                <w:szCs w:val="16"/>
              </w:rPr>
            </w:pPr>
            <w:r>
              <w:rPr>
                <w:rFonts w:hint="eastAsia"/>
                <w:color w:val="000000"/>
                <w:sz w:val="16"/>
                <w:szCs w:val="16"/>
              </w:rPr>
              <w:t>8</w:t>
            </w:r>
          </w:p>
        </w:tc>
        <w:tc>
          <w:tcPr>
            <w:tcW w:w="703"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91" w:type="pct"/>
            <w:vMerge w:val="continue"/>
            <w:noWrap/>
            <w:textDirection w:val="tbRlV"/>
            <w:vAlign w:val="center"/>
          </w:tcPr>
          <w:p>
            <w:pPr>
              <w:widowControl/>
              <w:spacing w:line="200" w:lineRule="exact"/>
              <w:jc w:val="center"/>
              <w:rPr>
                <w:color w:val="000000"/>
                <w:sz w:val="16"/>
                <w:szCs w:val="16"/>
              </w:rPr>
            </w:pPr>
          </w:p>
        </w:tc>
        <w:tc>
          <w:tcPr>
            <w:tcW w:w="478" w:type="pct"/>
            <w:vMerge w:val="continue"/>
            <w:noWrap/>
            <w:vAlign w:val="center"/>
          </w:tcPr>
          <w:p>
            <w:pPr>
              <w:widowControl/>
              <w:spacing w:line="200" w:lineRule="exact"/>
              <w:jc w:val="center"/>
              <w:rPr>
                <w:color w:val="000000"/>
                <w:sz w:val="16"/>
                <w:szCs w:val="16"/>
              </w:rPr>
            </w:pPr>
          </w:p>
        </w:tc>
        <w:tc>
          <w:tcPr>
            <w:tcW w:w="574" w:type="pct"/>
            <w:vMerge w:val="continue"/>
            <w:noWrap/>
            <w:vAlign w:val="center"/>
          </w:tcPr>
          <w:p>
            <w:pPr>
              <w:widowControl/>
              <w:spacing w:line="200" w:lineRule="exact"/>
              <w:jc w:val="center"/>
              <w:rPr>
                <w:color w:val="000000"/>
                <w:sz w:val="16"/>
                <w:szCs w:val="16"/>
              </w:rPr>
            </w:pPr>
          </w:p>
        </w:tc>
        <w:tc>
          <w:tcPr>
            <w:tcW w:w="1487" w:type="pct"/>
            <w:gridSpan w:val="2"/>
            <w:noWrap/>
            <w:vAlign w:val="center"/>
          </w:tcPr>
          <w:p>
            <w:pPr>
              <w:widowControl/>
              <w:spacing w:line="200" w:lineRule="exact"/>
              <w:jc w:val="center"/>
              <w:rPr>
                <w:color w:val="000000"/>
                <w:sz w:val="16"/>
                <w:szCs w:val="16"/>
              </w:rPr>
            </w:pPr>
          </w:p>
        </w:tc>
        <w:tc>
          <w:tcPr>
            <w:tcW w:w="503" w:type="pct"/>
            <w:noWrap/>
            <w:vAlign w:val="center"/>
          </w:tcPr>
          <w:p>
            <w:pPr>
              <w:widowControl/>
              <w:spacing w:line="200" w:lineRule="exact"/>
              <w:jc w:val="center"/>
              <w:rPr>
                <w:color w:val="000000"/>
                <w:sz w:val="16"/>
                <w:szCs w:val="16"/>
              </w:rPr>
            </w:pPr>
          </w:p>
        </w:tc>
        <w:tc>
          <w:tcPr>
            <w:tcW w:w="560" w:type="pct"/>
            <w:noWrap/>
            <w:vAlign w:val="center"/>
          </w:tcPr>
          <w:p>
            <w:pPr>
              <w:widowControl/>
              <w:spacing w:line="200" w:lineRule="exact"/>
              <w:rPr>
                <w:color w:val="000000"/>
                <w:sz w:val="16"/>
                <w:szCs w:val="16"/>
              </w:rPr>
            </w:pPr>
          </w:p>
        </w:tc>
        <w:tc>
          <w:tcPr>
            <w:tcW w:w="703"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91" w:type="pct"/>
            <w:vMerge w:val="continue"/>
            <w:noWrap/>
            <w:textDirection w:val="tbRlV"/>
            <w:vAlign w:val="center"/>
          </w:tcPr>
          <w:p>
            <w:pPr>
              <w:widowControl/>
              <w:spacing w:line="200" w:lineRule="exact"/>
              <w:jc w:val="center"/>
              <w:rPr>
                <w:color w:val="000000"/>
                <w:sz w:val="16"/>
                <w:szCs w:val="16"/>
              </w:rPr>
            </w:pPr>
          </w:p>
        </w:tc>
        <w:tc>
          <w:tcPr>
            <w:tcW w:w="478" w:type="pct"/>
            <w:vMerge w:val="continue"/>
            <w:noWrap/>
            <w:vAlign w:val="center"/>
          </w:tcPr>
          <w:p>
            <w:pPr>
              <w:widowControl/>
              <w:spacing w:line="200" w:lineRule="exact"/>
              <w:jc w:val="center"/>
              <w:rPr>
                <w:color w:val="000000"/>
                <w:sz w:val="16"/>
                <w:szCs w:val="16"/>
              </w:rPr>
            </w:pPr>
          </w:p>
        </w:tc>
        <w:tc>
          <w:tcPr>
            <w:tcW w:w="574" w:type="pct"/>
            <w:vMerge w:val="restart"/>
            <w:noWrap/>
            <w:vAlign w:val="center"/>
          </w:tcPr>
          <w:p>
            <w:pPr>
              <w:widowControl/>
              <w:spacing w:line="200" w:lineRule="exact"/>
              <w:jc w:val="center"/>
              <w:textAlignment w:val="center"/>
              <w:rPr>
                <w:color w:val="000000"/>
                <w:sz w:val="16"/>
                <w:szCs w:val="16"/>
              </w:rPr>
            </w:pPr>
            <w:r>
              <w:rPr>
                <w:color w:val="000000"/>
                <w:kern w:val="0"/>
                <w:sz w:val="16"/>
                <w:szCs w:val="16"/>
              </w:rPr>
              <w:t>质量指标</w:t>
            </w:r>
          </w:p>
        </w:tc>
        <w:tc>
          <w:tcPr>
            <w:tcW w:w="1487" w:type="pct"/>
            <w:gridSpan w:val="2"/>
            <w:noWrap/>
            <w:vAlign w:val="center"/>
          </w:tcPr>
          <w:p>
            <w:pPr>
              <w:widowControl/>
              <w:spacing w:line="200" w:lineRule="exact"/>
              <w:jc w:val="center"/>
              <w:rPr>
                <w:color w:val="000000"/>
                <w:sz w:val="16"/>
                <w:szCs w:val="16"/>
              </w:rPr>
            </w:pPr>
            <w:r>
              <w:rPr>
                <w:rFonts w:hint="eastAsia"/>
                <w:color w:val="000000"/>
                <w:sz w:val="16"/>
                <w:szCs w:val="16"/>
              </w:rPr>
              <w:t>给据类群众来信签收核对率</w:t>
            </w:r>
          </w:p>
        </w:tc>
        <w:tc>
          <w:tcPr>
            <w:tcW w:w="503" w:type="pct"/>
            <w:noWrap/>
            <w:vAlign w:val="center"/>
          </w:tcPr>
          <w:p>
            <w:pPr>
              <w:widowControl/>
              <w:spacing w:line="200" w:lineRule="exact"/>
              <w:jc w:val="center"/>
              <w:rPr>
                <w:color w:val="000000"/>
                <w:sz w:val="16"/>
                <w:szCs w:val="16"/>
              </w:rPr>
            </w:pPr>
            <w:r>
              <w:rPr>
                <w:rFonts w:hint="eastAsia"/>
                <w:color w:val="000000"/>
                <w:sz w:val="16"/>
                <w:szCs w:val="16"/>
              </w:rPr>
              <w:t>10</w:t>
            </w:r>
          </w:p>
        </w:tc>
        <w:tc>
          <w:tcPr>
            <w:tcW w:w="560" w:type="pct"/>
            <w:noWrap/>
            <w:vAlign w:val="center"/>
          </w:tcPr>
          <w:p>
            <w:pPr>
              <w:widowControl/>
              <w:spacing w:line="200" w:lineRule="exact"/>
              <w:rPr>
                <w:color w:val="000000"/>
                <w:sz w:val="16"/>
                <w:szCs w:val="16"/>
              </w:rPr>
            </w:pPr>
            <w:r>
              <w:rPr>
                <w:rFonts w:hint="eastAsia"/>
                <w:color w:val="000000"/>
                <w:sz w:val="16"/>
                <w:szCs w:val="16"/>
              </w:rPr>
              <w:t>10</w:t>
            </w:r>
          </w:p>
        </w:tc>
        <w:tc>
          <w:tcPr>
            <w:tcW w:w="703"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91" w:type="pct"/>
            <w:vMerge w:val="continue"/>
            <w:noWrap/>
            <w:textDirection w:val="tbRlV"/>
            <w:vAlign w:val="center"/>
          </w:tcPr>
          <w:p>
            <w:pPr>
              <w:widowControl/>
              <w:spacing w:line="200" w:lineRule="exact"/>
              <w:jc w:val="center"/>
              <w:rPr>
                <w:color w:val="000000"/>
                <w:sz w:val="16"/>
                <w:szCs w:val="16"/>
              </w:rPr>
            </w:pPr>
          </w:p>
        </w:tc>
        <w:tc>
          <w:tcPr>
            <w:tcW w:w="478" w:type="pct"/>
            <w:vMerge w:val="continue"/>
            <w:noWrap/>
            <w:vAlign w:val="center"/>
          </w:tcPr>
          <w:p>
            <w:pPr>
              <w:widowControl/>
              <w:spacing w:line="200" w:lineRule="exact"/>
              <w:jc w:val="center"/>
              <w:rPr>
                <w:color w:val="000000"/>
                <w:sz w:val="16"/>
                <w:szCs w:val="16"/>
              </w:rPr>
            </w:pPr>
          </w:p>
        </w:tc>
        <w:tc>
          <w:tcPr>
            <w:tcW w:w="574" w:type="pct"/>
            <w:vMerge w:val="continue"/>
            <w:noWrap/>
            <w:vAlign w:val="center"/>
          </w:tcPr>
          <w:p>
            <w:pPr>
              <w:widowControl/>
              <w:spacing w:line="200" w:lineRule="exact"/>
              <w:jc w:val="center"/>
              <w:rPr>
                <w:color w:val="000000"/>
                <w:sz w:val="16"/>
                <w:szCs w:val="16"/>
              </w:rPr>
            </w:pPr>
          </w:p>
        </w:tc>
        <w:tc>
          <w:tcPr>
            <w:tcW w:w="1487" w:type="pct"/>
            <w:gridSpan w:val="2"/>
            <w:noWrap/>
            <w:vAlign w:val="center"/>
          </w:tcPr>
          <w:p>
            <w:pPr>
              <w:widowControl/>
              <w:spacing w:line="200" w:lineRule="exact"/>
              <w:jc w:val="center"/>
              <w:rPr>
                <w:color w:val="000000"/>
                <w:sz w:val="16"/>
                <w:szCs w:val="16"/>
              </w:rPr>
            </w:pPr>
          </w:p>
        </w:tc>
        <w:tc>
          <w:tcPr>
            <w:tcW w:w="503" w:type="pct"/>
            <w:noWrap/>
            <w:vAlign w:val="center"/>
          </w:tcPr>
          <w:p>
            <w:pPr>
              <w:widowControl/>
              <w:spacing w:line="200" w:lineRule="exact"/>
              <w:jc w:val="center"/>
              <w:rPr>
                <w:color w:val="000000"/>
                <w:sz w:val="16"/>
                <w:szCs w:val="16"/>
              </w:rPr>
            </w:pPr>
          </w:p>
        </w:tc>
        <w:tc>
          <w:tcPr>
            <w:tcW w:w="560" w:type="pct"/>
            <w:noWrap/>
            <w:vAlign w:val="center"/>
          </w:tcPr>
          <w:p>
            <w:pPr>
              <w:widowControl/>
              <w:spacing w:line="200" w:lineRule="exact"/>
              <w:rPr>
                <w:color w:val="000000"/>
                <w:sz w:val="16"/>
                <w:szCs w:val="16"/>
              </w:rPr>
            </w:pPr>
          </w:p>
        </w:tc>
        <w:tc>
          <w:tcPr>
            <w:tcW w:w="703"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91" w:type="pct"/>
            <w:vMerge w:val="continue"/>
            <w:noWrap/>
            <w:textDirection w:val="tbRlV"/>
            <w:vAlign w:val="center"/>
          </w:tcPr>
          <w:p>
            <w:pPr>
              <w:widowControl/>
              <w:spacing w:line="200" w:lineRule="exact"/>
              <w:jc w:val="center"/>
              <w:rPr>
                <w:color w:val="000000"/>
                <w:sz w:val="16"/>
                <w:szCs w:val="16"/>
              </w:rPr>
            </w:pPr>
          </w:p>
        </w:tc>
        <w:tc>
          <w:tcPr>
            <w:tcW w:w="478" w:type="pct"/>
            <w:vMerge w:val="continue"/>
            <w:noWrap/>
            <w:vAlign w:val="center"/>
          </w:tcPr>
          <w:p>
            <w:pPr>
              <w:widowControl/>
              <w:spacing w:line="200" w:lineRule="exact"/>
              <w:jc w:val="center"/>
              <w:rPr>
                <w:color w:val="000000"/>
                <w:sz w:val="16"/>
                <w:szCs w:val="16"/>
              </w:rPr>
            </w:pPr>
          </w:p>
        </w:tc>
        <w:tc>
          <w:tcPr>
            <w:tcW w:w="574" w:type="pct"/>
            <w:vMerge w:val="restart"/>
            <w:noWrap/>
            <w:vAlign w:val="center"/>
          </w:tcPr>
          <w:p>
            <w:pPr>
              <w:widowControl/>
              <w:spacing w:line="200" w:lineRule="exact"/>
              <w:jc w:val="center"/>
              <w:textAlignment w:val="center"/>
              <w:rPr>
                <w:color w:val="000000"/>
                <w:sz w:val="16"/>
                <w:szCs w:val="16"/>
              </w:rPr>
            </w:pPr>
            <w:r>
              <w:rPr>
                <w:color w:val="000000"/>
                <w:kern w:val="0"/>
                <w:sz w:val="16"/>
                <w:szCs w:val="16"/>
              </w:rPr>
              <w:t>时效指标</w:t>
            </w:r>
          </w:p>
        </w:tc>
        <w:tc>
          <w:tcPr>
            <w:tcW w:w="1487" w:type="pct"/>
            <w:gridSpan w:val="2"/>
            <w:noWrap/>
            <w:vAlign w:val="center"/>
          </w:tcPr>
          <w:p>
            <w:pPr>
              <w:widowControl/>
              <w:spacing w:line="200" w:lineRule="exact"/>
              <w:jc w:val="center"/>
              <w:rPr>
                <w:color w:val="000000"/>
                <w:sz w:val="16"/>
                <w:szCs w:val="16"/>
              </w:rPr>
            </w:pPr>
            <w:r>
              <w:rPr>
                <w:rFonts w:hint="eastAsia"/>
                <w:color w:val="000000"/>
                <w:sz w:val="16"/>
                <w:szCs w:val="16"/>
              </w:rPr>
              <w:t>评估报告按时完成率</w:t>
            </w:r>
          </w:p>
        </w:tc>
        <w:tc>
          <w:tcPr>
            <w:tcW w:w="503" w:type="pct"/>
            <w:noWrap/>
            <w:vAlign w:val="center"/>
          </w:tcPr>
          <w:p>
            <w:pPr>
              <w:widowControl/>
              <w:spacing w:line="200" w:lineRule="exact"/>
              <w:jc w:val="center"/>
              <w:rPr>
                <w:color w:val="000000"/>
                <w:sz w:val="16"/>
                <w:szCs w:val="16"/>
              </w:rPr>
            </w:pPr>
            <w:r>
              <w:rPr>
                <w:rFonts w:hint="eastAsia"/>
                <w:color w:val="000000"/>
                <w:sz w:val="16"/>
                <w:szCs w:val="16"/>
              </w:rPr>
              <w:t>8</w:t>
            </w:r>
          </w:p>
        </w:tc>
        <w:tc>
          <w:tcPr>
            <w:tcW w:w="560" w:type="pct"/>
            <w:noWrap/>
            <w:vAlign w:val="center"/>
          </w:tcPr>
          <w:p>
            <w:pPr>
              <w:widowControl/>
              <w:spacing w:line="200" w:lineRule="exact"/>
              <w:rPr>
                <w:color w:val="000000"/>
                <w:sz w:val="16"/>
                <w:szCs w:val="16"/>
              </w:rPr>
            </w:pPr>
            <w:r>
              <w:rPr>
                <w:rFonts w:hint="eastAsia"/>
                <w:color w:val="000000"/>
                <w:sz w:val="16"/>
                <w:szCs w:val="16"/>
              </w:rPr>
              <w:t>8</w:t>
            </w:r>
          </w:p>
        </w:tc>
        <w:tc>
          <w:tcPr>
            <w:tcW w:w="703"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91" w:type="pct"/>
            <w:vMerge w:val="continue"/>
            <w:noWrap/>
            <w:textDirection w:val="tbRlV"/>
            <w:vAlign w:val="center"/>
          </w:tcPr>
          <w:p>
            <w:pPr>
              <w:widowControl/>
              <w:spacing w:line="200" w:lineRule="exact"/>
              <w:jc w:val="center"/>
              <w:rPr>
                <w:color w:val="000000"/>
                <w:sz w:val="16"/>
                <w:szCs w:val="16"/>
              </w:rPr>
            </w:pPr>
          </w:p>
        </w:tc>
        <w:tc>
          <w:tcPr>
            <w:tcW w:w="478" w:type="pct"/>
            <w:vMerge w:val="continue"/>
            <w:noWrap/>
            <w:vAlign w:val="center"/>
          </w:tcPr>
          <w:p>
            <w:pPr>
              <w:widowControl/>
              <w:spacing w:line="200" w:lineRule="exact"/>
              <w:jc w:val="center"/>
              <w:rPr>
                <w:color w:val="000000"/>
                <w:sz w:val="16"/>
                <w:szCs w:val="16"/>
              </w:rPr>
            </w:pPr>
          </w:p>
        </w:tc>
        <w:tc>
          <w:tcPr>
            <w:tcW w:w="574" w:type="pct"/>
            <w:vMerge w:val="continue"/>
            <w:noWrap/>
            <w:vAlign w:val="center"/>
          </w:tcPr>
          <w:p>
            <w:pPr>
              <w:widowControl/>
              <w:spacing w:line="200" w:lineRule="exact"/>
              <w:jc w:val="center"/>
              <w:rPr>
                <w:color w:val="000000"/>
                <w:sz w:val="16"/>
                <w:szCs w:val="16"/>
              </w:rPr>
            </w:pPr>
          </w:p>
        </w:tc>
        <w:tc>
          <w:tcPr>
            <w:tcW w:w="1487" w:type="pct"/>
            <w:gridSpan w:val="2"/>
            <w:noWrap/>
            <w:vAlign w:val="center"/>
          </w:tcPr>
          <w:p>
            <w:pPr>
              <w:widowControl/>
              <w:spacing w:line="200" w:lineRule="exact"/>
              <w:jc w:val="center"/>
              <w:rPr>
                <w:color w:val="000000"/>
                <w:sz w:val="16"/>
                <w:szCs w:val="16"/>
              </w:rPr>
            </w:pPr>
          </w:p>
        </w:tc>
        <w:tc>
          <w:tcPr>
            <w:tcW w:w="503" w:type="pct"/>
            <w:noWrap/>
            <w:vAlign w:val="center"/>
          </w:tcPr>
          <w:p>
            <w:pPr>
              <w:widowControl/>
              <w:spacing w:line="200" w:lineRule="exact"/>
              <w:jc w:val="center"/>
              <w:rPr>
                <w:color w:val="000000"/>
                <w:sz w:val="16"/>
                <w:szCs w:val="16"/>
              </w:rPr>
            </w:pPr>
          </w:p>
        </w:tc>
        <w:tc>
          <w:tcPr>
            <w:tcW w:w="560" w:type="pct"/>
            <w:noWrap/>
            <w:vAlign w:val="center"/>
          </w:tcPr>
          <w:p>
            <w:pPr>
              <w:widowControl/>
              <w:spacing w:line="200" w:lineRule="exact"/>
              <w:rPr>
                <w:color w:val="000000"/>
                <w:sz w:val="16"/>
                <w:szCs w:val="16"/>
              </w:rPr>
            </w:pPr>
          </w:p>
        </w:tc>
        <w:tc>
          <w:tcPr>
            <w:tcW w:w="703"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91" w:type="pct"/>
            <w:vMerge w:val="continue"/>
            <w:noWrap/>
            <w:textDirection w:val="tbRlV"/>
            <w:vAlign w:val="center"/>
          </w:tcPr>
          <w:p>
            <w:pPr>
              <w:widowControl/>
              <w:spacing w:line="200" w:lineRule="exact"/>
              <w:jc w:val="center"/>
              <w:rPr>
                <w:color w:val="000000"/>
                <w:sz w:val="16"/>
                <w:szCs w:val="16"/>
              </w:rPr>
            </w:pPr>
          </w:p>
        </w:tc>
        <w:tc>
          <w:tcPr>
            <w:tcW w:w="478" w:type="pct"/>
            <w:vMerge w:val="continue"/>
            <w:noWrap/>
            <w:vAlign w:val="center"/>
          </w:tcPr>
          <w:p>
            <w:pPr>
              <w:widowControl/>
              <w:spacing w:line="200" w:lineRule="exact"/>
              <w:jc w:val="center"/>
              <w:rPr>
                <w:color w:val="000000"/>
                <w:sz w:val="16"/>
                <w:szCs w:val="16"/>
              </w:rPr>
            </w:pPr>
          </w:p>
        </w:tc>
        <w:tc>
          <w:tcPr>
            <w:tcW w:w="574" w:type="pct"/>
            <w:vMerge w:val="restart"/>
            <w:noWrap/>
            <w:vAlign w:val="center"/>
          </w:tcPr>
          <w:p>
            <w:pPr>
              <w:widowControl/>
              <w:spacing w:line="200" w:lineRule="exact"/>
              <w:jc w:val="center"/>
              <w:textAlignment w:val="center"/>
              <w:rPr>
                <w:color w:val="000000"/>
                <w:sz w:val="16"/>
                <w:szCs w:val="16"/>
              </w:rPr>
            </w:pPr>
            <w:r>
              <w:rPr>
                <w:color w:val="000000"/>
                <w:kern w:val="0"/>
                <w:sz w:val="16"/>
                <w:szCs w:val="16"/>
              </w:rPr>
              <w:t>成本指标</w:t>
            </w:r>
          </w:p>
        </w:tc>
        <w:tc>
          <w:tcPr>
            <w:tcW w:w="1487" w:type="pct"/>
            <w:gridSpan w:val="2"/>
            <w:noWrap/>
            <w:vAlign w:val="center"/>
          </w:tcPr>
          <w:p>
            <w:pPr>
              <w:widowControl/>
              <w:spacing w:line="200" w:lineRule="exact"/>
              <w:jc w:val="center"/>
              <w:rPr>
                <w:color w:val="000000"/>
                <w:sz w:val="16"/>
                <w:szCs w:val="16"/>
              </w:rPr>
            </w:pPr>
          </w:p>
        </w:tc>
        <w:tc>
          <w:tcPr>
            <w:tcW w:w="503" w:type="pct"/>
            <w:noWrap/>
            <w:vAlign w:val="center"/>
          </w:tcPr>
          <w:p>
            <w:pPr>
              <w:widowControl/>
              <w:spacing w:line="200" w:lineRule="exact"/>
              <w:jc w:val="center"/>
              <w:rPr>
                <w:color w:val="000000"/>
                <w:sz w:val="16"/>
                <w:szCs w:val="16"/>
              </w:rPr>
            </w:pPr>
          </w:p>
        </w:tc>
        <w:tc>
          <w:tcPr>
            <w:tcW w:w="560" w:type="pct"/>
            <w:noWrap/>
            <w:vAlign w:val="center"/>
          </w:tcPr>
          <w:p>
            <w:pPr>
              <w:widowControl/>
              <w:spacing w:line="200" w:lineRule="exact"/>
              <w:rPr>
                <w:color w:val="000000"/>
                <w:sz w:val="16"/>
                <w:szCs w:val="16"/>
              </w:rPr>
            </w:pPr>
          </w:p>
        </w:tc>
        <w:tc>
          <w:tcPr>
            <w:tcW w:w="703"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91" w:type="pct"/>
            <w:vMerge w:val="continue"/>
            <w:noWrap/>
            <w:textDirection w:val="tbRlV"/>
            <w:vAlign w:val="center"/>
          </w:tcPr>
          <w:p>
            <w:pPr>
              <w:widowControl/>
              <w:spacing w:line="200" w:lineRule="exact"/>
              <w:jc w:val="center"/>
              <w:rPr>
                <w:color w:val="000000"/>
                <w:sz w:val="16"/>
                <w:szCs w:val="16"/>
              </w:rPr>
            </w:pPr>
          </w:p>
        </w:tc>
        <w:tc>
          <w:tcPr>
            <w:tcW w:w="478" w:type="pct"/>
            <w:vMerge w:val="continue"/>
            <w:noWrap/>
            <w:vAlign w:val="center"/>
          </w:tcPr>
          <w:p>
            <w:pPr>
              <w:widowControl/>
              <w:spacing w:line="200" w:lineRule="exact"/>
              <w:jc w:val="center"/>
              <w:rPr>
                <w:color w:val="000000"/>
                <w:sz w:val="16"/>
                <w:szCs w:val="16"/>
              </w:rPr>
            </w:pPr>
          </w:p>
        </w:tc>
        <w:tc>
          <w:tcPr>
            <w:tcW w:w="574" w:type="pct"/>
            <w:vMerge w:val="continue"/>
            <w:noWrap/>
            <w:vAlign w:val="center"/>
          </w:tcPr>
          <w:p>
            <w:pPr>
              <w:widowControl/>
              <w:spacing w:line="200" w:lineRule="exact"/>
              <w:jc w:val="center"/>
              <w:rPr>
                <w:color w:val="000000"/>
                <w:sz w:val="16"/>
                <w:szCs w:val="16"/>
              </w:rPr>
            </w:pPr>
          </w:p>
        </w:tc>
        <w:tc>
          <w:tcPr>
            <w:tcW w:w="1487" w:type="pct"/>
            <w:gridSpan w:val="2"/>
            <w:noWrap/>
            <w:vAlign w:val="center"/>
          </w:tcPr>
          <w:p>
            <w:pPr>
              <w:widowControl/>
              <w:spacing w:line="200" w:lineRule="exact"/>
              <w:jc w:val="center"/>
              <w:rPr>
                <w:color w:val="000000"/>
                <w:sz w:val="16"/>
                <w:szCs w:val="16"/>
              </w:rPr>
            </w:pPr>
          </w:p>
        </w:tc>
        <w:tc>
          <w:tcPr>
            <w:tcW w:w="503" w:type="pct"/>
            <w:noWrap/>
            <w:vAlign w:val="center"/>
          </w:tcPr>
          <w:p>
            <w:pPr>
              <w:widowControl/>
              <w:spacing w:line="200" w:lineRule="exact"/>
              <w:jc w:val="center"/>
              <w:rPr>
                <w:color w:val="000000"/>
                <w:sz w:val="16"/>
                <w:szCs w:val="16"/>
              </w:rPr>
            </w:pPr>
          </w:p>
        </w:tc>
        <w:tc>
          <w:tcPr>
            <w:tcW w:w="560" w:type="pct"/>
            <w:noWrap/>
            <w:vAlign w:val="center"/>
          </w:tcPr>
          <w:p>
            <w:pPr>
              <w:widowControl/>
              <w:spacing w:line="200" w:lineRule="exact"/>
              <w:rPr>
                <w:color w:val="000000"/>
                <w:sz w:val="16"/>
                <w:szCs w:val="16"/>
              </w:rPr>
            </w:pPr>
          </w:p>
        </w:tc>
        <w:tc>
          <w:tcPr>
            <w:tcW w:w="703"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91" w:type="pct"/>
            <w:vMerge w:val="continue"/>
            <w:noWrap/>
            <w:textDirection w:val="tbRlV"/>
            <w:vAlign w:val="center"/>
          </w:tcPr>
          <w:p>
            <w:pPr>
              <w:widowControl/>
              <w:spacing w:line="200" w:lineRule="exact"/>
              <w:jc w:val="center"/>
              <w:rPr>
                <w:color w:val="000000"/>
                <w:sz w:val="16"/>
                <w:szCs w:val="16"/>
              </w:rPr>
            </w:pPr>
          </w:p>
        </w:tc>
        <w:tc>
          <w:tcPr>
            <w:tcW w:w="478" w:type="pct"/>
            <w:vMerge w:val="continue"/>
            <w:noWrap/>
            <w:vAlign w:val="center"/>
          </w:tcPr>
          <w:p>
            <w:pPr>
              <w:widowControl/>
              <w:spacing w:line="200" w:lineRule="exact"/>
              <w:jc w:val="center"/>
              <w:rPr>
                <w:color w:val="000000"/>
                <w:sz w:val="16"/>
                <w:szCs w:val="16"/>
              </w:rPr>
            </w:pPr>
          </w:p>
        </w:tc>
        <w:tc>
          <w:tcPr>
            <w:tcW w:w="574" w:type="pct"/>
            <w:noWrap/>
            <w:vAlign w:val="center"/>
          </w:tcPr>
          <w:p>
            <w:pPr>
              <w:widowControl/>
              <w:spacing w:line="200" w:lineRule="exact"/>
              <w:jc w:val="center"/>
              <w:textAlignment w:val="center"/>
              <w:rPr>
                <w:color w:val="000000"/>
                <w:sz w:val="16"/>
                <w:szCs w:val="16"/>
              </w:rPr>
            </w:pPr>
            <w:r>
              <w:rPr>
                <w:color w:val="000000"/>
                <w:kern w:val="0"/>
                <w:sz w:val="16"/>
                <w:szCs w:val="16"/>
              </w:rPr>
              <w:t>……</w:t>
            </w:r>
          </w:p>
        </w:tc>
        <w:tc>
          <w:tcPr>
            <w:tcW w:w="1487" w:type="pct"/>
            <w:gridSpan w:val="2"/>
            <w:noWrap/>
            <w:vAlign w:val="center"/>
          </w:tcPr>
          <w:p>
            <w:pPr>
              <w:widowControl/>
              <w:spacing w:line="200" w:lineRule="exact"/>
              <w:jc w:val="center"/>
              <w:rPr>
                <w:color w:val="000000"/>
                <w:sz w:val="16"/>
                <w:szCs w:val="16"/>
              </w:rPr>
            </w:pPr>
          </w:p>
        </w:tc>
        <w:tc>
          <w:tcPr>
            <w:tcW w:w="503" w:type="pct"/>
            <w:noWrap/>
            <w:vAlign w:val="center"/>
          </w:tcPr>
          <w:p>
            <w:pPr>
              <w:widowControl/>
              <w:spacing w:line="200" w:lineRule="exact"/>
              <w:jc w:val="center"/>
              <w:rPr>
                <w:color w:val="000000"/>
                <w:sz w:val="16"/>
                <w:szCs w:val="16"/>
              </w:rPr>
            </w:pPr>
          </w:p>
        </w:tc>
        <w:tc>
          <w:tcPr>
            <w:tcW w:w="560" w:type="pct"/>
            <w:noWrap/>
            <w:vAlign w:val="center"/>
          </w:tcPr>
          <w:p>
            <w:pPr>
              <w:widowControl/>
              <w:spacing w:line="200" w:lineRule="exact"/>
              <w:rPr>
                <w:color w:val="000000"/>
                <w:sz w:val="16"/>
                <w:szCs w:val="16"/>
              </w:rPr>
            </w:pPr>
          </w:p>
        </w:tc>
        <w:tc>
          <w:tcPr>
            <w:tcW w:w="703"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91" w:type="pct"/>
            <w:vMerge w:val="continue"/>
            <w:noWrap/>
            <w:textDirection w:val="tbRlV"/>
            <w:vAlign w:val="center"/>
          </w:tcPr>
          <w:p>
            <w:pPr>
              <w:widowControl/>
              <w:spacing w:line="200" w:lineRule="exact"/>
              <w:jc w:val="center"/>
              <w:rPr>
                <w:color w:val="000000"/>
                <w:sz w:val="16"/>
                <w:szCs w:val="16"/>
              </w:rPr>
            </w:pPr>
          </w:p>
        </w:tc>
        <w:tc>
          <w:tcPr>
            <w:tcW w:w="478" w:type="pct"/>
            <w:vMerge w:val="restart"/>
            <w:noWrap/>
            <w:vAlign w:val="center"/>
          </w:tcPr>
          <w:p>
            <w:pPr>
              <w:widowControl/>
              <w:spacing w:line="200" w:lineRule="exact"/>
              <w:jc w:val="center"/>
              <w:textAlignment w:val="center"/>
              <w:rPr>
                <w:color w:val="000000"/>
                <w:sz w:val="16"/>
                <w:szCs w:val="16"/>
              </w:rPr>
            </w:pPr>
            <w:r>
              <w:rPr>
                <w:color w:val="000000"/>
                <w:kern w:val="0"/>
                <w:sz w:val="16"/>
                <w:szCs w:val="16"/>
              </w:rPr>
              <w:t>效</w:t>
            </w:r>
            <w:r>
              <w:rPr>
                <w:color w:val="000000"/>
                <w:kern w:val="0"/>
                <w:sz w:val="16"/>
                <w:szCs w:val="16"/>
              </w:rPr>
              <w:br w:type="textWrapping"/>
            </w:r>
            <w:r>
              <w:rPr>
                <w:color w:val="000000"/>
                <w:kern w:val="0"/>
                <w:sz w:val="16"/>
                <w:szCs w:val="16"/>
              </w:rPr>
              <w:t>益</w:t>
            </w:r>
            <w:r>
              <w:rPr>
                <w:color w:val="000000"/>
                <w:kern w:val="0"/>
                <w:sz w:val="16"/>
                <w:szCs w:val="16"/>
              </w:rPr>
              <w:br w:type="textWrapping"/>
            </w:r>
            <w:r>
              <w:rPr>
                <w:color w:val="000000"/>
                <w:kern w:val="0"/>
                <w:sz w:val="16"/>
                <w:szCs w:val="16"/>
              </w:rPr>
              <w:t>指</w:t>
            </w:r>
            <w:r>
              <w:rPr>
                <w:color w:val="000000"/>
                <w:kern w:val="0"/>
                <w:sz w:val="16"/>
                <w:szCs w:val="16"/>
              </w:rPr>
              <w:br w:type="textWrapping"/>
            </w:r>
            <w:r>
              <w:rPr>
                <w:color w:val="000000"/>
                <w:kern w:val="0"/>
                <w:sz w:val="16"/>
                <w:szCs w:val="16"/>
              </w:rPr>
              <w:t>标</w:t>
            </w:r>
          </w:p>
        </w:tc>
        <w:tc>
          <w:tcPr>
            <w:tcW w:w="574" w:type="pct"/>
            <w:vMerge w:val="restart"/>
            <w:noWrap/>
            <w:vAlign w:val="center"/>
          </w:tcPr>
          <w:p>
            <w:pPr>
              <w:widowControl/>
              <w:spacing w:line="200" w:lineRule="exact"/>
              <w:jc w:val="center"/>
              <w:textAlignment w:val="center"/>
              <w:rPr>
                <w:color w:val="000000"/>
                <w:sz w:val="16"/>
                <w:szCs w:val="16"/>
              </w:rPr>
            </w:pPr>
            <w:r>
              <w:rPr>
                <w:color w:val="000000"/>
                <w:kern w:val="0"/>
                <w:sz w:val="16"/>
                <w:szCs w:val="16"/>
              </w:rPr>
              <w:t>经济效益</w:t>
            </w:r>
            <w:r>
              <w:rPr>
                <w:color w:val="000000"/>
                <w:kern w:val="0"/>
                <w:sz w:val="16"/>
                <w:szCs w:val="16"/>
              </w:rPr>
              <w:br w:type="textWrapping"/>
            </w:r>
            <w:r>
              <w:rPr>
                <w:color w:val="000000"/>
                <w:kern w:val="0"/>
                <w:sz w:val="16"/>
                <w:szCs w:val="16"/>
              </w:rPr>
              <w:t>指标</w:t>
            </w:r>
          </w:p>
        </w:tc>
        <w:tc>
          <w:tcPr>
            <w:tcW w:w="1487" w:type="pct"/>
            <w:gridSpan w:val="2"/>
            <w:noWrap/>
            <w:vAlign w:val="center"/>
          </w:tcPr>
          <w:p>
            <w:pPr>
              <w:widowControl/>
              <w:spacing w:line="200" w:lineRule="exact"/>
              <w:rPr>
                <w:color w:val="000000"/>
                <w:sz w:val="16"/>
                <w:szCs w:val="16"/>
              </w:rPr>
            </w:pPr>
          </w:p>
        </w:tc>
        <w:tc>
          <w:tcPr>
            <w:tcW w:w="503" w:type="pct"/>
            <w:noWrap/>
            <w:vAlign w:val="center"/>
          </w:tcPr>
          <w:p>
            <w:pPr>
              <w:widowControl/>
              <w:spacing w:line="200" w:lineRule="exact"/>
              <w:jc w:val="center"/>
              <w:rPr>
                <w:color w:val="000000"/>
                <w:sz w:val="16"/>
                <w:szCs w:val="16"/>
              </w:rPr>
            </w:pPr>
          </w:p>
        </w:tc>
        <w:tc>
          <w:tcPr>
            <w:tcW w:w="560" w:type="pct"/>
            <w:noWrap/>
            <w:vAlign w:val="center"/>
          </w:tcPr>
          <w:p>
            <w:pPr>
              <w:widowControl/>
              <w:spacing w:line="200" w:lineRule="exact"/>
              <w:rPr>
                <w:color w:val="000000"/>
                <w:sz w:val="16"/>
                <w:szCs w:val="16"/>
              </w:rPr>
            </w:pPr>
          </w:p>
        </w:tc>
        <w:tc>
          <w:tcPr>
            <w:tcW w:w="703"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91" w:type="pct"/>
            <w:vMerge w:val="continue"/>
            <w:noWrap/>
            <w:textDirection w:val="tbRlV"/>
            <w:vAlign w:val="center"/>
          </w:tcPr>
          <w:p>
            <w:pPr>
              <w:widowControl/>
              <w:spacing w:line="200" w:lineRule="exact"/>
              <w:jc w:val="center"/>
              <w:rPr>
                <w:color w:val="000000"/>
                <w:sz w:val="16"/>
                <w:szCs w:val="16"/>
              </w:rPr>
            </w:pPr>
          </w:p>
        </w:tc>
        <w:tc>
          <w:tcPr>
            <w:tcW w:w="478" w:type="pct"/>
            <w:vMerge w:val="continue"/>
            <w:noWrap/>
            <w:vAlign w:val="center"/>
          </w:tcPr>
          <w:p>
            <w:pPr>
              <w:widowControl/>
              <w:spacing w:line="200" w:lineRule="exact"/>
              <w:jc w:val="center"/>
              <w:rPr>
                <w:color w:val="000000"/>
                <w:sz w:val="16"/>
                <w:szCs w:val="16"/>
              </w:rPr>
            </w:pPr>
          </w:p>
        </w:tc>
        <w:tc>
          <w:tcPr>
            <w:tcW w:w="574" w:type="pct"/>
            <w:vMerge w:val="continue"/>
            <w:noWrap/>
            <w:vAlign w:val="center"/>
          </w:tcPr>
          <w:p>
            <w:pPr>
              <w:widowControl/>
              <w:spacing w:line="200" w:lineRule="exact"/>
              <w:jc w:val="center"/>
              <w:rPr>
                <w:color w:val="000000"/>
                <w:sz w:val="16"/>
                <w:szCs w:val="16"/>
              </w:rPr>
            </w:pPr>
          </w:p>
        </w:tc>
        <w:tc>
          <w:tcPr>
            <w:tcW w:w="1487" w:type="pct"/>
            <w:gridSpan w:val="2"/>
            <w:noWrap/>
            <w:vAlign w:val="center"/>
          </w:tcPr>
          <w:p>
            <w:pPr>
              <w:widowControl/>
              <w:spacing w:line="200" w:lineRule="exact"/>
              <w:jc w:val="center"/>
              <w:rPr>
                <w:color w:val="000000"/>
                <w:sz w:val="16"/>
                <w:szCs w:val="16"/>
              </w:rPr>
            </w:pPr>
          </w:p>
        </w:tc>
        <w:tc>
          <w:tcPr>
            <w:tcW w:w="503" w:type="pct"/>
            <w:noWrap/>
            <w:vAlign w:val="center"/>
          </w:tcPr>
          <w:p>
            <w:pPr>
              <w:widowControl/>
              <w:spacing w:line="200" w:lineRule="exact"/>
              <w:jc w:val="center"/>
              <w:rPr>
                <w:color w:val="000000"/>
                <w:sz w:val="16"/>
                <w:szCs w:val="16"/>
              </w:rPr>
            </w:pPr>
          </w:p>
        </w:tc>
        <w:tc>
          <w:tcPr>
            <w:tcW w:w="560" w:type="pct"/>
            <w:noWrap/>
            <w:vAlign w:val="center"/>
          </w:tcPr>
          <w:p>
            <w:pPr>
              <w:widowControl/>
              <w:spacing w:line="200" w:lineRule="exact"/>
              <w:rPr>
                <w:color w:val="000000"/>
                <w:sz w:val="16"/>
                <w:szCs w:val="16"/>
              </w:rPr>
            </w:pPr>
          </w:p>
        </w:tc>
        <w:tc>
          <w:tcPr>
            <w:tcW w:w="703"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91" w:type="pct"/>
            <w:vMerge w:val="continue"/>
            <w:noWrap/>
            <w:textDirection w:val="tbRlV"/>
            <w:vAlign w:val="center"/>
          </w:tcPr>
          <w:p>
            <w:pPr>
              <w:widowControl/>
              <w:spacing w:line="200" w:lineRule="exact"/>
              <w:jc w:val="center"/>
              <w:rPr>
                <w:color w:val="000000"/>
                <w:sz w:val="16"/>
                <w:szCs w:val="16"/>
              </w:rPr>
            </w:pPr>
          </w:p>
        </w:tc>
        <w:tc>
          <w:tcPr>
            <w:tcW w:w="478" w:type="pct"/>
            <w:vMerge w:val="continue"/>
            <w:noWrap/>
            <w:vAlign w:val="center"/>
          </w:tcPr>
          <w:p>
            <w:pPr>
              <w:widowControl/>
              <w:spacing w:line="200" w:lineRule="exact"/>
              <w:jc w:val="center"/>
              <w:rPr>
                <w:color w:val="000000"/>
                <w:sz w:val="16"/>
                <w:szCs w:val="16"/>
              </w:rPr>
            </w:pPr>
          </w:p>
        </w:tc>
        <w:tc>
          <w:tcPr>
            <w:tcW w:w="574" w:type="pct"/>
            <w:vMerge w:val="restart"/>
            <w:noWrap/>
            <w:vAlign w:val="center"/>
          </w:tcPr>
          <w:p>
            <w:pPr>
              <w:widowControl/>
              <w:spacing w:line="200" w:lineRule="exact"/>
              <w:jc w:val="center"/>
              <w:textAlignment w:val="center"/>
              <w:rPr>
                <w:color w:val="000000"/>
                <w:sz w:val="16"/>
                <w:szCs w:val="16"/>
              </w:rPr>
            </w:pPr>
            <w:r>
              <w:rPr>
                <w:color w:val="000000"/>
                <w:kern w:val="0"/>
                <w:sz w:val="16"/>
                <w:szCs w:val="16"/>
              </w:rPr>
              <w:t>社会效益</w:t>
            </w:r>
            <w:r>
              <w:rPr>
                <w:color w:val="000000"/>
                <w:kern w:val="0"/>
                <w:sz w:val="16"/>
                <w:szCs w:val="16"/>
              </w:rPr>
              <w:br w:type="textWrapping"/>
            </w:r>
            <w:r>
              <w:rPr>
                <w:color w:val="000000"/>
                <w:kern w:val="0"/>
                <w:sz w:val="16"/>
                <w:szCs w:val="16"/>
              </w:rPr>
              <w:t>指标</w:t>
            </w:r>
          </w:p>
        </w:tc>
        <w:tc>
          <w:tcPr>
            <w:tcW w:w="1487" w:type="pct"/>
            <w:gridSpan w:val="2"/>
            <w:noWrap/>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实地督查结果网上公开率</w:t>
            </w:r>
          </w:p>
        </w:tc>
        <w:tc>
          <w:tcPr>
            <w:tcW w:w="503" w:type="pct"/>
            <w:noWrap/>
            <w:vAlign w:val="center"/>
          </w:tcPr>
          <w:p>
            <w:pPr>
              <w:widowControl/>
              <w:spacing w:line="200" w:lineRule="exact"/>
              <w:jc w:val="center"/>
              <w:rPr>
                <w:color w:val="000000"/>
                <w:sz w:val="16"/>
                <w:szCs w:val="16"/>
              </w:rPr>
            </w:pPr>
            <w:r>
              <w:rPr>
                <w:rFonts w:hint="eastAsia"/>
                <w:color w:val="000000"/>
                <w:sz w:val="16"/>
                <w:szCs w:val="16"/>
              </w:rPr>
              <w:t>8</w:t>
            </w:r>
          </w:p>
        </w:tc>
        <w:tc>
          <w:tcPr>
            <w:tcW w:w="560" w:type="pct"/>
            <w:noWrap/>
            <w:vAlign w:val="center"/>
          </w:tcPr>
          <w:p>
            <w:pPr>
              <w:widowControl/>
              <w:spacing w:line="200" w:lineRule="exact"/>
              <w:rPr>
                <w:color w:val="000000"/>
                <w:sz w:val="16"/>
                <w:szCs w:val="16"/>
              </w:rPr>
            </w:pPr>
            <w:r>
              <w:rPr>
                <w:rFonts w:hint="eastAsia"/>
                <w:color w:val="000000"/>
                <w:sz w:val="16"/>
                <w:szCs w:val="16"/>
              </w:rPr>
              <w:t>8</w:t>
            </w:r>
          </w:p>
        </w:tc>
        <w:tc>
          <w:tcPr>
            <w:tcW w:w="703"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91" w:type="pct"/>
            <w:vMerge w:val="continue"/>
            <w:noWrap/>
            <w:textDirection w:val="tbRlV"/>
            <w:vAlign w:val="center"/>
          </w:tcPr>
          <w:p>
            <w:pPr>
              <w:widowControl/>
              <w:spacing w:line="200" w:lineRule="exact"/>
              <w:jc w:val="center"/>
              <w:rPr>
                <w:color w:val="000000"/>
                <w:sz w:val="16"/>
                <w:szCs w:val="16"/>
              </w:rPr>
            </w:pPr>
          </w:p>
        </w:tc>
        <w:tc>
          <w:tcPr>
            <w:tcW w:w="478" w:type="pct"/>
            <w:vMerge w:val="continue"/>
            <w:noWrap/>
            <w:vAlign w:val="center"/>
          </w:tcPr>
          <w:p>
            <w:pPr>
              <w:widowControl/>
              <w:spacing w:line="200" w:lineRule="exact"/>
              <w:jc w:val="center"/>
              <w:rPr>
                <w:color w:val="000000"/>
                <w:sz w:val="16"/>
                <w:szCs w:val="16"/>
              </w:rPr>
            </w:pPr>
          </w:p>
        </w:tc>
        <w:tc>
          <w:tcPr>
            <w:tcW w:w="574" w:type="pct"/>
            <w:vMerge w:val="continue"/>
            <w:noWrap/>
            <w:vAlign w:val="center"/>
          </w:tcPr>
          <w:p>
            <w:pPr>
              <w:widowControl/>
              <w:spacing w:line="200" w:lineRule="exact"/>
              <w:jc w:val="center"/>
              <w:rPr>
                <w:color w:val="000000"/>
                <w:sz w:val="16"/>
                <w:szCs w:val="16"/>
              </w:rPr>
            </w:pPr>
          </w:p>
        </w:tc>
        <w:tc>
          <w:tcPr>
            <w:tcW w:w="1487" w:type="pct"/>
            <w:gridSpan w:val="2"/>
            <w:noWrap/>
            <w:vAlign w:val="center"/>
          </w:tcPr>
          <w:p>
            <w:pPr>
              <w:widowControl/>
              <w:spacing w:line="200" w:lineRule="exact"/>
              <w:jc w:val="center"/>
              <w:rPr>
                <w:color w:val="000000"/>
                <w:sz w:val="16"/>
                <w:szCs w:val="16"/>
              </w:rPr>
            </w:pPr>
          </w:p>
        </w:tc>
        <w:tc>
          <w:tcPr>
            <w:tcW w:w="503" w:type="pct"/>
            <w:noWrap/>
            <w:vAlign w:val="center"/>
          </w:tcPr>
          <w:p>
            <w:pPr>
              <w:widowControl/>
              <w:spacing w:line="200" w:lineRule="exact"/>
              <w:jc w:val="left"/>
              <w:rPr>
                <w:color w:val="000000"/>
                <w:sz w:val="16"/>
                <w:szCs w:val="16"/>
              </w:rPr>
            </w:pPr>
          </w:p>
        </w:tc>
        <w:tc>
          <w:tcPr>
            <w:tcW w:w="560" w:type="pct"/>
            <w:noWrap/>
            <w:vAlign w:val="center"/>
          </w:tcPr>
          <w:p>
            <w:pPr>
              <w:widowControl/>
              <w:spacing w:line="200" w:lineRule="exact"/>
              <w:rPr>
                <w:color w:val="000000"/>
                <w:sz w:val="16"/>
                <w:szCs w:val="16"/>
              </w:rPr>
            </w:pPr>
          </w:p>
        </w:tc>
        <w:tc>
          <w:tcPr>
            <w:tcW w:w="703"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91" w:type="pct"/>
            <w:vMerge w:val="continue"/>
            <w:noWrap/>
            <w:textDirection w:val="tbRlV"/>
            <w:vAlign w:val="center"/>
          </w:tcPr>
          <w:p>
            <w:pPr>
              <w:widowControl/>
              <w:spacing w:line="200" w:lineRule="exact"/>
              <w:jc w:val="center"/>
              <w:rPr>
                <w:color w:val="000000"/>
                <w:sz w:val="16"/>
                <w:szCs w:val="16"/>
              </w:rPr>
            </w:pPr>
          </w:p>
        </w:tc>
        <w:tc>
          <w:tcPr>
            <w:tcW w:w="478" w:type="pct"/>
            <w:vMerge w:val="continue"/>
            <w:noWrap/>
            <w:vAlign w:val="center"/>
          </w:tcPr>
          <w:p>
            <w:pPr>
              <w:widowControl/>
              <w:spacing w:line="200" w:lineRule="exact"/>
              <w:jc w:val="center"/>
              <w:rPr>
                <w:color w:val="000000"/>
                <w:sz w:val="16"/>
                <w:szCs w:val="16"/>
              </w:rPr>
            </w:pPr>
          </w:p>
        </w:tc>
        <w:tc>
          <w:tcPr>
            <w:tcW w:w="574" w:type="pct"/>
            <w:noWrap/>
            <w:vAlign w:val="center"/>
          </w:tcPr>
          <w:p>
            <w:pPr>
              <w:widowControl/>
              <w:spacing w:line="200" w:lineRule="exact"/>
              <w:jc w:val="center"/>
              <w:textAlignment w:val="center"/>
              <w:rPr>
                <w:color w:val="000000"/>
                <w:sz w:val="16"/>
                <w:szCs w:val="16"/>
              </w:rPr>
            </w:pPr>
            <w:r>
              <w:rPr>
                <w:color w:val="000000"/>
                <w:kern w:val="0"/>
                <w:sz w:val="16"/>
                <w:szCs w:val="16"/>
              </w:rPr>
              <w:t>生态效益</w:t>
            </w:r>
            <w:r>
              <w:rPr>
                <w:color w:val="000000"/>
                <w:kern w:val="0"/>
                <w:sz w:val="16"/>
                <w:szCs w:val="16"/>
              </w:rPr>
              <w:br w:type="textWrapping"/>
            </w:r>
            <w:r>
              <w:rPr>
                <w:color w:val="000000"/>
                <w:kern w:val="0"/>
                <w:sz w:val="16"/>
                <w:szCs w:val="16"/>
              </w:rPr>
              <w:t>指标</w:t>
            </w:r>
          </w:p>
        </w:tc>
        <w:tc>
          <w:tcPr>
            <w:tcW w:w="1487" w:type="pct"/>
            <w:gridSpan w:val="2"/>
            <w:noWrap/>
            <w:vAlign w:val="center"/>
          </w:tcPr>
          <w:p>
            <w:pPr>
              <w:widowControl/>
              <w:spacing w:line="200" w:lineRule="exact"/>
              <w:jc w:val="center"/>
              <w:rPr>
                <w:color w:val="000000"/>
                <w:sz w:val="16"/>
                <w:szCs w:val="16"/>
              </w:rPr>
            </w:pPr>
          </w:p>
        </w:tc>
        <w:tc>
          <w:tcPr>
            <w:tcW w:w="503" w:type="pct"/>
            <w:noWrap/>
            <w:vAlign w:val="center"/>
          </w:tcPr>
          <w:p>
            <w:pPr>
              <w:widowControl/>
              <w:spacing w:line="200" w:lineRule="exact"/>
              <w:rPr>
                <w:color w:val="000000"/>
                <w:sz w:val="16"/>
                <w:szCs w:val="16"/>
              </w:rPr>
            </w:pPr>
          </w:p>
        </w:tc>
        <w:tc>
          <w:tcPr>
            <w:tcW w:w="560" w:type="pct"/>
            <w:noWrap/>
            <w:vAlign w:val="center"/>
          </w:tcPr>
          <w:p>
            <w:pPr>
              <w:widowControl/>
              <w:spacing w:line="200" w:lineRule="exact"/>
              <w:rPr>
                <w:color w:val="000000"/>
                <w:sz w:val="16"/>
                <w:szCs w:val="16"/>
              </w:rPr>
            </w:pPr>
          </w:p>
        </w:tc>
        <w:tc>
          <w:tcPr>
            <w:tcW w:w="703"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91" w:type="pct"/>
            <w:vMerge w:val="continue"/>
            <w:noWrap/>
            <w:textDirection w:val="tbRlV"/>
            <w:vAlign w:val="center"/>
          </w:tcPr>
          <w:p>
            <w:pPr>
              <w:widowControl/>
              <w:spacing w:line="200" w:lineRule="exact"/>
              <w:jc w:val="center"/>
              <w:rPr>
                <w:color w:val="000000"/>
                <w:sz w:val="16"/>
                <w:szCs w:val="16"/>
              </w:rPr>
            </w:pPr>
          </w:p>
        </w:tc>
        <w:tc>
          <w:tcPr>
            <w:tcW w:w="478" w:type="pct"/>
            <w:vMerge w:val="continue"/>
            <w:noWrap/>
            <w:vAlign w:val="center"/>
          </w:tcPr>
          <w:p>
            <w:pPr>
              <w:widowControl/>
              <w:spacing w:line="200" w:lineRule="exact"/>
              <w:jc w:val="center"/>
              <w:rPr>
                <w:color w:val="000000"/>
                <w:sz w:val="16"/>
                <w:szCs w:val="16"/>
              </w:rPr>
            </w:pPr>
          </w:p>
        </w:tc>
        <w:tc>
          <w:tcPr>
            <w:tcW w:w="574" w:type="pct"/>
            <w:noWrap/>
            <w:vAlign w:val="center"/>
          </w:tcPr>
          <w:p>
            <w:pPr>
              <w:widowControl/>
              <w:spacing w:line="200" w:lineRule="exact"/>
              <w:jc w:val="center"/>
              <w:textAlignment w:val="center"/>
              <w:rPr>
                <w:color w:val="000000"/>
                <w:sz w:val="16"/>
                <w:szCs w:val="16"/>
              </w:rPr>
            </w:pPr>
            <w:r>
              <w:rPr>
                <w:color w:val="000000"/>
                <w:kern w:val="0"/>
                <w:sz w:val="16"/>
                <w:szCs w:val="16"/>
              </w:rPr>
              <w:t>可持续影响指标</w:t>
            </w:r>
          </w:p>
        </w:tc>
        <w:tc>
          <w:tcPr>
            <w:tcW w:w="1487" w:type="pct"/>
            <w:gridSpan w:val="2"/>
            <w:noWrap/>
            <w:vAlign w:val="center"/>
          </w:tcPr>
          <w:p>
            <w:pPr>
              <w:widowControl/>
              <w:spacing w:line="200" w:lineRule="exact"/>
              <w:jc w:val="center"/>
              <w:rPr>
                <w:color w:val="000000"/>
                <w:sz w:val="16"/>
                <w:szCs w:val="16"/>
              </w:rPr>
            </w:pPr>
          </w:p>
        </w:tc>
        <w:tc>
          <w:tcPr>
            <w:tcW w:w="503" w:type="pct"/>
            <w:noWrap/>
            <w:vAlign w:val="center"/>
          </w:tcPr>
          <w:p>
            <w:pPr>
              <w:widowControl/>
              <w:spacing w:line="200" w:lineRule="exact"/>
              <w:rPr>
                <w:color w:val="000000"/>
                <w:sz w:val="16"/>
                <w:szCs w:val="16"/>
              </w:rPr>
            </w:pPr>
          </w:p>
        </w:tc>
        <w:tc>
          <w:tcPr>
            <w:tcW w:w="560" w:type="pct"/>
            <w:noWrap/>
            <w:vAlign w:val="center"/>
          </w:tcPr>
          <w:p>
            <w:pPr>
              <w:widowControl/>
              <w:spacing w:line="200" w:lineRule="exact"/>
              <w:rPr>
                <w:color w:val="000000"/>
                <w:sz w:val="16"/>
                <w:szCs w:val="16"/>
              </w:rPr>
            </w:pPr>
          </w:p>
        </w:tc>
        <w:tc>
          <w:tcPr>
            <w:tcW w:w="703"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91" w:type="pct"/>
            <w:vMerge w:val="continue"/>
            <w:noWrap/>
            <w:textDirection w:val="tbRlV"/>
            <w:vAlign w:val="center"/>
          </w:tcPr>
          <w:p>
            <w:pPr>
              <w:widowControl/>
              <w:spacing w:line="200" w:lineRule="exact"/>
              <w:jc w:val="center"/>
              <w:rPr>
                <w:color w:val="000000"/>
                <w:sz w:val="16"/>
                <w:szCs w:val="16"/>
              </w:rPr>
            </w:pPr>
          </w:p>
        </w:tc>
        <w:tc>
          <w:tcPr>
            <w:tcW w:w="478" w:type="pct"/>
            <w:vMerge w:val="continue"/>
            <w:noWrap/>
            <w:vAlign w:val="center"/>
          </w:tcPr>
          <w:p>
            <w:pPr>
              <w:widowControl/>
              <w:spacing w:line="200" w:lineRule="exact"/>
              <w:jc w:val="center"/>
              <w:rPr>
                <w:color w:val="000000"/>
                <w:sz w:val="16"/>
                <w:szCs w:val="16"/>
              </w:rPr>
            </w:pPr>
          </w:p>
        </w:tc>
        <w:tc>
          <w:tcPr>
            <w:tcW w:w="574" w:type="pct"/>
            <w:noWrap/>
            <w:vAlign w:val="center"/>
          </w:tcPr>
          <w:p>
            <w:pPr>
              <w:widowControl/>
              <w:spacing w:line="200" w:lineRule="exact"/>
              <w:jc w:val="center"/>
              <w:textAlignment w:val="center"/>
              <w:rPr>
                <w:color w:val="000000"/>
                <w:sz w:val="16"/>
                <w:szCs w:val="16"/>
              </w:rPr>
            </w:pPr>
            <w:r>
              <w:rPr>
                <w:color w:val="000000"/>
                <w:kern w:val="0"/>
                <w:sz w:val="16"/>
                <w:szCs w:val="16"/>
              </w:rPr>
              <w:t>……</w:t>
            </w:r>
          </w:p>
        </w:tc>
        <w:tc>
          <w:tcPr>
            <w:tcW w:w="1487" w:type="pct"/>
            <w:gridSpan w:val="2"/>
            <w:noWrap/>
            <w:vAlign w:val="center"/>
          </w:tcPr>
          <w:p>
            <w:pPr>
              <w:widowControl/>
              <w:spacing w:line="200" w:lineRule="exact"/>
              <w:jc w:val="center"/>
              <w:rPr>
                <w:color w:val="000000"/>
                <w:sz w:val="16"/>
                <w:szCs w:val="16"/>
              </w:rPr>
            </w:pPr>
          </w:p>
        </w:tc>
        <w:tc>
          <w:tcPr>
            <w:tcW w:w="503" w:type="pct"/>
            <w:noWrap/>
            <w:vAlign w:val="center"/>
          </w:tcPr>
          <w:p>
            <w:pPr>
              <w:widowControl/>
              <w:spacing w:line="200" w:lineRule="exact"/>
              <w:rPr>
                <w:color w:val="000000"/>
                <w:sz w:val="16"/>
                <w:szCs w:val="16"/>
              </w:rPr>
            </w:pPr>
          </w:p>
        </w:tc>
        <w:tc>
          <w:tcPr>
            <w:tcW w:w="560" w:type="pct"/>
            <w:noWrap/>
            <w:vAlign w:val="center"/>
          </w:tcPr>
          <w:p>
            <w:pPr>
              <w:widowControl/>
              <w:spacing w:line="200" w:lineRule="exact"/>
              <w:rPr>
                <w:color w:val="000000"/>
                <w:sz w:val="16"/>
                <w:szCs w:val="16"/>
              </w:rPr>
            </w:pPr>
          </w:p>
        </w:tc>
        <w:tc>
          <w:tcPr>
            <w:tcW w:w="703"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91" w:type="pct"/>
            <w:vMerge w:val="continue"/>
            <w:noWrap/>
            <w:textDirection w:val="tbRlV"/>
            <w:vAlign w:val="center"/>
          </w:tcPr>
          <w:p>
            <w:pPr>
              <w:widowControl/>
              <w:spacing w:line="200" w:lineRule="exact"/>
              <w:jc w:val="center"/>
              <w:rPr>
                <w:color w:val="000000"/>
                <w:sz w:val="16"/>
                <w:szCs w:val="16"/>
              </w:rPr>
            </w:pPr>
          </w:p>
        </w:tc>
        <w:tc>
          <w:tcPr>
            <w:tcW w:w="478" w:type="pct"/>
            <w:noWrap/>
            <w:vAlign w:val="center"/>
          </w:tcPr>
          <w:p>
            <w:pPr>
              <w:widowControl/>
              <w:spacing w:line="180" w:lineRule="exact"/>
              <w:jc w:val="center"/>
              <w:textAlignment w:val="center"/>
              <w:rPr>
                <w:color w:val="000000"/>
                <w:sz w:val="16"/>
                <w:szCs w:val="16"/>
              </w:rPr>
            </w:pPr>
            <w:r>
              <w:rPr>
                <w:color w:val="000000"/>
                <w:kern w:val="0"/>
                <w:sz w:val="16"/>
                <w:szCs w:val="16"/>
              </w:rPr>
              <w:t>满意度指标</w:t>
            </w:r>
          </w:p>
        </w:tc>
        <w:tc>
          <w:tcPr>
            <w:tcW w:w="574" w:type="pct"/>
            <w:noWrap/>
            <w:vAlign w:val="center"/>
          </w:tcPr>
          <w:p>
            <w:pPr>
              <w:widowControl/>
              <w:spacing w:line="200" w:lineRule="exact"/>
              <w:jc w:val="center"/>
              <w:textAlignment w:val="center"/>
              <w:rPr>
                <w:color w:val="000000"/>
                <w:sz w:val="16"/>
                <w:szCs w:val="16"/>
              </w:rPr>
            </w:pPr>
            <w:r>
              <w:rPr>
                <w:color w:val="000000"/>
                <w:kern w:val="0"/>
                <w:sz w:val="16"/>
                <w:szCs w:val="16"/>
              </w:rPr>
              <w:t>服务对象</w:t>
            </w:r>
            <w:r>
              <w:rPr>
                <w:color w:val="000000"/>
                <w:kern w:val="0"/>
                <w:sz w:val="16"/>
                <w:szCs w:val="16"/>
              </w:rPr>
              <w:br w:type="textWrapping"/>
            </w:r>
            <w:r>
              <w:rPr>
                <w:color w:val="000000"/>
                <w:kern w:val="0"/>
                <w:sz w:val="16"/>
                <w:szCs w:val="16"/>
              </w:rPr>
              <w:t>满意度指标</w:t>
            </w:r>
          </w:p>
        </w:tc>
        <w:tc>
          <w:tcPr>
            <w:tcW w:w="1487" w:type="pct"/>
            <w:gridSpan w:val="2"/>
            <w:noWrap/>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信访事项处理群众满意率</w:t>
            </w:r>
          </w:p>
        </w:tc>
        <w:tc>
          <w:tcPr>
            <w:tcW w:w="503" w:type="pct"/>
            <w:noWrap/>
            <w:vAlign w:val="center"/>
          </w:tcPr>
          <w:p>
            <w:pPr>
              <w:widowControl/>
              <w:spacing w:line="200" w:lineRule="exact"/>
              <w:rPr>
                <w:color w:val="000000"/>
                <w:sz w:val="16"/>
                <w:szCs w:val="16"/>
              </w:rPr>
            </w:pPr>
            <w:r>
              <w:rPr>
                <w:rFonts w:hint="eastAsia"/>
                <w:color w:val="000000"/>
                <w:sz w:val="16"/>
                <w:szCs w:val="16"/>
              </w:rPr>
              <w:t>8</w:t>
            </w:r>
          </w:p>
        </w:tc>
        <w:tc>
          <w:tcPr>
            <w:tcW w:w="560" w:type="pct"/>
            <w:noWrap/>
            <w:vAlign w:val="center"/>
          </w:tcPr>
          <w:p>
            <w:pPr>
              <w:widowControl/>
              <w:spacing w:line="200" w:lineRule="exact"/>
              <w:rPr>
                <w:color w:val="000000"/>
                <w:sz w:val="16"/>
                <w:szCs w:val="16"/>
              </w:rPr>
            </w:pPr>
            <w:r>
              <w:rPr>
                <w:rFonts w:hint="eastAsia"/>
                <w:color w:val="000000"/>
                <w:sz w:val="16"/>
                <w:szCs w:val="16"/>
              </w:rPr>
              <w:t>8</w:t>
            </w:r>
          </w:p>
        </w:tc>
        <w:tc>
          <w:tcPr>
            <w:tcW w:w="703"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91" w:type="pct"/>
            <w:tcBorders>
              <w:bottom w:val="single" w:color="auto" w:sz="4" w:space="0"/>
            </w:tcBorders>
            <w:noWrap/>
            <w:vAlign w:val="center"/>
          </w:tcPr>
          <w:p>
            <w:pPr>
              <w:widowControl/>
              <w:spacing w:line="200" w:lineRule="exact"/>
              <w:jc w:val="center"/>
              <w:textAlignment w:val="center"/>
              <w:rPr>
                <w:color w:val="000000"/>
                <w:sz w:val="16"/>
                <w:szCs w:val="16"/>
              </w:rPr>
            </w:pPr>
            <w:r>
              <w:rPr>
                <w:color w:val="000000"/>
                <w:kern w:val="0"/>
                <w:sz w:val="16"/>
                <w:szCs w:val="16"/>
              </w:rPr>
              <w:t>说明</w:t>
            </w:r>
          </w:p>
        </w:tc>
        <w:tc>
          <w:tcPr>
            <w:tcW w:w="4308" w:type="pct"/>
            <w:gridSpan w:val="7"/>
            <w:tcBorders>
              <w:bottom w:val="single" w:color="auto" w:sz="4" w:space="0"/>
            </w:tcBorders>
            <w:noWrap/>
            <w:vAlign w:val="center"/>
          </w:tcPr>
          <w:p>
            <w:pPr>
              <w:widowControl/>
              <w:spacing w:line="200" w:lineRule="exact"/>
              <w:jc w:val="left"/>
              <w:textAlignment w:val="center"/>
              <w:rPr>
                <w:color w:val="000000"/>
                <w:sz w:val="16"/>
                <w:szCs w:val="16"/>
              </w:rPr>
            </w:pPr>
            <w:r>
              <w:rPr>
                <w:rFonts w:hint="eastAsia"/>
                <w:color w:val="000000"/>
                <w:sz w:val="16"/>
                <w:szCs w:val="16"/>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8"/>
            <w:tcBorders>
              <w:top w:val="single" w:color="auto" w:sz="4" w:space="0"/>
              <w:left w:val="nil"/>
              <w:bottom w:val="nil"/>
              <w:right w:val="nil"/>
            </w:tcBorders>
            <w:noWrap/>
            <w:vAlign w:val="center"/>
          </w:tcPr>
          <w:p>
            <w:pPr>
              <w:widowControl/>
              <w:spacing w:line="180" w:lineRule="exact"/>
              <w:jc w:val="left"/>
              <w:textAlignment w:val="center"/>
              <w:rPr>
                <w:rFonts w:eastAsia="楷体_GB2312"/>
                <w:color w:val="000000"/>
                <w:sz w:val="16"/>
                <w:szCs w:val="16"/>
              </w:rPr>
            </w:pPr>
            <w:r>
              <w:rPr>
                <w:rFonts w:eastAsia="楷体_GB2312"/>
                <w:color w:val="000000"/>
                <w:kern w:val="0"/>
                <w:sz w:val="16"/>
                <w:szCs w:val="16"/>
              </w:rPr>
              <w:t>注：1.其他资金包括与中央、省级财政补助资金、市（县）级财政资金共同投入到同一项目的自有资金、社会资金，以及以前年度的结转结余资金等。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000" w:type="pct"/>
            <w:gridSpan w:val="8"/>
            <w:tcBorders>
              <w:top w:val="nil"/>
              <w:left w:val="nil"/>
              <w:bottom w:val="nil"/>
              <w:right w:val="nil"/>
            </w:tcBorders>
            <w:noWrap/>
            <w:vAlign w:val="center"/>
          </w:tcPr>
          <w:p>
            <w:pPr>
              <w:widowControl/>
              <w:spacing w:line="180" w:lineRule="exact"/>
              <w:jc w:val="left"/>
              <w:textAlignment w:val="center"/>
              <w:rPr>
                <w:rFonts w:eastAsia="楷体_GB2312"/>
                <w:color w:val="000000"/>
                <w:sz w:val="16"/>
                <w:szCs w:val="16"/>
              </w:rPr>
            </w:pPr>
            <w:r>
              <w:rPr>
                <w:rFonts w:eastAsia="楷体_GB2312"/>
                <w:color w:val="000000"/>
                <w:kern w:val="0"/>
                <w:sz w:val="16"/>
                <w:szCs w:val="16"/>
              </w:rPr>
              <w:t xml:space="preserve">    2.定量指标，主管部门对资金使用单位填写的实际完成值汇总时，绝对值直接累加计算，相对值按照资金额度加权平均计算。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000" w:type="pct"/>
            <w:gridSpan w:val="8"/>
            <w:tcBorders>
              <w:top w:val="nil"/>
              <w:left w:val="nil"/>
              <w:bottom w:val="nil"/>
              <w:right w:val="nil"/>
            </w:tcBorders>
            <w:noWrap/>
            <w:vAlign w:val="center"/>
          </w:tcPr>
          <w:p>
            <w:pPr>
              <w:widowControl/>
              <w:spacing w:line="180" w:lineRule="exact"/>
              <w:jc w:val="left"/>
              <w:textAlignment w:val="center"/>
              <w:rPr>
                <w:rFonts w:eastAsia="楷体_GB2312"/>
                <w:color w:val="000000"/>
                <w:sz w:val="16"/>
                <w:szCs w:val="16"/>
              </w:rPr>
            </w:pPr>
            <w:r>
              <w:rPr>
                <w:rFonts w:eastAsia="楷体_GB2312"/>
                <w:color w:val="000000"/>
                <w:kern w:val="0"/>
                <w:sz w:val="16"/>
                <w:szCs w:val="16"/>
              </w:rPr>
              <w:t xml:space="preserve">    3.定性指标。资金使用单位分别按照100%-80%（含）、80%-60%（含）、60-0%合理填写实际完成值，在汇总时，按照资金额度加权平均计算。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8"/>
            <w:tcBorders>
              <w:top w:val="nil"/>
              <w:left w:val="nil"/>
              <w:bottom w:val="nil"/>
              <w:right w:val="nil"/>
            </w:tcBorders>
            <w:noWrap/>
            <w:vAlign w:val="center"/>
          </w:tcPr>
          <w:p>
            <w:pPr>
              <w:widowControl/>
              <w:spacing w:line="180" w:lineRule="exact"/>
              <w:jc w:val="left"/>
              <w:textAlignment w:val="center"/>
              <w:rPr>
                <w:rFonts w:eastAsia="楷体_GB2312"/>
                <w:color w:val="000000"/>
                <w:sz w:val="16"/>
                <w:szCs w:val="16"/>
              </w:rPr>
            </w:pPr>
            <w:r>
              <w:rPr>
                <w:rFonts w:eastAsia="楷体_GB2312"/>
                <w:color w:val="000000"/>
                <w:kern w:val="0"/>
                <w:sz w:val="16"/>
                <w:szCs w:val="16"/>
              </w:rPr>
              <w:t xml:space="preserve">    4.全年执行数是指按照国库集中支付制度要求，支付到商品和劳务供应者或者用款单位形成的实际支出。</w:t>
            </w:r>
          </w:p>
        </w:tc>
      </w:tr>
    </w:tbl>
    <w:p>
      <w:pPr>
        <w:widowControl/>
        <w:adjustRightInd w:val="0"/>
        <w:snapToGrid w:val="0"/>
        <w:spacing w:line="560" w:lineRule="exact"/>
        <w:ind w:firstLine="640" w:firstLineChars="200"/>
        <w:contextualSpacing/>
        <w:jc w:val="left"/>
        <w:rPr>
          <w:rFonts w:ascii="仿宋_GB2312" w:hAnsi="仿宋_GB2312" w:eastAsia="仿宋_GB2312" w:cs="仿宋_GB2312"/>
          <w:kern w:val="0"/>
          <w:sz w:val="32"/>
          <w:szCs w:val="32"/>
          <w:shd w:val="clear" w:color="auto" w:fill="FFFFFF"/>
        </w:rPr>
      </w:pPr>
    </w:p>
    <w:p>
      <w:pPr>
        <w:keepNext w:val="0"/>
        <w:keepLines w:val="0"/>
        <w:pageBreakBefore w:val="0"/>
        <w:widowControl w:val="0"/>
        <w:kinsoku/>
        <w:wordWrap/>
        <w:overflowPunct/>
        <w:topLinePunct w:val="0"/>
        <w:autoSpaceDE/>
        <w:autoSpaceDN/>
        <w:bidi w:val="0"/>
        <w:adjustRightInd w:val="0"/>
        <w:snapToGrid w:val="0"/>
        <w:spacing w:line="360" w:lineRule="auto"/>
        <w:ind w:firstLine="72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（一）预算执行进度情况分析。该项目资金预算3.75万元，执行预算资金支付1.66万元。</w:t>
      </w:r>
      <w:r>
        <w:rPr>
          <w:rFonts w:hint="eastAsia" w:ascii="仿宋_GB2312" w:hAnsi="仿宋_GB2312" w:eastAsia="仿宋_GB2312" w:cs="仿宋_GB2312"/>
          <w:sz w:val="30"/>
          <w:szCs w:val="30"/>
          <w:lang w:val="zh-CN"/>
        </w:rPr>
        <w:t>截止评价时点项目资金的实际支出情况</w:t>
      </w:r>
      <w:r>
        <w:rPr>
          <w:rFonts w:hint="eastAsia" w:ascii="仿宋_GB2312" w:hAnsi="仿宋_GB2312" w:eastAsia="仿宋_GB2312" w:cs="仿宋_GB2312"/>
          <w:sz w:val="30"/>
          <w:szCs w:val="30"/>
        </w:rPr>
        <w:t>44</w:t>
      </w:r>
      <w:r>
        <w:rPr>
          <w:rFonts w:hint="eastAsia" w:ascii="仿宋_GB2312" w:hAnsi="仿宋_GB2312" w:eastAsia="仿宋_GB2312" w:cs="仿宋_GB2312"/>
          <w:sz w:val="30"/>
          <w:szCs w:val="30"/>
          <w:lang w:val="zh-CN"/>
        </w:rPr>
        <w:t>%，资金开支范围</w:t>
      </w:r>
      <w:r>
        <w:rPr>
          <w:rFonts w:hint="eastAsia" w:ascii="仿宋_GB2312" w:hAnsi="仿宋_GB2312" w:eastAsia="仿宋_GB2312" w:cs="仿宋_GB2312"/>
          <w:sz w:val="30"/>
          <w:szCs w:val="30"/>
        </w:rPr>
        <w:t>每年分别进行年度检验、中间检验</w:t>
      </w:r>
      <w:r>
        <w:rPr>
          <w:rFonts w:hint="eastAsia" w:ascii="仿宋_GB2312" w:hAnsi="仿宋_GB2312" w:eastAsia="仿宋_GB2312" w:cs="仿宋_GB2312"/>
          <w:sz w:val="30"/>
          <w:szCs w:val="30"/>
          <w:lang w:val="zh-CN"/>
        </w:rPr>
        <w:t>，标准及支付进度</w:t>
      </w:r>
      <w:r>
        <w:rPr>
          <w:rFonts w:hint="eastAsia" w:ascii="仿宋_GB2312" w:hAnsi="仿宋_GB2312" w:eastAsia="仿宋_GB2312" w:cs="仿宋_GB2312"/>
          <w:sz w:val="30"/>
          <w:szCs w:val="30"/>
        </w:rPr>
        <w:t>100</w:t>
      </w:r>
      <w:r>
        <w:rPr>
          <w:rFonts w:hint="eastAsia" w:ascii="仿宋_GB2312" w:hAnsi="仿宋_GB2312" w:eastAsia="仿宋_GB2312" w:cs="仿宋_GB2312"/>
          <w:sz w:val="30"/>
          <w:szCs w:val="30"/>
          <w:lang w:val="zh-CN"/>
        </w:rPr>
        <w:t>%，支付依据是合规合法，资金支付是与预算相符，没有其他相关问题进行说明。</w:t>
      </w:r>
    </w:p>
    <w:p>
      <w:pPr>
        <w:keepNext w:val="0"/>
        <w:keepLines w:val="0"/>
        <w:pageBreakBefore w:val="0"/>
        <w:widowControl w:val="0"/>
        <w:kinsoku/>
        <w:wordWrap/>
        <w:overflowPunct/>
        <w:topLinePunct w:val="0"/>
        <w:autoSpaceDE/>
        <w:autoSpaceDN/>
        <w:bidi w:val="0"/>
        <w:snapToGrid w:val="0"/>
        <w:spacing w:line="360" w:lineRule="auto"/>
        <w:ind w:firstLine="600" w:firstLineChars="200"/>
        <w:textAlignment w:val="auto"/>
        <w:outlineLvl w:val="0"/>
        <w:rPr>
          <w:rFonts w:ascii="仿宋_GB2312" w:hAnsi="仿宋_GB2312" w:eastAsia="仿宋_GB2312" w:cs="仿宋_GB2312"/>
          <w:sz w:val="30"/>
          <w:szCs w:val="30"/>
        </w:rPr>
      </w:pPr>
      <w:r>
        <w:rPr>
          <w:rFonts w:hint="eastAsia" w:ascii="仿宋_GB2312" w:hAnsi="仿宋_GB2312" w:eastAsia="仿宋_GB2312" w:cs="仿宋_GB2312"/>
          <w:sz w:val="30"/>
          <w:szCs w:val="30"/>
        </w:rPr>
        <w:t>（二）总体绩效目标完成情况分析。对照总体目标分析全年完成情况。该项目截至评估时点完成我县管辖内8艘营运船只的全部检测工作（客船7艘，垃圾船1艘），包含中间检验和年度检验。因相比去年检验船只减少，支出有所减少。</w:t>
      </w:r>
    </w:p>
    <w:p>
      <w:pPr>
        <w:keepNext w:val="0"/>
        <w:keepLines w:val="0"/>
        <w:pageBreakBefore w:val="0"/>
        <w:widowControl w:val="0"/>
        <w:kinsoku/>
        <w:wordWrap/>
        <w:overflowPunct/>
        <w:topLinePunct w:val="0"/>
        <w:autoSpaceDE/>
        <w:autoSpaceDN/>
        <w:bidi w:val="0"/>
        <w:adjustRightInd w:val="0"/>
        <w:snapToGrid w:val="0"/>
        <w:spacing w:line="360" w:lineRule="auto"/>
        <w:ind w:firstLine="720"/>
        <w:textAlignment w:val="auto"/>
        <w:rPr>
          <w:rFonts w:ascii="仿宋_GB2312" w:hAnsi="仿宋_GB2312" w:eastAsia="仿宋_GB2312" w:cs="仿宋_GB2312"/>
          <w:color w:val="C0504D"/>
          <w:sz w:val="30"/>
          <w:szCs w:val="30"/>
        </w:rPr>
      </w:pPr>
      <w:r>
        <w:rPr>
          <w:rFonts w:hint="eastAsia" w:ascii="仿宋_GB2312" w:hAnsi="仿宋_GB2312" w:eastAsia="仿宋_GB2312" w:cs="仿宋_GB2312"/>
          <w:sz w:val="30"/>
          <w:szCs w:val="30"/>
        </w:rPr>
        <w:t>（三）绩效指标完成情况分析。</w:t>
      </w:r>
      <w:r>
        <w:rPr>
          <w:rFonts w:hint="eastAsia" w:ascii="仿宋_GB2312" w:hAnsi="仿宋_GB2312" w:cs="仿宋_GB2312"/>
          <w:sz w:val="30"/>
          <w:szCs w:val="30"/>
        </w:rPr>
        <w:t>船舶检测</w:t>
      </w:r>
      <w:r>
        <w:rPr>
          <w:rFonts w:hint="eastAsia" w:ascii="仿宋_GB2312" w:hAnsi="仿宋_GB2312" w:eastAsia="仿宋_GB2312" w:cs="仿宋_GB2312"/>
          <w:sz w:val="30"/>
          <w:szCs w:val="30"/>
        </w:rPr>
        <w:t>费项目完成 100%，数量、质量、时效、成本，项目无资金结余情况和违规记录等情况，对照项目计划完成目标 100%，对截止评价时点</w:t>
      </w:r>
      <w:r>
        <w:rPr>
          <w:rFonts w:hint="eastAsia" w:ascii="仿宋_GB2312" w:hAnsi="仿宋_GB2312" w:cs="仿宋_GB2312"/>
          <w:sz w:val="30"/>
          <w:szCs w:val="30"/>
        </w:rPr>
        <w:t>完成</w:t>
      </w:r>
      <w:r>
        <w:rPr>
          <w:rFonts w:hint="eastAsia" w:ascii="仿宋_GB2312" w:hAnsi="仿宋_GB2312" w:eastAsia="仿宋_GB2312" w:cs="仿宋_GB2312"/>
          <w:color w:val="000000"/>
          <w:sz w:val="30"/>
          <w:szCs w:val="30"/>
        </w:rPr>
        <w:t>我县管辖内营运船只检测，确保船只营运安全任务完成、质量标准、进</w:t>
      </w:r>
      <w:r>
        <w:rPr>
          <w:rFonts w:hint="eastAsia" w:ascii="仿宋_GB2312" w:hAnsi="仿宋_GB2312" w:eastAsia="仿宋_GB2312" w:cs="仿宋_GB2312"/>
          <w:sz w:val="30"/>
          <w:szCs w:val="30"/>
        </w:rPr>
        <w:t>度计划、成本控制目标的实现程度进行。</w:t>
      </w:r>
    </w:p>
    <w:p>
      <w:pPr>
        <w:keepNext w:val="0"/>
        <w:keepLines w:val="0"/>
        <w:pageBreakBefore w:val="0"/>
        <w:widowControl w:val="0"/>
        <w:kinsoku/>
        <w:wordWrap/>
        <w:overflowPunct/>
        <w:topLinePunct w:val="0"/>
        <w:autoSpaceDE/>
        <w:autoSpaceDN/>
        <w:bidi w:val="0"/>
        <w:snapToGrid w:val="0"/>
        <w:spacing w:line="360" w:lineRule="auto"/>
        <w:ind w:firstLine="600" w:firstLineChars="200"/>
        <w:textAlignment w:val="auto"/>
        <w:outlineLvl w:val="0"/>
        <w:rPr>
          <w:rFonts w:ascii="仿宋_GB2312" w:hAnsi="仿宋_GB2312" w:eastAsia="仿宋_GB2312" w:cs="仿宋_GB2312"/>
          <w:sz w:val="30"/>
          <w:szCs w:val="30"/>
        </w:rPr>
      </w:pPr>
      <w:r>
        <w:rPr>
          <w:rFonts w:hint="eastAsia" w:ascii="仿宋_GB2312" w:hAnsi="仿宋_GB2312" w:eastAsia="仿宋_GB2312" w:cs="仿宋_GB2312"/>
          <w:sz w:val="30"/>
          <w:szCs w:val="30"/>
        </w:rPr>
        <w:t>（四）项目效益分析。该项目绩效目标完成100%，推进行政审批</w:t>
      </w:r>
      <w:r>
        <w:rPr>
          <w:rFonts w:hint="eastAsia" w:ascii="仿宋_GB2312" w:hAnsi="仿宋_GB2312" w:cs="仿宋_GB2312"/>
          <w:sz w:val="30"/>
          <w:szCs w:val="30"/>
        </w:rPr>
        <w:t>检验</w:t>
      </w:r>
      <w:r>
        <w:rPr>
          <w:rFonts w:hint="eastAsia" w:ascii="仿宋_GB2312" w:hAnsi="仿宋_GB2312" w:eastAsia="仿宋_GB2312" w:cs="仿宋_GB2312"/>
          <w:sz w:val="30"/>
          <w:szCs w:val="30"/>
        </w:rPr>
        <w:t>提质增效、降低实体经济制度性交易成本、提升便利化水平。推动实现行政审批更简、透明化程度更高、服务质量更优，提升行政审批服务效能，助推全县经济社会发展。</w:t>
      </w:r>
    </w:p>
    <w:p>
      <w:pPr>
        <w:keepNext w:val="0"/>
        <w:keepLines w:val="0"/>
        <w:pageBreakBefore w:val="0"/>
        <w:widowControl w:val="0"/>
        <w:kinsoku/>
        <w:wordWrap/>
        <w:overflowPunct/>
        <w:topLinePunct w:val="0"/>
        <w:autoSpaceDE/>
        <w:autoSpaceDN/>
        <w:bidi w:val="0"/>
        <w:snapToGrid w:val="0"/>
        <w:spacing w:line="360" w:lineRule="auto"/>
        <w:textAlignment w:val="auto"/>
        <w:rPr>
          <w:rFonts w:ascii="仿宋_GB2312" w:hAnsi="仿宋_GB2312" w:eastAsia="仿宋_GB2312" w:cs="仿宋_GB2312"/>
          <w:sz w:val="30"/>
          <w:szCs w:val="30"/>
        </w:rPr>
      </w:pPr>
      <w:r>
        <w:rPr>
          <w:rFonts w:hint="eastAsia" w:ascii="仿宋_GB2312" w:hAnsi="仿宋_GB2312" w:eastAsia="仿宋_GB2312" w:cs="仿宋_GB2312"/>
          <w:bCs/>
          <w:sz w:val="30"/>
          <w:szCs w:val="30"/>
        </w:rPr>
        <w:t>二、偏离绩效目标的原因和下一步改进措施</w:t>
      </w:r>
    </w:p>
    <w:p>
      <w:pPr>
        <w:keepNext w:val="0"/>
        <w:keepLines w:val="0"/>
        <w:pageBreakBefore w:val="0"/>
        <w:widowControl w:val="0"/>
        <w:kinsoku/>
        <w:wordWrap/>
        <w:overflowPunct/>
        <w:topLinePunct w:val="0"/>
        <w:autoSpaceDE/>
        <w:autoSpaceDN/>
        <w:bidi w:val="0"/>
        <w:snapToGrid w:val="0"/>
        <w:spacing w:line="360" w:lineRule="auto"/>
        <w:ind w:firstLine="600" w:firstLineChars="200"/>
        <w:textAlignment w:val="auto"/>
        <w:outlineLvl w:val="0"/>
        <w:rPr>
          <w:rFonts w:ascii="仿宋_GB2312" w:hAnsi="仿宋_GB2312" w:eastAsia="仿宋_GB2312" w:cs="仿宋_GB2312"/>
          <w:sz w:val="30"/>
          <w:szCs w:val="30"/>
        </w:rPr>
      </w:pPr>
      <w:r>
        <w:rPr>
          <w:rFonts w:hint="eastAsia" w:ascii="仿宋_GB2312" w:hAnsi="仿宋_GB2312" w:eastAsia="仿宋_GB2312" w:cs="仿宋_GB2312"/>
          <w:sz w:val="30"/>
          <w:szCs w:val="30"/>
        </w:rPr>
        <w:t>该项目总体绩效目标和绩效指标完成100%，没有出现超指标值较多的原政策执行或项目实施中存在的问题和原因。</w:t>
      </w:r>
    </w:p>
    <w:p>
      <w:pPr>
        <w:keepNext w:val="0"/>
        <w:keepLines w:val="0"/>
        <w:pageBreakBefore w:val="0"/>
        <w:widowControl w:val="0"/>
        <w:kinsoku/>
        <w:wordWrap/>
        <w:overflowPunct/>
        <w:topLinePunct w:val="0"/>
        <w:autoSpaceDE/>
        <w:autoSpaceDN/>
        <w:bidi w:val="0"/>
        <w:snapToGrid w:val="0"/>
        <w:spacing w:line="360" w:lineRule="auto"/>
        <w:ind w:firstLine="600" w:firstLineChars="200"/>
        <w:textAlignment w:val="auto"/>
        <w:rPr>
          <w:rFonts w:ascii="仿宋_GB2312" w:hAnsi="仿宋_GB2312" w:eastAsia="仿宋_GB2312" w:cs="仿宋_GB2312"/>
          <w:bCs/>
          <w:sz w:val="30"/>
          <w:szCs w:val="30"/>
        </w:rPr>
      </w:pPr>
      <w:r>
        <w:rPr>
          <w:rFonts w:hint="eastAsia" w:ascii="仿宋_GB2312" w:hAnsi="仿宋_GB2312" w:eastAsia="仿宋_GB2312" w:cs="仿宋_GB2312"/>
          <w:bCs/>
          <w:sz w:val="30"/>
          <w:szCs w:val="30"/>
        </w:rPr>
        <w:t>三、绩效自评结果拟应用和公开情况</w:t>
      </w:r>
    </w:p>
    <w:p>
      <w:pPr>
        <w:pStyle w:val="13"/>
        <w:keepNext w:val="0"/>
        <w:keepLines w:val="0"/>
        <w:pageBreakBefore w:val="0"/>
        <w:widowControl w:val="0"/>
        <w:kinsoku/>
        <w:wordWrap/>
        <w:overflowPunct/>
        <w:topLinePunct w:val="0"/>
        <w:autoSpaceDE/>
        <w:autoSpaceDN/>
        <w:bidi w:val="0"/>
        <w:snapToGrid w:val="0"/>
        <w:spacing w:line="360" w:lineRule="auto"/>
        <w:ind w:firstLine="600" w:firstLineChars="200"/>
        <w:jc w:val="both"/>
        <w:textAlignment w:val="auto"/>
        <w:rPr>
          <w:rFonts w:ascii="仿宋_GB2312" w:hAnsi="仿宋_GB2312" w:eastAsia="仿宋_GB2312" w:cs="仿宋_GB2312"/>
          <w:sz w:val="30"/>
          <w:szCs w:val="30"/>
        </w:rPr>
      </w:pPr>
      <w:r>
        <w:rPr>
          <w:rFonts w:hint="eastAsia" w:ascii="仿宋_GB2312" w:hAnsi="仿宋_GB2312" w:eastAsia="仿宋_GB2312" w:cs="仿宋_GB2312"/>
          <w:bCs/>
          <w:sz w:val="30"/>
          <w:szCs w:val="30"/>
        </w:rPr>
        <w:t>该资金是专项资金，已够全县船只检测费用，没有下一年度预算安排及建议。</w:t>
      </w:r>
    </w:p>
    <w:p>
      <w:pPr>
        <w:keepNext w:val="0"/>
        <w:keepLines w:val="0"/>
        <w:pageBreakBefore w:val="0"/>
        <w:widowControl w:val="0"/>
        <w:kinsoku/>
        <w:wordWrap/>
        <w:overflowPunct/>
        <w:topLinePunct w:val="0"/>
        <w:autoSpaceDE/>
        <w:autoSpaceDN/>
        <w:bidi w:val="0"/>
        <w:snapToGrid w:val="0"/>
        <w:spacing w:line="360" w:lineRule="auto"/>
        <w:ind w:firstLine="600" w:firstLineChars="200"/>
        <w:textAlignment w:val="auto"/>
        <w:rPr>
          <w:rFonts w:ascii="仿宋_GB2312" w:hAnsi="仿宋_GB2312" w:eastAsia="仿宋_GB2312" w:cs="仿宋_GB2312"/>
          <w:bCs/>
          <w:sz w:val="30"/>
          <w:szCs w:val="30"/>
        </w:rPr>
      </w:pPr>
      <w:r>
        <w:rPr>
          <w:rFonts w:hint="eastAsia" w:ascii="仿宋_GB2312" w:hAnsi="仿宋_GB2312" w:eastAsia="仿宋_GB2312" w:cs="仿宋_GB2312"/>
          <w:bCs/>
          <w:sz w:val="30"/>
          <w:szCs w:val="30"/>
        </w:rPr>
        <w:t>四、其他需要说明的问题</w:t>
      </w:r>
    </w:p>
    <w:p>
      <w:pPr>
        <w:keepNext w:val="0"/>
        <w:keepLines w:val="0"/>
        <w:pageBreakBefore w:val="0"/>
        <w:widowControl w:val="0"/>
        <w:kinsoku/>
        <w:wordWrap/>
        <w:overflowPunct/>
        <w:topLinePunct w:val="0"/>
        <w:autoSpaceDE/>
        <w:autoSpaceDN/>
        <w:bidi w:val="0"/>
        <w:snapToGrid w:val="0"/>
        <w:spacing w:line="360" w:lineRule="auto"/>
        <w:ind w:firstLine="600" w:firstLineChars="200"/>
        <w:textAlignment w:val="auto"/>
        <w:outlineLvl w:val="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没有出现各级巡视（巡察）、各级审计和财政监督发现的问题及其所涉及的金额。</w:t>
      </w:r>
    </w:p>
    <w:p>
      <w:pPr>
        <w:pStyle w:val="13"/>
      </w:pPr>
    </w:p>
    <w:p>
      <w:pPr>
        <w:pStyle w:val="13"/>
      </w:pPr>
    </w:p>
    <w:p>
      <w:pPr>
        <w:spacing w:line="520" w:lineRule="exact"/>
        <w:rPr>
          <w:rFonts w:eastAsia="黑体"/>
          <w:sz w:val="28"/>
          <w:szCs w:val="36"/>
        </w:rPr>
      </w:pPr>
      <w:r>
        <w:rPr>
          <w:rFonts w:eastAsia="黑体"/>
          <w:sz w:val="28"/>
          <w:szCs w:val="36"/>
        </w:rPr>
        <w:t>附件1</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0"/>
        <w:gridCol w:w="775"/>
        <w:gridCol w:w="998"/>
        <w:gridCol w:w="1278"/>
        <w:gridCol w:w="775"/>
        <w:gridCol w:w="1011"/>
        <w:gridCol w:w="998"/>
        <w:gridCol w:w="15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000" w:type="pct"/>
            <w:gridSpan w:val="8"/>
            <w:tcBorders>
              <w:top w:val="nil"/>
              <w:left w:val="nil"/>
              <w:bottom w:val="nil"/>
              <w:right w:val="nil"/>
            </w:tcBorders>
            <w:noWrap/>
            <w:vAlign w:val="center"/>
          </w:tcPr>
          <w:p>
            <w:pPr>
              <w:widowControl/>
              <w:spacing w:line="440" w:lineRule="exact"/>
              <w:jc w:val="center"/>
              <w:textAlignment w:val="center"/>
              <w:rPr>
                <w:rFonts w:eastAsia="方正小标宋简体"/>
                <w:color w:val="000000"/>
                <w:sz w:val="36"/>
                <w:szCs w:val="36"/>
              </w:rPr>
            </w:pPr>
            <w:r>
              <w:rPr>
                <w:rFonts w:hint="eastAsia" w:eastAsia="方正小标宋简体"/>
                <w:color w:val="000000"/>
                <w:kern w:val="0"/>
                <w:sz w:val="36"/>
                <w:szCs w:val="36"/>
              </w:rPr>
              <w:t>镇村便民服务体系建设</w:t>
            </w:r>
            <w:r>
              <w:rPr>
                <w:rFonts w:eastAsia="方正小标宋简体"/>
                <w:color w:val="000000"/>
                <w:kern w:val="0"/>
                <w:sz w:val="36"/>
                <w:szCs w:val="36"/>
              </w:rPr>
              <w:t>项目绩效目标自评表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5000" w:type="pct"/>
            <w:gridSpan w:val="8"/>
            <w:tcBorders>
              <w:top w:val="nil"/>
              <w:left w:val="nil"/>
              <w:bottom w:val="single" w:color="auto" w:sz="4" w:space="0"/>
              <w:right w:val="nil"/>
            </w:tcBorders>
            <w:noWrap/>
          </w:tcPr>
          <w:p>
            <w:pPr>
              <w:widowControl/>
              <w:spacing w:line="320" w:lineRule="exact"/>
              <w:jc w:val="center"/>
              <w:textAlignment w:val="top"/>
              <w:rPr>
                <w:color w:val="000000"/>
                <w:sz w:val="22"/>
                <w:szCs w:val="22"/>
              </w:rPr>
            </w:pPr>
            <w:r>
              <w:rPr>
                <w:color w:val="000000"/>
                <w:kern w:val="0"/>
                <w:sz w:val="22"/>
                <w:szCs w:val="22"/>
              </w:rPr>
              <w:t>（2022年度）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6" w:type="pct"/>
            <w:gridSpan w:val="3"/>
            <w:tcBorders>
              <w:top w:val="single" w:color="auto" w:sz="4" w:space="0"/>
            </w:tcBorders>
            <w:noWrap/>
            <w:vAlign w:val="center"/>
          </w:tcPr>
          <w:p>
            <w:pPr>
              <w:widowControl/>
              <w:spacing w:line="200" w:lineRule="exact"/>
              <w:jc w:val="center"/>
              <w:textAlignment w:val="center"/>
              <w:rPr>
                <w:color w:val="000000"/>
                <w:sz w:val="16"/>
                <w:szCs w:val="16"/>
              </w:rPr>
            </w:pPr>
            <w:r>
              <w:rPr>
                <w:color w:val="000000"/>
                <w:kern w:val="0"/>
                <w:sz w:val="16"/>
                <w:szCs w:val="16"/>
              </w:rPr>
              <w:t>项目（政策）名称</w:t>
            </w:r>
          </w:p>
        </w:tc>
        <w:tc>
          <w:tcPr>
            <w:tcW w:w="3753" w:type="pct"/>
            <w:gridSpan w:val="5"/>
            <w:tcBorders>
              <w:top w:val="single" w:color="auto" w:sz="4" w:space="0"/>
            </w:tcBorders>
            <w:noWrap/>
            <w:vAlign w:val="center"/>
          </w:tcPr>
          <w:p>
            <w:pPr>
              <w:widowControl/>
              <w:spacing w:line="200" w:lineRule="exact"/>
              <w:jc w:val="left"/>
              <w:rPr>
                <w:color w:val="000000"/>
                <w:sz w:val="16"/>
                <w:szCs w:val="16"/>
              </w:rPr>
            </w:pPr>
            <w:r>
              <w:rPr>
                <w:rFonts w:hint="eastAsia"/>
                <w:color w:val="000000"/>
                <w:sz w:val="16"/>
                <w:szCs w:val="16"/>
              </w:rPr>
              <w:t>镇村便民服务体系建设经费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6" w:type="pct"/>
            <w:gridSpan w:val="3"/>
            <w:noWrap/>
            <w:vAlign w:val="center"/>
          </w:tcPr>
          <w:p>
            <w:pPr>
              <w:widowControl/>
              <w:spacing w:line="200" w:lineRule="exact"/>
              <w:jc w:val="center"/>
              <w:textAlignment w:val="center"/>
              <w:rPr>
                <w:color w:val="000000"/>
                <w:sz w:val="16"/>
                <w:szCs w:val="16"/>
              </w:rPr>
            </w:pPr>
            <w:r>
              <w:rPr>
                <w:color w:val="000000"/>
                <w:kern w:val="0"/>
                <w:sz w:val="16"/>
                <w:szCs w:val="16"/>
              </w:rPr>
              <w:t>项目主管部门</w:t>
            </w:r>
          </w:p>
        </w:tc>
        <w:tc>
          <w:tcPr>
            <w:tcW w:w="1648" w:type="pct"/>
            <w:gridSpan w:val="2"/>
            <w:noWrap/>
            <w:vAlign w:val="center"/>
          </w:tcPr>
          <w:p>
            <w:pPr>
              <w:widowControl/>
              <w:spacing w:line="200" w:lineRule="exact"/>
              <w:rPr>
                <w:color w:val="000000"/>
                <w:sz w:val="16"/>
                <w:szCs w:val="16"/>
              </w:rPr>
            </w:pPr>
            <w:r>
              <w:rPr>
                <w:rFonts w:hint="eastAsia"/>
                <w:color w:val="000000"/>
                <w:sz w:val="16"/>
                <w:szCs w:val="16"/>
              </w:rPr>
              <w:t>沐川县财政局</w:t>
            </w:r>
          </w:p>
        </w:tc>
        <w:tc>
          <w:tcPr>
            <w:tcW w:w="625" w:type="pct"/>
            <w:noWrap/>
            <w:vAlign w:val="center"/>
          </w:tcPr>
          <w:p>
            <w:pPr>
              <w:widowControl/>
              <w:spacing w:line="200" w:lineRule="exact"/>
              <w:jc w:val="center"/>
              <w:textAlignment w:val="center"/>
              <w:rPr>
                <w:color w:val="000000"/>
                <w:kern w:val="0"/>
                <w:sz w:val="16"/>
                <w:szCs w:val="16"/>
              </w:rPr>
            </w:pPr>
            <w:r>
              <w:rPr>
                <w:color w:val="000000"/>
                <w:kern w:val="0"/>
                <w:sz w:val="16"/>
                <w:szCs w:val="16"/>
              </w:rPr>
              <w:t>资金使用单位</w:t>
            </w:r>
          </w:p>
        </w:tc>
        <w:tc>
          <w:tcPr>
            <w:tcW w:w="1479" w:type="pct"/>
            <w:gridSpan w:val="2"/>
            <w:noWrap/>
            <w:vAlign w:val="center"/>
          </w:tcPr>
          <w:p>
            <w:pPr>
              <w:widowControl/>
              <w:spacing w:line="200" w:lineRule="exact"/>
              <w:jc w:val="center"/>
              <w:rPr>
                <w:color w:val="000000"/>
                <w:sz w:val="16"/>
                <w:szCs w:val="16"/>
              </w:rPr>
            </w:pPr>
            <w:r>
              <w:rPr>
                <w:rFonts w:hint="eastAsia"/>
                <w:color w:val="000000"/>
                <w:sz w:val="16"/>
                <w:szCs w:val="16"/>
              </w:rPr>
              <w:t>沐川县行政审批局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6" w:type="pct"/>
            <w:gridSpan w:val="3"/>
            <w:vMerge w:val="restart"/>
            <w:noWrap/>
            <w:vAlign w:val="center"/>
          </w:tcPr>
          <w:p>
            <w:pPr>
              <w:widowControl/>
              <w:spacing w:line="200" w:lineRule="exact"/>
              <w:jc w:val="center"/>
              <w:textAlignment w:val="center"/>
              <w:rPr>
                <w:color w:val="000000"/>
                <w:sz w:val="16"/>
                <w:szCs w:val="16"/>
              </w:rPr>
            </w:pPr>
            <w:r>
              <w:rPr>
                <w:color w:val="000000"/>
                <w:kern w:val="0"/>
                <w:sz w:val="16"/>
                <w:szCs w:val="16"/>
              </w:rPr>
              <w:t>项目资金</w:t>
            </w:r>
            <w:r>
              <w:rPr>
                <w:color w:val="000000"/>
                <w:kern w:val="0"/>
                <w:sz w:val="16"/>
                <w:szCs w:val="16"/>
              </w:rPr>
              <w:br w:type="textWrapping"/>
            </w:r>
            <w:r>
              <w:rPr>
                <w:color w:val="000000"/>
                <w:kern w:val="0"/>
                <w:sz w:val="16"/>
                <w:szCs w:val="16"/>
              </w:rPr>
              <w:t>（万元）</w:t>
            </w:r>
          </w:p>
        </w:tc>
        <w:tc>
          <w:tcPr>
            <w:tcW w:w="967" w:type="pct"/>
            <w:noWrap/>
            <w:vAlign w:val="center"/>
          </w:tcPr>
          <w:p>
            <w:pPr>
              <w:widowControl/>
              <w:spacing w:line="200" w:lineRule="exact"/>
              <w:rPr>
                <w:color w:val="000000"/>
                <w:sz w:val="16"/>
                <w:szCs w:val="16"/>
              </w:rPr>
            </w:pPr>
          </w:p>
        </w:tc>
        <w:tc>
          <w:tcPr>
            <w:tcW w:w="680" w:type="pct"/>
            <w:noWrap/>
            <w:vAlign w:val="center"/>
          </w:tcPr>
          <w:p>
            <w:pPr>
              <w:widowControl/>
              <w:spacing w:line="200" w:lineRule="exact"/>
              <w:jc w:val="center"/>
              <w:textAlignment w:val="center"/>
              <w:rPr>
                <w:color w:val="000000"/>
                <w:sz w:val="16"/>
                <w:szCs w:val="16"/>
              </w:rPr>
            </w:pPr>
            <w:r>
              <w:rPr>
                <w:color w:val="000000"/>
                <w:kern w:val="0"/>
                <w:sz w:val="16"/>
                <w:szCs w:val="16"/>
              </w:rPr>
              <w:t>全年预算数</w:t>
            </w:r>
          </w:p>
        </w:tc>
        <w:tc>
          <w:tcPr>
            <w:tcW w:w="1109" w:type="pct"/>
            <w:gridSpan w:val="2"/>
            <w:noWrap/>
            <w:vAlign w:val="center"/>
          </w:tcPr>
          <w:p>
            <w:pPr>
              <w:widowControl/>
              <w:spacing w:line="200" w:lineRule="exact"/>
              <w:jc w:val="center"/>
              <w:textAlignment w:val="center"/>
              <w:rPr>
                <w:color w:val="000000"/>
                <w:sz w:val="16"/>
                <w:szCs w:val="16"/>
              </w:rPr>
            </w:pPr>
            <w:r>
              <w:rPr>
                <w:color w:val="000000"/>
                <w:kern w:val="0"/>
                <w:sz w:val="16"/>
                <w:szCs w:val="16"/>
              </w:rPr>
              <w:t>全年执行数</w:t>
            </w:r>
          </w:p>
        </w:tc>
        <w:tc>
          <w:tcPr>
            <w:tcW w:w="995" w:type="pct"/>
            <w:noWrap/>
            <w:vAlign w:val="center"/>
          </w:tcPr>
          <w:p>
            <w:pPr>
              <w:widowControl/>
              <w:spacing w:line="200" w:lineRule="exact"/>
              <w:jc w:val="center"/>
              <w:textAlignment w:val="center"/>
              <w:rPr>
                <w:color w:val="000000"/>
                <w:sz w:val="16"/>
                <w:szCs w:val="16"/>
              </w:rPr>
            </w:pPr>
            <w:r>
              <w:rPr>
                <w:color w:val="000000"/>
                <w:kern w:val="0"/>
                <w:sz w:val="16"/>
                <w:szCs w:val="16"/>
              </w:rPr>
              <w:t>预算执行率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6" w:type="pct"/>
            <w:gridSpan w:val="3"/>
            <w:vMerge w:val="continue"/>
            <w:noWrap/>
            <w:vAlign w:val="center"/>
          </w:tcPr>
          <w:p>
            <w:pPr>
              <w:widowControl/>
              <w:spacing w:line="200" w:lineRule="exact"/>
              <w:jc w:val="center"/>
              <w:rPr>
                <w:color w:val="000000"/>
                <w:sz w:val="16"/>
                <w:szCs w:val="16"/>
              </w:rPr>
            </w:pPr>
          </w:p>
        </w:tc>
        <w:tc>
          <w:tcPr>
            <w:tcW w:w="967" w:type="pct"/>
            <w:noWrap/>
            <w:vAlign w:val="center"/>
          </w:tcPr>
          <w:p>
            <w:pPr>
              <w:widowControl/>
              <w:spacing w:line="200" w:lineRule="exact"/>
              <w:jc w:val="left"/>
              <w:textAlignment w:val="center"/>
              <w:rPr>
                <w:color w:val="000000"/>
                <w:sz w:val="16"/>
                <w:szCs w:val="16"/>
              </w:rPr>
            </w:pPr>
            <w:r>
              <w:rPr>
                <w:color w:val="000000"/>
                <w:kern w:val="0"/>
                <w:sz w:val="16"/>
                <w:szCs w:val="16"/>
              </w:rPr>
              <w:t>年度资金总额：</w:t>
            </w:r>
          </w:p>
        </w:tc>
        <w:tc>
          <w:tcPr>
            <w:tcW w:w="680" w:type="pct"/>
            <w:noWrap/>
            <w:vAlign w:val="center"/>
          </w:tcPr>
          <w:p>
            <w:pPr>
              <w:widowControl/>
              <w:spacing w:line="200" w:lineRule="exact"/>
              <w:jc w:val="center"/>
              <w:rPr>
                <w:color w:val="000000"/>
                <w:sz w:val="16"/>
                <w:szCs w:val="16"/>
              </w:rPr>
            </w:pPr>
          </w:p>
        </w:tc>
        <w:tc>
          <w:tcPr>
            <w:tcW w:w="1109" w:type="pct"/>
            <w:gridSpan w:val="2"/>
            <w:noWrap/>
            <w:vAlign w:val="center"/>
          </w:tcPr>
          <w:p>
            <w:pPr>
              <w:widowControl/>
              <w:spacing w:line="200" w:lineRule="exact"/>
              <w:jc w:val="center"/>
              <w:rPr>
                <w:color w:val="000000"/>
                <w:sz w:val="16"/>
                <w:szCs w:val="16"/>
              </w:rPr>
            </w:pPr>
          </w:p>
        </w:tc>
        <w:tc>
          <w:tcPr>
            <w:tcW w:w="995" w:type="pct"/>
            <w:noWrap/>
            <w:vAlign w:val="center"/>
          </w:tcPr>
          <w:p>
            <w:pPr>
              <w:widowControl/>
              <w:spacing w:line="200" w:lineRule="exact"/>
              <w:jc w:val="left"/>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6" w:type="pct"/>
            <w:gridSpan w:val="3"/>
            <w:vMerge w:val="continue"/>
            <w:noWrap/>
            <w:vAlign w:val="center"/>
          </w:tcPr>
          <w:p>
            <w:pPr>
              <w:widowControl/>
              <w:spacing w:line="200" w:lineRule="exact"/>
              <w:jc w:val="center"/>
              <w:rPr>
                <w:color w:val="000000"/>
                <w:sz w:val="16"/>
                <w:szCs w:val="16"/>
              </w:rPr>
            </w:pPr>
          </w:p>
        </w:tc>
        <w:tc>
          <w:tcPr>
            <w:tcW w:w="967" w:type="pct"/>
            <w:noWrap/>
            <w:vAlign w:val="center"/>
          </w:tcPr>
          <w:p>
            <w:pPr>
              <w:widowControl/>
              <w:spacing w:line="200" w:lineRule="exact"/>
              <w:jc w:val="left"/>
              <w:textAlignment w:val="center"/>
              <w:rPr>
                <w:color w:val="000000"/>
                <w:sz w:val="16"/>
                <w:szCs w:val="16"/>
              </w:rPr>
            </w:pPr>
            <w:r>
              <w:rPr>
                <w:rStyle w:val="38"/>
                <w:rFonts w:hint="default" w:ascii="Times New Roman" w:hAnsi="Times New Roman" w:cs="Times New Roman"/>
              </w:rPr>
              <w:t>其中：中央、省补助</w:t>
            </w:r>
          </w:p>
        </w:tc>
        <w:tc>
          <w:tcPr>
            <w:tcW w:w="680" w:type="pct"/>
            <w:noWrap/>
            <w:vAlign w:val="center"/>
          </w:tcPr>
          <w:p>
            <w:pPr>
              <w:widowControl/>
              <w:spacing w:line="200" w:lineRule="exact"/>
              <w:jc w:val="center"/>
              <w:rPr>
                <w:color w:val="000000"/>
                <w:sz w:val="16"/>
                <w:szCs w:val="16"/>
              </w:rPr>
            </w:pPr>
          </w:p>
        </w:tc>
        <w:tc>
          <w:tcPr>
            <w:tcW w:w="1109" w:type="pct"/>
            <w:gridSpan w:val="2"/>
            <w:noWrap/>
            <w:vAlign w:val="center"/>
          </w:tcPr>
          <w:p>
            <w:pPr>
              <w:widowControl/>
              <w:spacing w:line="200" w:lineRule="exact"/>
              <w:jc w:val="center"/>
              <w:rPr>
                <w:color w:val="000000"/>
                <w:sz w:val="16"/>
                <w:szCs w:val="16"/>
              </w:rPr>
            </w:pPr>
          </w:p>
        </w:tc>
        <w:tc>
          <w:tcPr>
            <w:tcW w:w="995" w:type="pct"/>
            <w:noWrap/>
            <w:vAlign w:val="center"/>
          </w:tcPr>
          <w:p>
            <w:pPr>
              <w:widowControl/>
              <w:spacing w:line="200" w:lineRule="exact"/>
              <w:jc w:val="left"/>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6" w:type="pct"/>
            <w:gridSpan w:val="3"/>
            <w:vMerge w:val="continue"/>
            <w:noWrap/>
            <w:vAlign w:val="center"/>
          </w:tcPr>
          <w:p>
            <w:pPr>
              <w:widowControl/>
              <w:spacing w:line="200" w:lineRule="exact"/>
              <w:jc w:val="center"/>
              <w:rPr>
                <w:color w:val="000000"/>
                <w:sz w:val="16"/>
                <w:szCs w:val="16"/>
              </w:rPr>
            </w:pPr>
          </w:p>
        </w:tc>
        <w:tc>
          <w:tcPr>
            <w:tcW w:w="967" w:type="pct"/>
            <w:noWrap/>
            <w:vAlign w:val="center"/>
          </w:tcPr>
          <w:p>
            <w:pPr>
              <w:widowControl/>
              <w:spacing w:line="200" w:lineRule="exact"/>
              <w:jc w:val="left"/>
              <w:textAlignment w:val="center"/>
              <w:rPr>
                <w:color w:val="000000"/>
                <w:sz w:val="16"/>
                <w:szCs w:val="16"/>
              </w:rPr>
            </w:pPr>
            <w:r>
              <w:rPr>
                <w:rStyle w:val="38"/>
                <w:rFonts w:hint="default" w:ascii="Times New Roman" w:hAnsi="Times New Roman" w:cs="Times New Roman"/>
              </w:rPr>
              <w:t xml:space="preserve">      市级财政资</w:t>
            </w:r>
          </w:p>
        </w:tc>
        <w:tc>
          <w:tcPr>
            <w:tcW w:w="680" w:type="pct"/>
            <w:noWrap/>
            <w:vAlign w:val="center"/>
          </w:tcPr>
          <w:p>
            <w:pPr>
              <w:widowControl/>
              <w:spacing w:line="200" w:lineRule="exact"/>
              <w:jc w:val="center"/>
              <w:rPr>
                <w:color w:val="000000"/>
                <w:sz w:val="16"/>
                <w:szCs w:val="16"/>
              </w:rPr>
            </w:pPr>
          </w:p>
        </w:tc>
        <w:tc>
          <w:tcPr>
            <w:tcW w:w="1109" w:type="pct"/>
            <w:gridSpan w:val="2"/>
            <w:noWrap/>
            <w:vAlign w:val="center"/>
          </w:tcPr>
          <w:p>
            <w:pPr>
              <w:widowControl/>
              <w:spacing w:line="200" w:lineRule="exact"/>
              <w:jc w:val="center"/>
              <w:rPr>
                <w:color w:val="000000"/>
                <w:sz w:val="16"/>
                <w:szCs w:val="16"/>
              </w:rPr>
            </w:pPr>
          </w:p>
        </w:tc>
        <w:tc>
          <w:tcPr>
            <w:tcW w:w="995" w:type="pct"/>
            <w:noWrap/>
            <w:vAlign w:val="center"/>
          </w:tcPr>
          <w:p>
            <w:pPr>
              <w:widowControl/>
              <w:spacing w:line="200" w:lineRule="exact"/>
              <w:jc w:val="left"/>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6" w:type="pct"/>
            <w:gridSpan w:val="3"/>
            <w:vMerge w:val="continue"/>
            <w:noWrap/>
            <w:vAlign w:val="center"/>
          </w:tcPr>
          <w:p>
            <w:pPr>
              <w:widowControl/>
              <w:spacing w:line="200" w:lineRule="exact"/>
              <w:jc w:val="center"/>
              <w:rPr>
                <w:color w:val="000000"/>
                <w:sz w:val="16"/>
                <w:szCs w:val="16"/>
              </w:rPr>
            </w:pPr>
          </w:p>
        </w:tc>
        <w:tc>
          <w:tcPr>
            <w:tcW w:w="967" w:type="pct"/>
            <w:noWrap/>
            <w:vAlign w:val="center"/>
          </w:tcPr>
          <w:p>
            <w:pPr>
              <w:widowControl/>
              <w:spacing w:line="200" w:lineRule="exact"/>
              <w:jc w:val="left"/>
              <w:textAlignment w:val="center"/>
              <w:rPr>
                <w:color w:val="000000"/>
                <w:sz w:val="16"/>
                <w:szCs w:val="16"/>
              </w:rPr>
            </w:pPr>
            <w:r>
              <w:rPr>
                <w:color w:val="000000"/>
                <w:kern w:val="0"/>
                <w:sz w:val="16"/>
                <w:szCs w:val="16"/>
              </w:rPr>
              <w:t xml:space="preserve">       县级财政资</w:t>
            </w:r>
            <w:r>
              <w:rPr>
                <w:rFonts w:hint="eastAsia"/>
                <w:color w:val="000000"/>
                <w:kern w:val="0"/>
                <w:sz w:val="16"/>
                <w:szCs w:val="16"/>
              </w:rPr>
              <w:t>金</w:t>
            </w:r>
          </w:p>
        </w:tc>
        <w:tc>
          <w:tcPr>
            <w:tcW w:w="680" w:type="pct"/>
            <w:noWrap/>
            <w:vAlign w:val="center"/>
          </w:tcPr>
          <w:p>
            <w:pPr>
              <w:widowControl/>
              <w:spacing w:line="200" w:lineRule="exact"/>
              <w:jc w:val="center"/>
              <w:rPr>
                <w:color w:val="000000"/>
                <w:sz w:val="16"/>
                <w:szCs w:val="16"/>
              </w:rPr>
            </w:pPr>
            <w:r>
              <w:rPr>
                <w:rFonts w:hint="eastAsia"/>
                <w:color w:val="000000"/>
                <w:sz w:val="16"/>
                <w:szCs w:val="16"/>
              </w:rPr>
              <w:t>92230</w:t>
            </w:r>
          </w:p>
        </w:tc>
        <w:tc>
          <w:tcPr>
            <w:tcW w:w="1109" w:type="pct"/>
            <w:gridSpan w:val="2"/>
            <w:noWrap/>
            <w:vAlign w:val="center"/>
          </w:tcPr>
          <w:p>
            <w:pPr>
              <w:widowControl/>
              <w:spacing w:line="200" w:lineRule="exact"/>
              <w:jc w:val="center"/>
              <w:rPr>
                <w:color w:val="000000"/>
                <w:sz w:val="16"/>
                <w:szCs w:val="16"/>
              </w:rPr>
            </w:pPr>
            <w:r>
              <w:rPr>
                <w:rFonts w:hint="eastAsia"/>
                <w:color w:val="000000"/>
                <w:sz w:val="16"/>
                <w:szCs w:val="16"/>
              </w:rPr>
              <w:t>92230</w:t>
            </w:r>
          </w:p>
        </w:tc>
        <w:tc>
          <w:tcPr>
            <w:tcW w:w="995" w:type="pct"/>
            <w:noWrap/>
            <w:vAlign w:val="center"/>
          </w:tcPr>
          <w:p>
            <w:pPr>
              <w:widowControl/>
              <w:spacing w:line="200" w:lineRule="exact"/>
              <w:jc w:val="left"/>
              <w:rPr>
                <w:color w:val="000000"/>
                <w:sz w:val="16"/>
                <w:szCs w:val="16"/>
              </w:rPr>
            </w:pPr>
            <w:r>
              <w:rPr>
                <w:rFonts w:hint="eastAsia"/>
                <w:color w:val="000000"/>
                <w:sz w:val="16"/>
                <w:szCs w:val="16"/>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6" w:type="pct"/>
            <w:gridSpan w:val="3"/>
            <w:vMerge w:val="continue"/>
            <w:noWrap/>
            <w:vAlign w:val="center"/>
          </w:tcPr>
          <w:p>
            <w:pPr>
              <w:widowControl/>
              <w:spacing w:line="200" w:lineRule="exact"/>
              <w:jc w:val="center"/>
              <w:rPr>
                <w:color w:val="000000"/>
                <w:sz w:val="16"/>
                <w:szCs w:val="16"/>
              </w:rPr>
            </w:pPr>
          </w:p>
        </w:tc>
        <w:tc>
          <w:tcPr>
            <w:tcW w:w="967" w:type="pct"/>
            <w:noWrap/>
            <w:vAlign w:val="center"/>
          </w:tcPr>
          <w:p>
            <w:pPr>
              <w:widowControl/>
              <w:spacing w:line="200" w:lineRule="exact"/>
              <w:jc w:val="left"/>
              <w:textAlignment w:val="center"/>
              <w:rPr>
                <w:color w:val="000000"/>
                <w:sz w:val="16"/>
                <w:szCs w:val="16"/>
              </w:rPr>
            </w:pPr>
            <w:r>
              <w:rPr>
                <w:rStyle w:val="38"/>
                <w:rFonts w:hint="default" w:ascii="Times New Roman" w:hAnsi="Times New Roman" w:cs="Times New Roman"/>
              </w:rPr>
              <w:t xml:space="preserve"> 其他资金</w:t>
            </w:r>
          </w:p>
        </w:tc>
        <w:tc>
          <w:tcPr>
            <w:tcW w:w="680" w:type="pct"/>
            <w:noWrap/>
            <w:vAlign w:val="center"/>
          </w:tcPr>
          <w:p>
            <w:pPr>
              <w:widowControl/>
              <w:spacing w:line="200" w:lineRule="exact"/>
              <w:jc w:val="center"/>
              <w:rPr>
                <w:color w:val="000000"/>
                <w:sz w:val="16"/>
                <w:szCs w:val="16"/>
              </w:rPr>
            </w:pPr>
          </w:p>
        </w:tc>
        <w:tc>
          <w:tcPr>
            <w:tcW w:w="1109" w:type="pct"/>
            <w:gridSpan w:val="2"/>
            <w:noWrap/>
            <w:vAlign w:val="center"/>
          </w:tcPr>
          <w:p>
            <w:pPr>
              <w:widowControl/>
              <w:spacing w:line="200" w:lineRule="exact"/>
              <w:jc w:val="center"/>
              <w:rPr>
                <w:color w:val="000000"/>
                <w:sz w:val="16"/>
                <w:szCs w:val="16"/>
              </w:rPr>
            </w:pPr>
          </w:p>
        </w:tc>
        <w:tc>
          <w:tcPr>
            <w:tcW w:w="995" w:type="pct"/>
            <w:noWrap/>
            <w:vAlign w:val="center"/>
          </w:tcPr>
          <w:p>
            <w:pPr>
              <w:widowControl/>
              <w:spacing w:line="200" w:lineRule="exact"/>
              <w:jc w:val="left"/>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restart"/>
            <w:noWrap/>
            <w:vAlign w:val="center"/>
          </w:tcPr>
          <w:p>
            <w:pPr>
              <w:widowControl/>
              <w:spacing w:line="180" w:lineRule="exact"/>
              <w:jc w:val="center"/>
              <w:textAlignment w:val="center"/>
              <w:rPr>
                <w:color w:val="000000"/>
                <w:sz w:val="16"/>
                <w:szCs w:val="16"/>
              </w:rPr>
            </w:pPr>
            <w:r>
              <w:rPr>
                <w:color w:val="000000"/>
                <w:kern w:val="0"/>
                <w:sz w:val="16"/>
                <w:szCs w:val="16"/>
              </w:rPr>
              <w:t>总体目标完成情况</w:t>
            </w:r>
          </w:p>
        </w:tc>
        <w:tc>
          <w:tcPr>
            <w:tcW w:w="2448" w:type="pct"/>
            <w:gridSpan w:val="4"/>
            <w:noWrap/>
            <w:vAlign w:val="center"/>
          </w:tcPr>
          <w:p>
            <w:pPr>
              <w:widowControl/>
              <w:spacing w:line="200" w:lineRule="exact"/>
              <w:jc w:val="center"/>
              <w:textAlignment w:val="center"/>
              <w:rPr>
                <w:color w:val="000000"/>
                <w:sz w:val="16"/>
                <w:szCs w:val="16"/>
              </w:rPr>
            </w:pPr>
            <w:r>
              <w:rPr>
                <w:color w:val="000000"/>
                <w:kern w:val="0"/>
                <w:sz w:val="16"/>
                <w:szCs w:val="16"/>
              </w:rPr>
              <w:t>总体目标</w:t>
            </w:r>
          </w:p>
        </w:tc>
        <w:tc>
          <w:tcPr>
            <w:tcW w:w="2105" w:type="pct"/>
            <w:gridSpan w:val="3"/>
            <w:noWrap/>
            <w:vAlign w:val="center"/>
          </w:tcPr>
          <w:p>
            <w:pPr>
              <w:widowControl/>
              <w:spacing w:line="200" w:lineRule="exact"/>
              <w:jc w:val="center"/>
              <w:textAlignment w:val="center"/>
              <w:rPr>
                <w:color w:val="000000"/>
                <w:sz w:val="16"/>
                <w:szCs w:val="16"/>
              </w:rPr>
            </w:pPr>
            <w:r>
              <w:rPr>
                <w:color w:val="000000"/>
                <w:kern w:val="0"/>
                <w:sz w:val="16"/>
                <w:szCs w:val="16"/>
              </w:rPr>
              <w:t>全年实际完成情况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jc w:val="center"/>
        </w:trPr>
        <w:tc>
          <w:tcPr>
            <w:tcW w:w="445" w:type="pct"/>
            <w:vMerge w:val="continue"/>
            <w:noWrap/>
            <w:vAlign w:val="center"/>
          </w:tcPr>
          <w:p>
            <w:pPr>
              <w:widowControl/>
              <w:spacing w:line="200" w:lineRule="exact"/>
              <w:jc w:val="center"/>
              <w:rPr>
                <w:color w:val="000000"/>
                <w:sz w:val="16"/>
                <w:szCs w:val="16"/>
              </w:rPr>
            </w:pPr>
          </w:p>
        </w:tc>
        <w:tc>
          <w:tcPr>
            <w:tcW w:w="2448" w:type="pct"/>
            <w:gridSpan w:val="4"/>
            <w:noWrap/>
            <w:vAlign w:val="center"/>
          </w:tcPr>
          <w:p>
            <w:pPr>
              <w:widowControl/>
              <w:spacing w:line="200" w:lineRule="exact"/>
              <w:jc w:val="left"/>
              <w:rPr>
                <w:color w:val="000000"/>
                <w:sz w:val="10"/>
                <w:szCs w:val="10"/>
              </w:rPr>
            </w:pPr>
            <w:r>
              <w:rPr>
                <w:rFonts w:hint="eastAsia" w:eastAsia="楷体_GB2312"/>
                <w:sz w:val="15"/>
                <w:szCs w:val="15"/>
              </w:rPr>
              <w:t>5个乡镇便民服务中心资产配置和网上政务服务能力提升宣传及培训</w:t>
            </w:r>
          </w:p>
        </w:tc>
        <w:tc>
          <w:tcPr>
            <w:tcW w:w="2105" w:type="pct"/>
            <w:gridSpan w:val="3"/>
            <w:noWrap/>
            <w:vAlign w:val="center"/>
          </w:tcPr>
          <w:p>
            <w:pPr>
              <w:widowControl/>
              <w:spacing w:line="200" w:lineRule="exact"/>
              <w:jc w:val="left"/>
              <w:rPr>
                <w:color w:val="000000"/>
                <w:sz w:val="16"/>
                <w:szCs w:val="16"/>
              </w:rPr>
            </w:pPr>
            <w:r>
              <w:rPr>
                <w:rFonts w:hint="eastAsia" w:eastAsia="楷体_GB2312"/>
                <w:sz w:val="15"/>
                <w:szCs w:val="15"/>
              </w:rPr>
              <w:t>完成5个乡镇的便民服务中心资产配置和网上政务服务宣传及培训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restart"/>
            <w:noWrap/>
            <w:textDirection w:val="tbRlV"/>
            <w:vAlign w:val="center"/>
          </w:tcPr>
          <w:p>
            <w:pPr>
              <w:widowControl/>
              <w:spacing w:line="200" w:lineRule="exact"/>
              <w:jc w:val="center"/>
              <w:textAlignment w:val="center"/>
              <w:rPr>
                <w:color w:val="000000"/>
                <w:sz w:val="16"/>
                <w:szCs w:val="16"/>
              </w:rPr>
            </w:pPr>
            <w:r>
              <w:rPr>
                <w:color w:val="000000"/>
                <w:kern w:val="0"/>
                <w:sz w:val="16"/>
                <w:szCs w:val="16"/>
              </w:rPr>
              <w:t>绩效指标</w:t>
            </w:r>
          </w:p>
        </w:tc>
        <w:tc>
          <w:tcPr>
            <w:tcW w:w="293" w:type="pct"/>
            <w:noWrap/>
            <w:vAlign w:val="center"/>
          </w:tcPr>
          <w:p>
            <w:pPr>
              <w:widowControl/>
              <w:spacing w:line="180" w:lineRule="exact"/>
              <w:jc w:val="center"/>
              <w:textAlignment w:val="center"/>
              <w:rPr>
                <w:color w:val="000000"/>
                <w:sz w:val="16"/>
                <w:szCs w:val="16"/>
              </w:rPr>
            </w:pPr>
            <w:r>
              <w:rPr>
                <w:color w:val="000000"/>
                <w:kern w:val="0"/>
                <w:sz w:val="16"/>
                <w:szCs w:val="16"/>
              </w:rPr>
              <w:t>一级</w:t>
            </w:r>
            <w:r>
              <w:rPr>
                <w:color w:val="000000"/>
                <w:kern w:val="0"/>
                <w:sz w:val="16"/>
                <w:szCs w:val="16"/>
              </w:rPr>
              <w:br w:type="textWrapping"/>
            </w:r>
            <w:r>
              <w:rPr>
                <w:color w:val="000000"/>
                <w:kern w:val="0"/>
                <w:sz w:val="16"/>
                <w:szCs w:val="16"/>
              </w:rPr>
              <w:t>指标</w:t>
            </w:r>
          </w:p>
        </w:tc>
        <w:tc>
          <w:tcPr>
            <w:tcW w:w="506" w:type="pct"/>
            <w:noWrap/>
            <w:vAlign w:val="center"/>
          </w:tcPr>
          <w:p>
            <w:pPr>
              <w:widowControl/>
              <w:spacing w:line="200" w:lineRule="exact"/>
              <w:jc w:val="center"/>
              <w:textAlignment w:val="center"/>
              <w:rPr>
                <w:color w:val="000000"/>
                <w:sz w:val="16"/>
                <w:szCs w:val="16"/>
              </w:rPr>
            </w:pPr>
            <w:r>
              <w:rPr>
                <w:color w:val="000000"/>
                <w:kern w:val="0"/>
                <w:sz w:val="16"/>
                <w:szCs w:val="16"/>
              </w:rPr>
              <w:t>二级指标</w:t>
            </w:r>
          </w:p>
        </w:tc>
        <w:tc>
          <w:tcPr>
            <w:tcW w:w="1648" w:type="pct"/>
            <w:gridSpan w:val="2"/>
            <w:noWrap/>
            <w:vAlign w:val="center"/>
          </w:tcPr>
          <w:p>
            <w:pPr>
              <w:widowControl/>
              <w:spacing w:line="200" w:lineRule="exact"/>
              <w:jc w:val="center"/>
              <w:textAlignment w:val="center"/>
              <w:rPr>
                <w:color w:val="000000"/>
                <w:sz w:val="16"/>
                <w:szCs w:val="16"/>
              </w:rPr>
            </w:pPr>
            <w:r>
              <w:rPr>
                <w:color w:val="000000"/>
                <w:kern w:val="0"/>
                <w:sz w:val="16"/>
                <w:szCs w:val="16"/>
              </w:rPr>
              <w:t>三级指标</w:t>
            </w:r>
          </w:p>
        </w:tc>
        <w:tc>
          <w:tcPr>
            <w:tcW w:w="625" w:type="pct"/>
            <w:noWrap/>
            <w:vAlign w:val="center"/>
          </w:tcPr>
          <w:p>
            <w:pPr>
              <w:widowControl/>
              <w:spacing w:line="200" w:lineRule="exact"/>
              <w:jc w:val="center"/>
              <w:textAlignment w:val="center"/>
              <w:rPr>
                <w:color w:val="000000"/>
                <w:sz w:val="16"/>
                <w:szCs w:val="16"/>
              </w:rPr>
            </w:pPr>
            <w:r>
              <w:rPr>
                <w:color w:val="000000"/>
                <w:kern w:val="0"/>
                <w:sz w:val="16"/>
                <w:szCs w:val="16"/>
              </w:rPr>
              <w:t>指标值</w:t>
            </w:r>
          </w:p>
        </w:tc>
        <w:tc>
          <w:tcPr>
            <w:tcW w:w="483" w:type="pct"/>
            <w:noWrap/>
            <w:vAlign w:val="center"/>
          </w:tcPr>
          <w:p>
            <w:pPr>
              <w:widowControl/>
              <w:spacing w:line="200" w:lineRule="exact"/>
              <w:jc w:val="center"/>
              <w:textAlignment w:val="center"/>
              <w:rPr>
                <w:color w:val="000000"/>
                <w:sz w:val="16"/>
                <w:szCs w:val="16"/>
              </w:rPr>
            </w:pPr>
            <w:r>
              <w:rPr>
                <w:color w:val="000000"/>
                <w:kern w:val="0"/>
                <w:sz w:val="16"/>
                <w:szCs w:val="16"/>
              </w:rPr>
              <w:t>全年实际完成值</w:t>
            </w:r>
          </w:p>
        </w:tc>
        <w:tc>
          <w:tcPr>
            <w:tcW w:w="995" w:type="pct"/>
            <w:noWrap/>
            <w:vAlign w:val="center"/>
          </w:tcPr>
          <w:p>
            <w:pPr>
              <w:widowControl/>
              <w:spacing w:line="200" w:lineRule="exact"/>
              <w:jc w:val="center"/>
              <w:textAlignment w:val="center"/>
              <w:rPr>
                <w:color w:val="000000"/>
                <w:sz w:val="16"/>
                <w:szCs w:val="16"/>
              </w:rPr>
            </w:pPr>
            <w:r>
              <w:rPr>
                <w:color w:val="000000"/>
                <w:kern w:val="0"/>
                <w:sz w:val="16"/>
                <w:szCs w:val="16"/>
              </w:rPr>
              <w:t>未完成原因和改进措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restart"/>
            <w:noWrap/>
            <w:vAlign w:val="center"/>
          </w:tcPr>
          <w:p>
            <w:pPr>
              <w:widowControl/>
              <w:spacing w:line="200" w:lineRule="exact"/>
              <w:jc w:val="center"/>
              <w:textAlignment w:val="center"/>
              <w:rPr>
                <w:color w:val="000000"/>
                <w:sz w:val="16"/>
                <w:szCs w:val="16"/>
              </w:rPr>
            </w:pPr>
            <w:r>
              <w:rPr>
                <w:color w:val="000000"/>
                <w:kern w:val="0"/>
                <w:sz w:val="16"/>
                <w:szCs w:val="16"/>
              </w:rPr>
              <w:t>产</w:t>
            </w:r>
            <w:r>
              <w:rPr>
                <w:color w:val="000000"/>
                <w:kern w:val="0"/>
                <w:sz w:val="16"/>
                <w:szCs w:val="16"/>
              </w:rPr>
              <w:br w:type="textWrapping"/>
            </w:r>
            <w:r>
              <w:rPr>
                <w:color w:val="000000"/>
                <w:kern w:val="0"/>
                <w:sz w:val="16"/>
                <w:szCs w:val="16"/>
              </w:rPr>
              <w:t>出</w:t>
            </w:r>
            <w:r>
              <w:rPr>
                <w:color w:val="000000"/>
                <w:kern w:val="0"/>
                <w:sz w:val="16"/>
                <w:szCs w:val="16"/>
              </w:rPr>
              <w:br w:type="textWrapping"/>
            </w:r>
            <w:r>
              <w:rPr>
                <w:color w:val="000000"/>
                <w:kern w:val="0"/>
                <w:sz w:val="16"/>
                <w:szCs w:val="16"/>
              </w:rPr>
              <w:t>指</w:t>
            </w:r>
            <w:r>
              <w:rPr>
                <w:color w:val="000000"/>
                <w:kern w:val="0"/>
                <w:sz w:val="16"/>
                <w:szCs w:val="16"/>
              </w:rPr>
              <w:br w:type="textWrapping"/>
            </w:r>
            <w:r>
              <w:rPr>
                <w:color w:val="000000"/>
                <w:kern w:val="0"/>
                <w:sz w:val="16"/>
                <w:szCs w:val="16"/>
              </w:rPr>
              <w:t>标</w:t>
            </w:r>
          </w:p>
        </w:tc>
        <w:tc>
          <w:tcPr>
            <w:tcW w:w="506" w:type="pct"/>
            <w:vMerge w:val="restart"/>
            <w:noWrap/>
            <w:vAlign w:val="center"/>
          </w:tcPr>
          <w:p>
            <w:pPr>
              <w:widowControl/>
              <w:spacing w:line="200" w:lineRule="exact"/>
              <w:jc w:val="center"/>
              <w:textAlignment w:val="center"/>
              <w:rPr>
                <w:color w:val="000000"/>
                <w:sz w:val="16"/>
                <w:szCs w:val="16"/>
              </w:rPr>
            </w:pPr>
            <w:r>
              <w:rPr>
                <w:color w:val="000000"/>
                <w:kern w:val="0"/>
                <w:sz w:val="16"/>
                <w:szCs w:val="16"/>
              </w:rPr>
              <w:t>数量指标</w:t>
            </w:r>
          </w:p>
        </w:tc>
        <w:tc>
          <w:tcPr>
            <w:tcW w:w="1648" w:type="pct"/>
            <w:gridSpan w:val="2"/>
            <w:noWrap/>
            <w:vAlign w:val="center"/>
          </w:tcPr>
          <w:p>
            <w:pPr>
              <w:widowControl/>
              <w:spacing w:line="200" w:lineRule="exact"/>
              <w:jc w:val="center"/>
              <w:rPr>
                <w:color w:val="000000"/>
                <w:sz w:val="16"/>
                <w:szCs w:val="16"/>
              </w:rPr>
            </w:pPr>
            <w:r>
              <w:rPr>
                <w:rFonts w:hint="eastAsia"/>
                <w:color w:val="000000"/>
                <w:sz w:val="16"/>
                <w:szCs w:val="16"/>
              </w:rPr>
              <w:t>评估报告数量</w:t>
            </w:r>
          </w:p>
        </w:tc>
        <w:tc>
          <w:tcPr>
            <w:tcW w:w="625" w:type="pct"/>
            <w:noWrap/>
            <w:vAlign w:val="center"/>
          </w:tcPr>
          <w:p>
            <w:pPr>
              <w:widowControl/>
              <w:spacing w:line="200" w:lineRule="exact"/>
              <w:jc w:val="center"/>
              <w:rPr>
                <w:color w:val="000000"/>
                <w:sz w:val="16"/>
                <w:szCs w:val="16"/>
              </w:rPr>
            </w:pPr>
            <w:r>
              <w:rPr>
                <w:rFonts w:hint="eastAsia"/>
                <w:color w:val="000000"/>
                <w:sz w:val="16"/>
                <w:szCs w:val="16"/>
              </w:rPr>
              <w:t>8</w:t>
            </w:r>
          </w:p>
        </w:tc>
        <w:tc>
          <w:tcPr>
            <w:tcW w:w="483" w:type="pct"/>
            <w:noWrap/>
            <w:vAlign w:val="center"/>
          </w:tcPr>
          <w:p>
            <w:pPr>
              <w:widowControl/>
              <w:spacing w:line="200" w:lineRule="exact"/>
              <w:rPr>
                <w:color w:val="000000"/>
                <w:sz w:val="16"/>
                <w:szCs w:val="16"/>
              </w:rPr>
            </w:pPr>
            <w:r>
              <w:rPr>
                <w:rFonts w:hint="eastAsia"/>
                <w:color w:val="000000"/>
                <w:sz w:val="16"/>
                <w:szCs w:val="16"/>
              </w:rPr>
              <w:t>8</w:t>
            </w: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vMerge w:val="continue"/>
            <w:noWrap/>
            <w:vAlign w:val="center"/>
          </w:tcPr>
          <w:p>
            <w:pPr>
              <w:widowControl/>
              <w:spacing w:line="200" w:lineRule="exact"/>
              <w:jc w:val="center"/>
              <w:rPr>
                <w:color w:val="000000"/>
                <w:sz w:val="16"/>
                <w:szCs w:val="16"/>
              </w:rPr>
            </w:pPr>
          </w:p>
        </w:tc>
        <w:tc>
          <w:tcPr>
            <w:tcW w:w="1648" w:type="pct"/>
            <w:gridSpan w:val="2"/>
            <w:noWrap/>
            <w:vAlign w:val="center"/>
          </w:tcPr>
          <w:p>
            <w:pPr>
              <w:widowControl/>
              <w:spacing w:line="200" w:lineRule="exact"/>
              <w:jc w:val="center"/>
              <w:rPr>
                <w:color w:val="000000"/>
                <w:sz w:val="16"/>
                <w:szCs w:val="16"/>
              </w:rPr>
            </w:pPr>
          </w:p>
        </w:tc>
        <w:tc>
          <w:tcPr>
            <w:tcW w:w="625" w:type="pct"/>
            <w:noWrap/>
            <w:vAlign w:val="center"/>
          </w:tcPr>
          <w:p>
            <w:pPr>
              <w:widowControl/>
              <w:spacing w:line="200" w:lineRule="exact"/>
              <w:jc w:val="center"/>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vMerge w:val="restart"/>
            <w:noWrap/>
            <w:vAlign w:val="center"/>
          </w:tcPr>
          <w:p>
            <w:pPr>
              <w:widowControl/>
              <w:spacing w:line="200" w:lineRule="exact"/>
              <w:jc w:val="center"/>
              <w:textAlignment w:val="center"/>
              <w:rPr>
                <w:color w:val="000000"/>
                <w:sz w:val="16"/>
                <w:szCs w:val="16"/>
              </w:rPr>
            </w:pPr>
            <w:r>
              <w:rPr>
                <w:color w:val="000000"/>
                <w:kern w:val="0"/>
                <w:sz w:val="16"/>
                <w:szCs w:val="16"/>
              </w:rPr>
              <w:t>质量指标</w:t>
            </w:r>
          </w:p>
        </w:tc>
        <w:tc>
          <w:tcPr>
            <w:tcW w:w="1648" w:type="pct"/>
            <w:gridSpan w:val="2"/>
            <w:noWrap/>
            <w:vAlign w:val="center"/>
          </w:tcPr>
          <w:p>
            <w:pPr>
              <w:widowControl/>
              <w:spacing w:line="200" w:lineRule="exact"/>
              <w:jc w:val="center"/>
              <w:rPr>
                <w:color w:val="000000"/>
                <w:sz w:val="16"/>
                <w:szCs w:val="16"/>
              </w:rPr>
            </w:pPr>
            <w:r>
              <w:rPr>
                <w:rFonts w:hint="eastAsia"/>
                <w:color w:val="000000"/>
                <w:sz w:val="16"/>
                <w:szCs w:val="16"/>
              </w:rPr>
              <w:t>给据类群众来信签收核对率</w:t>
            </w:r>
          </w:p>
        </w:tc>
        <w:tc>
          <w:tcPr>
            <w:tcW w:w="625" w:type="pct"/>
            <w:noWrap/>
            <w:vAlign w:val="center"/>
          </w:tcPr>
          <w:p>
            <w:pPr>
              <w:widowControl/>
              <w:spacing w:line="200" w:lineRule="exact"/>
              <w:jc w:val="center"/>
              <w:rPr>
                <w:color w:val="000000"/>
                <w:sz w:val="16"/>
                <w:szCs w:val="16"/>
              </w:rPr>
            </w:pPr>
            <w:r>
              <w:rPr>
                <w:rFonts w:hint="eastAsia"/>
                <w:color w:val="000000"/>
                <w:sz w:val="16"/>
                <w:szCs w:val="16"/>
              </w:rPr>
              <w:t>50</w:t>
            </w:r>
          </w:p>
        </w:tc>
        <w:tc>
          <w:tcPr>
            <w:tcW w:w="483" w:type="pct"/>
            <w:noWrap/>
            <w:vAlign w:val="center"/>
          </w:tcPr>
          <w:p>
            <w:pPr>
              <w:widowControl/>
              <w:spacing w:line="200" w:lineRule="exact"/>
              <w:rPr>
                <w:color w:val="000000"/>
                <w:sz w:val="16"/>
                <w:szCs w:val="16"/>
              </w:rPr>
            </w:pPr>
            <w:r>
              <w:rPr>
                <w:rFonts w:hint="eastAsia"/>
                <w:color w:val="000000"/>
                <w:sz w:val="16"/>
                <w:szCs w:val="16"/>
              </w:rPr>
              <w:t>50</w:t>
            </w: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vMerge w:val="continue"/>
            <w:noWrap/>
            <w:vAlign w:val="center"/>
          </w:tcPr>
          <w:p>
            <w:pPr>
              <w:widowControl/>
              <w:spacing w:line="200" w:lineRule="exact"/>
              <w:jc w:val="center"/>
              <w:rPr>
                <w:color w:val="000000"/>
                <w:sz w:val="16"/>
                <w:szCs w:val="16"/>
              </w:rPr>
            </w:pPr>
          </w:p>
        </w:tc>
        <w:tc>
          <w:tcPr>
            <w:tcW w:w="1648" w:type="pct"/>
            <w:gridSpan w:val="2"/>
            <w:noWrap/>
            <w:vAlign w:val="center"/>
          </w:tcPr>
          <w:p>
            <w:pPr>
              <w:widowControl/>
              <w:spacing w:line="200" w:lineRule="exact"/>
              <w:jc w:val="center"/>
              <w:rPr>
                <w:color w:val="000000"/>
                <w:sz w:val="16"/>
                <w:szCs w:val="16"/>
              </w:rPr>
            </w:pPr>
          </w:p>
        </w:tc>
        <w:tc>
          <w:tcPr>
            <w:tcW w:w="625" w:type="pct"/>
            <w:noWrap/>
            <w:vAlign w:val="center"/>
          </w:tcPr>
          <w:p>
            <w:pPr>
              <w:widowControl/>
              <w:spacing w:line="200" w:lineRule="exact"/>
              <w:jc w:val="center"/>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vMerge w:val="restart"/>
            <w:noWrap/>
            <w:vAlign w:val="center"/>
          </w:tcPr>
          <w:p>
            <w:pPr>
              <w:widowControl/>
              <w:spacing w:line="200" w:lineRule="exact"/>
              <w:jc w:val="center"/>
              <w:textAlignment w:val="center"/>
              <w:rPr>
                <w:color w:val="000000"/>
                <w:sz w:val="16"/>
                <w:szCs w:val="16"/>
              </w:rPr>
            </w:pPr>
            <w:r>
              <w:rPr>
                <w:color w:val="000000"/>
                <w:kern w:val="0"/>
                <w:sz w:val="16"/>
                <w:szCs w:val="16"/>
              </w:rPr>
              <w:t>时效指标</w:t>
            </w:r>
          </w:p>
        </w:tc>
        <w:tc>
          <w:tcPr>
            <w:tcW w:w="1648" w:type="pct"/>
            <w:gridSpan w:val="2"/>
            <w:noWrap/>
            <w:vAlign w:val="center"/>
          </w:tcPr>
          <w:p>
            <w:pPr>
              <w:widowControl/>
              <w:spacing w:line="200" w:lineRule="exact"/>
              <w:jc w:val="center"/>
              <w:rPr>
                <w:color w:val="000000"/>
                <w:sz w:val="16"/>
                <w:szCs w:val="16"/>
              </w:rPr>
            </w:pPr>
            <w:r>
              <w:rPr>
                <w:rFonts w:hint="eastAsia"/>
                <w:color w:val="000000"/>
                <w:sz w:val="16"/>
                <w:szCs w:val="16"/>
              </w:rPr>
              <w:t>评估报告按时完成率</w:t>
            </w:r>
          </w:p>
        </w:tc>
        <w:tc>
          <w:tcPr>
            <w:tcW w:w="625" w:type="pct"/>
            <w:noWrap/>
            <w:vAlign w:val="center"/>
          </w:tcPr>
          <w:p>
            <w:pPr>
              <w:widowControl/>
              <w:spacing w:line="200" w:lineRule="exact"/>
              <w:jc w:val="center"/>
              <w:rPr>
                <w:color w:val="000000"/>
                <w:sz w:val="16"/>
                <w:szCs w:val="16"/>
              </w:rPr>
            </w:pPr>
            <w:r>
              <w:rPr>
                <w:rFonts w:hint="eastAsia"/>
                <w:color w:val="000000"/>
                <w:sz w:val="16"/>
                <w:szCs w:val="16"/>
              </w:rPr>
              <w:t>40</w:t>
            </w:r>
          </w:p>
        </w:tc>
        <w:tc>
          <w:tcPr>
            <w:tcW w:w="483" w:type="pct"/>
            <w:noWrap/>
            <w:vAlign w:val="center"/>
          </w:tcPr>
          <w:p>
            <w:pPr>
              <w:widowControl/>
              <w:spacing w:line="200" w:lineRule="exact"/>
              <w:rPr>
                <w:color w:val="000000"/>
                <w:sz w:val="16"/>
                <w:szCs w:val="16"/>
              </w:rPr>
            </w:pPr>
            <w:r>
              <w:rPr>
                <w:rFonts w:hint="eastAsia"/>
                <w:color w:val="000000"/>
                <w:sz w:val="16"/>
                <w:szCs w:val="16"/>
              </w:rPr>
              <w:t>40</w:t>
            </w: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vMerge w:val="continue"/>
            <w:noWrap/>
            <w:vAlign w:val="center"/>
          </w:tcPr>
          <w:p>
            <w:pPr>
              <w:widowControl/>
              <w:spacing w:line="200" w:lineRule="exact"/>
              <w:jc w:val="center"/>
              <w:rPr>
                <w:color w:val="000000"/>
                <w:sz w:val="16"/>
                <w:szCs w:val="16"/>
              </w:rPr>
            </w:pPr>
          </w:p>
        </w:tc>
        <w:tc>
          <w:tcPr>
            <w:tcW w:w="1648" w:type="pct"/>
            <w:gridSpan w:val="2"/>
            <w:noWrap/>
            <w:vAlign w:val="center"/>
          </w:tcPr>
          <w:p>
            <w:pPr>
              <w:widowControl/>
              <w:spacing w:line="200" w:lineRule="exact"/>
              <w:jc w:val="center"/>
              <w:rPr>
                <w:color w:val="000000"/>
                <w:sz w:val="16"/>
                <w:szCs w:val="16"/>
              </w:rPr>
            </w:pPr>
          </w:p>
        </w:tc>
        <w:tc>
          <w:tcPr>
            <w:tcW w:w="625" w:type="pct"/>
            <w:noWrap/>
            <w:vAlign w:val="center"/>
          </w:tcPr>
          <w:p>
            <w:pPr>
              <w:widowControl/>
              <w:spacing w:line="200" w:lineRule="exact"/>
              <w:jc w:val="center"/>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vMerge w:val="restart"/>
            <w:noWrap/>
            <w:vAlign w:val="center"/>
          </w:tcPr>
          <w:p>
            <w:pPr>
              <w:widowControl/>
              <w:spacing w:line="200" w:lineRule="exact"/>
              <w:jc w:val="center"/>
              <w:textAlignment w:val="center"/>
              <w:rPr>
                <w:color w:val="000000"/>
                <w:sz w:val="16"/>
                <w:szCs w:val="16"/>
              </w:rPr>
            </w:pPr>
            <w:r>
              <w:rPr>
                <w:color w:val="000000"/>
                <w:kern w:val="0"/>
                <w:sz w:val="16"/>
                <w:szCs w:val="16"/>
              </w:rPr>
              <w:t>成本指标</w:t>
            </w:r>
          </w:p>
        </w:tc>
        <w:tc>
          <w:tcPr>
            <w:tcW w:w="1648" w:type="pct"/>
            <w:gridSpan w:val="2"/>
            <w:noWrap/>
            <w:vAlign w:val="center"/>
          </w:tcPr>
          <w:p>
            <w:pPr>
              <w:widowControl/>
              <w:spacing w:line="200" w:lineRule="exact"/>
              <w:jc w:val="center"/>
              <w:rPr>
                <w:color w:val="000000"/>
                <w:sz w:val="16"/>
                <w:szCs w:val="16"/>
              </w:rPr>
            </w:pPr>
          </w:p>
        </w:tc>
        <w:tc>
          <w:tcPr>
            <w:tcW w:w="625" w:type="pct"/>
            <w:noWrap/>
            <w:vAlign w:val="center"/>
          </w:tcPr>
          <w:p>
            <w:pPr>
              <w:widowControl/>
              <w:spacing w:line="200" w:lineRule="exact"/>
              <w:jc w:val="center"/>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vMerge w:val="continue"/>
            <w:noWrap/>
            <w:vAlign w:val="center"/>
          </w:tcPr>
          <w:p>
            <w:pPr>
              <w:widowControl/>
              <w:spacing w:line="200" w:lineRule="exact"/>
              <w:jc w:val="center"/>
              <w:rPr>
                <w:color w:val="000000"/>
                <w:sz w:val="16"/>
                <w:szCs w:val="16"/>
              </w:rPr>
            </w:pPr>
          </w:p>
        </w:tc>
        <w:tc>
          <w:tcPr>
            <w:tcW w:w="1648" w:type="pct"/>
            <w:gridSpan w:val="2"/>
            <w:noWrap/>
            <w:vAlign w:val="center"/>
          </w:tcPr>
          <w:p>
            <w:pPr>
              <w:widowControl/>
              <w:spacing w:line="200" w:lineRule="exact"/>
              <w:jc w:val="center"/>
              <w:rPr>
                <w:color w:val="000000"/>
                <w:sz w:val="16"/>
                <w:szCs w:val="16"/>
              </w:rPr>
            </w:pPr>
          </w:p>
        </w:tc>
        <w:tc>
          <w:tcPr>
            <w:tcW w:w="625" w:type="pct"/>
            <w:noWrap/>
            <w:vAlign w:val="center"/>
          </w:tcPr>
          <w:p>
            <w:pPr>
              <w:widowControl/>
              <w:spacing w:line="200" w:lineRule="exact"/>
              <w:jc w:val="center"/>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noWrap/>
            <w:vAlign w:val="center"/>
          </w:tcPr>
          <w:p>
            <w:pPr>
              <w:widowControl/>
              <w:spacing w:line="200" w:lineRule="exact"/>
              <w:jc w:val="center"/>
              <w:textAlignment w:val="center"/>
              <w:rPr>
                <w:color w:val="000000"/>
                <w:sz w:val="16"/>
                <w:szCs w:val="16"/>
              </w:rPr>
            </w:pPr>
            <w:r>
              <w:rPr>
                <w:color w:val="000000"/>
                <w:kern w:val="0"/>
                <w:sz w:val="16"/>
                <w:szCs w:val="16"/>
              </w:rPr>
              <w:t>……</w:t>
            </w:r>
          </w:p>
        </w:tc>
        <w:tc>
          <w:tcPr>
            <w:tcW w:w="1648" w:type="pct"/>
            <w:gridSpan w:val="2"/>
            <w:noWrap/>
            <w:vAlign w:val="center"/>
          </w:tcPr>
          <w:p>
            <w:pPr>
              <w:widowControl/>
              <w:spacing w:line="200" w:lineRule="exact"/>
              <w:jc w:val="center"/>
              <w:rPr>
                <w:color w:val="000000"/>
                <w:sz w:val="16"/>
                <w:szCs w:val="16"/>
              </w:rPr>
            </w:pPr>
          </w:p>
        </w:tc>
        <w:tc>
          <w:tcPr>
            <w:tcW w:w="625" w:type="pct"/>
            <w:noWrap/>
            <w:vAlign w:val="center"/>
          </w:tcPr>
          <w:p>
            <w:pPr>
              <w:widowControl/>
              <w:spacing w:line="200" w:lineRule="exact"/>
              <w:jc w:val="center"/>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restart"/>
            <w:noWrap/>
            <w:vAlign w:val="center"/>
          </w:tcPr>
          <w:p>
            <w:pPr>
              <w:widowControl/>
              <w:spacing w:line="200" w:lineRule="exact"/>
              <w:jc w:val="center"/>
              <w:textAlignment w:val="center"/>
              <w:rPr>
                <w:color w:val="000000"/>
                <w:sz w:val="16"/>
                <w:szCs w:val="16"/>
              </w:rPr>
            </w:pPr>
            <w:r>
              <w:rPr>
                <w:color w:val="000000"/>
                <w:kern w:val="0"/>
                <w:sz w:val="16"/>
                <w:szCs w:val="16"/>
              </w:rPr>
              <w:t>效</w:t>
            </w:r>
            <w:r>
              <w:rPr>
                <w:color w:val="000000"/>
                <w:kern w:val="0"/>
                <w:sz w:val="16"/>
                <w:szCs w:val="16"/>
              </w:rPr>
              <w:br w:type="textWrapping"/>
            </w:r>
            <w:r>
              <w:rPr>
                <w:color w:val="000000"/>
                <w:kern w:val="0"/>
                <w:sz w:val="16"/>
                <w:szCs w:val="16"/>
              </w:rPr>
              <w:t>益</w:t>
            </w:r>
            <w:r>
              <w:rPr>
                <w:color w:val="000000"/>
                <w:kern w:val="0"/>
                <w:sz w:val="16"/>
                <w:szCs w:val="16"/>
              </w:rPr>
              <w:br w:type="textWrapping"/>
            </w:r>
            <w:r>
              <w:rPr>
                <w:color w:val="000000"/>
                <w:kern w:val="0"/>
                <w:sz w:val="16"/>
                <w:szCs w:val="16"/>
              </w:rPr>
              <w:t>指</w:t>
            </w:r>
            <w:r>
              <w:rPr>
                <w:color w:val="000000"/>
                <w:kern w:val="0"/>
                <w:sz w:val="16"/>
                <w:szCs w:val="16"/>
              </w:rPr>
              <w:br w:type="textWrapping"/>
            </w:r>
            <w:r>
              <w:rPr>
                <w:color w:val="000000"/>
                <w:kern w:val="0"/>
                <w:sz w:val="16"/>
                <w:szCs w:val="16"/>
              </w:rPr>
              <w:t>标</w:t>
            </w:r>
          </w:p>
        </w:tc>
        <w:tc>
          <w:tcPr>
            <w:tcW w:w="506" w:type="pct"/>
            <w:vMerge w:val="restart"/>
            <w:noWrap/>
            <w:vAlign w:val="center"/>
          </w:tcPr>
          <w:p>
            <w:pPr>
              <w:widowControl/>
              <w:spacing w:line="200" w:lineRule="exact"/>
              <w:jc w:val="center"/>
              <w:textAlignment w:val="center"/>
              <w:rPr>
                <w:color w:val="000000"/>
                <w:sz w:val="16"/>
                <w:szCs w:val="16"/>
              </w:rPr>
            </w:pPr>
            <w:r>
              <w:rPr>
                <w:color w:val="000000"/>
                <w:kern w:val="0"/>
                <w:sz w:val="16"/>
                <w:szCs w:val="16"/>
              </w:rPr>
              <w:t>经济效益</w:t>
            </w:r>
            <w:r>
              <w:rPr>
                <w:color w:val="000000"/>
                <w:kern w:val="0"/>
                <w:sz w:val="16"/>
                <w:szCs w:val="16"/>
              </w:rPr>
              <w:br w:type="textWrapping"/>
            </w:r>
            <w:r>
              <w:rPr>
                <w:color w:val="000000"/>
                <w:kern w:val="0"/>
                <w:sz w:val="16"/>
                <w:szCs w:val="16"/>
              </w:rPr>
              <w:t>指标</w:t>
            </w:r>
          </w:p>
        </w:tc>
        <w:tc>
          <w:tcPr>
            <w:tcW w:w="1648" w:type="pct"/>
            <w:gridSpan w:val="2"/>
            <w:noWrap/>
            <w:vAlign w:val="center"/>
          </w:tcPr>
          <w:p>
            <w:pPr>
              <w:widowControl/>
              <w:spacing w:line="200" w:lineRule="exact"/>
              <w:rPr>
                <w:color w:val="000000"/>
                <w:sz w:val="16"/>
                <w:szCs w:val="16"/>
              </w:rPr>
            </w:pPr>
          </w:p>
        </w:tc>
        <w:tc>
          <w:tcPr>
            <w:tcW w:w="625" w:type="pct"/>
            <w:noWrap/>
            <w:vAlign w:val="center"/>
          </w:tcPr>
          <w:p>
            <w:pPr>
              <w:widowControl/>
              <w:spacing w:line="200" w:lineRule="exact"/>
              <w:jc w:val="center"/>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vMerge w:val="continue"/>
            <w:noWrap/>
            <w:vAlign w:val="center"/>
          </w:tcPr>
          <w:p>
            <w:pPr>
              <w:widowControl/>
              <w:spacing w:line="200" w:lineRule="exact"/>
              <w:jc w:val="center"/>
              <w:rPr>
                <w:color w:val="000000"/>
                <w:sz w:val="16"/>
                <w:szCs w:val="16"/>
              </w:rPr>
            </w:pPr>
          </w:p>
        </w:tc>
        <w:tc>
          <w:tcPr>
            <w:tcW w:w="1648" w:type="pct"/>
            <w:gridSpan w:val="2"/>
            <w:noWrap/>
            <w:vAlign w:val="center"/>
          </w:tcPr>
          <w:p>
            <w:pPr>
              <w:widowControl/>
              <w:spacing w:line="200" w:lineRule="exact"/>
              <w:jc w:val="center"/>
              <w:rPr>
                <w:color w:val="000000"/>
                <w:sz w:val="16"/>
                <w:szCs w:val="16"/>
              </w:rPr>
            </w:pPr>
          </w:p>
        </w:tc>
        <w:tc>
          <w:tcPr>
            <w:tcW w:w="625" w:type="pct"/>
            <w:noWrap/>
            <w:vAlign w:val="center"/>
          </w:tcPr>
          <w:p>
            <w:pPr>
              <w:widowControl/>
              <w:spacing w:line="200" w:lineRule="exact"/>
              <w:jc w:val="center"/>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vMerge w:val="restart"/>
            <w:noWrap/>
            <w:vAlign w:val="center"/>
          </w:tcPr>
          <w:p>
            <w:pPr>
              <w:widowControl/>
              <w:spacing w:line="200" w:lineRule="exact"/>
              <w:jc w:val="center"/>
              <w:textAlignment w:val="center"/>
              <w:rPr>
                <w:color w:val="000000"/>
                <w:sz w:val="16"/>
                <w:szCs w:val="16"/>
              </w:rPr>
            </w:pPr>
            <w:r>
              <w:rPr>
                <w:color w:val="000000"/>
                <w:kern w:val="0"/>
                <w:sz w:val="16"/>
                <w:szCs w:val="16"/>
              </w:rPr>
              <w:t>社会效益</w:t>
            </w:r>
            <w:r>
              <w:rPr>
                <w:color w:val="000000"/>
                <w:kern w:val="0"/>
                <w:sz w:val="16"/>
                <w:szCs w:val="16"/>
              </w:rPr>
              <w:br w:type="textWrapping"/>
            </w:r>
            <w:r>
              <w:rPr>
                <w:color w:val="000000"/>
                <w:kern w:val="0"/>
                <w:sz w:val="16"/>
                <w:szCs w:val="16"/>
              </w:rPr>
              <w:t>指标</w:t>
            </w:r>
          </w:p>
        </w:tc>
        <w:tc>
          <w:tcPr>
            <w:tcW w:w="1648" w:type="pct"/>
            <w:gridSpan w:val="2"/>
            <w:noWrap/>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实地督查结果网上公开率</w:t>
            </w:r>
          </w:p>
        </w:tc>
        <w:tc>
          <w:tcPr>
            <w:tcW w:w="625" w:type="pct"/>
            <w:noWrap/>
            <w:vAlign w:val="center"/>
          </w:tcPr>
          <w:p>
            <w:pPr>
              <w:widowControl/>
              <w:spacing w:line="200" w:lineRule="exact"/>
              <w:jc w:val="center"/>
              <w:rPr>
                <w:color w:val="000000"/>
                <w:sz w:val="16"/>
                <w:szCs w:val="16"/>
              </w:rPr>
            </w:pPr>
            <w:r>
              <w:rPr>
                <w:rFonts w:hint="eastAsia"/>
                <w:color w:val="000000"/>
                <w:sz w:val="16"/>
                <w:szCs w:val="16"/>
              </w:rPr>
              <w:t>5</w:t>
            </w:r>
          </w:p>
        </w:tc>
        <w:tc>
          <w:tcPr>
            <w:tcW w:w="483" w:type="pct"/>
            <w:noWrap/>
            <w:vAlign w:val="center"/>
          </w:tcPr>
          <w:p>
            <w:pPr>
              <w:widowControl/>
              <w:spacing w:line="200" w:lineRule="exact"/>
              <w:rPr>
                <w:color w:val="000000"/>
                <w:sz w:val="16"/>
                <w:szCs w:val="16"/>
              </w:rPr>
            </w:pPr>
            <w:r>
              <w:rPr>
                <w:rFonts w:hint="eastAsia"/>
                <w:color w:val="000000"/>
                <w:sz w:val="16"/>
                <w:szCs w:val="16"/>
              </w:rPr>
              <w:t>5</w:t>
            </w: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vMerge w:val="continue"/>
            <w:noWrap/>
            <w:vAlign w:val="center"/>
          </w:tcPr>
          <w:p>
            <w:pPr>
              <w:widowControl/>
              <w:spacing w:line="200" w:lineRule="exact"/>
              <w:jc w:val="center"/>
              <w:rPr>
                <w:color w:val="000000"/>
                <w:sz w:val="16"/>
                <w:szCs w:val="16"/>
              </w:rPr>
            </w:pPr>
          </w:p>
        </w:tc>
        <w:tc>
          <w:tcPr>
            <w:tcW w:w="1648" w:type="pct"/>
            <w:gridSpan w:val="2"/>
            <w:noWrap/>
            <w:vAlign w:val="center"/>
          </w:tcPr>
          <w:p>
            <w:pPr>
              <w:widowControl/>
              <w:spacing w:line="200" w:lineRule="exact"/>
              <w:jc w:val="center"/>
              <w:rPr>
                <w:color w:val="000000"/>
                <w:sz w:val="16"/>
                <w:szCs w:val="16"/>
              </w:rPr>
            </w:pPr>
          </w:p>
        </w:tc>
        <w:tc>
          <w:tcPr>
            <w:tcW w:w="625" w:type="pct"/>
            <w:noWrap/>
            <w:vAlign w:val="center"/>
          </w:tcPr>
          <w:p>
            <w:pPr>
              <w:widowControl/>
              <w:spacing w:line="200" w:lineRule="exact"/>
              <w:jc w:val="left"/>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noWrap/>
            <w:vAlign w:val="center"/>
          </w:tcPr>
          <w:p>
            <w:pPr>
              <w:widowControl/>
              <w:spacing w:line="200" w:lineRule="exact"/>
              <w:jc w:val="center"/>
              <w:textAlignment w:val="center"/>
              <w:rPr>
                <w:color w:val="000000"/>
                <w:sz w:val="16"/>
                <w:szCs w:val="16"/>
              </w:rPr>
            </w:pPr>
            <w:r>
              <w:rPr>
                <w:color w:val="000000"/>
                <w:kern w:val="0"/>
                <w:sz w:val="16"/>
                <w:szCs w:val="16"/>
              </w:rPr>
              <w:t>生态效益</w:t>
            </w:r>
            <w:r>
              <w:rPr>
                <w:color w:val="000000"/>
                <w:kern w:val="0"/>
                <w:sz w:val="16"/>
                <w:szCs w:val="16"/>
              </w:rPr>
              <w:br w:type="textWrapping"/>
            </w:r>
            <w:r>
              <w:rPr>
                <w:color w:val="000000"/>
                <w:kern w:val="0"/>
                <w:sz w:val="16"/>
                <w:szCs w:val="16"/>
              </w:rPr>
              <w:t>指标</w:t>
            </w:r>
          </w:p>
        </w:tc>
        <w:tc>
          <w:tcPr>
            <w:tcW w:w="1648" w:type="pct"/>
            <w:gridSpan w:val="2"/>
            <w:noWrap/>
            <w:vAlign w:val="center"/>
          </w:tcPr>
          <w:p>
            <w:pPr>
              <w:widowControl/>
              <w:spacing w:line="200" w:lineRule="exact"/>
              <w:jc w:val="center"/>
              <w:rPr>
                <w:color w:val="000000"/>
                <w:sz w:val="16"/>
                <w:szCs w:val="16"/>
              </w:rPr>
            </w:pPr>
          </w:p>
        </w:tc>
        <w:tc>
          <w:tcPr>
            <w:tcW w:w="625" w:type="pct"/>
            <w:noWrap/>
            <w:vAlign w:val="center"/>
          </w:tcPr>
          <w:p>
            <w:pPr>
              <w:widowControl/>
              <w:spacing w:line="200" w:lineRule="exact"/>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noWrap/>
            <w:vAlign w:val="center"/>
          </w:tcPr>
          <w:p>
            <w:pPr>
              <w:widowControl/>
              <w:spacing w:line="200" w:lineRule="exact"/>
              <w:jc w:val="center"/>
              <w:textAlignment w:val="center"/>
              <w:rPr>
                <w:color w:val="000000"/>
                <w:sz w:val="16"/>
                <w:szCs w:val="16"/>
              </w:rPr>
            </w:pPr>
            <w:r>
              <w:rPr>
                <w:color w:val="000000"/>
                <w:kern w:val="0"/>
                <w:sz w:val="16"/>
                <w:szCs w:val="16"/>
              </w:rPr>
              <w:t>可持续影响指标</w:t>
            </w:r>
          </w:p>
        </w:tc>
        <w:tc>
          <w:tcPr>
            <w:tcW w:w="1648" w:type="pct"/>
            <w:gridSpan w:val="2"/>
            <w:noWrap/>
            <w:vAlign w:val="center"/>
          </w:tcPr>
          <w:p>
            <w:pPr>
              <w:widowControl/>
              <w:spacing w:line="200" w:lineRule="exact"/>
              <w:jc w:val="center"/>
              <w:rPr>
                <w:color w:val="000000"/>
                <w:sz w:val="16"/>
                <w:szCs w:val="16"/>
              </w:rPr>
            </w:pPr>
          </w:p>
        </w:tc>
        <w:tc>
          <w:tcPr>
            <w:tcW w:w="625" w:type="pct"/>
            <w:noWrap/>
            <w:vAlign w:val="center"/>
          </w:tcPr>
          <w:p>
            <w:pPr>
              <w:widowControl/>
              <w:spacing w:line="200" w:lineRule="exact"/>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noWrap/>
            <w:vAlign w:val="center"/>
          </w:tcPr>
          <w:p>
            <w:pPr>
              <w:widowControl/>
              <w:spacing w:line="200" w:lineRule="exact"/>
              <w:jc w:val="center"/>
              <w:textAlignment w:val="center"/>
              <w:rPr>
                <w:color w:val="000000"/>
                <w:sz w:val="16"/>
                <w:szCs w:val="16"/>
              </w:rPr>
            </w:pPr>
            <w:r>
              <w:rPr>
                <w:color w:val="000000"/>
                <w:kern w:val="0"/>
                <w:sz w:val="16"/>
                <w:szCs w:val="16"/>
              </w:rPr>
              <w:t>……</w:t>
            </w:r>
          </w:p>
        </w:tc>
        <w:tc>
          <w:tcPr>
            <w:tcW w:w="1648" w:type="pct"/>
            <w:gridSpan w:val="2"/>
            <w:noWrap/>
            <w:vAlign w:val="center"/>
          </w:tcPr>
          <w:p>
            <w:pPr>
              <w:widowControl/>
              <w:spacing w:line="200" w:lineRule="exact"/>
              <w:jc w:val="center"/>
              <w:rPr>
                <w:color w:val="000000"/>
                <w:sz w:val="16"/>
                <w:szCs w:val="16"/>
              </w:rPr>
            </w:pPr>
          </w:p>
        </w:tc>
        <w:tc>
          <w:tcPr>
            <w:tcW w:w="625" w:type="pct"/>
            <w:noWrap/>
            <w:vAlign w:val="center"/>
          </w:tcPr>
          <w:p>
            <w:pPr>
              <w:widowControl/>
              <w:spacing w:line="200" w:lineRule="exact"/>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noWrap/>
            <w:vAlign w:val="center"/>
          </w:tcPr>
          <w:p>
            <w:pPr>
              <w:widowControl/>
              <w:spacing w:line="180" w:lineRule="exact"/>
              <w:jc w:val="center"/>
              <w:textAlignment w:val="center"/>
              <w:rPr>
                <w:color w:val="000000"/>
                <w:sz w:val="16"/>
                <w:szCs w:val="16"/>
              </w:rPr>
            </w:pPr>
            <w:r>
              <w:rPr>
                <w:color w:val="000000"/>
                <w:kern w:val="0"/>
                <w:sz w:val="16"/>
                <w:szCs w:val="16"/>
              </w:rPr>
              <w:t>满意度指标</w:t>
            </w:r>
          </w:p>
        </w:tc>
        <w:tc>
          <w:tcPr>
            <w:tcW w:w="506" w:type="pct"/>
            <w:noWrap/>
            <w:vAlign w:val="center"/>
          </w:tcPr>
          <w:p>
            <w:pPr>
              <w:widowControl/>
              <w:spacing w:line="200" w:lineRule="exact"/>
              <w:jc w:val="center"/>
              <w:textAlignment w:val="center"/>
              <w:rPr>
                <w:color w:val="000000"/>
                <w:sz w:val="16"/>
                <w:szCs w:val="16"/>
              </w:rPr>
            </w:pPr>
            <w:r>
              <w:rPr>
                <w:color w:val="000000"/>
                <w:kern w:val="0"/>
                <w:sz w:val="16"/>
                <w:szCs w:val="16"/>
              </w:rPr>
              <w:t>服务对象</w:t>
            </w:r>
            <w:r>
              <w:rPr>
                <w:color w:val="000000"/>
                <w:kern w:val="0"/>
                <w:sz w:val="16"/>
                <w:szCs w:val="16"/>
              </w:rPr>
              <w:br w:type="textWrapping"/>
            </w:r>
            <w:r>
              <w:rPr>
                <w:color w:val="000000"/>
                <w:kern w:val="0"/>
                <w:sz w:val="16"/>
                <w:szCs w:val="16"/>
              </w:rPr>
              <w:t>满意度指标</w:t>
            </w:r>
          </w:p>
        </w:tc>
        <w:tc>
          <w:tcPr>
            <w:tcW w:w="1648" w:type="pct"/>
            <w:gridSpan w:val="2"/>
            <w:noWrap/>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信访事项处理群众满意率</w:t>
            </w:r>
          </w:p>
        </w:tc>
        <w:tc>
          <w:tcPr>
            <w:tcW w:w="625" w:type="pct"/>
            <w:noWrap/>
            <w:vAlign w:val="center"/>
          </w:tcPr>
          <w:p>
            <w:pPr>
              <w:widowControl/>
              <w:spacing w:line="200" w:lineRule="exact"/>
              <w:rPr>
                <w:color w:val="000000"/>
                <w:sz w:val="16"/>
                <w:szCs w:val="16"/>
              </w:rPr>
            </w:pPr>
            <w:r>
              <w:rPr>
                <w:rFonts w:hint="eastAsia"/>
                <w:color w:val="000000"/>
                <w:sz w:val="16"/>
                <w:szCs w:val="16"/>
              </w:rPr>
              <w:t>50</w:t>
            </w:r>
          </w:p>
        </w:tc>
        <w:tc>
          <w:tcPr>
            <w:tcW w:w="483" w:type="pct"/>
            <w:noWrap/>
            <w:vAlign w:val="center"/>
          </w:tcPr>
          <w:p>
            <w:pPr>
              <w:widowControl/>
              <w:spacing w:line="200" w:lineRule="exact"/>
              <w:rPr>
                <w:color w:val="000000"/>
                <w:sz w:val="16"/>
                <w:szCs w:val="16"/>
              </w:rPr>
            </w:pPr>
            <w:r>
              <w:rPr>
                <w:rFonts w:hint="eastAsia"/>
                <w:color w:val="000000"/>
                <w:sz w:val="16"/>
                <w:szCs w:val="16"/>
              </w:rPr>
              <w:t>50</w:t>
            </w: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tcBorders>
              <w:bottom w:val="single" w:color="auto" w:sz="4" w:space="0"/>
            </w:tcBorders>
            <w:noWrap/>
            <w:vAlign w:val="center"/>
          </w:tcPr>
          <w:p>
            <w:pPr>
              <w:widowControl/>
              <w:spacing w:line="200" w:lineRule="exact"/>
              <w:jc w:val="center"/>
              <w:textAlignment w:val="center"/>
              <w:rPr>
                <w:color w:val="000000"/>
                <w:sz w:val="16"/>
                <w:szCs w:val="16"/>
              </w:rPr>
            </w:pPr>
            <w:r>
              <w:rPr>
                <w:color w:val="000000"/>
                <w:kern w:val="0"/>
                <w:sz w:val="16"/>
                <w:szCs w:val="16"/>
              </w:rPr>
              <w:t>说明</w:t>
            </w:r>
          </w:p>
        </w:tc>
        <w:tc>
          <w:tcPr>
            <w:tcW w:w="4554" w:type="pct"/>
            <w:gridSpan w:val="7"/>
            <w:tcBorders>
              <w:bottom w:val="single" w:color="auto" w:sz="4" w:space="0"/>
            </w:tcBorders>
            <w:noWrap/>
            <w:vAlign w:val="center"/>
          </w:tcPr>
          <w:p>
            <w:pPr>
              <w:widowControl/>
              <w:spacing w:line="200" w:lineRule="exact"/>
              <w:jc w:val="left"/>
              <w:textAlignment w:val="center"/>
              <w:rPr>
                <w:color w:val="000000"/>
                <w:sz w:val="16"/>
                <w:szCs w:val="16"/>
              </w:rPr>
            </w:pPr>
            <w:r>
              <w:rPr>
                <w:rFonts w:hint="eastAsia"/>
                <w:color w:val="000000"/>
                <w:sz w:val="16"/>
                <w:szCs w:val="16"/>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8"/>
            <w:tcBorders>
              <w:top w:val="single" w:color="auto" w:sz="4" w:space="0"/>
              <w:left w:val="nil"/>
              <w:bottom w:val="nil"/>
              <w:right w:val="nil"/>
            </w:tcBorders>
            <w:noWrap/>
            <w:vAlign w:val="center"/>
          </w:tcPr>
          <w:p>
            <w:pPr>
              <w:widowControl/>
              <w:spacing w:line="180" w:lineRule="exact"/>
              <w:jc w:val="left"/>
              <w:textAlignment w:val="center"/>
              <w:rPr>
                <w:rFonts w:eastAsia="楷体_GB2312"/>
                <w:color w:val="000000"/>
                <w:sz w:val="16"/>
                <w:szCs w:val="16"/>
              </w:rPr>
            </w:pPr>
            <w:r>
              <w:rPr>
                <w:rFonts w:eastAsia="楷体_GB2312"/>
                <w:color w:val="000000"/>
                <w:kern w:val="0"/>
                <w:sz w:val="16"/>
                <w:szCs w:val="16"/>
              </w:rPr>
              <w:t>注：1.其他资金包括与中央、省级财政补助资金、市（县）级财政资金共同投入到同一项目的自有资金、社会资金，以及以前年度的结转结余资金等。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000" w:type="pct"/>
            <w:gridSpan w:val="8"/>
            <w:tcBorders>
              <w:top w:val="nil"/>
              <w:left w:val="nil"/>
              <w:bottom w:val="nil"/>
              <w:right w:val="nil"/>
            </w:tcBorders>
            <w:noWrap/>
            <w:vAlign w:val="center"/>
          </w:tcPr>
          <w:p>
            <w:pPr>
              <w:widowControl/>
              <w:spacing w:line="180" w:lineRule="exact"/>
              <w:jc w:val="left"/>
              <w:textAlignment w:val="center"/>
              <w:rPr>
                <w:rFonts w:eastAsia="楷体_GB2312"/>
                <w:color w:val="000000"/>
                <w:sz w:val="16"/>
                <w:szCs w:val="16"/>
              </w:rPr>
            </w:pPr>
            <w:r>
              <w:rPr>
                <w:rFonts w:eastAsia="楷体_GB2312"/>
                <w:color w:val="000000"/>
                <w:kern w:val="0"/>
                <w:sz w:val="16"/>
                <w:szCs w:val="16"/>
              </w:rPr>
              <w:t xml:space="preserve">    2.定量指标，主管部门对资金使用单位填写的实际完成值汇总时，绝对值直接累加计算，相对值按照资金额度加权平均计算。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000" w:type="pct"/>
            <w:gridSpan w:val="8"/>
            <w:tcBorders>
              <w:top w:val="nil"/>
              <w:left w:val="nil"/>
              <w:bottom w:val="nil"/>
              <w:right w:val="nil"/>
            </w:tcBorders>
            <w:noWrap/>
            <w:vAlign w:val="center"/>
          </w:tcPr>
          <w:p>
            <w:pPr>
              <w:widowControl/>
              <w:spacing w:line="180" w:lineRule="exact"/>
              <w:jc w:val="left"/>
              <w:textAlignment w:val="center"/>
              <w:rPr>
                <w:rFonts w:eastAsia="楷体_GB2312"/>
                <w:color w:val="000000"/>
                <w:sz w:val="16"/>
                <w:szCs w:val="16"/>
              </w:rPr>
            </w:pPr>
            <w:r>
              <w:rPr>
                <w:rFonts w:eastAsia="楷体_GB2312"/>
                <w:color w:val="000000"/>
                <w:kern w:val="0"/>
                <w:sz w:val="16"/>
                <w:szCs w:val="16"/>
              </w:rPr>
              <w:t xml:space="preserve">    3.定性指标。资金使用单位分别按照100%-80%（含）、80%-60%（含）、60-0%合理填写实际完成值，在汇总时，按照资金额度加权平均计算。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8"/>
            <w:tcBorders>
              <w:top w:val="nil"/>
              <w:left w:val="nil"/>
              <w:bottom w:val="nil"/>
              <w:right w:val="nil"/>
            </w:tcBorders>
            <w:noWrap/>
            <w:vAlign w:val="center"/>
          </w:tcPr>
          <w:p>
            <w:pPr>
              <w:widowControl/>
              <w:spacing w:line="180" w:lineRule="exact"/>
              <w:jc w:val="left"/>
              <w:textAlignment w:val="center"/>
              <w:rPr>
                <w:rFonts w:eastAsia="楷体_GB2312"/>
                <w:color w:val="000000"/>
                <w:sz w:val="16"/>
                <w:szCs w:val="16"/>
              </w:rPr>
            </w:pPr>
            <w:r>
              <w:rPr>
                <w:rFonts w:eastAsia="楷体_GB2312"/>
                <w:color w:val="000000"/>
                <w:kern w:val="0"/>
                <w:sz w:val="16"/>
                <w:szCs w:val="16"/>
              </w:rPr>
              <w:t xml:space="preserve">    4.全年执行数是指按照国库集中支付制度要求，支付到商品和劳务供应者或者用款单位形成的实际支出。</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rPr>
          <w:rFonts w:ascii="仿宋_GB2312" w:hAnsi="仿宋_GB2312" w:eastAsia="仿宋_GB2312" w:cs="仿宋_GB2312"/>
          <w:bCs/>
          <w:sz w:val="30"/>
          <w:szCs w:val="30"/>
          <w:lang w:val="zh-CN"/>
        </w:rPr>
      </w:pPr>
      <w:r>
        <w:rPr>
          <w:rFonts w:hint="eastAsia" w:ascii="仿宋_GB2312" w:hAnsi="仿宋_GB2312" w:eastAsia="仿宋_GB2312" w:cs="仿宋_GB2312"/>
          <w:bCs/>
          <w:sz w:val="30"/>
          <w:szCs w:val="30"/>
        </w:rPr>
        <w:t>（一）预算执行进度情况分析。该项目资金预算9.22万元，执行预算资金支付资产配置8.18万元、其他商品和服务支出1.04万元。</w:t>
      </w:r>
      <w:r>
        <w:rPr>
          <w:rFonts w:hint="eastAsia" w:ascii="仿宋_GB2312" w:hAnsi="仿宋_GB2312" w:eastAsia="仿宋_GB2312" w:cs="仿宋_GB2312"/>
          <w:bCs/>
          <w:sz w:val="30"/>
          <w:szCs w:val="30"/>
          <w:lang w:val="zh-CN"/>
        </w:rPr>
        <w:t>截止评价时点项目资金的实际支出情况100%，资金开支范围</w:t>
      </w:r>
      <w:r>
        <w:rPr>
          <w:rFonts w:hint="eastAsia" w:ascii="仿宋_GB2312" w:hAnsi="仿宋_GB2312" w:eastAsia="仿宋_GB2312" w:cs="仿宋_GB2312"/>
          <w:bCs/>
          <w:sz w:val="30"/>
          <w:szCs w:val="30"/>
        </w:rPr>
        <w:t>每年分别进行年度检验、中间检验</w:t>
      </w:r>
      <w:r>
        <w:rPr>
          <w:rFonts w:hint="eastAsia" w:ascii="仿宋_GB2312" w:hAnsi="仿宋_GB2312" w:eastAsia="仿宋_GB2312" w:cs="仿宋_GB2312"/>
          <w:bCs/>
          <w:sz w:val="30"/>
          <w:szCs w:val="30"/>
          <w:lang w:val="zh-CN"/>
        </w:rPr>
        <w:t>，标准及支付进度100%，支付依据是合规合法，资金支付是与预算相符，没有其他相关问题进行说明。</w:t>
      </w:r>
    </w:p>
    <w:p>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rPr>
          <w:rFonts w:ascii="仿宋_GB2312" w:hAnsi="仿宋_GB2312" w:eastAsia="仿宋_GB2312" w:cs="仿宋_GB2312"/>
          <w:bCs/>
          <w:sz w:val="30"/>
          <w:szCs w:val="30"/>
          <w:lang w:val="zh-CN"/>
        </w:rPr>
      </w:pPr>
      <w:r>
        <w:rPr>
          <w:rFonts w:hint="eastAsia" w:ascii="仿宋_GB2312" w:hAnsi="仿宋_GB2312" w:eastAsia="仿宋_GB2312" w:cs="仿宋_GB2312"/>
          <w:bCs/>
          <w:sz w:val="30"/>
          <w:szCs w:val="30"/>
        </w:rPr>
        <w:t>（二）总体绩效目标完成情况分析。</w:t>
      </w:r>
      <w:r>
        <w:rPr>
          <w:rFonts w:hint="eastAsia" w:ascii="仿宋_GB2312" w:hAnsi="仿宋_GB2312" w:eastAsia="仿宋_GB2312" w:cs="仿宋_GB2312"/>
          <w:bCs/>
          <w:sz w:val="30"/>
          <w:szCs w:val="30"/>
          <w:lang w:val="zh-CN"/>
        </w:rPr>
        <w:t xml:space="preserve">项目预算资金9.22万元，其中为2021年完成创市级示范便民服务中心的5个乡镇便民服务中心和3个便民服务站配备了海兰 </w:t>
      </w:r>
      <w:r>
        <w:rPr>
          <w:rFonts w:hint="eastAsia" w:ascii="仿宋_GB2312" w:hAnsi="仿宋_GB2312" w:eastAsia="仿宋_GB2312" w:cs="仿宋_GB2312"/>
          <w:bCs/>
          <w:sz w:val="30"/>
          <w:szCs w:val="30"/>
        </w:rPr>
        <w:t>G40 PL</w:t>
      </w:r>
      <w:r>
        <w:rPr>
          <w:rFonts w:hint="eastAsia" w:ascii="仿宋_GB2312" w:hAnsi="仿宋_GB2312" w:eastAsia="仿宋_GB2312" w:cs="仿宋_GB2312"/>
          <w:bCs/>
          <w:sz w:val="30"/>
          <w:szCs w:val="30"/>
          <w:lang w:val="zh-CN"/>
        </w:rPr>
        <w:t>US台式计算机和夏普SF-S245R证照打印复印一体机，截止2021年底，县行政审批局统一采购的设备已全部安装到位，供货商对设备进行了安装、调试并能全部正常运转。还有1.04万用于印刷5个乡镇便民服务中心和3个便民服务站法人便民服务台账600本和建设标准宣传资料，到2021年底创市级示范便民服务中心的所有软件和硬件资料已全部发放到乡镇便民服务中心，2022年初，接受了市营商环境服务管理局的高质量验收。</w:t>
      </w:r>
    </w:p>
    <w:p>
      <w:pPr>
        <w:keepNext w:val="0"/>
        <w:keepLines w:val="0"/>
        <w:pageBreakBefore w:val="0"/>
        <w:widowControl w:val="0"/>
        <w:kinsoku/>
        <w:wordWrap/>
        <w:overflowPunct/>
        <w:topLinePunct w:val="0"/>
        <w:autoSpaceDE/>
        <w:autoSpaceDN/>
        <w:bidi w:val="0"/>
        <w:snapToGrid w:val="0"/>
        <w:spacing w:line="360" w:lineRule="auto"/>
        <w:ind w:firstLine="600" w:firstLineChars="200"/>
        <w:jc w:val="left"/>
        <w:textAlignment w:val="center"/>
        <w:rPr>
          <w:rFonts w:ascii="仿宋_GB2312" w:hAnsi="仿宋_GB2312" w:eastAsia="仿宋_GB2312" w:cs="仿宋_GB2312"/>
          <w:bCs/>
          <w:sz w:val="30"/>
          <w:szCs w:val="30"/>
          <w:lang w:val="zh-CN"/>
        </w:rPr>
      </w:pPr>
      <w:r>
        <w:rPr>
          <w:rFonts w:hint="eastAsia" w:ascii="仿宋_GB2312" w:hAnsi="仿宋_GB2312" w:eastAsia="仿宋_GB2312" w:cs="仿宋_GB2312"/>
          <w:bCs/>
          <w:sz w:val="30"/>
          <w:szCs w:val="30"/>
        </w:rPr>
        <w:t>（三）绩效指标完成情况分析。</w:t>
      </w:r>
      <w:r>
        <w:rPr>
          <w:rFonts w:hint="eastAsia" w:ascii="仿宋_GB2312" w:hAnsi="仿宋_GB2312" w:eastAsia="仿宋_GB2312" w:cs="仿宋_GB2312"/>
          <w:bCs/>
          <w:sz w:val="30"/>
          <w:szCs w:val="30"/>
          <w:lang w:val="zh-CN"/>
        </w:rPr>
        <w:t>2021年完成了沐溪、利店、高笋、富新、舟坝等5个乡镇的便民服务中心和建和、海云等3个便民服务站77个村社区的创建工作，验收效果非常好，其中向天坝社区获得了全市唯一的一个市级示范便民服务室满分100分， 县行政审批局开展的全县镇村便民服务体系建设工作获得了乐山市市级部门的高度评价，获得了2021年创建市级示范便民服务工作先进单位。</w:t>
      </w:r>
    </w:p>
    <w:p>
      <w:pPr>
        <w:keepNext w:val="0"/>
        <w:keepLines w:val="0"/>
        <w:pageBreakBefore w:val="0"/>
        <w:widowControl w:val="0"/>
        <w:kinsoku/>
        <w:wordWrap/>
        <w:overflowPunct/>
        <w:topLinePunct w:val="0"/>
        <w:autoSpaceDE/>
        <w:autoSpaceDN/>
        <w:bidi w:val="0"/>
        <w:snapToGrid w:val="0"/>
        <w:spacing w:line="360" w:lineRule="auto"/>
        <w:ind w:firstLine="600" w:firstLineChars="200"/>
        <w:outlineLvl w:val="0"/>
        <w:rPr>
          <w:rFonts w:ascii="仿宋_GB2312" w:hAnsi="仿宋_GB2312" w:eastAsia="仿宋_GB2312" w:cs="仿宋_GB2312"/>
          <w:bCs/>
          <w:sz w:val="30"/>
          <w:szCs w:val="30"/>
          <w:lang w:val="zh-CN"/>
        </w:rPr>
      </w:pPr>
      <w:r>
        <w:rPr>
          <w:rFonts w:hint="eastAsia" w:ascii="仿宋_GB2312" w:hAnsi="仿宋_GB2312" w:eastAsia="仿宋_GB2312" w:cs="仿宋_GB2312"/>
          <w:bCs/>
          <w:sz w:val="30"/>
          <w:szCs w:val="30"/>
        </w:rPr>
        <w:t>（四）项目效益分析。</w:t>
      </w:r>
      <w:r>
        <w:rPr>
          <w:rFonts w:hint="eastAsia" w:ascii="仿宋_GB2312" w:hAnsi="仿宋_GB2312" w:eastAsia="仿宋_GB2312" w:cs="仿宋_GB2312"/>
          <w:bCs/>
          <w:sz w:val="30"/>
          <w:szCs w:val="30"/>
          <w:lang w:val="zh-CN"/>
        </w:rPr>
        <w:t>市级示范便民服务中心和便民服务室创建成功后，产生了很大的效益，如：一是推广实施自助办理业务。在县、乡政务服务大厅设立社保政务服务一体机、电费缴费终端等信息化设备，方便群众自助查询低保金等50余项便民事项，实现群众、企业办事“就近办”；二是推广“掌上办”、“指尖办”，“天府通办”APP、“乐易办”APP、沐川县行政审批局微信公众号等互联网载体引导办事群众手机网上预约办理服务事项，让群众水、电、燃气缴费可以“一次都不跑”；三是推进“快帮办”联动，推行全过程帮办服务，推出第一批16项政务服务事项的“快帮办”清单，并会同县基层治理办梳理村级便民服务清单，以县、乡（镇）、村 （社区）三级联动完成代办，形成了乡镇前台受理、县级后台办理、快递送达的服务新格局。四是开展政银合作联动服务，结合“政务服务＋金融”模式，与县信用联社合作推出“政务+金融”服务，让金融服务走进村（社区），将燃气、电力、自来水、通信缴费等服务集成到村（社区）金融服务站，解决群众来回跑的问题，让“最多跑一次改革”落实到实处，计划2021年在沐溪镇茨湾村等10个党群服务中心创立农村金融综合服务站，推进政务和金融服务渠道共建共享，服务内容互联互通，便民活动合作联动，数据资源整合共享，创设便民服务基础支撑，2025年完成剩余村（社区）创建任务，一系列便民利民惠民改革措施出台，大大增强了我县服务能力的提升。五是实行免费快递便民服务，与沐川县邮政公司合作，采取“政务服务＋邮政”模式，在事项办结时实行政务服务免费快递，群众企业办事时间得到有效缩短，从而实现“最多跑一次”甚至是“零跑腿”的目标，截止10月底，政务服务快递已免费投送64件。</w:t>
      </w:r>
    </w:p>
    <w:p>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rPr>
          <w:rFonts w:ascii="仿宋_GB2312" w:hAnsi="仿宋_GB2312" w:eastAsia="仿宋_GB2312" w:cs="仿宋_GB2312"/>
          <w:bCs/>
          <w:sz w:val="30"/>
          <w:szCs w:val="30"/>
        </w:rPr>
      </w:pPr>
      <w:r>
        <w:rPr>
          <w:rFonts w:hint="eastAsia" w:ascii="仿宋_GB2312" w:hAnsi="仿宋_GB2312" w:eastAsia="仿宋_GB2312" w:cs="仿宋_GB2312"/>
          <w:bCs/>
          <w:sz w:val="30"/>
          <w:szCs w:val="30"/>
        </w:rPr>
        <w:t>二、偏离绩效目标的原因和下一步改进措施</w:t>
      </w:r>
    </w:p>
    <w:p>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rPr>
          <w:rFonts w:ascii="仿宋_GB2312" w:hAnsi="仿宋_GB2312" w:eastAsia="仿宋_GB2312" w:cs="仿宋_GB2312"/>
          <w:bCs/>
          <w:sz w:val="30"/>
          <w:szCs w:val="30"/>
        </w:rPr>
      </w:pPr>
      <w:r>
        <w:rPr>
          <w:rFonts w:hint="eastAsia" w:ascii="仿宋_GB2312" w:hAnsi="仿宋_GB2312" w:eastAsia="仿宋_GB2312" w:cs="仿宋_GB2312"/>
          <w:bCs/>
          <w:sz w:val="30"/>
          <w:szCs w:val="30"/>
        </w:rPr>
        <w:t>该项目总体绩效目标和绩效指标完成100%，没有出现超指标值较多的原政策执行或项目实施中存在的问题和原因。</w:t>
      </w:r>
    </w:p>
    <w:p>
      <w:pPr>
        <w:keepNext w:val="0"/>
        <w:keepLines w:val="0"/>
        <w:pageBreakBefore w:val="0"/>
        <w:widowControl w:val="0"/>
        <w:kinsoku/>
        <w:wordWrap/>
        <w:overflowPunct/>
        <w:topLinePunct w:val="0"/>
        <w:autoSpaceDE/>
        <w:autoSpaceDN/>
        <w:bidi w:val="0"/>
        <w:snapToGrid w:val="0"/>
        <w:spacing w:line="360" w:lineRule="auto"/>
        <w:ind w:firstLine="600" w:firstLineChars="200"/>
        <w:rPr>
          <w:rFonts w:ascii="仿宋_GB2312" w:hAnsi="仿宋_GB2312" w:eastAsia="仿宋_GB2312" w:cs="仿宋_GB2312"/>
          <w:bCs/>
          <w:sz w:val="30"/>
          <w:szCs w:val="30"/>
        </w:rPr>
      </w:pPr>
      <w:r>
        <w:rPr>
          <w:rFonts w:hint="eastAsia" w:ascii="仿宋_GB2312" w:hAnsi="仿宋_GB2312" w:eastAsia="仿宋_GB2312" w:cs="仿宋_GB2312"/>
          <w:bCs/>
          <w:sz w:val="30"/>
          <w:szCs w:val="30"/>
        </w:rPr>
        <w:t>三、绩效自评结果拟应用和公开情况</w:t>
      </w:r>
    </w:p>
    <w:p>
      <w:pPr>
        <w:pStyle w:val="13"/>
        <w:keepNext w:val="0"/>
        <w:keepLines w:val="0"/>
        <w:pageBreakBefore w:val="0"/>
        <w:widowControl w:val="0"/>
        <w:kinsoku/>
        <w:wordWrap/>
        <w:overflowPunct/>
        <w:topLinePunct w:val="0"/>
        <w:autoSpaceDE/>
        <w:autoSpaceDN/>
        <w:bidi w:val="0"/>
        <w:snapToGrid w:val="0"/>
        <w:spacing w:line="360" w:lineRule="auto"/>
        <w:ind w:firstLine="600" w:firstLineChars="200"/>
        <w:jc w:val="both"/>
        <w:rPr>
          <w:rFonts w:ascii="仿宋_GB2312" w:hAnsi="仿宋_GB2312" w:eastAsia="仿宋_GB2312" w:cs="仿宋_GB2312"/>
          <w:bCs/>
          <w:sz w:val="30"/>
          <w:szCs w:val="30"/>
        </w:rPr>
      </w:pPr>
      <w:r>
        <w:rPr>
          <w:rFonts w:hint="eastAsia" w:ascii="仿宋_GB2312" w:hAnsi="仿宋_GB2312" w:eastAsia="仿宋_GB2312" w:cs="仿宋_GB2312"/>
          <w:bCs/>
          <w:sz w:val="30"/>
          <w:szCs w:val="30"/>
        </w:rPr>
        <w:t>建议在下一年度的资金预算，把资产购买和便民服务中心建设的硬件设施支出纳入各乡镇预算支付。行政审批局在业务上起指导和培训作用。</w:t>
      </w:r>
    </w:p>
    <w:p>
      <w:pPr>
        <w:keepNext w:val="0"/>
        <w:keepLines w:val="0"/>
        <w:pageBreakBefore w:val="0"/>
        <w:widowControl w:val="0"/>
        <w:kinsoku/>
        <w:wordWrap/>
        <w:overflowPunct/>
        <w:topLinePunct w:val="0"/>
        <w:autoSpaceDE/>
        <w:autoSpaceDN/>
        <w:bidi w:val="0"/>
        <w:snapToGrid w:val="0"/>
        <w:spacing w:line="360" w:lineRule="auto"/>
        <w:ind w:firstLine="600" w:firstLineChars="200"/>
        <w:rPr>
          <w:rFonts w:ascii="仿宋_GB2312" w:hAnsi="仿宋_GB2312" w:eastAsia="仿宋_GB2312" w:cs="仿宋_GB2312"/>
          <w:bCs/>
          <w:sz w:val="30"/>
          <w:szCs w:val="30"/>
        </w:rPr>
      </w:pPr>
      <w:r>
        <w:rPr>
          <w:rFonts w:hint="eastAsia" w:ascii="仿宋_GB2312" w:hAnsi="仿宋_GB2312" w:eastAsia="仿宋_GB2312" w:cs="仿宋_GB2312"/>
          <w:bCs/>
          <w:sz w:val="30"/>
          <w:szCs w:val="30"/>
        </w:rPr>
        <w:t>四、其他需要说明的问题</w:t>
      </w:r>
    </w:p>
    <w:p>
      <w:pPr>
        <w:keepNext w:val="0"/>
        <w:keepLines w:val="0"/>
        <w:pageBreakBefore w:val="0"/>
        <w:widowControl w:val="0"/>
        <w:kinsoku/>
        <w:wordWrap/>
        <w:overflowPunct/>
        <w:topLinePunct w:val="0"/>
        <w:autoSpaceDE/>
        <w:autoSpaceDN/>
        <w:bidi w:val="0"/>
        <w:snapToGrid w:val="0"/>
        <w:spacing w:line="360" w:lineRule="auto"/>
        <w:ind w:firstLine="600" w:firstLineChars="200"/>
        <w:outlineLvl w:val="0"/>
        <w:rPr>
          <w:rFonts w:ascii="仿宋_GB2312" w:hAnsi="仿宋_GB2312" w:eastAsia="仿宋_GB2312" w:cs="仿宋_GB2312"/>
          <w:bCs/>
          <w:sz w:val="30"/>
          <w:szCs w:val="30"/>
        </w:rPr>
      </w:pPr>
      <w:r>
        <w:rPr>
          <w:rFonts w:hint="eastAsia" w:ascii="仿宋_GB2312" w:hAnsi="仿宋_GB2312" w:eastAsia="仿宋_GB2312" w:cs="仿宋_GB2312"/>
          <w:bCs/>
          <w:sz w:val="30"/>
          <w:szCs w:val="30"/>
        </w:rPr>
        <w:t>没有出现各级巡视（巡察）、各级审计和财政监督发现的问题及其所涉及的金额。</w:t>
      </w:r>
    </w:p>
    <w:p>
      <w:pPr>
        <w:spacing w:line="520" w:lineRule="exact"/>
        <w:rPr>
          <w:rFonts w:eastAsia="黑体"/>
          <w:sz w:val="28"/>
          <w:szCs w:val="36"/>
        </w:rPr>
      </w:pPr>
    </w:p>
    <w:p>
      <w:pPr>
        <w:spacing w:line="520" w:lineRule="exact"/>
        <w:rPr>
          <w:rFonts w:eastAsia="黑体"/>
          <w:sz w:val="28"/>
          <w:szCs w:val="36"/>
        </w:rPr>
      </w:pPr>
      <w:r>
        <w:rPr>
          <w:rFonts w:eastAsia="黑体"/>
          <w:sz w:val="28"/>
          <w:szCs w:val="36"/>
        </w:rPr>
        <w:t>附件1</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8"/>
        <w:gridCol w:w="817"/>
        <w:gridCol w:w="1058"/>
        <w:gridCol w:w="1358"/>
        <w:gridCol w:w="817"/>
        <w:gridCol w:w="937"/>
        <w:gridCol w:w="1058"/>
        <w:gridCol w:w="12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000" w:type="pct"/>
            <w:gridSpan w:val="8"/>
            <w:tcBorders>
              <w:top w:val="nil"/>
              <w:left w:val="nil"/>
              <w:bottom w:val="nil"/>
              <w:right w:val="nil"/>
            </w:tcBorders>
            <w:noWrap/>
            <w:vAlign w:val="center"/>
          </w:tcPr>
          <w:p>
            <w:pPr>
              <w:widowControl/>
              <w:spacing w:line="440" w:lineRule="exact"/>
              <w:jc w:val="center"/>
              <w:textAlignment w:val="center"/>
              <w:rPr>
                <w:rFonts w:eastAsia="方正小标宋简体"/>
                <w:color w:val="000000"/>
                <w:sz w:val="36"/>
                <w:szCs w:val="36"/>
              </w:rPr>
            </w:pPr>
            <w:r>
              <w:rPr>
                <w:rFonts w:hint="eastAsia" w:eastAsia="方正小标宋简体"/>
                <w:color w:val="000000"/>
                <w:kern w:val="0"/>
                <w:sz w:val="36"/>
                <w:szCs w:val="36"/>
              </w:rPr>
              <w:t>镇村便民服务体系建设</w:t>
            </w:r>
            <w:r>
              <w:rPr>
                <w:rFonts w:eastAsia="方正小标宋简体"/>
                <w:color w:val="000000"/>
                <w:kern w:val="0"/>
                <w:sz w:val="36"/>
                <w:szCs w:val="36"/>
              </w:rPr>
              <w:t>项目绩效目标自评表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9" w:hRule="atLeast"/>
          <w:jc w:val="center"/>
        </w:trPr>
        <w:tc>
          <w:tcPr>
            <w:tcW w:w="5000" w:type="pct"/>
            <w:gridSpan w:val="8"/>
            <w:tcBorders>
              <w:top w:val="nil"/>
              <w:left w:val="nil"/>
              <w:bottom w:val="single" w:color="auto" w:sz="4" w:space="0"/>
              <w:right w:val="nil"/>
            </w:tcBorders>
            <w:noWrap/>
          </w:tcPr>
          <w:p>
            <w:pPr>
              <w:widowControl/>
              <w:spacing w:line="320" w:lineRule="exact"/>
              <w:jc w:val="center"/>
              <w:textAlignment w:val="top"/>
              <w:rPr>
                <w:color w:val="000000"/>
                <w:sz w:val="22"/>
                <w:szCs w:val="22"/>
              </w:rPr>
            </w:pPr>
            <w:r>
              <w:rPr>
                <w:color w:val="000000"/>
                <w:kern w:val="0"/>
                <w:sz w:val="22"/>
                <w:szCs w:val="22"/>
              </w:rPr>
              <w:t>（2022年度）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6" w:type="pct"/>
            <w:gridSpan w:val="3"/>
            <w:tcBorders>
              <w:top w:val="single" w:color="auto" w:sz="4" w:space="0"/>
            </w:tcBorders>
            <w:noWrap/>
            <w:vAlign w:val="center"/>
          </w:tcPr>
          <w:p>
            <w:pPr>
              <w:widowControl/>
              <w:spacing w:line="200" w:lineRule="exact"/>
              <w:jc w:val="center"/>
              <w:textAlignment w:val="center"/>
              <w:rPr>
                <w:color w:val="000000"/>
                <w:sz w:val="16"/>
                <w:szCs w:val="16"/>
              </w:rPr>
            </w:pPr>
            <w:r>
              <w:rPr>
                <w:color w:val="000000"/>
                <w:kern w:val="0"/>
                <w:sz w:val="16"/>
                <w:szCs w:val="16"/>
              </w:rPr>
              <w:t>项目（政策）名称</w:t>
            </w:r>
          </w:p>
        </w:tc>
        <w:tc>
          <w:tcPr>
            <w:tcW w:w="3753" w:type="pct"/>
            <w:gridSpan w:val="5"/>
            <w:tcBorders>
              <w:top w:val="single" w:color="auto" w:sz="4" w:space="0"/>
            </w:tcBorders>
            <w:noWrap/>
            <w:vAlign w:val="center"/>
          </w:tcPr>
          <w:p>
            <w:pPr>
              <w:widowControl/>
              <w:spacing w:line="200" w:lineRule="exact"/>
              <w:jc w:val="left"/>
              <w:rPr>
                <w:color w:val="000000"/>
                <w:sz w:val="16"/>
                <w:szCs w:val="16"/>
              </w:rPr>
            </w:pPr>
            <w:r>
              <w:rPr>
                <w:rFonts w:hint="eastAsia"/>
                <w:color w:val="000000"/>
                <w:sz w:val="16"/>
                <w:szCs w:val="16"/>
              </w:rPr>
              <w:t>镇村便民服务体系建设宣传培训费用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6" w:type="pct"/>
            <w:gridSpan w:val="3"/>
            <w:noWrap/>
            <w:vAlign w:val="center"/>
          </w:tcPr>
          <w:p>
            <w:pPr>
              <w:widowControl/>
              <w:spacing w:line="200" w:lineRule="exact"/>
              <w:jc w:val="center"/>
              <w:textAlignment w:val="center"/>
              <w:rPr>
                <w:color w:val="000000"/>
                <w:sz w:val="16"/>
                <w:szCs w:val="16"/>
              </w:rPr>
            </w:pPr>
            <w:r>
              <w:rPr>
                <w:color w:val="000000"/>
                <w:kern w:val="0"/>
                <w:sz w:val="16"/>
                <w:szCs w:val="16"/>
              </w:rPr>
              <w:t>项目主管部门</w:t>
            </w:r>
          </w:p>
        </w:tc>
        <w:tc>
          <w:tcPr>
            <w:tcW w:w="1648" w:type="pct"/>
            <w:gridSpan w:val="2"/>
            <w:noWrap/>
            <w:vAlign w:val="center"/>
          </w:tcPr>
          <w:p>
            <w:pPr>
              <w:widowControl/>
              <w:spacing w:line="200" w:lineRule="exact"/>
              <w:rPr>
                <w:color w:val="000000"/>
                <w:sz w:val="16"/>
                <w:szCs w:val="16"/>
              </w:rPr>
            </w:pPr>
            <w:r>
              <w:rPr>
                <w:rFonts w:hint="eastAsia"/>
                <w:color w:val="000000"/>
                <w:sz w:val="16"/>
                <w:szCs w:val="16"/>
              </w:rPr>
              <w:t>沐川县财政局</w:t>
            </w:r>
          </w:p>
        </w:tc>
        <w:tc>
          <w:tcPr>
            <w:tcW w:w="625" w:type="pct"/>
            <w:noWrap/>
            <w:vAlign w:val="center"/>
          </w:tcPr>
          <w:p>
            <w:pPr>
              <w:widowControl/>
              <w:spacing w:line="200" w:lineRule="exact"/>
              <w:jc w:val="center"/>
              <w:textAlignment w:val="center"/>
              <w:rPr>
                <w:color w:val="000000"/>
                <w:kern w:val="0"/>
                <w:sz w:val="16"/>
                <w:szCs w:val="16"/>
              </w:rPr>
            </w:pPr>
            <w:r>
              <w:rPr>
                <w:color w:val="000000"/>
                <w:kern w:val="0"/>
                <w:sz w:val="16"/>
                <w:szCs w:val="16"/>
              </w:rPr>
              <w:t>资金使用单位</w:t>
            </w:r>
          </w:p>
        </w:tc>
        <w:tc>
          <w:tcPr>
            <w:tcW w:w="1479" w:type="pct"/>
            <w:gridSpan w:val="2"/>
            <w:noWrap/>
            <w:vAlign w:val="center"/>
          </w:tcPr>
          <w:p>
            <w:pPr>
              <w:widowControl/>
              <w:spacing w:line="200" w:lineRule="exact"/>
              <w:jc w:val="center"/>
              <w:rPr>
                <w:color w:val="000000"/>
                <w:sz w:val="16"/>
                <w:szCs w:val="16"/>
              </w:rPr>
            </w:pPr>
            <w:r>
              <w:rPr>
                <w:rFonts w:hint="eastAsia"/>
                <w:color w:val="000000"/>
                <w:sz w:val="16"/>
                <w:szCs w:val="16"/>
              </w:rPr>
              <w:t>沐川县行政审批局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3" w:hRule="atLeast"/>
          <w:jc w:val="center"/>
        </w:trPr>
        <w:tc>
          <w:tcPr>
            <w:tcW w:w="1246" w:type="pct"/>
            <w:gridSpan w:val="3"/>
            <w:vMerge w:val="restart"/>
            <w:noWrap/>
            <w:vAlign w:val="center"/>
          </w:tcPr>
          <w:p>
            <w:pPr>
              <w:widowControl/>
              <w:spacing w:line="200" w:lineRule="exact"/>
              <w:jc w:val="center"/>
              <w:textAlignment w:val="center"/>
              <w:rPr>
                <w:color w:val="000000"/>
                <w:sz w:val="16"/>
                <w:szCs w:val="16"/>
              </w:rPr>
            </w:pPr>
            <w:r>
              <w:rPr>
                <w:color w:val="000000"/>
                <w:kern w:val="0"/>
                <w:sz w:val="16"/>
                <w:szCs w:val="16"/>
              </w:rPr>
              <w:t>项目资金</w:t>
            </w:r>
            <w:r>
              <w:rPr>
                <w:color w:val="000000"/>
                <w:kern w:val="0"/>
                <w:sz w:val="16"/>
                <w:szCs w:val="16"/>
              </w:rPr>
              <w:br w:type="textWrapping"/>
            </w:r>
            <w:r>
              <w:rPr>
                <w:color w:val="000000"/>
                <w:kern w:val="0"/>
                <w:sz w:val="16"/>
                <w:szCs w:val="16"/>
              </w:rPr>
              <w:t>（万元）</w:t>
            </w:r>
          </w:p>
        </w:tc>
        <w:tc>
          <w:tcPr>
            <w:tcW w:w="967" w:type="pct"/>
            <w:noWrap/>
            <w:vAlign w:val="center"/>
          </w:tcPr>
          <w:p>
            <w:pPr>
              <w:widowControl/>
              <w:spacing w:line="200" w:lineRule="exact"/>
              <w:rPr>
                <w:color w:val="000000"/>
                <w:sz w:val="16"/>
                <w:szCs w:val="16"/>
              </w:rPr>
            </w:pPr>
          </w:p>
        </w:tc>
        <w:tc>
          <w:tcPr>
            <w:tcW w:w="680" w:type="pct"/>
            <w:noWrap/>
            <w:vAlign w:val="center"/>
          </w:tcPr>
          <w:p>
            <w:pPr>
              <w:widowControl/>
              <w:spacing w:line="200" w:lineRule="exact"/>
              <w:jc w:val="center"/>
              <w:textAlignment w:val="center"/>
              <w:rPr>
                <w:color w:val="000000"/>
                <w:sz w:val="16"/>
                <w:szCs w:val="16"/>
              </w:rPr>
            </w:pPr>
            <w:r>
              <w:rPr>
                <w:color w:val="000000"/>
                <w:kern w:val="0"/>
                <w:sz w:val="16"/>
                <w:szCs w:val="16"/>
              </w:rPr>
              <w:t>全年预算数</w:t>
            </w:r>
          </w:p>
        </w:tc>
        <w:tc>
          <w:tcPr>
            <w:tcW w:w="1109" w:type="pct"/>
            <w:gridSpan w:val="2"/>
            <w:noWrap/>
            <w:vAlign w:val="center"/>
          </w:tcPr>
          <w:p>
            <w:pPr>
              <w:widowControl/>
              <w:spacing w:line="200" w:lineRule="exact"/>
              <w:jc w:val="center"/>
              <w:textAlignment w:val="center"/>
              <w:rPr>
                <w:color w:val="000000"/>
                <w:sz w:val="16"/>
                <w:szCs w:val="16"/>
              </w:rPr>
            </w:pPr>
            <w:r>
              <w:rPr>
                <w:color w:val="000000"/>
                <w:kern w:val="0"/>
                <w:sz w:val="16"/>
                <w:szCs w:val="16"/>
              </w:rPr>
              <w:t>全年执行数</w:t>
            </w:r>
          </w:p>
        </w:tc>
        <w:tc>
          <w:tcPr>
            <w:tcW w:w="995" w:type="pct"/>
            <w:noWrap/>
            <w:vAlign w:val="center"/>
          </w:tcPr>
          <w:p>
            <w:pPr>
              <w:widowControl/>
              <w:spacing w:line="200" w:lineRule="exact"/>
              <w:jc w:val="center"/>
              <w:textAlignment w:val="center"/>
              <w:rPr>
                <w:color w:val="000000"/>
                <w:sz w:val="16"/>
                <w:szCs w:val="16"/>
              </w:rPr>
            </w:pPr>
            <w:r>
              <w:rPr>
                <w:color w:val="000000"/>
                <w:kern w:val="0"/>
                <w:sz w:val="16"/>
                <w:szCs w:val="16"/>
              </w:rPr>
              <w:t>预算执行率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3" w:hRule="atLeast"/>
          <w:jc w:val="center"/>
        </w:trPr>
        <w:tc>
          <w:tcPr>
            <w:tcW w:w="1246" w:type="pct"/>
            <w:gridSpan w:val="3"/>
            <w:vMerge w:val="continue"/>
            <w:noWrap/>
            <w:vAlign w:val="center"/>
          </w:tcPr>
          <w:p>
            <w:pPr>
              <w:widowControl/>
              <w:spacing w:line="200" w:lineRule="exact"/>
              <w:jc w:val="center"/>
              <w:rPr>
                <w:color w:val="000000"/>
                <w:sz w:val="16"/>
                <w:szCs w:val="16"/>
              </w:rPr>
            </w:pPr>
          </w:p>
        </w:tc>
        <w:tc>
          <w:tcPr>
            <w:tcW w:w="967" w:type="pct"/>
            <w:noWrap/>
            <w:vAlign w:val="center"/>
          </w:tcPr>
          <w:p>
            <w:pPr>
              <w:widowControl/>
              <w:spacing w:line="200" w:lineRule="exact"/>
              <w:jc w:val="left"/>
              <w:textAlignment w:val="center"/>
              <w:rPr>
                <w:color w:val="000000"/>
                <w:sz w:val="16"/>
                <w:szCs w:val="16"/>
              </w:rPr>
            </w:pPr>
            <w:r>
              <w:rPr>
                <w:color w:val="000000"/>
                <w:kern w:val="0"/>
                <w:sz w:val="16"/>
                <w:szCs w:val="16"/>
              </w:rPr>
              <w:t>年度资金总额：</w:t>
            </w:r>
          </w:p>
        </w:tc>
        <w:tc>
          <w:tcPr>
            <w:tcW w:w="680" w:type="pct"/>
            <w:noWrap/>
            <w:vAlign w:val="center"/>
          </w:tcPr>
          <w:p>
            <w:pPr>
              <w:widowControl/>
              <w:spacing w:line="200" w:lineRule="exact"/>
              <w:jc w:val="center"/>
              <w:rPr>
                <w:color w:val="000000"/>
                <w:sz w:val="16"/>
                <w:szCs w:val="16"/>
              </w:rPr>
            </w:pPr>
          </w:p>
        </w:tc>
        <w:tc>
          <w:tcPr>
            <w:tcW w:w="1109" w:type="pct"/>
            <w:gridSpan w:val="2"/>
            <w:noWrap/>
            <w:vAlign w:val="center"/>
          </w:tcPr>
          <w:p>
            <w:pPr>
              <w:widowControl/>
              <w:spacing w:line="200" w:lineRule="exact"/>
              <w:jc w:val="center"/>
              <w:rPr>
                <w:color w:val="000000"/>
                <w:sz w:val="16"/>
                <w:szCs w:val="16"/>
              </w:rPr>
            </w:pPr>
          </w:p>
        </w:tc>
        <w:tc>
          <w:tcPr>
            <w:tcW w:w="995" w:type="pct"/>
            <w:noWrap/>
            <w:vAlign w:val="center"/>
          </w:tcPr>
          <w:p>
            <w:pPr>
              <w:widowControl/>
              <w:spacing w:line="200" w:lineRule="exact"/>
              <w:jc w:val="left"/>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6" w:type="pct"/>
            <w:gridSpan w:val="3"/>
            <w:vMerge w:val="continue"/>
            <w:noWrap/>
            <w:vAlign w:val="center"/>
          </w:tcPr>
          <w:p>
            <w:pPr>
              <w:widowControl/>
              <w:spacing w:line="200" w:lineRule="exact"/>
              <w:jc w:val="center"/>
              <w:rPr>
                <w:color w:val="000000"/>
                <w:sz w:val="16"/>
                <w:szCs w:val="16"/>
              </w:rPr>
            </w:pPr>
          </w:p>
        </w:tc>
        <w:tc>
          <w:tcPr>
            <w:tcW w:w="967" w:type="pct"/>
            <w:noWrap/>
            <w:vAlign w:val="center"/>
          </w:tcPr>
          <w:p>
            <w:pPr>
              <w:widowControl/>
              <w:spacing w:line="200" w:lineRule="exact"/>
              <w:jc w:val="left"/>
              <w:textAlignment w:val="center"/>
              <w:rPr>
                <w:color w:val="000000"/>
                <w:sz w:val="16"/>
                <w:szCs w:val="16"/>
              </w:rPr>
            </w:pPr>
            <w:r>
              <w:rPr>
                <w:rStyle w:val="38"/>
                <w:rFonts w:hint="default" w:ascii="Times New Roman" w:hAnsi="Times New Roman" w:cs="Times New Roman"/>
              </w:rPr>
              <w:t>其中：中央、省补助</w:t>
            </w:r>
          </w:p>
        </w:tc>
        <w:tc>
          <w:tcPr>
            <w:tcW w:w="680" w:type="pct"/>
            <w:noWrap/>
            <w:vAlign w:val="center"/>
          </w:tcPr>
          <w:p>
            <w:pPr>
              <w:widowControl/>
              <w:spacing w:line="200" w:lineRule="exact"/>
              <w:jc w:val="center"/>
              <w:rPr>
                <w:color w:val="000000"/>
                <w:sz w:val="16"/>
                <w:szCs w:val="16"/>
              </w:rPr>
            </w:pPr>
          </w:p>
        </w:tc>
        <w:tc>
          <w:tcPr>
            <w:tcW w:w="1109" w:type="pct"/>
            <w:gridSpan w:val="2"/>
            <w:noWrap/>
            <w:vAlign w:val="center"/>
          </w:tcPr>
          <w:p>
            <w:pPr>
              <w:widowControl/>
              <w:spacing w:line="200" w:lineRule="exact"/>
              <w:jc w:val="center"/>
              <w:rPr>
                <w:color w:val="000000"/>
                <w:sz w:val="16"/>
                <w:szCs w:val="16"/>
              </w:rPr>
            </w:pPr>
          </w:p>
        </w:tc>
        <w:tc>
          <w:tcPr>
            <w:tcW w:w="995" w:type="pct"/>
            <w:noWrap/>
            <w:vAlign w:val="center"/>
          </w:tcPr>
          <w:p>
            <w:pPr>
              <w:widowControl/>
              <w:spacing w:line="200" w:lineRule="exact"/>
              <w:jc w:val="left"/>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6" w:type="pct"/>
            <w:gridSpan w:val="3"/>
            <w:vMerge w:val="continue"/>
            <w:noWrap/>
            <w:vAlign w:val="center"/>
          </w:tcPr>
          <w:p>
            <w:pPr>
              <w:widowControl/>
              <w:spacing w:line="200" w:lineRule="exact"/>
              <w:jc w:val="center"/>
              <w:rPr>
                <w:color w:val="000000"/>
                <w:sz w:val="16"/>
                <w:szCs w:val="16"/>
              </w:rPr>
            </w:pPr>
          </w:p>
        </w:tc>
        <w:tc>
          <w:tcPr>
            <w:tcW w:w="967" w:type="pct"/>
            <w:noWrap/>
            <w:vAlign w:val="center"/>
          </w:tcPr>
          <w:p>
            <w:pPr>
              <w:widowControl/>
              <w:spacing w:line="200" w:lineRule="exact"/>
              <w:jc w:val="left"/>
              <w:textAlignment w:val="center"/>
              <w:rPr>
                <w:color w:val="000000"/>
                <w:sz w:val="16"/>
                <w:szCs w:val="16"/>
              </w:rPr>
            </w:pPr>
            <w:r>
              <w:rPr>
                <w:rStyle w:val="38"/>
                <w:rFonts w:hint="default" w:ascii="Times New Roman" w:hAnsi="Times New Roman" w:cs="Times New Roman"/>
              </w:rPr>
              <w:t xml:space="preserve">      市级财政资</w:t>
            </w:r>
          </w:p>
        </w:tc>
        <w:tc>
          <w:tcPr>
            <w:tcW w:w="680" w:type="pct"/>
            <w:noWrap/>
            <w:vAlign w:val="center"/>
          </w:tcPr>
          <w:p>
            <w:pPr>
              <w:widowControl/>
              <w:spacing w:line="200" w:lineRule="exact"/>
              <w:jc w:val="center"/>
              <w:rPr>
                <w:color w:val="000000"/>
                <w:sz w:val="16"/>
                <w:szCs w:val="16"/>
              </w:rPr>
            </w:pPr>
          </w:p>
        </w:tc>
        <w:tc>
          <w:tcPr>
            <w:tcW w:w="1109" w:type="pct"/>
            <w:gridSpan w:val="2"/>
            <w:noWrap/>
            <w:vAlign w:val="center"/>
          </w:tcPr>
          <w:p>
            <w:pPr>
              <w:widowControl/>
              <w:spacing w:line="200" w:lineRule="exact"/>
              <w:jc w:val="center"/>
              <w:rPr>
                <w:color w:val="000000"/>
                <w:sz w:val="16"/>
                <w:szCs w:val="16"/>
              </w:rPr>
            </w:pPr>
          </w:p>
        </w:tc>
        <w:tc>
          <w:tcPr>
            <w:tcW w:w="995" w:type="pct"/>
            <w:noWrap/>
            <w:vAlign w:val="center"/>
          </w:tcPr>
          <w:p>
            <w:pPr>
              <w:widowControl/>
              <w:spacing w:line="200" w:lineRule="exact"/>
              <w:jc w:val="left"/>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6" w:type="pct"/>
            <w:gridSpan w:val="3"/>
            <w:vMerge w:val="continue"/>
            <w:noWrap/>
            <w:vAlign w:val="center"/>
          </w:tcPr>
          <w:p>
            <w:pPr>
              <w:widowControl/>
              <w:spacing w:line="200" w:lineRule="exact"/>
              <w:jc w:val="center"/>
              <w:rPr>
                <w:color w:val="000000"/>
                <w:sz w:val="16"/>
                <w:szCs w:val="16"/>
              </w:rPr>
            </w:pPr>
          </w:p>
        </w:tc>
        <w:tc>
          <w:tcPr>
            <w:tcW w:w="967" w:type="pct"/>
            <w:noWrap/>
            <w:vAlign w:val="center"/>
          </w:tcPr>
          <w:p>
            <w:pPr>
              <w:widowControl/>
              <w:spacing w:line="200" w:lineRule="exact"/>
              <w:jc w:val="left"/>
              <w:textAlignment w:val="center"/>
              <w:rPr>
                <w:color w:val="000000"/>
                <w:sz w:val="16"/>
                <w:szCs w:val="16"/>
              </w:rPr>
            </w:pPr>
            <w:r>
              <w:rPr>
                <w:color w:val="000000"/>
                <w:kern w:val="0"/>
                <w:sz w:val="16"/>
                <w:szCs w:val="16"/>
              </w:rPr>
              <w:t xml:space="preserve">       县级财政资</w:t>
            </w:r>
            <w:r>
              <w:rPr>
                <w:rFonts w:hint="eastAsia"/>
                <w:color w:val="000000"/>
                <w:kern w:val="0"/>
                <w:sz w:val="16"/>
                <w:szCs w:val="16"/>
              </w:rPr>
              <w:t>金</w:t>
            </w:r>
          </w:p>
        </w:tc>
        <w:tc>
          <w:tcPr>
            <w:tcW w:w="680" w:type="pct"/>
            <w:noWrap/>
            <w:vAlign w:val="center"/>
          </w:tcPr>
          <w:p>
            <w:pPr>
              <w:widowControl/>
              <w:spacing w:line="200" w:lineRule="exact"/>
              <w:jc w:val="center"/>
              <w:rPr>
                <w:color w:val="000000"/>
                <w:sz w:val="16"/>
                <w:szCs w:val="16"/>
              </w:rPr>
            </w:pPr>
            <w:r>
              <w:rPr>
                <w:rFonts w:hint="eastAsia"/>
                <w:color w:val="000000"/>
                <w:sz w:val="16"/>
                <w:szCs w:val="16"/>
              </w:rPr>
              <w:t>20000</w:t>
            </w:r>
          </w:p>
        </w:tc>
        <w:tc>
          <w:tcPr>
            <w:tcW w:w="1109" w:type="pct"/>
            <w:gridSpan w:val="2"/>
            <w:noWrap/>
            <w:vAlign w:val="center"/>
          </w:tcPr>
          <w:p>
            <w:pPr>
              <w:widowControl/>
              <w:spacing w:line="200" w:lineRule="exact"/>
              <w:jc w:val="center"/>
              <w:rPr>
                <w:color w:val="000000"/>
                <w:sz w:val="16"/>
                <w:szCs w:val="16"/>
              </w:rPr>
            </w:pPr>
            <w:r>
              <w:rPr>
                <w:rFonts w:hint="eastAsia"/>
                <w:color w:val="000000"/>
                <w:sz w:val="16"/>
                <w:szCs w:val="16"/>
              </w:rPr>
              <w:t>20000</w:t>
            </w:r>
          </w:p>
        </w:tc>
        <w:tc>
          <w:tcPr>
            <w:tcW w:w="995" w:type="pct"/>
            <w:noWrap/>
            <w:vAlign w:val="center"/>
          </w:tcPr>
          <w:p>
            <w:pPr>
              <w:widowControl/>
              <w:spacing w:line="200" w:lineRule="exact"/>
              <w:jc w:val="left"/>
              <w:rPr>
                <w:color w:val="000000"/>
                <w:sz w:val="16"/>
                <w:szCs w:val="16"/>
              </w:rPr>
            </w:pPr>
            <w:r>
              <w:rPr>
                <w:rFonts w:hint="eastAsia"/>
                <w:color w:val="000000"/>
                <w:sz w:val="16"/>
                <w:szCs w:val="16"/>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3" w:hRule="atLeast"/>
          <w:jc w:val="center"/>
        </w:trPr>
        <w:tc>
          <w:tcPr>
            <w:tcW w:w="1246" w:type="pct"/>
            <w:gridSpan w:val="3"/>
            <w:vMerge w:val="continue"/>
            <w:noWrap/>
            <w:vAlign w:val="center"/>
          </w:tcPr>
          <w:p>
            <w:pPr>
              <w:widowControl/>
              <w:spacing w:line="200" w:lineRule="exact"/>
              <w:jc w:val="center"/>
              <w:rPr>
                <w:color w:val="000000"/>
                <w:sz w:val="16"/>
                <w:szCs w:val="16"/>
              </w:rPr>
            </w:pPr>
          </w:p>
        </w:tc>
        <w:tc>
          <w:tcPr>
            <w:tcW w:w="967" w:type="pct"/>
            <w:noWrap/>
            <w:vAlign w:val="center"/>
          </w:tcPr>
          <w:p>
            <w:pPr>
              <w:widowControl/>
              <w:spacing w:line="200" w:lineRule="exact"/>
              <w:jc w:val="left"/>
              <w:textAlignment w:val="center"/>
              <w:rPr>
                <w:color w:val="000000"/>
                <w:sz w:val="16"/>
                <w:szCs w:val="16"/>
              </w:rPr>
            </w:pPr>
            <w:r>
              <w:rPr>
                <w:rStyle w:val="38"/>
                <w:rFonts w:hint="default" w:ascii="Times New Roman" w:hAnsi="Times New Roman" w:cs="Times New Roman"/>
              </w:rPr>
              <w:t xml:space="preserve"> 其他资金</w:t>
            </w:r>
          </w:p>
        </w:tc>
        <w:tc>
          <w:tcPr>
            <w:tcW w:w="680" w:type="pct"/>
            <w:noWrap/>
            <w:vAlign w:val="center"/>
          </w:tcPr>
          <w:p>
            <w:pPr>
              <w:widowControl/>
              <w:spacing w:line="200" w:lineRule="exact"/>
              <w:jc w:val="center"/>
              <w:rPr>
                <w:color w:val="000000"/>
                <w:sz w:val="16"/>
                <w:szCs w:val="16"/>
              </w:rPr>
            </w:pPr>
          </w:p>
        </w:tc>
        <w:tc>
          <w:tcPr>
            <w:tcW w:w="1109" w:type="pct"/>
            <w:gridSpan w:val="2"/>
            <w:noWrap/>
            <w:vAlign w:val="center"/>
          </w:tcPr>
          <w:p>
            <w:pPr>
              <w:widowControl/>
              <w:spacing w:line="200" w:lineRule="exact"/>
              <w:jc w:val="center"/>
              <w:rPr>
                <w:color w:val="000000"/>
                <w:sz w:val="16"/>
                <w:szCs w:val="16"/>
              </w:rPr>
            </w:pPr>
          </w:p>
        </w:tc>
        <w:tc>
          <w:tcPr>
            <w:tcW w:w="995" w:type="pct"/>
            <w:noWrap/>
            <w:vAlign w:val="center"/>
          </w:tcPr>
          <w:p>
            <w:pPr>
              <w:widowControl/>
              <w:spacing w:line="200" w:lineRule="exact"/>
              <w:jc w:val="left"/>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restart"/>
            <w:noWrap/>
            <w:vAlign w:val="center"/>
          </w:tcPr>
          <w:p>
            <w:pPr>
              <w:widowControl/>
              <w:spacing w:line="180" w:lineRule="exact"/>
              <w:jc w:val="center"/>
              <w:textAlignment w:val="center"/>
              <w:rPr>
                <w:color w:val="000000"/>
                <w:sz w:val="16"/>
                <w:szCs w:val="16"/>
              </w:rPr>
            </w:pPr>
            <w:r>
              <w:rPr>
                <w:color w:val="000000"/>
                <w:kern w:val="0"/>
                <w:sz w:val="16"/>
                <w:szCs w:val="16"/>
              </w:rPr>
              <w:t>总体目标完成情况</w:t>
            </w:r>
          </w:p>
        </w:tc>
        <w:tc>
          <w:tcPr>
            <w:tcW w:w="2448" w:type="pct"/>
            <w:gridSpan w:val="4"/>
            <w:noWrap/>
            <w:vAlign w:val="center"/>
          </w:tcPr>
          <w:p>
            <w:pPr>
              <w:widowControl/>
              <w:spacing w:line="200" w:lineRule="exact"/>
              <w:jc w:val="center"/>
              <w:textAlignment w:val="center"/>
              <w:rPr>
                <w:color w:val="000000"/>
                <w:sz w:val="16"/>
                <w:szCs w:val="16"/>
              </w:rPr>
            </w:pPr>
            <w:r>
              <w:rPr>
                <w:color w:val="000000"/>
                <w:kern w:val="0"/>
                <w:sz w:val="16"/>
                <w:szCs w:val="16"/>
              </w:rPr>
              <w:t>总体目标</w:t>
            </w:r>
          </w:p>
        </w:tc>
        <w:tc>
          <w:tcPr>
            <w:tcW w:w="2105" w:type="pct"/>
            <w:gridSpan w:val="3"/>
            <w:noWrap/>
            <w:vAlign w:val="center"/>
          </w:tcPr>
          <w:p>
            <w:pPr>
              <w:widowControl/>
              <w:spacing w:line="200" w:lineRule="exact"/>
              <w:jc w:val="center"/>
              <w:textAlignment w:val="center"/>
              <w:rPr>
                <w:color w:val="000000"/>
                <w:sz w:val="16"/>
                <w:szCs w:val="16"/>
              </w:rPr>
            </w:pPr>
            <w:r>
              <w:rPr>
                <w:color w:val="000000"/>
                <w:kern w:val="0"/>
                <w:sz w:val="16"/>
                <w:szCs w:val="16"/>
              </w:rPr>
              <w:t>全年实际完成情况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jc w:val="center"/>
        </w:trPr>
        <w:tc>
          <w:tcPr>
            <w:tcW w:w="445" w:type="pct"/>
            <w:vMerge w:val="continue"/>
            <w:noWrap/>
            <w:vAlign w:val="center"/>
          </w:tcPr>
          <w:p>
            <w:pPr>
              <w:widowControl/>
              <w:spacing w:line="200" w:lineRule="exact"/>
              <w:jc w:val="center"/>
              <w:rPr>
                <w:color w:val="000000"/>
                <w:sz w:val="16"/>
                <w:szCs w:val="16"/>
              </w:rPr>
            </w:pPr>
          </w:p>
        </w:tc>
        <w:tc>
          <w:tcPr>
            <w:tcW w:w="2448" w:type="pct"/>
            <w:gridSpan w:val="4"/>
            <w:noWrap/>
            <w:vAlign w:val="center"/>
          </w:tcPr>
          <w:p>
            <w:pPr>
              <w:widowControl/>
              <w:spacing w:line="200" w:lineRule="exact"/>
              <w:jc w:val="left"/>
              <w:rPr>
                <w:color w:val="000000"/>
                <w:sz w:val="10"/>
                <w:szCs w:val="10"/>
              </w:rPr>
            </w:pPr>
            <w:r>
              <w:rPr>
                <w:rFonts w:hint="eastAsia" w:eastAsia="楷体_GB2312"/>
                <w:sz w:val="15"/>
                <w:szCs w:val="15"/>
              </w:rPr>
              <w:t>13个乡镇的便民服务中心网上政务服务能力提升宣传及培训</w:t>
            </w:r>
          </w:p>
        </w:tc>
        <w:tc>
          <w:tcPr>
            <w:tcW w:w="2105" w:type="pct"/>
            <w:gridSpan w:val="3"/>
            <w:noWrap/>
            <w:vAlign w:val="center"/>
          </w:tcPr>
          <w:p>
            <w:pPr>
              <w:widowControl/>
              <w:spacing w:line="200" w:lineRule="exact"/>
              <w:jc w:val="left"/>
              <w:rPr>
                <w:color w:val="000000"/>
                <w:sz w:val="16"/>
                <w:szCs w:val="16"/>
              </w:rPr>
            </w:pPr>
            <w:r>
              <w:rPr>
                <w:rFonts w:hint="eastAsia" w:eastAsia="楷体_GB2312"/>
                <w:sz w:val="15"/>
                <w:szCs w:val="15"/>
              </w:rPr>
              <w:t>完成13个乡镇的便民服务中心网上政务服务宣传及培训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restart"/>
            <w:noWrap/>
            <w:textDirection w:val="tbRlV"/>
            <w:vAlign w:val="center"/>
          </w:tcPr>
          <w:p>
            <w:pPr>
              <w:widowControl/>
              <w:spacing w:line="200" w:lineRule="exact"/>
              <w:jc w:val="center"/>
              <w:textAlignment w:val="center"/>
              <w:rPr>
                <w:color w:val="000000"/>
                <w:sz w:val="16"/>
                <w:szCs w:val="16"/>
              </w:rPr>
            </w:pPr>
            <w:r>
              <w:rPr>
                <w:color w:val="000000"/>
                <w:kern w:val="0"/>
                <w:sz w:val="16"/>
                <w:szCs w:val="16"/>
              </w:rPr>
              <w:t>绩效指标</w:t>
            </w:r>
          </w:p>
        </w:tc>
        <w:tc>
          <w:tcPr>
            <w:tcW w:w="293" w:type="pct"/>
            <w:noWrap/>
            <w:vAlign w:val="center"/>
          </w:tcPr>
          <w:p>
            <w:pPr>
              <w:widowControl/>
              <w:spacing w:line="180" w:lineRule="exact"/>
              <w:jc w:val="center"/>
              <w:textAlignment w:val="center"/>
              <w:rPr>
                <w:color w:val="000000"/>
                <w:sz w:val="16"/>
                <w:szCs w:val="16"/>
              </w:rPr>
            </w:pPr>
            <w:r>
              <w:rPr>
                <w:color w:val="000000"/>
                <w:kern w:val="0"/>
                <w:sz w:val="16"/>
                <w:szCs w:val="16"/>
              </w:rPr>
              <w:t>一级</w:t>
            </w:r>
            <w:r>
              <w:rPr>
                <w:color w:val="000000"/>
                <w:kern w:val="0"/>
                <w:sz w:val="16"/>
                <w:szCs w:val="16"/>
              </w:rPr>
              <w:br w:type="textWrapping"/>
            </w:r>
            <w:r>
              <w:rPr>
                <w:color w:val="000000"/>
                <w:kern w:val="0"/>
                <w:sz w:val="16"/>
                <w:szCs w:val="16"/>
              </w:rPr>
              <w:t>指标</w:t>
            </w:r>
          </w:p>
        </w:tc>
        <w:tc>
          <w:tcPr>
            <w:tcW w:w="506" w:type="pct"/>
            <w:noWrap/>
            <w:vAlign w:val="center"/>
          </w:tcPr>
          <w:p>
            <w:pPr>
              <w:widowControl/>
              <w:spacing w:line="200" w:lineRule="exact"/>
              <w:jc w:val="center"/>
              <w:textAlignment w:val="center"/>
              <w:rPr>
                <w:color w:val="000000"/>
                <w:sz w:val="16"/>
                <w:szCs w:val="16"/>
              </w:rPr>
            </w:pPr>
            <w:r>
              <w:rPr>
                <w:color w:val="000000"/>
                <w:kern w:val="0"/>
                <w:sz w:val="16"/>
                <w:szCs w:val="16"/>
              </w:rPr>
              <w:t>二级指标</w:t>
            </w:r>
          </w:p>
        </w:tc>
        <w:tc>
          <w:tcPr>
            <w:tcW w:w="1648" w:type="pct"/>
            <w:gridSpan w:val="2"/>
            <w:noWrap/>
            <w:vAlign w:val="center"/>
          </w:tcPr>
          <w:p>
            <w:pPr>
              <w:widowControl/>
              <w:spacing w:line="200" w:lineRule="exact"/>
              <w:jc w:val="center"/>
              <w:textAlignment w:val="center"/>
              <w:rPr>
                <w:color w:val="000000"/>
                <w:sz w:val="16"/>
                <w:szCs w:val="16"/>
              </w:rPr>
            </w:pPr>
            <w:r>
              <w:rPr>
                <w:color w:val="000000"/>
                <w:kern w:val="0"/>
                <w:sz w:val="16"/>
                <w:szCs w:val="16"/>
              </w:rPr>
              <w:t>三级指标</w:t>
            </w:r>
          </w:p>
        </w:tc>
        <w:tc>
          <w:tcPr>
            <w:tcW w:w="625" w:type="pct"/>
            <w:noWrap/>
            <w:vAlign w:val="center"/>
          </w:tcPr>
          <w:p>
            <w:pPr>
              <w:widowControl/>
              <w:spacing w:line="200" w:lineRule="exact"/>
              <w:jc w:val="center"/>
              <w:textAlignment w:val="center"/>
              <w:rPr>
                <w:color w:val="000000"/>
                <w:sz w:val="16"/>
                <w:szCs w:val="16"/>
              </w:rPr>
            </w:pPr>
            <w:r>
              <w:rPr>
                <w:color w:val="000000"/>
                <w:kern w:val="0"/>
                <w:sz w:val="16"/>
                <w:szCs w:val="16"/>
              </w:rPr>
              <w:t>指标值</w:t>
            </w:r>
          </w:p>
        </w:tc>
        <w:tc>
          <w:tcPr>
            <w:tcW w:w="483" w:type="pct"/>
            <w:noWrap/>
            <w:vAlign w:val="center"/>
          </w:tcPr>
          <w:p>
            <w:pPr>
              <w:widowControl/>
              <w:spacing w:line="200" w:lineRule="exact"/>
              <w:jc w:val="center"/>
              <w:textAlignment w:val="center"/>
              <w:rPr>
                <w:color w:val="000000"/>
                <w:sz w:val="16"/>
                <w:szCs w:val="16"/>
              </w:rPr>
            </w:pPr>
            <w:r>
              <w:rPr>
                <w:color w:val="000000"/>
                <w:kern w:val="0"/>
                <w:sz w:val="16"/>
                <w:szCs w:val="16"/>
              </w:rPr>
              <w:t>全年实际完成值</w:t>
            </w:r>
          </w:p>
        </w:tc>
        <w:tc>
          <w:tcPr>
            <w:tcW w:w="995" w:type="pct"/>
            <w:noWrap/>
            <w:vAlign w:val="center"/>
          </w:tcPr>
          <w:p>
            <w:pPr>
              <w:widowControl/>
              <w:spacing w:line="200" w:lineRule="exact"/>
              <w:jc w:val="center"/>
              <w:textAlignment w:val="center"/>
              <w:rPr>
                <w:color w:val="000000"/>
                <w:sz w:val="16"/>
                <w:szCs w:val="16"/>
              </w:rPr>
            </w:pPr>
            <w:r>
              <w:rPr>
                <w:color w:val="000000"/>
                <w:kern w:val="0"/>
                <w:sz w:val="16"/>
                <w:szCs w:val="16"/>
              </w:rPr>
              <w:t>未完成原因和改进措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restart"/>
            <w:noWrap/>
            <w:vAlign w:val="center"/>
          </w:tcPr>
          <w:p>
            <w:pPr>
              <w:widowControl/>
              <w:spacing w:line="200" w:lineRule="exact"/>
              <w:jc w:val="center"/>
              <w:textAlignment w:val="center"/>
              <w:rPr>
                <w:color w:val="000000"/>
                <w:sz w:val="16"/>
                <w:szCs w:val="16"/>
              </w:rPr>
            </w:pPr>
            <w:r>
              <w:rPr>
                <w:color w:val="000000"/>
                <w:kern w:val="0"/>
                <w:sz w:val="16"/>
                <w:szCs w:val="16"/>
              </w:rPr>
              <w:t>产</w:t>
            </w:r>
            <w:r>
              <w:rPr>
                <w:color w:val="000000"/>
                <w:kern w:val="0"/>
                <w:sz w:val="16"/>
                <w:szCs w:val="16"/>
              </w:rPr>
              <w:br w:type="textWrapping"/>
            </w:r>
            <w:r>
              <w:rPr>
                <w:color w:val="000000"/>
                <w:kern w:val="0"/>
                <w:sz w:val="16"/>
                <w:szCs w:val="16"/>
              </w:rPr>
              <w:t>出</w:t>
            </w:r>
            <w:r>
              <w:rPr>
                <w:color w:val="000000"/>
                <w:kern w:val="0"/>
                <w:sz w:val="16"/>
                <w:szCs w:val="16"/>
              </w:rPr>
              <w:br w:type="textWrapping"/>
            </w:r>
            <w:r>
              <w:rPr>
                <w:color w:val="000000"/>
                <w:kern w:val="0"/>
                <w:sz w:val="16"/>
                <w:szCs w:val="16"/>
              </w:rPr>
              <w:t>指</w:t>
            </w:r>
            <w:r>
              <w:rPr>
                <w:color w:val="000000"/>
                <w:kern w:val="0"/>
                <w:sz w:val="16"/>
                <w:szCs w:val="16"/>
              </w:rPr>
              <w:br w:type="textWrapping"/>
            </w:r>
            <w:r>
              <w:rPr>
                <w:color w:val="000000"/>
                <w:kern w:val="0"/>
                <w:sz w:val="16"/>
                <w:szCs w:val="16"/>
              </w:rPr>
              <w:t>标</w:t>
            </w:r>
          </w:p>
        </w:tc>
        <w:tc>
          <w:tcPr>
            <w:tcW w:w="506" w:type="pct"/>
            <w:vMerge w:val="restart"/>
            <w:noWrap/>
            <w:vAlign w:val="center"/>
          </w:tcPr>
          <w:p>
            <w:pPr>
              <w:widowControl/>
              <w:spacing w:line="200" w:lineRule="exact"/>
              <w:jc w:val="center"/>
              <w:textAlignment w:val="center"/>
              <w:rPr>
                <w:color w:val="000000"/>
                <w:sz w:val="16"/>
                <w:szCs w:val="16"/>
              </w:rPr>
            </w:pPr>
            <w:r>
              <w:rPr>
                <w:color w:val="000000"/>
                <w:kern w:val="0"/>
                <w:sz w:val="16"/>
                <w:szCs w:val="16"/>
              </w:rPr>
              <w:t>数量指标</w:t>
            </w:r>
          </w:p>
        </w:tc>
        <w:tc>
          <w:tcPr>
            <w:tcW w:w="1648" w:type="pct"/>
            <w:gridSpan w:val="2"/>
            <w:noWrap/>
            <w:vAlign w:val="center"/>
          </w:tcPr>
          <w:p>
            <w:pPr>
              <w:widowControl/>
              <w:spacing w:line="200" w:lineRule="exact"/>
              <w:jc w:val="center"/>
              <w:rPr>
                <w:color w:val="000000"/>
                <w:sz w:val="16"/>
                <w:szCs w:val="16"/>
              </w:rPr>
            </w:pPr>
            <w:r>
              <w:rPr>
                <w:rFonts w:hint="eastAsia"/>
                <w:color w:val="000000"/>
                <w:sz w:val="16"/>
                <w:szCs w:val="16"/>
              </w:rPr>
              <w:t>评估报告数量</w:t>
            </w:r>
          </w:p>
        </w:tc>
        <w:tc>
          <w:tcPr>
            <w:tcW w:w="625" w:type="pct"/>
            <w:noWrap/>
            <w:vAlign w:val="center"/>
          </w:tcPr>
          <w:p>
            <w:pPr>
              <w:widowControl/>
              <w:spacing w:line="200" w:lineRule="exact"/>
              <w:jc w:val="center"/>
              <w:rPr>
                <w:color w:val="000000"/>
                <w:sz w:val="16"/>
                <w:szCs w:val="16"/>
              </w:rPr>
            </w:pPr>
            <w:r>
              <w:rPr>
                <w:rFonts w:hint="eastAsia"/>
                <w:color w:val="000000"/>
                <w:sz w:val="16"/>
                <w:szCs w:val="16"/>
              </w:rPr>
              <w:t>19</w:t>
            </w:r>
          </w:p>
        </w:tc>
        <w:tc>
          <w:tcPr>
            <w:tcW w:w="483" w:type="pct"/>
            <w:noWrap/>
            <w:vAlign w:val="center"/>
          </w:tcPr>
          <w:p>
            <w:pPr>
              <w:widowControl/>
              <w:spacing w:line="200" w:lineRule="exact"/>
              <w:rPr>
                <w:color w:val="000000"/>
                <w:sz w:val="16"/>
                <w:szCs w:val="16"/>
              </w:rPr>
            </w:pPr>
            <w:r>
              <w:rPr>
                <w:rFonts w:hint="eastAsia"/>
                <w:color w:val="000000"/>
                <w:sz w:val="16"/>
                <w:szCs w:val="16"/>
              </w:rPr>
              <w:t>19</w:t>
            </w: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vMerge w:val="continue"/>
            <w:noWrap/>
            <w:vAlign w:val="center"/>
          </w:tcPr>
          <w:p>
            <w:pPr>
              <w:widowControl/>
              <w:spacing w:line="200" w:lineRule="exact"/>
              <w:jc w:val="center"/>
              <w:rPr>
                <w:color w:val="000000"/>
                <w:sz w:val="16"/>
                <w:szCs w:val="16"/>
              </w:rPr>
            </w:pPr>
          </w:p>
        </w:tc>
        <w:tc>
          <w:tcPr>
            <w:tcW w:w="1648" w:type="pct"/>
            <w:gridSpan w:val="2"/>
            <w:noWrap/>
            <w:vAlign w:val="center"/>
          </w:tcPr>
          <w:p>
            <w:pPr>
              <w:widowControl/>
              <w:spacing w:line="200" w:lineRule="exact"/>
              <w:jc w:val="center"/>
              <w:rPr>
                <w:color w:val="000000"/>
                <w:sz w:val="16"/>
                <w:szCs w:val="16"/>
              </w:rPr>
            </w:pPr>
          </w:p>
        </w:tc>
        <w:tc>
          <w:tcPr>
            <w:tcW w:w="625" w:type="pct"/>
            <w:noWrap/>
            <w:vAlign w:val="center"/>
          </w:tcPr>
          <w:p>
            <w:pPr>
              <w:widowControl/>
              <w:spacing w:line="200" w:lineRule="exact"/>
              <w:jc w:val="center"/>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vMerge w:val="restart"/>
            <w:noWrap/>
            <w:vAlign w:val="center"/>
          </w:tcPr>
          <w:p>
            <w:pPr>
              <w:widowControl/>
              <w:spacing w:line="200" w:lineRule="exact"/>
              <w:jc w:val="center"/>
              <w:textAlignment w:val="center"/>
              <w:rPr>
                <w:color w:val="000000"/>
                <w:sz w:val="16"/>
                <w:szCs w:val="16"/>
              </w:rPr>
            </w:pPr>
            <w:r>
              <w:rPr>
                <w:color w:val="000000"/>
                <w:kern w:val="0"/>
                <w:sz w:val="16"/>
                <w:szCs w:val="16"/>
              </w:rPr>
              <w:t>质量指标</w:t>
            </w:r>
          </w:p>
        </w:tc>
        <w:tc>
          <w:tcPr>
            <w:tcW w:w="1648" w:type="pct"/>
            <w:gridSpan w:val="2"/>
            <w:noWrap/>
            <w:vAlign w:val="center"/>
          </w:tcPr>
          <w:p>
            <w:pPr>
              <w:widowControl/>
              <w:spacing w:line="200" w:lineRule="exact"/>
              <w:jc w:val="center"/>
              <w:rPr>
                <w:color w:val="000000"/>
                <w:sz w:val="16"/>
                <w:szCs w:val="16"/>
              </w:rPr>
            </w:pPr>
            <w:r>
              <w:rPr>
                <w:rFonts w:hint="eastAsia"/>
                <w:color w:val="000000"/>
                <w:sz w:val="16"/>
                <w:szCs w:val="16"/>
              </w:rPr>
              <w:t>给据类群众来信签收核对率</w:t>
            </w:r>
          </w:p>
        </w:tc>
        <w:tc>
          <w:tcPr>
            <w:tcW w:w="625" w:type="pct"/>
            <w:noWrap/>
            <w:vAlign w:val="center"/>
          </w:tcPr>
          <w:p>
            <w:pPr>
              <w:widowControl/>
              <w:spacing w:line="200" w:lineRule="exact"/>
              <w:jc w:val="center"/>
              <w:rPr>
                <w:color w:val="000000"/>
                <w:sz w:val="16"/>
                <w:szCs w:val="16"/>
              </w:rPr>
            </w:pPr>
            <w:r>
              <w:rPr>
                <w:rFonts w:hint="eastAsia"/>
                <w:color w:val="000000"/>
                <w:sz w:val="16"/>
                <w:szCs w:val="16"/>
              </w:rPr>
              <w:t>77</w:t>
            </w:r>
          </w:p>
        </w:tc>
        <w:tc>
          <w:tcPr>
            <w:tcW w:w="483" w:type="pct"/>
            <w:noWrap/>
            <w:vAlign w:val="center"/>
          </w:tcPr>
          <w:p>
            <w:pPr>
              <w:widowControl/>
              <w:spacing w:line="200" w:lineRule="exact"/>
              <w:rPr>
                <w:color w:val="000000"/>
                <w:sz w:val="16"/>
                <w:szCs w:val="16"/>
              </w:rPr>
            </w:pPr>
            <w:r>
              <w:rPr>
                <w:rFonts w:hint="eastAsia"/>
                <w:color w:val="000000"/>
                <w:sz w:val="16"/>
                <w:szCs w:val="16"/>
              </w:rPr>
              <w:t>77</w:t>
            </w: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vMerge w:val="continue"/>
            <w:noWrap/>
            <w:vAlign w:val="center"/>
          </w:tcPr>
          <w:p>
            <w:pPr>
              <w:widowControl/>
              <w:spacing w:line="200" w:lineRule="exact"/>
              <w:jc w:val="center"/>
              <w:rPr>
                <w:color w:val="000000"/>
                <w:sz w:val="16"/>
                <w:szCs w:val="16"/>
              </w:rPr>
            </w:pPr>
          </w:p>
        </w:tc>
        <w:tc>
          <w:tcPr>
            <w:tcW w:w="1648" w:type="pct"/>
            <w:gridSpan w:val="2"/>
            <w:noWrap/>
            <w:vAlign w:val="center"/>
          </w:tcPr>
          <w:p>
            <w:pPr>
              <w:widowControl/>
              <w:spacing w:line="200" w:lineRule="exact"/>
              <w:jc w:val="center"/>
              <w:rPr>
                <w:color w:val="000000"/>
                <w:sz w:val="16"/>
                <w:szCs w:val="16"/>
              </w:rPr>
            </w:pPr>
          </w:p>
        </w:tc>
        <w:tc>
          <w:tcPr>
            <w:tcW w:w="625" w:type="pct"/>
            <w:noWrap/>
            <w:vAlign w:val="center"/>
          </w:tcPr>
          <w:p>
            <w:pPr>
              <w:widowControl/>
              <w:spacing w:line="200" w:lineRule="exact"/>
              <w:jc w:val="center"/>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vMerge w:val="restart"/>
            <w:noWrap/>
            <w:vAlign w:val="center"/>
          </w:tcPr>
          <w:p>
            <w:pPr>
              <w:widowControl/>
              <w:spacing w:line="200" w:lineRule="exact"/>
              <w:jc w:val="center"/>
              <w:textAlignment w:val="center"/>
              <w:rPr>
                <w:color w:val="000000"/>
                <w:sz w:val="16"/>
                <w:szCs w:val="16"/>
              </w:rPr>
            </w:pPr>
            <w:r>
              <w:rPr>
                <w:color w:val="000000"/>
                <w:kern w:val="0"/>
                <w:sz w:val="16"/>
                <w:szCs w:val="16"/>
              </w:rPr>
              <w:t>时效指标</w:t>
            </w:r>
          </w:p>
        </w:tc>
        <w:tc>
          <w:tcPr>
            <w:tcW w:w="1648" w:type="pct"/>
            <w:gridSpan w:val="2"/>
            <w:noWrap/>
            <w:vAlign w:val="center"/>
          </w:tcPr>
          <w:p>
            <w:pPr>
              <w:widowControl/>
              <w:spacing w:line="200" w:lineRule="exact"/>
              <w:jc w:val="center"/>
              <w:rPr>
                <w:color w:val="000000"/>
                <w:sz w:val="16"/>
                <w:szCs w:val="16"/>
              </w:rPr>
            </w:pPr>
            <w:r>
              <w:rPr>
                <w:rFonts w:hint="eastAsia"/>
                <w:color w:val="000000"/>
                <w:sz w:val="16"/>
                <w:szCs w:val="16"/>
              </w:rPr>
              <w:t>评估报告按时完成率</w:t>
            </w:r>
          </w:p>
        </w:tc>
        <w:tc>
          <w:tcPr>
            <w:tcW w:w="625" w:type="pct"/>
            <w:noWrap/>
            <w:vAlign w:val="center"/>
          </w:tcPr>
          <w:p>
            <w:pPr>
              <w:widowControl/>
              <w:spacing w:line="200" w:lineRule="exact"/>
              <w:jc w:val="center"/>
              <w:rPr>
                <w:color w:val="000000"/>
                <w:sz w:val="16"/>
                <w:szCs w:val="16"/>
              </w:rPr>
            </w:pPr>
            <w:r>
              <w:rPr>
                <w:rFonts w:hint="eastAsia"/>
                <w:color w:val="000000"/>
                <w:sz w:val="16"/>
                <w:szCs w:val="16"/>
              </w:rPr>
              <w:t>40</w:t>
            </w:r>
          </w:p>
        </w:tc>
        <w:tc>
          <w:tcPr>
            <w:tcW w:w="483" w:type="pct"/>
            <w:noWrap/>
            <w:vAlign w:val="center"/>
          </w:tcPr>
          <w:p>
            <w:pPr>
              <w:widowControl/>
              <w:spacing w:line="200" w:lineRule="exact"/>
              <w:rPr>
                <w:color w:val="000000"/>
                <w:sz w:val="16"/>
                <w:szCs w:val="16"/>
              </w:rPr>
            </w:pPr>
            <w:r>
              <w:rPr>
                <w:rFonts w:hint="eastAsia"/>
                <w:color w:val="000000"/>
                <w:sz w:val="16"/>
                <w:szCs w:val="16"/>
              </w:rPr>
              <w:t>40</w:t>
            </w: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vMerge w:val="continue"/>
            <w:noWrap/>
            <w:vAlign w:val="center"/>
          </w:tcPr>
          <w:p>
            <w:pPr>
              <w:widowControl/>
              <w:spacing w:line="200" w:lineRule="exact"/>
              <w:jc w:val="center"/>
              <w:rPr>
                <w:color w:val="000000"/>
                <w:sz w:val="16"/>
                <w:szCs w:val="16"/>
              </w:rPr>
            </w:pPr>
          </w:p>
        </w:tc>
        <w:tc>
          <w:tcPr>
            <w:tcW w:w="1648" w:type="pct"/>
            <w:gridSpan w:val="2"/>
            <w:noWrap/>
            <w:vAlign w:val="center"/>
          </w:tcPr>
          <w:p>
            <w:pPr>
              <w:widowControl/>
              <w:spacing w:line="200" w:lineRule="exact"/>
              <w:jc w:val="center"/>
              <w:rPr>
                <w:color w:val="000000"/>
                <w:sz w:val="16"/>
                <w:szCs w:val="16"/>
              </w:rPr>
            </w:pPr>
          </w:p>
        </w:tc>
        <w:tc>
          <w:tcPr>
            <w:tcW w:w="625" w:type="pct"/>
            <w:noWrap/>
            <w:vAlign w:val="center"/>
          </w:tcPr>
          <w:p>
            <w:pPr>
              <w:widowControl/>
              <w:spacing w:line="200" w:lineRule="exact"/>
              <w:jc w:val="center"/>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vMerge w:val="restart"/>
            <w:noWrap/>
            <w:vAlign w:val="center"/>
          </w:tcPr>
          <w:p>
            <w:pPr>
              <w:widowControl/>
              <w:spacing w:line="200" w:lineRule="exact"/>
              <w:jc w:val="center"/>
              <w:textAlignment w:val="center"/>
              <w:rPr>
                <w:color w:val="000000"/>
                <w:sz w:val="16"/>
                <w:szCs w:val="16"/>
              </w:rPr>
            </w:pPr>
            <w:r>
              <w:rPr>
                <w:color w:val="000000"/>
                <w:kern w:val="0"/>
                <w:sz w:val="16"/>
                <w:szCs w:val="16"/>
              </w:rPr>
              <w:t>成本指标</w:t>
            </w:r>
          </w:p>
        </w:tc>
        <w:tc>
          <w:tcPr>
            <w:tcW w:w="1648" w:type="pct"/>
            <w:gridSpan w:val="2"/>
            <w:noWrap/>
            <w:vAlign w:val="center"/>
          </w:tcPr>
          <w:p>
            <w:pPr>
              <w:widowControl/>
              <w:spacing w:line="200" w:lineRule="exact"/>
              <w:jc w:val="center"/>
              <w:rPr>
                <w:color w:val="000000"/>
                <w:sz w:val="16"/>
                <w:szCs w:val="16"/>
              </w:rPr>
            </w:pPr>
          </w:p>
        </w:tc>
        <w:tc>
          <w:tcPr>
            <w:tcW w:w="625" w:type="pct"/>
            <w:noWrap/>
            <w:vAlign w:val="center"/>
          </w:tcPr>
          <w:p>
            <w:pPr>
              <w:widowControl/>
              <w:spacing w:line="200" w:lineRule="exact"/>
              <w:jc w:val="center"/>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vMerge w:val="continue"/>
            <w:noWrap/>
            <w:vAlign w:val="center"/>
          </w:tcPr>
          <w:p>
            <w:pPr>
              <w:widowControl/>
              <w:spacing w:line="200" w:lineRule="exact"/>
              <w:jc w:val="center"/>
              <w:rPr>
                <w:color w:val="000000"/>
                <w:sz w:val="16"/>
                <w:szCs w:val="16"/>
              </w:rPr>
            </w:pPr>
          </w:p>
        </w:tc>
        <w:tc>
          <w:tcPr>
            <w:tcW w:w="1648" w:type="pct"/>
            <w:gridSpan w:val="2"/>
            <w:noWrap/>
            <w:vAlign w:val="center"/>
          </w:tcPr>
          <w:p>
            <w:pPr>
              <w:widowControl/>
              <w:spacing w:line="200" w:lineRule="exact"/>
              <w:jc w:val="center"/>
              <w:rPr>
                <w:color w:val="000000"/>
                <w:sz w:val="16"/>
                <w:szCs w:val="16"/>
              </w:rPr>
            </w:pPr>
          </w:p>
        </w:tc>
        <w:tc>
          <w:tcPr>
            <w:tcW w:w="625" w:type="pct"/>
            <w:noWrap/>
            <w:vAlign w:val="center"/>
          </w:tcPr>
          <w:p>
            <w:pPr>
              <w:widowControl/>
              <w:spacing w:line="200" w:lineRule="exact"/>
              <w:jc w:val="center"/>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noWrap/>
            <w:vAlign w:val="center"/>
          </w:tcPr>
          <w:p>
            <w:pPr>
              <w:widowControl/>
              <w:spacing w:line="200" w:lineRule="exact"/>
              <w:jc w:val="center"/>
              <w:textAlignment w:val="center"/>
              <w:rPr>
                <w:color w:val="000000"/>
                <w:sz w:val="16"/>
                <w:szCs w:val="16"/>
              </w:rPr>
            </w:pPr>
            <w:r>
              <w:rPr>
                <w:color w:val="000000"/>
                <w:kern w:val="0"/>
                <w:sz w:val="16"/>
                <w:szCs w:val="16"/>
              </w:rPr>
              <w:t>……</w:t>
            </w:r>
          </w:p>
        </w:tc>
        <w:tc>
          <w:tcPr>
            <w:tcW w:w="1648" w:type="pct"/>
            <w:gridSpan w:val="2"/>
            <w:noWrap/>
            <w:vAlign w:val="center"/>
          </w:tcPr>
          <w:p>
            <w:pPr>
              <w:widowControl/>
              <w:spacing w:line="200" w:lineRule="exact"/>
              <w:jc w:val="center"/>
              <w:rPr>
                <w:color w:val="000000"/>
                <w:sz w:val="16"/>
                <w:szCs w:val="16"/>
              </w:rPr>
            </w:pPr>
          </w:p>
        </w:tc>
        <w:tc>
          <w:tcPr>
            <w:tcW w:w="625" w:type="pct"/>
            <w:noWrap/>
            <w:vAlign w:val="center"/>
          </w:tcPr>
          <w:p>
            <w:pPr>
              <w:widowControl/>
              <w:spacing w:line="200" w:lineRule="exact"/>
              <w:jc w:val="center"/>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restart"/>
            <w:noWrap/>
            <w:vAlign w:val="center"/>
          </w:tcPr>
          <w:p>
            <w:pPr>
              <w:widowControl/>
              <w:spacing w:line="200" w:lineRule="exact"/>
              <w:jc w:val="center"/>
              <w:textAlignment w:val="center"/>
              <w:rPr>
                <w:color w:val="000000"/>
                <w:sz w:val="16"/>
                <w:szCs w:val="16"/>
              </w:rPr>
            </w:pPr>
            <w:r>
              <w:rPr>
                <w:color w:val="000000"/>
                <w:kern w:val="0"/>
                <w:sz w:val="16"/>
                <w:szCs w:val="16"/>
              </w:rPr>
              <w:t>效</w:t>
            </w:r>
            <w:r>
              <w:rPr>
                <w:color w:val="000000"/>
                <w:kern w:val="0"/>
                <w:sz w:val="16"/>
                <w:szCs w:val="16"/>
              </w:rPr>
              <w:br w:type="textWrapping"/>
            </w:r>
            <w:r>
              <w:rPr>
                <w:color w:val="000000"/>
                <w:kern w:val="0"/>
                <w:sz w:val="16"/>
                <w:szCs w:val="16"/>
              </w:rPr>
              <w:t>益</w:t>
            </w:r>
            <w:r>
              <w:rPr>
                <w:color w:val="000000"/>
                <w:kern w:val="0"/>
                <w:sz w:val="16"/>
                <w:szCs w:val="16"/>
              </w:rPr>
              <w:br w:type="textWrapping"/>
            </w:r>
            <w:r>
              <w:rPr>
                <w:color w:val="000000"/>
                <w:kern w:val="0"/>
                <w:sz w:val="16"/>
                <w:szCs w:val="16"/>
              </w:rPr>
              <w:t>指</w:t>
            </w:r>
            <w:r>
              <w:rPr>
                <w:color w:val="000000"/>
                <w:kern w:val="0"/>
                <w:sz w:val="16"/>
                <w:szCs w:val="16"/>
              </w:rPr>
              <w:br w:type="textWrapping"/>
            </w:r>
            <w:r>
              <w:rPr>
                <w:color w:val="000000"/>
                <w:kern w:val="0"/>
                <w:sz w:val="16"/>
                <w:szCs w:val="16"/>
              </w:rPr>
              <w:t>标</w:t>
            </w:r>
          </w:p>
        </w:tc>
        <w:tc>
          <w:tcPr>
            <w:tcW w:w="506" w:type="pct"/>
            <w:vMerge w:val="restart"/>
            <w:noWrap/>
            <w:vAlign w:val="center"/>
          </w:tcPr>
          <w:p>
            <w:pPr>
              <w:widowControl/>
              <w:spacing w:line="200" w:lineRule="exact"/>
              <w:jc w:val="center"/>
              <w:textAlignment w:val="center"/>
              <w:rPr>
                <w:color w:val="000000"/>
                <w:sz w:val="16"/>
                <w:szCs w:val="16"/>
              </w:rPr>
            </w:pPr>
            <w:r>
              <w:rPr>
                <w:color w:val="000000"/>
                <w:kern w:val="0"/>
                <w:sz w:val="16"/>
                <w:szCs w:val="16"/>
              </w:rPr>
              <w:t>经济效益</w:t>
            </w:r>
            <w:r>
              <w:rPr>
                <w:color w:val="000000"/>
                <w:kern w:val="0"/>
                <w:sz w:val="16"/>
                <w:szCs w:val="16"/>
              </w:rPr>
              <w:br w:type="textWrapping"/>
            </w:r>
            <w:r>
              <w:rPr>
                <w:color w:val="000000"/>
                <w:kern w:val="0"/>
                <w:sz w:val="16"/>
                <w:szCs w:val="16"/>
              </w:rPr>
              <w:t>指标</w:t>
            </w:r>
          </w:p>
        </w:tc>
        <w:tc>
          <w:tcPr>
            <w:tcW w:w="1648" w:type="pct"/>
            <w:gridSpan w:val="2"/>
            <w:noWrap/>
            <w:vAlign w:val="center"/>
          </w:tcPr>
          <w:p>
            <w:pPr>
              <w:widowControl/>
              <w:spacing w:line="200" w:lineRule="exact"/>
              <w:rPr>
                <w:color w:val="000000"/>
                <w:sz w:val="16"/>
                <w:szCs w:val="16"/>
              </w:rPr>
            </w:pPr>
          </w:p>
        </w:tc>
        <w:tc>
          <w:tcPr>
            <w:tcW w:w="625" w:type="pct"/>
            <w:noWrap/>
            <w:vAlign w:val="center"/>
          </w:tcPr>
          <w:p>
            <w:pPr>
              <w:widowControl/>
              <w:spacing w:line="200" w:lineRule="exact"/>
              <w:jc w:val="center"/>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vMerge w:val="continue"/>
            <w:noWrap/>
            <w:vAlign w:val="center"/>
          </w:tcPr>
          <w:p>
            <w:pPr>
              <w:widowControl/>
              <w:spacing w:line="200" w:lineRule="exact"/>
              <w:jc w:val="center"/>
              <w:rPr>
                <w:color w:val="000000"/>
                <w:sz w:val="16"/>
                <w:szCs w:val="16"/>
              </w:rPr>
            </w:pPr>
          </w:p>
        </w:tc>
        <w:tc>
          <w:tcPr>
            <w:tcW w:w="1648" w:type="pct"/>
            <w:gridSpan w:val="2"/>
            <w:noWrap/>
            <w:vAlign w:val="center"/>
          </w:tcPr>
          <w:p>
            <w:pPr>
              <w:widowControl/>
              <w:spacing w:line="200" w:lineRule="exact"/>
              <w:jc w:val="center"/>
              <w:rPr>
                <w:color w:val="000000"/>
                <w:sz w:val="16"/>
                <w:szCs w:val="16"/>
              </w:rPr>
            </w:pPr>
          </w:p>
        </w:tc>
        <w:tc>
          <w:tcPr>
            <w:tcW w:w="625" w:type="pct"/>
            <w:noWrap/>
            <w:vAlign w:val="center"/>
          </w:tcPr>
          <w:p>
            <w:pPr>
              <w:widowControl/>
              <w:spacing w:line="200" w:lineRule="exact"/>
              <w:jc w:val="center"/>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vMerge w:val="restart"/>
            <w:noWrap/>
            <w:vAlign w:val="center"/>
          </w:tcPr>
          <w:p>
            <w:pPr>
              <w:widowControl/>
              <w:spacing w:line="200" w:lineRule="exact"/>
              <w:jc w:val="center"/>
              <w:textAlignment w:val="center"/>
              <w:rPr>
                <w:color w:val="000000"/>
                <w:sz w:val="16"/>
                <w:szCs w:val="16"/>
              </w:rPr>
            </w:pPr>
            <w:r>
              <w:rPr>
                <w:color w:val="000000"/>
                <w:kern w:val="0"/>
                <w:sz w:val="16"/>
                <w:szCs w:val="16"/>
              </w:rPr>
              <w:t>社会效益</w:t>
            </w:r>
            <w:r>
              <w:rPr>
                <w:color w:val="000000"/>
                <w:kern w:val="0"/>
                <w:sz w:val="16"/>
                <w:szCs w:val="16"/>
              </w:rPr>
              <w:br w:type="textWrapping"/>
            </w:r>
            <w:r>
              <w:rPr>
                <w:color w:val="000000"/>
                <w:kern w:val="0"/>
                <w:sz w:val="16"/>
                <w:szCs w:val="16"/>
              </w:rPr>
              <w:t>指标</w:t>
            </w:r>
          </w:p>
        </w:tc>
        <w:tc>
          <w:tcPr>
            <w:tcW w:w="1648" w:type="pct"/>
            <w:gridSpan w:val="2"/>
            <w:noWrap/>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实地督查结果网上公开率</w:t>
            </w:r>
          </w:p>
        </w:tc>
        <w:tc>
          <w:tcPr>
            <w:tcW w:w="625" w:type="pct"/>
            <w:noWrap/>
            <w:vAlign w:val="center"/>
          </w:tcPr>
          <w:p>
            <w:pPr>
              <w:widowControl/>
              <w:spacing w:line="200" w:lineRule="exact"/>
              <w:jc w:val="center"/>
              <w:rPr>
                <w:color w:val="000000"/>
                <w:sz w:val="16"/>
                <w:szCs w:val="16"/>
              </w:rPr>
            </w:pPr>
            <w:r>
              <w:rPr>
                <w:rFonts w:hint="eastAsia"/>
                <w:color w:val="000000"/>
                <w:sz w:val="16"/>
                <w:szCs w:val="16"/>
              </w:rPr>
              <w:t>19</w:t>
            </w:r>
          </w:p>
        </w:tc>
        <w:tc>
          <w:tcPr>
            <w:tcW w:w="483" w:type="pct"/>
            <w:noWrap/>
            <w:vAlign w:val="center"/>
          </w:tcPr>
          <w:p>
            <w:pPr>
              <w:widowControl/>
              <w:spacing w:line="200" w:lineRule="exact"/>
              <w:rPr>
                <w:color w:val="000000"/>
                <w:sz w:val="16"/>
                <w:szCs w:val="16"/>
              </w:rPr>
            </w:pPr>
            <w:r>
              <w:rPr>
                <w:rFonts w:hint="eastAsia"/>
                <w:color w:val="000000"/>
                <w:sz w:val="16"/>
                <w:szCs w:val="16"/>
              </w:rPr>
              <w:t>19</w:t>
            </w: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vMerge w:val="continue"/>
            <w:noWrap/>
            <w:vAlign w:val="center"/>
          </w:tcPr>
          <w:p>
            <w:pPr>
              <w:widowControl/>
              <w:spacing w:line="200" w:lineRule="exact"/>
              <w:jc w:val="center"/>
              <w:rPr>
                <w:color w:val="000000"/>
                <w:sz w:val="16"/>
                <w:szCs w:val="16"/>
              </w:rPr>
            </w:pPr>
          </w:p>
        </w:tc>
        <w:tc>
          <w:tcPr>
            <w:tcW w:w="1648" w:type="pct"/>
            <w:gridSpan w:val="2"/>
            <w:noWrap/>
            <w:vAlign w:val="center"/>
          </w:tcPr>
          <w:p>
            <w:pPr>
              <w:widowControl/>
              <w:spacing w:line="200" w:lineRule="exact"/>
              <w:jc w:val="center"/>
              <w:rPr>
                <w:color w:val="000000"/>
                <w:sz w:val="16"/>
                <w:szCs w:val="16"/>
              </w:rPr>
            </w:pPr>
          </w:p>
        </w:tc>
        <w:tc>
          <w:tcPr>
            <w:tcW w:w="625" w:type="pct"/>
            <w:noWrap/>
            <w:vAlign w:val="center"/>
          </w:tcPr>
          <w:p>
            <w:pPr>
              <w:widowControl/>
              <w:spacing w:line="200" w:lineRule="exact"/>
              <w:jc w:val="left"/>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noWrap/>
            <w:vAlign w:val="center"/>
          </w:tcPr>
          <w:p>
            <w:pPr>
              <w:widowControl/>
              <w:spacing w:line="200" w:lineRule="exact"/>
              <w:jc w:val="center"/>
              <w:textAlignment w:val="center"/>
              <w:rPr>
                <w:color w:val="000000"/>
                <w:sz w:val="16"/>
                <w:szCs w:val="16"/>
              </w:rPr>
            </w:pPr>
            <w:r>
              <w:rPr>
                <w:color w:val="000000"/>
                <w:kern w:val="0"/>
                <w:sz w:val="16"/>
                <w:szCs w:val="16"/>
              </w:rPr>
              <w:t>生态效益</w:t>
            </w:r>
            <w:r>
              <w:rPr>
                <w:color w:val="000000"/>
                <w:kern w:val="0"/>
                <w:sz w:val="16"/>
                <w:szCs w:val="16"/>
              </w:rPr>
              <w:br w:type="textWrapping"/>
            </w:r>
            <w:r>
              <w:rPr>
                <w:color w:val="000000"/>
                <w:kern w:val="0"/>
                <w:sz w:val="16"/>
                <w:szCs w:val="16"/>
              </w:rPr>
              <w:t>指标</w:t>
            </w:r>
          </w:p>
        </w:tc>
        <w:tc>
          <w:tcPr>
            <w:tcW w:w="1648" w:type="pct"/>
            <w:gridSpan w:val="2"/>
            <w:noWrap/>
            <w:vAlign w:val="center"/>
          </w:tcPr>
          <w:p>
            <w:pPr>
              <w:widowControl/>
              <w:spacing w:line="200" w:lineRule="exact"/>
              <w:jc w:val="center"/>
              <w:rPr>
                <w:color w:val="000000"/>
                <w:sz w:val="16"/>
                <w:szCs w:val="16"/>
              </w:rPr>
            </w:pPr>
          </w:p>
        </w:tc>
        <w:tc>
          <w:tcPr>
            <w:tcW w:w="625" w:type="pct"/>
            <w:noWrap/>
            <w:vAlign w:val="center"/>
          </w:tcPr>
          <w:p>
            <w:pPr>
              <w:widowControl/>
              <w:spacing w:line="200" w:lineRule="exact"/>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noWrap/>
            <w:vAlign w:val="center"/>
          </w:tcPr>
          <w:p>
            <w:pPr>
              <w:widowControl/>
              <w:spacing w:line="200" w:lineRule="exact"/>
              <w:jc w:val="center"/>
              <w:textAlignment w:val="center"/>
              <w:rPr>
                <w:color w:val="000000"/>
                <w:sz w:val="16"/>
                <w:szCs w:val="16"/>
              </w:rPr>
            </w:pPr>
            <w:r>
              <w:rPr>
                <w:color w:val="000000"/>
                <w:kern w:val="0"/>
                <w:sz w:val="16"/>
                <w:szCs w:val="16"/>
              </w:rPr>
              <w:t>可持续影响指标</w:t>
            </w:r>
          </w:p>
        </w:tc>
        <w:tc>
          <w:tcPr>
            <w:tcW w:w="1648" w:type="pct"/>
            <w:gridSpan w:val="2"/>
            <w:noWrap/>
            <w:vAlign w:val="center"/>
          </w:tcPr>
          <w:p>
            <w:pPr>
              <w:widowControl/>
              <w:spacing w:line="200" w:lineRule="exact"/>
              <w:jc w:val="center"/>
              <w:rPr>
                <w:color w:val="000000"/>
                <w:sz w:val="16"/>
                <w:szCs w:val="16"/>
              </w:rPr>
            </w:pPr>
          </w:p>
        </w:tc>
        <w:tc>
          <w:tcPr>
            <w:tcW w:w="625" w:type="pct"/>
            <w:noWrap/>
            <w:vAlign w:val="center"/>
          </w:tcPr>
          <w:p>
            <w:pPr>
              <w:widowControl/>
              <w:spacing w:line="200" w:lineRule="exact"/>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vMerge w:val="continue"/>
            <w:noWrap/>
            <w:vAlign w:val="center"/>
          </w:tcPr>
          <w:p>
            <w:pPr>
              <w:widowControl/>
              <w:spacing w:line="200" w:lineRule="exact"/>
              <w:jc w:val="center"/>
              <w:rPr>
                <w:color w:val="000000"/>
                <w:sz w:val="16"/>
                <w:szCs w:val="16"/>
              </w:rPr>
            </w:pPr>
          </w:p>
        </w:tc>
        <w:tc>
          <w:tcPr>
            <w:tcW w:w="506" w:type="pct"/>
            <w:noWrap/>
            <w:vAlign w:val="center"/>
          </w:tcPr>
          <w:p>
            <w:pPr>
              <w:widowControl/>
              <w:spacing w:line="200" w:lineRule="exact"/>
              <w:jc w:val="center"/>
              <w:textAlignment w:val="center"/>
              <w:rPr>
                <w:color w:val="000000"/>
                <w:sz w:val="16"/>
                <w:szCs w:val="16"/>
              </w:rPr>
            </w:pPr>
            <w:r>
              <w:rPr>
                <w:color w:val="000000"/>
                <w:kern w:val="0"/>
                <w:sz w:val="16"/>
                <w:szCs w:val="16"/>
              </w:rPr>
              <w:t>……</w:t>
            </w:r>
          </w:p>
        </w:tc>
        <w:tc>
          <w:tcPr>
            <w:tcW w:w="1648" w:type="pct"/>
            <w:gridSpan w:val="2"/>
            <w:noWrap/>
            <w:vAlign w:val="center"/>
          </w:tcPr>
          <w:p>
            <w:pPr>
              <w:widowControl/>
              <w:spacing w:line="200" w:lineRule="exact"/>
              <w:jc w:val="center"/>
              <w:rPr>
                <w:color w:val="000000"/>
                <w:sz w:val="16"/>
                <w:szCs w:val="16"/>
              </w:rPr>
            </w:pPr>
          </w:p>
        </w:tc>
        <w:tc>
          <w:tcPr>
            <w:tcW w:w="625" w:type="pct"/>
            <w:noWrap/>
            <w:vAlign w:val="center"/>
          </w:tcPr>
          <w:p>
            <w:pPr>
              <w:widowControl/>
              <w:spacing w:line="200" w:lineRule="exact"/>
              <w:rPr>
                <w:color w:val="000000"/>
                <w:sz w:val="16"/>
                <w:szCs w:val="16"/>
              </w:rPr>
            </w:pPr>
          </w:p>
        </w:tc>
        <w:tc>
          <w:tcPr>
            <w:tcW w:w="483" w:type="pct"/>
            <w:noWrap/>
            <w:vAlign w:val="center"/>
          </w:tcPr>
          <w:p>
            <w:pPr>
              <w:widowControl/>
              <w:spacing w:line="200" w:lineRule="exact"/>
              <w:rPr>
                <w:color w:val="000000"/>
                <w:sz w:val="16"/>
                <w:szCs w:val="16"/>
              </w:rPr>
            </w:pP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continue"/>
            <w:noWrap/>
            <w:textDirection w:val="tbRlV"/>
            <w:vAlign w:val="center"/>
          </w:tcPr>
          <w:p>
            <w:pPr>
              <w:widowControl/>
              <w:spacing w:line="200" w:lineRule="exact"/>
              <w:jc w:val="center"/>
              <w:rPr>
                <w:color w:val="000000"/>
                <w:sz w:val="16"/>
                <w:szCs w:val="16"/>
              </w:rPr>
            </w:pPr>
          </w:p>
        </w:tc>
        <w:tc>
          <w:tcPr>
            <w:tcW w:w="293" w:type="pct"/>
            <w:noWrap/>
            <w:vAlign w:val="center"/>
          </w:tcPr>
          <w:p>
            <w:pPr>
              <w:widowControl/>
              <w:spacing w:line="180" w:lineRule="exact"/>
              <w:jc w:val="center"/>
              <w:textAlignment w:val="center"/>
              <w:rPr>
                <w:color w:val="000000"/>
                <w:sz w:val="16"/>
                <w:szCs w:val="16"/>
              </w:rPr>
            </w:pPr>
            <w:r>
              <w:rPr>
                <w:color w:val="000000"/>
                <w:kern w:val="0"/>
                <w:sz w:val="16"/>
                <w:szCs w:val="16"/>
              </w:rPr>
              <w:t>满意度指标</w:t>
            </w:r>
          </w:p>
        </w:tc>
        <w:tc>
          <w:tcPr>
            <w:tcW w:w="506" w:type="pct"/>
            <w:noWrap/>
            <w:vAlign w:val="center"/>
          </w:tcPr>
          <w:p>
            <w:pPr>
              <w:widowControl/>
              <w:spacing w:line="200" w:lineRule="exact"/>
              <w:jc w:val="center"/>
              <w:textAlignment w:val="center"/>
              <w:rPr>
                <w:color w:val="000000"/>
                <w:sz w:val="16"/>
                <w:szCs w:val="16"/>
              </w:rPr>
            </w:pPr>
            <w:r>
              <w:rPr>
                <w:color w:val="000000"/>
                <w:kern w:val="0"/>
                <w:sz w:val="16"/>
                <w:szCs w:val="16"/>
              </w:rPr>
              <w:t>服务对象</w:t>
            </w:r>
            <w:r>
              <w:rPr>
                <w:color w:val="000000"/>
                <w:kern w:val="0"/>
                <w:sz w:val="16"/>
                <w:szCs w:val="16"/>
              </w:rPr>
              <w:br w:type="textWrapping"/>
            </w:r>
            <w:r>
              <w:rPr>
                <w:color w:val="000000"/>
                <w:kern w:val="0"/>
                <w:sz w:val="16"/>
                <w:szCs w:val="16"/>
              </w:rPr>
              <w:t>满意度指标</w:t>
            </w:r>
          </w:p>
        </w:tc>
        <w:tc>
          <w:tcPr>
            <w:tcW w:w="1648" w:type="pct"/>
            <w:gridSpan w:val="2"/>
            <w:noWrap/>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信访事项处理群众满意率</w:t>
            </w:r>
          </w:p>
        </w:tc>
        <w:tc>
          <w:tcPr>
            <w:tcW w:w="625" w:type="pct"/>
            <w:noWrap/>
            <w:vAlign w:val="center"/>
          </w:tcPr>
          <w:p>
            <w:pPr>
              <w:widowControl/>
              <w:spacing w:line="200" w:lineRule="exact"/>
              <w:rPr>
                <w:color w:val="000000"/>
                <w:sz w:val="16"/>
                <w:szCs w:val="16"/>
              </w:rPr>
            </w:pPr>
            <w:r>
              <w:rPr>
                <w:rFonts w:hint="eastAsia"/>
                <w:color w:val="000000"/>
                <w:sz w:val="16"/>
                <w:szCs w:val="16"/>
              </w:rPr>
              <w:t>77</w:t>
            </w:r>
          </w:p>
        </w:tc>
        <w:tc>
          <w:tcPr>
            <w:tcW w:w="483" w:type="pct"/>
            <w:noWrap/>
            <w:vAlign w:val="center"/>
          </w:tcPr>
          <w:p>
            <w:pPr>
              <w:widowControl/>
              <w:spacing w:line="200" w:lineRule="exact"/>
              <w:rPr>
                <w:color w:val="000000"/>
                <w:sz w:val="16"/>
                <w:szCs w:val="16"/>
              </w:rPr>
            </w:pPr>
            <w:r>
              <w:rPr>
                <w:rFonts w:hint="eastAsia"/>
                <w:color w:val="000000"/>
                <w:sz w:val="16"/>
                <w:szCs w:val="16"/>
              </w:rPr>
              <w:t>77</w:t>
            </w:r>
          </w:p>
        </w:tc>
        <w:tc>
          <w:tcPr>
            <w:tcW w:w="995" w:type="pct"/>
            <w:noWrap/>
            <w:vAlign w:val="center"/>
          </w:tcPr>
          <w:p>
            <w:pPr>
              <w:widowControl/>
              <w:spacing w:line="200" w:lineRule="exact"/>
              <w:jc w:val="center"/>
              <w:rPr>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tcBorders>
              <w:bottom w:val="single" w:color="auto" w:sz="4" w:space="0"/>
            </w:tcBorders>
            <w:noWrap/>
            <w:vAlign w:val="center"/>
          </w:tcPr>
          <w:p>
            <w:pPr>
              <w:widowControl/>
              <w:spacing w:line="200" w:lineRule="exact"/>
              <w:jc w:val="center"/>
              <w:textAlignment w:val="center"/>
              <w:rPr>
                <w:color w:val="000000"/>
                <w:sz w:val="16"/>
                <w:szCs w:val="16"/>
              </w:rPr>
            </w:pPr>
            <w:r>
              <w:rPr>
                <w:color w:val="000000"/>
                <w:kern w:val="0"/>
                <w:sz w:val="16"/>
                <w:szCs w:val="16"/>
              </w:rPr>
              <w:t>说明</w:t>
            </w:r>
          </w:p>
        </w:tc>
        <w:tc>
          <w:tcPr>
            <w:tcW w:w="4554" w:type="pct"/>
            <w:gridSpan w:val="7"/>
            <w:tcBorders>
              <w:bottom w:val="single" w:color="auto" w:sz="4" w:space="0"/>
            </w:tcBorders>
            <w:noWrap/>
            <w:vAlign w:val="center"/>
          </w:tcPr>
          <w:p>
            <w:pPr>
              <w:widowControl/>
              <w:spacing w:line="200" w:lineRule="exact"/>
              <w:jc w:val="left"/>
              <w:textAlignment w:val="center"/>
              <w:rPr>
                <w:color w:val="000000"/>
                <w:sz w:val="16"/>
                <w:szCs w:val="16"/>
              </w:rPr>
            </w:pPr>
            <w:r>
              <w:rPr>
                <w:rFonts w:hint="eastAsia"/>
                <w:color w:val="000000"/>
                <w:sz w:val="16"/>
                <w:szCs w:val="16"/>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8"/>
            <w:tcBorders>
              <w:top w:val="single" w:color="auto" w:sz="4" w:space="0"/>
              <w:left w:val="nil"/>
              <w:bottom w:val="nil"/>
              <w:right w:val="nil"/>
            </w:tcBorders>
            <w:noWrap/>
            <w:vAlign w:val="center"/>
          </w:tcPr>
          <w:p>
            <w:pPr>
              <w:widowControl/>
              <w:spacing w:line="180" w:lineRule="exact"/>
              <w:jc w:val="left"/>
              <w:textAlignment w:val="center"/>
              <w:rPr>
                <w:rFonts w:eastAsia="楷体_GB2312"/>
                <w:color w:val="000000"/>
                <w:sz w:val="16"/>
                <w:szCs w:val="16"/>
              </w:rPr>
            </w:pPr>
            <w:r>
              <w:rPr>
                <w:rFonts w:eastAsia="楷体_GB2312"/>
                <w:color w:val="000000"/>
                <w:kern w:val="0"/>
                <w:sz w:val="16"/>
                <w:szCs w:val="16"/>
              </w:rPr>
              <w:t>注：1.其他资金包括与中央、省级财政补助资金、市（县）级财政资金共同投入到同一项目的自有资金、社会资金，以及以前年度的结转结余资金等。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000" w:type="pct"/>
            <w:gridSpan w:val="8"/>
            <w:tcBorders>
              <w:top w:val="nil"/>
              <w:left w:val="nil"/>
              <w:bottom w:val="nil"/>
              <w:right w:val="nil"/>
            </w:tcBorders>
            <w:noWrap/>
            <w:vAlign w:val="center"/>
          </w:tcPr>
          <w:p>
            <w:pPr>
              <w:widowControl/>
              <w:spacing w:line="180" w:lineRule="exact"/>
              <w:jc w:val="left"/>
              <w:textAlignment w:val="center"/>
              <w:rPr>
                <w:rFonts w:eastAsia="楷体_GB2312"/>
                <w:color w:val="000000"/>
                <w:sz w:val="16"/>
                <w:szCs w:val="16"/>
              </w:rPr>
            </w:pPr>
            <w:r>
              <w:rPr>
                <w:rFonts w:eastAsia="楷体_GB2312"/>
                <w:color w:val="000000"/>
                <w:kern w:val="0"/>
                <w:sz w:val="16"/>
                <w:szCs w:val="16"/>
              </w:rPr>
              <w:t xml:space="preserve">    2.定量指标，主管部门对资金使用单位填写的实际完成值汇总时，绝对值直接累加计算，相对值按照资金额度加权平均计算。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000" w:type="pct"/>
            <w:gridSpan w:val="8"/>
            <w:tcBorders>
              <w:top w:val="nil"/>
              <w:left w:val="nil"/>
              <w:bottom w:val="nil"/>
              <w:right w:val="nil"/>
            </w:tcBorders>
            <w:noWrap/>
            <w:vAlign w:val="center"/>
          </w:tcPr>
          <w:p>
            <w:pPr>
              <w:widowControl/>
              <w:spacing w:line="180" w:lineRule="exact"/>
              <w:jc w:val="left"/>
              <w:textAlignment w:val="center"/>
              <w:rPr>
                <w:rFonts w:eastAsia="楷体_GB2312"/>
                <w:color w:val="000000"/>
                <w:sz w:val="16"/>
                <w:szCs w:val="16"/>
              </w:rPr>
            </w:pPr>
            <w:r>
              <w:rPr>
                <w:rFonts w:eastAsia="楷体_GB2312"/>
                <w:color w:val="000000"/>
                <w:kern w:val="0"/>
                <w:sz w:val="16"/>
                <w:szCs w:val="16"/>
              </w:rPr>
              <w:t xml:space="preserve">    3.定性指标。资金使用单位分别按照100%-80%（含）、80%-60%（含）、60-0%合理填写实际完成值，在汇总时，按照资金额度加权平均计算。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8"/>
            <w:tcBorders>
              <w:top w:val="nil"/>
              <w:left w:val="nil"/>
              <w:bottom w:val="nil"/>
              <w:right w:val="nil"/>
            </w:tcBorders>
            <w:noWrap/>
            <w:vAlign w:val="center"/>
          </w:tcPr>
          <w:p>
            <w:pPr>
              <w:widowControl/>
              <w:spacing w:line="180" w:lineRule="exact"/>
              <w:jc w:val="left"/>
              <w:textAlignment w:val="center"/>
              <w:rPr>
                <w:rFonts w:eastAsia="楷体_GB2312"/>
                <w:color w:val="000000"/>
                <w:sz w:val="16"/>
                <w:szCs w:val="16"/>
              </w:rPr>
            </w:pPr>
            <w:r>
              <w:rPr>
                <w:rFonts w:eastAsia="楷体_GB2312"/>
                <w:color w:val="000000"/>
                <w:kern w:val="0"/>
                <w:sz w:val="16"/>
                <w:szCs w:val="16"/>
              </w:rPr>
              <w:t xml:space="preserve">    4.全年执行数是指按照国库集中支付制度要求，支付到商品和劳务供应者或者用款单位形成的实际支出。</w:t>
            </w:r>
          </w:p>
        </w:tc>
      </w:tr>
    </w:tbl>
    <w:p>
      <w:pPr>
        <w:keepNext w:val="0"/>
        <w:keepLines w:val="0"/>
        <w:pageBreakBefore w:val="0"/>
        <w:widowControl w:val="0"/>
        <w:kinsoku/>
        <w:wordWrap/>
        <w:overflowPunct/>
        <w:topLinePunct w:val="0"/>
        <w:autoSpaceDE/>
        <w:autoSpaceDN/>
        <w:bidi w:val="0"/>
        <w:snapToGrid w:val="0"/>
        <w:spacing w:line="360" w:lineRule="auto"/>
        <w:ind w:firstLine="420" w:firstLineChars="200"/>
        <w:jc w:val="both"/>
        <w:textAlignment w:val="auto"/>
        <w:outlineLvl w:val="0"/>
        <w:rPr>
          <w:rFonts w:ascii="仿宋_GB2312" w:hAnsi="仿宋_GB2312" w:eastAsia="仿宋_GB2312" w:cs="仿宋_GB2312"/>
          <w:bCs/>
          <w:sz w:val="32"/>
          <w:szCs w:val="32"/>
        </w:rPr>
      </w:pPr>
      <w:r>
        <w:br w:type="page"/>
      </w:r>
      <w:r>
        <w:rPr>
          <w:rFonts w:hint="eastAsia" w:ascii="仿宋_GB2312" w:hAnsi="仿宋_GB2312" w:eastAsia="仿宋_GB2312" w:cs="仿宋_GB2312"/>
          <w:bCs/>
          <w:sz w:val="32"/>
          <w:szCs w:val="32"/>
        </w:rPr>
        <w:t>（一）预算执行进度情况分析。该项目资金预算2万元，执行预算资金支付各项培训费、其他商品和服务支出以及培训需要支出的办公经费共2万元。</w:t>
      </w:r>
      <w:r>
        <w:rPr>
          <w:rFonts w:hint="eastAsia" w:ascii="仿宋_GB2312" w:hAnsi="仿宋_GB2312" w:eastAsia="仿宋_GB2312" w:cs="仿宋_GB2312"/>
          <w:bCs/>
          <w:sz w:val="32"/>
          <w:szCs w:val="32"/>
          <w:lang w:val="zh-CN"/>
        </w:rPr>
        <w:t>截止评价时点项目资金的实际支出情况100%，资金开支范围</w:t>
      </w:r>
      <w:r>
        <w:rPr>
          <w:rFonts w:hint="eastAsia" w:ascii="仿宋_GB2312" w:hAnsi="仿宋_GB2312" w:eastAsia="仿宋_GB2312" w:cs="仿宋_GB2312"/>
          <w:bCs/>
          <w:sz w:val="32"/>
          <w:szCs w:val="32"/>
        </w:rPr>
        <w:t>每年分别进行年度检验、中间检验</w:t>
      </w:r>
      <w:r>
        <w:rPr>
          <w:rFonts w:hint="eastAsia" w:ascii="仿宋_GB2312" w:hAnsi="仿宋_GB2312" w:eastAsia="仿宋_GB2312" w:cs="仿宋_GB2312"/>
          <w:bCs/>
          <w:sz w:val="32"/>
          <w:szCs w:val="32"/>
          <w:lang w:val="zh-CN"/>
        </w:rPr>
        <w:t>，标准及支付进度100%，支付依据是合规合法，资金支付是与预算相符，没有其他相关问题进行说明。</w:t>
      </w:r>
    </w:p>
    <w:p>
      <w:pPr>
        <w:keepNext w:val="0"/>
        <w:keepLines w:val="0"/>
        <w:pageBreakBefore w:val="0"/>
        <w:widowControl w:val="0"/>
        <w:kinsoku/>
        <w:wordWrap/>
        <w:overflowPunct/>
        <w:topLinePunct w:val="0"/>
        <w:autoSpaceDE/>
        <w:autoSpaceDN/>
        <w:bidi w:val="0"/>
        <w:snapToGrid w:val="0"/>
        <w:spacing w:line="360" w:lineRule="auto"/>
        <w:ind w:firstLine="640" w:firstLineChars="200"/>
        <w:jc w:val="both"/>
        <w:textAlignment w:val="auto"/>
        <w:outlineLvl w:val="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二）总体绩效目标完成情况分析。用于5个乡镇的5个便民服务中心和3个便民服务站和77个村（社区）的网上政务服务能力提升宣传及培训，主要用于2021年创建市级示范便民服务中心（站）办事指南的印制和人员培训费，还有2022年全省首届四川政务服务与公共资源交易中心技能大赛的服装费用。创市级示范便民服务中心（站）工作都已圆满完成，技能大赛也取得了良好的成效，都已完成。</w:t>
      </w:r>
    </w:p>
    <w:p>
      <w:pPr>
        <w:keepNext w:val="0"/>
        <w:keepLines w:val="0"/>
        <w:pageBreakBefore w:val="0"/>
        <w:widowControl w:val="0"/>
        <w:kinsoku/>
        <w:wordWrap/>
        <w:overflowPunct/>
        <w:topLinePunct w:val="0"/>
        <w:autoSpaceDE/>
        <w:autoSpaceDN/>
        <w:bidi w:val="0"/>
        <w:snapToGrid w:val="0"/>
        <w:spacing w:line="360" w:lineRule="auto"/>
        <w:ind w:firstLine="640" w:firstLineChars="200"/>
        <w:jc w:val="both"/>
        <w:textAlignment w:val="auto"/>
        <w:outlineLvl w:val="0"/>
        <w:rPr>
          <w:rFonts w:ascii="仿宋_GB2312" w:hAnsi="仿宋_GB2312" w:eastAsia="仿宋_GB2312" w:cs="仿宋_GB2312"/>
          <w:bCs/>
          <w:sz w:val="32"/>
          <w:szCs w:val="32"/>
          <w:lang w:val="zh-CN"/>
        </w:rPr>
      </w:pPr>
      <w:r>
        <w:rPr>
          <w:rFonts w:hint="eastAsia" w:ascii="仿宋_GB2312" w:hAnsi="仿宋_GB2312" w:eastAsia="仿宋_GB2312" w:cs="仿宋_GB2312"/>
          <w:bCs/>
          <w:sz w:val="32"/>
          <w:szCs w:val="32"/>
        </w:rPr>
        <w:t>（三）绩效指标完成情况分析。</w:t>
      </w:r>
      <w:r>
        <w:rPr>
          <w:rFonts w:hint="eastAsia" w:ascii="仿宋_GB2312" w:hAnsi="仿宋_GB2312" w:eastAsia="仿宋_GB2312" w:cs="仿宋_GB2312"/>
          <w:bCs/>
          <w:sz w:val="32"/>
          <w:szCs w:val="32"/>
          <w:lang w:val="zh-CN"/>
        </w:rPr>
        <w:t>2021年完成了沐溪、利店、高笋、富新、舟坝等5个乡镇的便民服务中心和建和、海云等3个便民服务站77个村社区的创建工作，验收效果非常好，其中向天坝社区获得了全市唯一的一个市级示范便民服务室满分100分， 县行政审批局开展的全县镇村便民服务体系建设工作获得了乐山市市级部门的高度评价，获得了2021年创建市级示范便民服务工作先进单位。</w:t>
      </w:r>
    </w:p>
    <w:p>
      <w:pPr>
        <w:keepNext w:val="0"/>
        <w:keepLines w:val="0"/>
        <w:pageBreakBefore w:val="0"/>
        <w:widowControl w:val="0"/>
        <w:kinsoku/>
        <w:wordWrap/>
        <w:overflowPunct/>
        <w:topLinePunct w:val="0"/>
        <w:autoSpaceDE/>
        <w:autoSpaceDN/>
        <w:bidi w:val="0"/>
        <w:snapToGrid w:val="0"/>
        <w:spacing w:line="360" w:lineRule="auto"/>
        <w:ind w:firstLine="640" w:firstLineChars="200"/>
        <w:jc w:val="both"/>
        <w:textAlignment w:val="auto"/>
        <w:outlineLvl w:val="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（四）项目效益分析。</w:t>
      </w:r>
      <w:r>
        <w:rPr>
          <w:rFonts w:hint="eastAsia" w:ascii="仿宋_GB2312" w:hAnsi="仿宋_GB2312" w:eastAsia="仿宋_GB2312" w:cs="仿宋_GB2312"/>
          <w:bCs/>
          <w:sz w:val="32"/>
          <w:szCs w:val="32"/>
          <w:lang w:val="zh-CN"/>
        </w:rPr>
        <w:t>市级示范便民服务中心和便民服务室创建成功后，产生了很大的效益，如：一是推广实施自助办理业务。在县、乡政务服务大厅设立社保政务服务一体机、电费缴费终端等信息化设备，方便群众自助查询低保金等50余项便民事项，实现群众、企业办事“就近办”；二是推广“掌上办”、“指尖办”，“天府通办”APP、“乐易办”APP、沐川县行政审批局微信公众号等互联网载体引导办事群众手机网上预约办理服务事项，让群众水、电、燃气缴费可以“一次都不跑”；三是推进“快帮办”联动，推行全过程帮办服务，推出第一批16项政务服务事项的“快帮办”清单，并会同县基层治理办梳理村级便民服务清单，以县、乡（镇）、村 （社区）三级联动完成代办，形成了乡镇前台受理、县级后台办理、快递送达的服务新格局。四是开展政银合作联动服务，结合“政务服务＋金融”模式，与县信用联社合作推出“政务+金融”服务，让金融服务走进村（社区），将燃气、电力、自来水、通信缴费等服务集成到村（社区）金融服务站，解决群众来回跑的问题，让“最多跑一次改革”落实到实处，计划2021年在沐溪镇茨湾村等10个党群服务中心创立农村金融综合服务站，推进政务和金融服务渠道共建共享，服务内容互联互通，便民活动合作联动，数据资源整合共享，创设便民服务基础支撑，2025年完成剩余村（社区）创建任务，一系列便民利民惠民改革措施出台，大大增强了我县服务能力的提升。五是实行免费快递便民服务，与沐川县邮政公司合作，采取“政务服务＋邮政”模式，在事项办结时实行政务服务免费快递，群众企业办事时间得到有效缩短，从而实现“最多跑一次”甚至是“零跑腿”的目标，截止10月底，政务服务快递已免费投送64件。</w:t>
      </w:r>
    </w:p>
    <w:p>
      <w:pPr>
        <w:keepNext w:val="0"/>
        <w:keepLines w:val="0"/>
        <w:pageBreakBefore w:val="0"/>
        <w:widowControl w:val="0"/>
        <w:kinsoku/>
        <w:wordWrap/>
        <w:overflowPunct/>
        <w:topLinePunct w:val="0"/>
        <w:autoSpaceDE/>
        <w:autoSpaceDN/>
        <w:bidi w:val="0"/>
        <w:snapToGrid w:val="0"/>
        <w:spacing w:line="360" w:lineRule="auto"/>
        <w:ind w:firstLine="640" w:firstLineChars="200"/>
        <w:jc w:val="both"/>
        <w:textAlignment w:val="auto"/>
        <w:outlineLvl w:val="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二、偏离绩效目标的原因和下一步改进措施</w:t>
      </w:r>
    </w:p>
    <w:p>
      <w:pPr>
        <w:keepNext w:val="0"/>
        <w:keepLines w:val="0"/>
        <w:pageBreakBefore w:val="0"/>
        <w:widowControl w:val="0"/>
        <w:kinsoku/>
        <w:wordWrap/>
        <w:overflowPunct/>
        <w:topLinePunct w:val="0"/>
        <w:autoSpaceDE/>
        <w:autoSpaceDN/>
        <w:bidi w:val="0"/>
        <w:snapToGrid w:val="0"/>
        <w:spacing w:line="360" w:lineRule="auto"/>
        <w:ind w:firstLine="640" w:firstLineChars="200"/>
        <w:jc w:val="both"/>
        <w:textAlignment w:val="auto"/>
        <w:outlineLvl w:val="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该项目总体绩效目标和绩效指标完成100%，没有出现超指标值较多的原政策执行或项目实施中存在的问题和原因。</w:t>
      </w:r>
    </w:p>
    <w:p>
      <w:pPr>
        <w:keepNext w:val="0"/>
        <w:keepLines w:val="0"/>
        <w:pageBreakBefore w:val="0"/>
        <w:widowControl w:val="0"/>
        <w:kinsoku/>
        <w:wordWrap/>
        <w:overflowPunct/>
        <w:topLinePunct w:val="0"/>
        <w:autoSpaceDE/>
        <w:autoSpaceDN/>
        <w:bidi w:val="0"/>
        <w:snapToGrid w:val="0"/>
        <w:spacing w:line="360" w:lineRule="auto"/>
        <w:ind w:firstLine="640" w:firstLineChars="200"/>
        <w:jc w:val="both"/>
        <w:textAlignment w:val="auto"/>
        <w:outlineLvl w:val="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三、绩效自评结果拟应用和公开情况</w:t>
      </w:r>
    </w:p>
    <w:p>
      <w:pPr>
        <w:keepNext w:val="0"/>
        <w:keepLines w:val="0"/>
        <w:pageBreakBefore w:val="0"/>
        <w:widowControl w:val="0"/>
        <w:kinsoku/>
        <w:wordWrap/>
        <w:overflowPunct/>
        <w:topLinePunct w:val="0"/>
        <w:autoSpaceDE/>
        <w:autoSpaceDN/>
        <w:bidi w:val="0"/>
        <w:snapToGrid w:val="0"/>
        <w:spacing w:line="360" w:lineRule="auto"/>
        <w:ind w:firstLine="640" w:firstLineChars="200"/>
        <w:jc w:val="both"/>
        <w:textAlignment w:val="auto"/>
        <w:outlineLvl w:val="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建议下一年度增加预算资金5万元，用于各乡镇镇村便民服务体系建设的培训支出。</w:t>
      </w:r>
    </w:p>
    <w:p>
      <w:pPr>
        <w:keepNext w:val="0"/>
        <w:keepLines w:val="0"/>
        <w:pageBreakBefore w:val="0"/>
        <w:widowControl w:val="0"/>
        <w:kinsoku/>
        <w:wordWrap/>
        <w:overflowPunct/>
        <w:topLinePunct w:val="0"/>
        <w:autoSpaceDE/>
        <w:autoSpaceDN/>
        <w:bidi w:val="0"/>
        <w:snapToGrid w:val="0"/>
        <w:spacing w:line="360" w:lineRule="auto"/>
        <w:ind w:firstLine="640" w:firstLineChars="200"/>
        <w:jc w:val="both"/>
        <w:textAlignment w:val="auto"/>
        <w:outlineLvl w:val="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四、其他需要说明的问题</w:t>
      </w:r>
    </w:p>
    <w:p>
      <w:pPr>
        <w:keepNext w:val="0"/>
        <w:keepLines w:val="0"/>
        <w:pageBreakBefore w:val="0"/>
        <w:widowControl w:val="0"/>
        <w:kinsoku/>
        <w:wordWrap/>
        <w:overflowPunct/>
        <w:topLinePunct w:val="0"/>
        <w:autoSpaceDE/>
        <w:autoSpaceDN/>
        <w:bidi w:val="0"/>
        <w:snapToGrid w:val="0"/>
        <w:spacing w:line="360" w:lineRule="auto"/>
        <w:ind w:firstLine="640" w:firstLineChars="200"/>
        <w:jc w:val="both"/>
        <w:textAlignment w:val="auto"/>
        <w:outlineLvl w:val="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没有出现各级巡视（巡察）、各级审计和财政监督发现的问题及其所涉及的金额。</w:t>
      </w:r>
    </w:p>
    <w:p>
      <w:pPr>
        <w:pStyle w:val="13"/>
        <w:keepNext w:val="0"/>
        <w:keepLines w:val="0"/>
        <w:pageBreakBefore w:val="0"/>
        <w:widowControl w:val="0"/>
        <w:kinsoku/>
        <w:wordWrap/>
        <w:overflowPunct/>
        <w:topLinePunct w:val="0"/>
        <w:autoSpaceDE/>
        <w:autoSpaceDN/>
        <w:bidi w:val="0"/>
        <w:snapToGrid w:val="0"/>
        <w:spacing w:line="360" w:lineRule="auto"/>
        <w:ind w:left="420" w:leftChars="200"/>
        <w:jc w:val="both"/>
        <w:textAlignment w:val="auto"/>
        <w:rPr>
          <w:sz w:val="32"/>
          <w:szCs w:val="32"/>
        </w:rPr>
      </w:pPr>
      <w:r>
        <w:rPr>
          <w:sz w:val="32"/>
          <w:szCs w:val="32"/>
        </w:rPr>
        <w:br w:type="page"/>
      </w:r>
    </w:p>
    <w:p>
      <w:pPr>
        <w:keepNext w:val="0"/>
        <w:keepLines w:val="0"/>
        <w:pageBreakBefore w:val="0"/>
        <w:widowControl w:val="0"/>
        <w:kinsoku/>
        <w:wordWrap/>
        <w:overflowPunct/>
        <w:topLinePunct w:val="0"/>
        <w:autoSpaceDE/>
        <w:autoSpaceDN/>
        <w:bidi w:val="0"/>
        <w:snapToGrid w:val="0"/>
        <w:spacing w:line="360" w:lineRule="auto"/>
        <w:ind w:firstLine="643" w:firstLineChars="200"/>
        <w:jc w:val="both"/>
        <w:textAlignment w:val="auto"/>
        <w:outlineLvl w:val="0"/>
        <w:rPr>
          <w:rFonts w:ascii="仿宋_GB2312" w:hAnsi="仿宋_GB2312" w:eastAsia="仿宋_GB2312" w:cs="仿宋_GB2312"/>
          <w:bCs/>
          <w:sz w:val="32"/>
          <w:szCs w:val="32"/>
          <w:lang w:val="zh-CN"/>
        </w:rPr>
      </w:pPr>
      <w:r>
        <w:rPr>
          <w:rFonts w:hint="eastAsia" w:ascii="仿宋_GB2312" w:hAnsi="仿宋_GB2312" w:eastAsia="仿宋_GB2312" w:cs="仿宋_GB2312"/>
          <w:b/>
          <w:sz w:val="32"/>
          <w:szCs w:val="32"/>
          <w:lang w:val="zh-CN"/>
        </w:rPr>
        <w:t>（二）部门整体履职绩效分析</w:t>
      </w:r>
      <w:r>
        <w:rPr>
          <w:rFonts w:hint="eastAsia" w:ascii="仿宋_GB2312" w:hAnsi="仿宋_GB2312" w:eastAsia="仿宋_GB2312" w:cs="仿宋_GB2312"/>
          <w:bCs/>
          <w:sz w:val="32"/>
          <w:szCs w:val="32"/>
          <w:lang w:val="zh-CN"/>
        </w:rPr>
        <w:t>。</w:t>
      </w:r>
    </w:p>
    <w:p>
      <w:pPr>
        <w:keepNext w:val="0"/>
        <w:keepLines w:val="0"/>
        <w:pageBreakBefore w:val="0"/>
        <w:widowControl w:val="0"/>
        <w:kinsoku/>
        <w:wordWrap/>
        <w:overflowPunct/>
        <w:topLinePunct w:val="0"/>
        <w:autoSpaceDE/>
        <w:autoSpaceDN/>
        <w:bidi w:val="0"/>
        <w:snapToGrid w:val="0"/>
        <w:spacing w:line="360" w:lineRule="auto"/>
        <w:ind w:firstLine="640" w:firstLineChars="200"/>
        <w:jc w:val="both"/>
        <w:textAlignment w:val="auto"/>
        <w:outlineLvl w:val="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用于政务大厅工作的日常运转水费、电费、邮电费（网上办证邮寄费）、现场踏勘差旅等日常维修（护）费。推进行政审批提质增效、降低实体经济制度性交易成本、提升便利化水平。推动实现行政审批更简、透明化程度更高、服务质量更优，激发市场活力和社会创造力。</w:t>
      </w:r>
    </w:p>
    <w:p>
      <w:pPr>
        <w:keepNext w:val="0"/>
        <w:keepLines w:val="0"/>
        <w:pageBreakBefore w:val="0"/>
        <w:widowControl w:val="0"/>
        <w:kinsoku/>
        <w:wordWrap/>
        <w:overflowPunct/>
        <w:topLinePunct w:val="0"/>
        <w:autoSpaceDE/>
        <w:autoSpaceDN/>
        <w:bidi w:val="0"/>
        <w:snapToGrid w:val="0"/>
        <w:spacing w:line="360" w:lineRule="auto"/>
        <w:ind w:firstLine="640" w:firstLineChars="200"/>
        <w:jc w:val="both"/>
        <w:textAlignment w:val="auto"/>
        <w:outlineLvl w:val="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全县的船舶年度检测</w:t>
      </w:r>
    </w:p>
    <w:p>
      <w:pPr>
        <w:keepNext w:val="0"/>
        <w:keepLines w:val="0"/>
        <w:pageBreakBefore w:val="0"/>
        <w:widowControl w:val="0"/>
        <w:kinsoku/>
        <w:wordWrap/>
        <w:overflowPunct/>
        <w:topLinePunct w:val="0"/>
        <w:autoSpaceDE/>
        <w:autoSpaceDN/>
        <w:bidi w:val="0"/>
        <w:snapToGrid w:val="0"/>
        <w:spacing w:line="360" w:lineRule="auto"/>
        <w:ind w:firstLine="640" w:firstLineChars="200"/>
        <w:jc w:val="both"/>
        <w:textAlignment w:val="auto"/>
        <w:outlineLvl w:val="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用于5个乡镇8个便民服务中心的资产配置购买和网上政务服务能力提升宣传及培训。</w:t>
      </w:r>
    </w:p>
    <w:p>
      <w:pPr>
        <w:keepNext w:val="0"/>
        <w:keepLines w:val="0"/>
        <w:pageBreakBefore w:val="0"/>
        <w:widowControl w:val="0"/>
        <w:kinsoku/>
        <w:wordWrap/>
        <w:overflowPunct/>
        <w:topLinePunct w:val="0"/>
        <w:autoSpaceDE/>
        <w:autoSpaceDN/>
        <w:bidi w:val="0"/>
        <w:snapToGrid w:val="0"/>
        <w:spacing w:line="360" w:lineRule="auto"/>
        <w:ind w:firstLine="640" w:firstLineChars="200"/>
        <w:jc w:val="both"/>
        <w:textAlignment w:val="auto"/>
        <w:outlineLvl w:val="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用于13个乡镇的19个便民服务中心和151个村（社区）的网上政务服务能力提升宣传及培训。</w:t>
      </w:r>
    </w:p>
    <w:p>
      <w:pPr>
        <w:keepNext w:val="0"/>
        <w:keepLines w:val="0"/>
        <w:pageBreakBefore w:val="0"/>
        <w:widowControl w:val="0"/>
        <w:kinsoku/>
        <w:wordWrap/>
        <w:overflowPunct/>
        <w:topLinePunct w:val="0"/>
        <w:autoSpaceDE/>
        <w:autoSpaceDN/>
        <w:bidi w:val="0"/>
        <w:snapToGrid w:val="0"/>
        <w:spacing w:line="360" w:lineRule="auto"/>
        <w:ind w:firstLine="643" w:firstLineChars="200"/>
        <w:jc w:val="both"/>
        <w:textAlignment w:val="auto"/>
        <w:outlineLvl w:val="0"/>
        <w:rPr>
          <w:rFonts w:ascii="仿宋_GB2312" w:hAnsi="仿宋_GB2312" w:eastAsia="仿宋_GB2312" w:cs="仿宋_GB2312"/>
          <w:bCs/>
          <w:sz w:val="32"/>
          <w:szCs w:val="32"/>
          <w:lang w:val="zh-CN"/>
        </w:rPr>
      </w:pPr>
      <w:r>
        <w:rPr>
          <w:rFonts w:hint="eastAsia" w:ascii="仿宋_GB2312" w:hAnsi="仿宋_GB2312" w:eastAsia="仿宋_GB2312" w:cs="仿宋_GB2312"/>
          <w:b/>
          <w:sz w:val="32"/>
          <w:szCs w:val="32"/>
          <w:lang w:val="zh-CN"/>
        </w:rPr>
        <w:t>（三）结果应用情况。</w:t>
      </w:r>
    </w:p>
    <w:p>
      <w:pPr>
        <w:keepNext w:val="0"/>
        <w:keepLines w:val="0"/>
        <w:pageBreakBefore w:val="0"/>
        <w:widowControl w:val="0"/>
        <w:kinsoku/>
        <w:wordWrap/>
        <w:overflowPunct/>
        <w:topLinePunct w:val="0"/>
        <w:autoSpaceDE/>
        <w:autoSpaceDN/>
        <w:bidi w:val="0"/>
        <w:snapToGrid w:val="0"/>
        <w:spacing w:line="360" w:lineRule="auto"/>
        <w:ind w:firstLine="640" w:firstLineChars="200"/>
        <w:jc w:val="both"/>
        <w:textAlignment w:val="auto"/>
        <w:outlineLvl w:val="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建议增加政务运转工作经费的预算，把政务运转的证照费和企业的档案扫描费统一预算在政务运转工作经费中列支。船舶检测费是专项资金，已够全县船只检测费用，没有下一年度预算安排及建议。建议在下一年度的资金预算，把镇村便民服务体系建设资产购买和便民服务中心建设的硬件设施支出纳入各乡镇预算支付，行政审批局在业务上起指导和培训作用。乡镇镇村便民服务体系建设建议下一年度增加预算资金5万元，用于各乡镇镇村便民服务体系建设的培训支出。</w:t>
      </w:r>
    </w:p>
    <w:p>
      <w:pPr>
        <w:keepNext w:val="0"/>
        <w:keepLines w:val="0"/>
        <w:pageBreakBefore w:val="0"/>
        <w:widowControl w:val="0"/>
        <w:numPr>
          <w:ilvl w:val="0"/>
          <w:numId w:val="9"/>
        </w:numPr>
        <w:kinsoku/>
        <w:wordWrap/>
        <w:overflowPunct/>
        <w:topLinePunct w:val="0"/>
        <w:autoSpaceDE/>
        <w:autoSpaceDN/>
        <w:bidi w:val="0"/>
        <w:adjustRightInd w:val="0"/>
        <w:snapToGrid w:val="0"/>
        <w:spacing w:line="360" w:lineRule="auto"/>
        <w:ind w:firstLine="643" w:firstLineChars="200"/>
        <w:contextualSpacing/>
        <w:jc w:val="both"/>
        <w:textAlignment w:val="auto"/>
        <w:rPr>
          <w:rFonts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自评质量。</w:t>
      </w:r>
    </w:p>
    <w:p>
      <w:pPr>
        <w:keepNext w:val="0"/>
        <w:keepLines w:val="0"/>
        <w:pageBreakBefore w:val="0"/>
        <w:widowControl w:val="0"/>
        <w:kinsoku/>
        <w:wordWrap/>
        <w:overflowPunct/>
        <w:topLinePunct w:val="0"/>
        <w:autoSpaceDE/>
        <w:autoSpaceDN/>
        <w:bidi w:val="0"/>
        <w:snapToGrid w:val="0"/>
        <w:spacing w:line="360" w:lineRule="auto"/>
        <w:ind w:firstLine="640" w:firstLineChars="200"/>
        <w:jc w:val="both"/>
        <w:textAlignment w:val="auto"/>
        <w:outlineLvl w:val="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color w:val="000000"/>
          <w:sz w:val="32"/>
          <w:szCs w:val="32"/>
        </w:rPr>
        <w:t>该项目总体绩效目标和绩效指标完成100%，没有出现超指标值较多的原政策执行或项目实施中存在的问题和原因。</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contextualSpacing/>
        <w:jc w:val="both"/>
        <w:textAlignment w:val="auto"/>
        <w:rPr>
          <w:rFonts w:ascii="黑体" w:hAnsi="宋体" w:eastAsia="黑体" w:cs="宋体"/>
          <w:kern w:val="0"/>
          <w:sz w:val="32"/>
          <w:szCs w:val="32"/>
          <w:shd w:val="clear" w:color="auto" w:fill="FFFFFF"/>
        </w:rPr>
      </w:pPr>
      <w:r>
        <w:rPr>
          <w:rFonts w:hint="eastAsia" w:ascii="黑体" w:hAnsi="宋体" w:eastAsia="黑体" w:cs="宋体"/>
          <w:kern w:val="0"/>
          <w:sz w:val="32"/>
          <w:szCs w:val="32"/>
          <w:shd w:val="clear" w:color="auto" w:fill="FFFFFF"/>
        </w:rPr>
        <w:t>四、评价结论及建议</w:t>
      </w:r>
    </w:p>
    <w:p>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contextualSpacing/>
        <w:jc w:val="both"/>
        <w:textAlignment w:val="auto"/>
        <w:rPr>
          <w:rFonts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（一）评价结论。</w:t>
      </w:r>
    </w:p>
    <w:p>
      <w:pPr>
        <w:keepNext w:val="0"/>
        <w:keepLines w:val="0"/>
        <w:pageBreakBefore w:val="0"/>
        <w:widowControl w:val="0"/>
        <w:kinsoku/>
        <w:wordWrap/>
        <w:overflowPunct/>
        <w:topLinePunct w:val="0"/>
        <w:autoSpaceDE/>
        <w:autoSpaceDN/>
        <w:bidi w:val="0"/>
        <w:snapToGrid w:val="0"/>
        <w:spacing w:line="360" w:lineRule="auto"/>
        <w:ind w:firstLine="640" w:firstLineChars="200"/>
        <w:jc w:val="both"/>
        <w:textAlignment w:val="auto"/>
        <w:outlineLvl w:val="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行政审批局成立绩效评价组，并将绩效评价过程中发现的新情况新问题及时予以反馈，并提出改进整改完善建议，确保评价工作有序进行。</w:t>
      </w:r>
    </w:p>
    <w:p>
      <w:pPr>
        <w:keepNext w:val="0"/>
        <w:keepLines w:val="0"/>
        <w:pageBreakBefore w:val="0"/>
        <w:widowControl w:val="0"/>
        <w:kinsoku/>
        <w:wordWrap/>
        <w:overflowPunct/>
        <w:topLinePunct w:val="0"/>
        <w:autoSpaceDE/>
        <w:autoSpaceDN/>
        <w:bidi w:val="0"/>
        <w:snapToGrid w:val="0"/>
        <w:spacing w:line="360" w:lineRule="auto"/>
        <w:ind w:firstLine="640" w:firstLineChars="200"/>
        <w:jc w:val="both"/>
        <w:textAlignment w:val="auto"/>
        <w:outlineLvl w:val="0"/>
        <w:rPr>
          <w:rFonts w:ascii="仿宋_GB2312" w:hAnsi="仿宋_GB2312" w:eastAsia="仿宋_GB2312" w:cs="仿宋_GB2312"/>
          <w:bCs/>
          <w:sz w:val="32"/>
          <w:szCs w:val="32"/>
          <w:lang w:val="zh-CN"/>
        </w:rPr>
      </w:pPr>
      <w:r>
        <w:rPr>
          <w:rFonts w:hint="eastAsia" w:ascii="仿宋_GB2312" w:hAnsi="仿宋_GB2312" w:eastAsia="仿宋_GB2312" w:cs="仿宋_GB2312"/>
          <w:bCs/>
          <w:sz w:val="32"/>
          <w:szCs w:val="32"/>
        </w:rPr>
        <w:t>县行政审批局</w:t>
      </w:r>
      <w:r>
        <w:rPr>
          <w:rFonts w:hint="eastAsia" w:ascii="仿宋_GB2312" w:hAnsi="仿宋_GB2312" w:eastAsia="仿宋_GB2312" w:cs="仿宋_GB2312"/>
          <w:bCs/>
          <w:sz w:val="32"/>
          <w:szCs w:val="32"/>
          <w:lang w:val="zh-CN"/>
        </w:rPr>
        <w:t>认真履行好部门职能职责，全面保障了机关日常正常运转，圆满完成了县委、县政府下达的各项业务目标任务，经费使用合理。</w:t>
      </w:r>
    </w:p>
    <w:p>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firstLine="643" w:firstLineChars="200"/>
        <w:contextualSpacing/>
        <w:jc w:val="both"/>
        <w:textAlignment w:val="auto"/>
        <w:rPr>
          <w:rFonts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存在问题。</w:t>
      </w:r>
    </w:p>
    <w:p>
      <w:pPr>
        <w:keepNext w:val="0"/>
        <w:keepLines w:val="0"/>
        <w:pageBreakBefore w:val="0"/>
        <w:widowControl w:val="0"/>
        <w:kinsoku/>
        <w:wordWrap/>
        <w:overflowPunct/>
        <w:topLinePunct w:val="0"/>
        <w:autoSpaceDE/>
        <w:autoSpaceDN/>
        <w:bidi w:val="0"/>
        <w:snapToGrid w:val="0"/>
        <w:spacing w:line="360" w:lineRule="auto"/>
        <w:ind w:firstLine="640" w:firstLineChars="200"/>
        <w:jc w:val="both"/>
        <w:textAlignment w:val="auto"/>
        <w:outlineLvl w:val="0"/>
        <w:rPr>
          <w:rFonts w:ascii="仿宋_GB2312" w:hAnsi="仿宋_GB2312" w:eastAsia="仿宋_GB2312" w:cs="仿宋_GB2312"/>
          <w:bCs/>
          <w:sz w:val="32"/>
          <w:szCs w:val="32"/>
          <w:lang w:val="zh-CN"/>
        </w:rPr>
      </w:pPr>
      <w:r>
        <w:rPr>
          <w:rFonts w:hint="eastAsia" w:ascii="仿宋_GB2312" w:hAnsi="仿宋_GB2312" w:eastAsia="仿宋_GB2312" w:cs="仿宋_GB2312"/>
          <w:bCs/>
          <w:sz w:val="32"/>
          <w:szCs w:val="32"/>
        </w:rPr>
        <w:t>由于预算绩效管理工作开展时间短，涉及面广，专业性强，加上缺乏系统的培训，对预算绩效管理业务不精通，在一定程度上影响了绩效评价工作质量。</w:t>
      </w:r>
    </w:p>
    <w:p>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firstLine="643" w:firstLineChars="200"/>
        <w:contextualSpacing/>
        <w:jc w:val="both"/>
        <w:textAlignment w:val="auto"/>
        <w:rPr>
          <w:rFonts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改进建议。</w:t>
      </w:r>
    </w:p>
    <w:p>
      <w:pPr>
        <w:keepNext w:val="0"/>
        <w:keepLines w:val="0"/>
        <w:pageBreakBefore w:val="0"/>
        <w:widowControl w:val="0"/>
        <w:kinsoku/>
        <w:wordWrap/>
        <w:overflowPunct/>
        <w:topLinePunct w:val="0"/>
        <w:autoSpaceDE/>
        <w:autoSpaceDN/>
        <w:bidi w:val="0"/>
        <w:snapToGrid w:val="0"/>
        <w:spacing w:line="360" w:lineRule="auto"/>
        <w:ind w:firstLine="640" w:firstLineChars="200"/>
        <w:jc w:val="both"/>
        <w:textAlignment w:val="auto"/>
        <w:outlineLvl w:val="0"/>
        <w:rPr>
          <w:rFonts w:ascii="仿宋_GB2312" w:hAnsi="仿宋_GB2312" w:eastAsia="仿宋_GB2312" w:cs="仿宋_GB2312"/>
          <w:bCs/>
          <w:sz w:val="30"/>
          <w:szCs w:val="30"/>
        </w:rPr>
      </w:pPr>
      <w:r>
        <w:rPr>
          <w:rFonts w:hint="eastAsia" w:ascii="仿宋_GB2312" w:hAnsi="仿宋_GB2312" w:eastAsia="仿宋_GB2312" w:cs="仿宋_GB2312"/>
          <w:bCs/>
          <w:sz w:val="32"/>
          <w:szCs w:val="32"/>
        </w:rPr>
        <w:t>加大财务绩效评价工作的宣传和培训力度。</w:t>
      </w:r>
    </w:p>
    <w:p>
      <w:pPr>
        <w:spacing w:line="600" w:lineRule="exact"/>
        <w:ind w:firstLine="600" w:firstLineChars="200"/>
        <w:outlineLvl w:val="0"/>
        <w:rPr>
          <w:rFonts w:ascii="仿宋_GB2312" w:hAnsi="仿宋_GB2312" w:eastAsia="仿宋_GB2312" w:cs="仿宋_GB2312"/>
          <w:bCs/>
          <w:sz w:val="30"/>
          <w:szCs w:val="30"/>
          <w:lang w:val="zh-CN"/>
        </w:rPr>
      </w:pPr>
    </w:p>
    <w:p>
      <w:pPr>
        <w:pStyle w:val="15"/>
        <w:spacing w:line="560" w:lineRule="exact"/>
        <w:ind w:left="0" w:leftChars="0" w:firstLine="0" w:firstLineChars="0"/>
        <w:rPr>
          <w:rFonts w:hAnsi="仿宋_GB2312" w:eastAsia="仿宋_GB2312" w:cs="仿宋_GB2312"/>
          <w:sz w:val="32"/>
          <w:lang w:val="zh-CN"/>
        </w:rPr>
      </w:pPr>
    </w:p>
    <w:p>
      <w:pPr>
        <w:rPr>
          <w:sz w:val="32"/>
          <w:highlight w:val="lightGray"/>
          <w:lang w:val="zh-CN"/>
        </w:rPr>
      </w:pPr>
      <w:r>
        <w:rPr>
          <w:sz w:val="32"/>
          <w:highlight w:val="lightGray"/>
          <w:lang w:val="zh-CN"/>
        </w:rPr>
        <w:br w:type="page"/>
      </w:r>
    </w:p>
    <w:p>
      <w:pPr>
        <w:spacing w:line="600" w:lineRule="exact"/>
        <w:jc w:val="center"/>
        <w:outlineLvl w:val="0"/>
        <w:rPr>
          <w:rFonts w:ascii="仿宋" w:hAnsi="仿宋" w:eastAsia="仿宋"/>
        </w:rPr>
      </w:pPr>
      <w:bookmarkStart w:id="51" w:name="_Toc15396618"/>
      <w:r>
        <w:rPr>
          <w:rFonts w:hint="eastAsia" w:ascii="黑体" w:hAnsi="黑体" w:eastAsia="黑体"/>
          <w:sz w:val="44"/>
          <w:szCs w:val="44"/>
        </w:rPr>
        <w:t>第</w:t>
      </w:r>
      <w:r>
        <w:rPr>
          <w:rStyle w:val="30"/>
          <w:rFonts w:hint="eastAsia" w:ascii="黑体" w:hAnsi="黑体" w:eastAsia="黑体"/>
          <w:b w:val="0"/>
        </w:rPr>
        <w:t>五部分 附表</w:t>
      </w:r>
      <w:bookmarkEnd w:id="50"/>
      <w:bookmarkEnd w:id="51"/>
      <w:bookmarkStart w:id="52" w:name="_Toc15396619"/>
    </w:p>
    <w:p>
      <w:pPr>
        <w:pStyle w:val="4"/>
        <w:rPr>
          <w:rFonts w:hint="eastAsia" w:ascii="仿宋" w:hAnsi="仿宋" w:eastAsia="仿宋"/>
          <w:b w:val="0"/>
        </w:rPr>
      </w:pPr>
    </w:p>
    <w:p>
      <w:pPr>
        <w:pStyle w:val="4"/>
        <w:keepNext/>
        <w:keepLines/>
        <w:pageBreakBefore w:val="0"/>
        <w:widowControl w:val="0"/>
        <w:kinsoku/>
        <w:wordWrap/>
        <w:overflowPunct/>
        <w:topLinePunct w:val="0"/>
        <w:autoSpaceDE/>
        <w:autoSpaceDN/>
        <w:bidi w:val="0"/>
        <w:adjustRightInd/>
        <w:snapToGrid w:val="0"/>
        <w:spacing w:before="0" w:after="0" w:line="360" w:lineRule="auto"/>
        <w:textAlignment w:val="auto"/>
        <w:rPr>
          <w:rFonts w:ascii="仿宋" w:hAnsi="仿宋" w:eastAsia="仿宋"/>
        </w:rPr>
      </w:pPr>
      <w:r>
        <w:rPr>
          <w:rFonts w:hint="eastAsia" w:ascii="仿宋" w:hAnsi="仿宋" w:eastAsia="仿宋"/>
          <w:b w:val="0"/>
        </w:rPr>
        <w:t>一、收</w:t>
      </w:r>
      <w:r>
        <w:rPr>
          <w:rStyle w:val="31"/>
          <w:rFonts w:hint="eastAsia" w:ascii="仿宋" w:hAnsi="仿宋" w:eastAsia="仿宋"/>
          <w:b w:val="0"/>
          <w:bCs w:val="0"/>
        </w:rPr>
        <w:t>入支出决算总表</w:t>
      </w:r>
      <w:bookmarkEnd w:id="52"/>
    </w:p>
    <w:p>
      <w:pPr>
        <w:pStyle w:val="4"/>
        <w:keepNext/>
        <w:keepLines/>
        <w:pageBreakBefore w:val="0"/>
        <w:widowControl w:val="0"/>
        <w:kinsoku/>
        <w:wordWrap/>
        <w:overflowPunct/>
        <w:topLinePunct w:val="0"/>
        <w:autoSpaceDE/>
        <w:autoSpaceDN/>
        <w:bidi w:val="0"/>
        <w:adjustRightInd/>
        <w:snapToGrid w:val="0"/>
        <w:spacing w:before="0" w:after="0" w:line="360" w:lineRule="auto"/>
        <w:textAlignment w:val="auto"/>
        <w:rPr>
          <w:rFonts w:ascii="仿宋" w:hAnsi="仿宋" w:eastAsia="仿宋"/>
        </w:rPr>
      </w:pPr>
      <w:bookmarkStart w:id="53" w:name="_Toc15396620"/>
      <w:r>
        <w:rPr>
          <w:rFonts w:hint="eastAsia" w:ascii="仿宋" w:hAnsi="仿宋" w:eastAsia="仿宋"/>
          <w:b w:val="0"/>
        </w:rPr>
        <w:t>二、收</w:t>
      </w:r>
      <w:r>
        <w:rPr>
          <w:rStyle w:val="31"/>
          <w:rFonts w:hint="eastAsia" w:ascii="仿宋" w:hAnsi="仿宋" w:eastAsia="仿宋"/>
          <w:b w:val="0"/>
          <w:bCs w:val="0"/>
        </w:rPr>
        <w:t>入决算表</w:t>
      </w:r>
      <w:bookmarkEnd w:id="53"/>
    </w:p>
    <w:p>
      <w:pPr>
        <w:pStyle w:val="4"/>
        <w:keepNext/>
        <w:keepLines/>
        <w:pageBreakBefore w:val="0"/>
        <w:widowControl w:val="0"/>
        <w:kinsoku/>
        <w:wordWrap/>
        <w:overflowPunct/>
        <w:topLinePunct w:val="0"/>
        <w:autoSpaceDE/>
        <w:autoSpaceDN/>
        <w:bidi w:val="0"/>
        <w:adjustRightInd/>
        <w:snapToGrid w:val="0"/>
        <w:spacing w:before="0" w:after="0" w:line="360" w:lineRule="auto"/>
        <w:textAlignment w:val="auto"/>
        <w:rPr>
          <w:rFonts w:ascii="仿宋" w:hAnsi="仿宋" w:eastAsia="仿宋"/>
        </w:rPr>
      </w:pPr>
      <w:bookmarkStart w:id="54" w:name="_Toc15396621"/>
      <w:r>
        <w:rPr>
          <w:rStyle w:val="31"/>
          <w:rFonts w:hint="eastAsia" w:ascii="仿宋" w:hAnsi="仿宋" w:eastAsia="仿宋"/>
          <w:b w:val="0"/>
          <w:bCs w:val="0"/>
        </w:rPr>
        <w:t>三、</w:t>
      </w:r>
      <w:r>
        <w:rPr>
          <w:rFonts w:hint="eastAsia" w:ascii="仿宋" w:hAnsi="仿宋" w:eastAsia="仿宋"/>
          <w:b w:val="0"/>
        </w:rPr>
        <w:t>支</w:t>
      </w:r>
      <w:r>
        <w:rPr>
          <w:rStyle w:val="31"/>
          <w:rFonts w:hint="eastAsia" w:ascii="仿宋" w:hAnsi="仿宋" w:eastAsia="仿宋"/>
          <w:b w:val="0"/>
          <w:bCs w:val="0"/>
        </w:rPr>
        <w:t>出决算表</w:t>
      </w:r>
      <w:bookmarkEnd w:id="54"/>
    </w:p>
    <w:p>
      <w:pPr>
        <w:pStyle w:val="4"/>
        <w:keepNext/>
        <w:keepLines/>
        <w:pageBreakBefore w:val="0"/>
        <w:widowControl w:val="0"/>
        <w:kinsoku/>
        <w:wordWrap/>
        <w:overflowPunct/>
        <w:topLinePunct w:val="0"/>
        <w:autoSpaceDE/>
        <w:autoSpaceDN/>
        <w:bidi w:val="0"/>
        <w:adjustRightInd/>
        <w:snapToGrid w:val="0"/>
        <w:spacing w:before="0" w:after="0" w:line="360" w:lineRule="auto"/>
        <w:textAlignment w:val="auto"/>
        <w:rPr>
          <w:rFonts w:ascii="仿宋" w:hAnsi="仿宋" w:eastAsia="仿宋"/>
          <w:b w:val="0"/>
        </w:rPr>
      </w:pPr>
      <w:bookmarkStart w:id="55" w:name="_Toc15396622"/>
      <w:r>
        <w:rPr>
          <w:rStyle w:val="31"/>
          <w:rFonts w:hint="eastAsia" w:ascii="仿宋" w:hAnsi="仿宋" w:eastAsia="仿宋"/>
          <w:b w:val="0"/>
          <w:bCs w:val="0"/>
        </w:rPr>
        <w:t>四、</w:t>
      </w:r>
      <w:r>
        <w:rPr>
          <w:rFonts w:hint="eastAsia" w:ascii="仿宋" w:hAnsi="仿宋" w:eastAsia="仿宋"/>
          <w:b w:val="0"/>
        </w:rPr>
        <w:t>财</w:t>
      </w:r>
      <w:r>
        <w:rPr>
          <w:rStyle w:val="31"/>
          <w:rFonts w:hint="eastAsia" w:ascii="仿宋" w:hAnsi="仿宋" w:eastAsia="仿宋"/>
          <w:b w:val="0"/>
          <w:bCs w:val="0"/>
        </w:rPr>
        <w:t>政拨款收入支出决算总表</w:t>
      </w:r>
      <w:bookmarkEnd w:id="55"/>
    </w:p>
    <w:p>
      <w:pPr>
        <w:pStyle w:val="4"/>
        <w:keepNext/>
        <w:keepLines/>
        <w:pageBreakBefore w:val="0"/>
        <w:widowControl w:val="0"/>
        <w:kinsoku/>
        <w:wordWrap/>
        <w:overflowPunct/>
        <w:topLinePunct w:val="0"/>
        <w:autoSpaceDE/>
        <w:autoSpaceDN/>
        <w:bidi w:val="0"/>
        <w:adjustRightInd/>
        <w:snapToGrid w:val="0"/>
        <w:spacing w:before="0" w:after="0" w:line="360" w:lineRule="auto"/>
        <w:textAlignment w:val="auto"/>
        <w:rPr>
          <w:rStyle w:val="31"/>
          <w:rFonts w:ascii="仿宋" w:hAnsi="仿宋" w:eastAsia="仿宋"/>
          <w:b w:val="0"/>
          <w:bCs w:val="0"/>
        </w:rPr>
      </w:pPr>
      <w:bookmarkStart w:id="56" w:name="_Toc15396623"/>
      <w:r>
        <w:rPr>
          <w:rStyle w:val="31"/>
          <w:rFonts w:hint="eastAsia" w:ascii="仿宋" w:hAnsi="仿宋" w:eastAsia="仿宋"/>
          <w:b w:val="0"/>
          <w:bCs w:val="0"/>
        </w:rPr>
        <w:t>五、</w:t>
      </w:r>
      <w:r>
        <w:rPr>
          <w:rFonts w:hint="eastAsia" w:ascii="仿宋" w:hAnsi="仿宋" w:eastAsia="仿宋"/>
          <w:b w:val="0"/>
        </w:rPr>
        <w:t>财</w:t>
      </w:r>
      <w:r>
        <w:rPr>
          <w:rStyle w:val="31"/>
          <w:rFonts w:hint="eastAsia" w:ascii="仿宋" w:hAnsi="仿宋" w:eastAsia="仿宋"/>
          <w:b w:val="0"/>
          <w:bCs w:val="0"/>
        </w:rPr>
        <w:t>政拨款支出决算明细表</w:t>
      </w:r>
      <w:bookmarkEnd w:id="56"/>
      <w:bookmarkStart w:id="57" w:name="_Toc15396624"/>
    </w:p>
    <w:p>
      <w:pPr>
        <w:pStyle w:val="4"/>
        <w:keepNext/>
        <w:keepLines/>
        <w:pageBreakBefore w:val="0"/>
        <w:widowControl w:val="0"/>
        <w:kinsoku/>
        <w:wordWrap/>
        <w:overflowPunct/>
        <w:topLinePunct w:val="0"/>
        <w:autoSpaceDE/>
        <w:autoSpaceDN/>
        <w:bidi w:val="0"/>
        <w:adjustRightInd/>
        <w:snapToGrid w:val="0"/>
        <w:spacing w:before="0" w:after="0" w:line="360" w:lineRule="auto"/>
        <w:textAlignment w:val="auto"/>
        <w:rPr>
          <w:rFonts w:ascii="仿宋" w:hAnsi="仿宋" w:eastAsia="仿宋"/>
        </w:rPr>
      </w:pPr>
      <w:r>
        <w:rPr>
          <w:rStyle w:val="31"/>
          <w:rFonts w:hint="eastAsia" w:ascii="仿宋" w:hAnsi="仿宋" w:eastAsia="仿宋"/>
          <w:b w:val="0"/>
          <w:bCs w:val="0"/>
        </w:rPr>
        <w:t>六、</w:t>
      </w:r>
      <w:r>
        <w:rPr>
          <w:rFonts w:hint="eastAsia" w:ascii="仿宋" w:hAnsi="仿宋" w:eastAsia="仿宋"/>
          <w:b w:val="0"/>
        </w:rPr>
        <w:t>一</w:t>
      </w:r>
      <w:r>
        <w:rPr>
          <w:rStyle w:val="31"/>
          <w:rFonts w:hint="eastAsia" w:ascii="仿宋" w:hAnsi="仿宋" w:eastAsia="仿宋"/>
          <w:b w:val="0"/>
          <w:bCs w:val="0"/>
        </w:rPr>
        <w:t>般公共预算财政拨款支出决算表</w:t>
      </w:r>
      <w:bookmarkEnd w:id="57"/>
    </w:p>
    <w:p>
      <w:pPr>
        <w:pStyle w:val="4"/>
        <w:keepNext/>
        <w:keepLines/>
        <w:pageBreakBefore w:val="0"/>
        <w:widowControl w:val="0"/>
        <w:kinsoku/>
        <w:wordWrap/>
        <w:overflowPunct/>
        <w:topLinePunct w:val="0"/>
        <w:autoSpaceDE/>
        <w:autoSpaceDN/>
        <w:bidi w:val="0"/>
        <w:adjustRightInd/>
        <w:snapToGrid w:val="0"/>
        <w:spacing w:before="0" w:after="0" w:line="360" w:lineRule="auto"/>
        <w:textAlignment w:val="auto"/>
        <w:rPr>
          <w:rFonts w:ascii="仿宋" w:hAnsi="仿宋" w:eastAsia="仿宋"/>
        </w:rPr>
      </w:pPr>
      <w:bookmarkStart w:id="58" w:name="_Toc15396625"/>
      <w:r>
        <w:rPr>
          <w:rStyle w:val="31"/>
          <w:rFonts w:hint="eastAsia" w:ascii="仿宋" w:hAnsi="仿宋" w:eastAsia="仿宋"/>
          <w:b w:val="0"/>
          <w:bCs w:val="0"/>
        </w:rPr>
        <w:t>七、</w:t>
      </w:r>
      <w:r>
        <w:rPr>
          <w:rFonts w:hint="eastAsia" w:ascii="仿宋" w:hAnsi="仿宋" w:eastAsia="仿宋"/>
          <w:b w:val="0"/>
        </w:rPr>
        <w:t>一</w:t>
      </w:r>
      <w:r>
        <w:rPr>
          <w:rStyle w:val="31"/>
          <w:rFonts w:hint="eastAsia" w:ascii="仿宋" w:hAnsi="仿宋" w:eastAsia="仿宋"/>
          <w:b w:val="0"/>
          <w:bCs w:val="0"/>
        </w:rPr>
        <w:t>般公共预算财政拨款支出决算明细表</w:t>
      </w:r>
      <w:bookmarkEnd w:id="58"/>
    </w:p>
    <w:p>
      <w:pPr>
        <w:pStyle w:val="4"/>
        <w:keepNext/>
        <w:keepLines/>
        <w:pageBreakBefore w:val="0"/>
        <w:widowControl w:val="0"/>
        <w:kinsoku/>
        <w:wordWrap/>
        <w:overflowPunct/>
        <w:topLinePunct w:val="0"/>
        <w:autoSpaceDE/>
        <w:autoSpaceDN/>
        <w:bidi w:val="0"/>
        <w:adjustRightInd/>
        <w:snapToGrid w:val="0"/>
        <w:spacing w:before="0" w:after="0" w:line="360" w:lineRule="auto"/>
        <w:textAlignment w:val="auto"/>
        <w:rPr>
          <w:rFonts w:ascii="仿宋" w:hAnsi="仿宋" w:eastAsia="仿宋"/>
        </w:rPr>
      </w:pPr>
      <w:bookmarkStart w:id="59" w:name="_Toc15396626"/>
      <w:r>
        <w:rPr>
          <w:rStyle w:val="31"/>
          <w:rFonts w:hint="eastAsia" w:ascii="仿宋" w:hAnsi="仿宋" w:eastAsia="仿宋"/>
          <w:b w:val="0"/>
          <w:bCs w:val="0"/>
        </w:rPr>
        <w:t>八、</w:t>
      </w:r>
      <w:r>
        <w:rPr>
          <w:rFonts w:hint="eastAsia" w:ascii="仿宋" w:hAnsi="仿宋" w:eastAsia="仿宋"/>
          <w:b w:val="0"/>
        </w:rPr>
        <w:t>一</w:t>
      </w:r>
      <w:r>
        <w:rPr>
          <w:rStyle w:val="31"/>
          <w:rFonts w:hint="eastAsia" w:ascii="仿宋" w:hAnsi="仿宋" w:eastAsia="仿宋"/>
          <w:b w:val="0"/>
          <w:bCs w:val="0"/>
        </w:rPr>
        <w:t>般公共预算财政拨款基本支出决算表</w:t>
      </w:r>
      <w:bookmarkEnd w:id="59"/>
    </w:p>
    <w:p>
      <w:pPr>
        <w:pStyle w:val="4"/>
        <w:keepNext/>
        <w:keepLines/>
        <w:pageBreakBefore w:val="0"/>
        <w:widowControl w:val="0"/>
        <w:kinsoku/>
        <w:wordWrap/>
        <w:overflowPunct/>
        <w:topLinePunct w:val="0"/>
        <w:autoSpaceDE/>
        <w:autoSpaceDN/>
        <w:bidi w:val="0"/>
        <w:adjustRightInd/>
        <w:snapToGrid w:val="0"/>
        <w:spacing w:before="0" w:after="0" w:line="360" w:lineRule="auto"/>
        <w:textAlignment w:val="auto"/>
        <w:rPr>
          <w:rFonts w:ascii="仿宋" w:hAnsi="仿宋" w:eastAsia="仿宋"/>
        </w:rPr>
      </w:pPr>
      <w:bookmarkStart w:id="60" w:name="_Toc15396627"/>
      <w:r>
        <w:rPr>
          <w:rStyle w:val="31"/>
          <w:rFonts w:hint="eastAsia" w:ascii="仿宋" w:hAnsi="仿宋" w:eastAsia="仿宋"/>
          <w:b w:val="0"/>
          <w:bCs w:val="0"/>
        </w:rPr>
        <w:t>九、</w:t>
      </w:r>
      <w:r>
        <w:rPr>
          <w:rFonts w:hint="eastAsia" w:ascii="仿宋" w:hAnsi="仿宋" w:eastAsia="仿宋"/>
          <w:b w:val="0"/>
        </w:rPr>
        <w:t>一</w:t>
      </w:r>
      <w:r>
        <w:rPr>
          <w:rStyle w:val="31"/>
          <w:rFonts w:hint="eastAsia" w:ascii="仿宋" w:hAnsi="仿宋" w:eastAsia="仿宋"/>
          <w:b w:val="0"/>
          <w:bCs w:val="0"/>
        </w:rPr>
        <w:t>般公共预算财政拨款项目支出决算表</w:t>
      </w:r>
      <w:bookmarkEnd w:id="60"/>
    </w:p>
    <w:p>
      <w:pPr>
        <w:pStyle w:val="4"/>
        <w:keepNext/>
        <w:keepLines/>
        <w:pageBreakBefore w:val="0"/>
        <w:widowControl w:val="0"/>
        <w:kinsoku/>
        <w:wordWrap/>
        <w:overflowPunct/>
        <w:topLinePunct w:val="0"/>
        <w:autoSpaceDE/>
        <w:autoSpaceDN/>
        <w:bidi w:val="0"/>
        <w:adjustRightInd/>
        <w:snapToGrid w:val="0"/>
        <w:spacing w:before="0" w:after="0" w:line="360" w:lineRule="auto"/>
        <w:textAlignment w:val="auto"/>
        <w:rPr>
          <w:rFonts w:ascii="仿宋" w:hAnsi="仿宋" w:eastAsia="仿宋"/>
        </w:rPr>
      </w:pPr>
      <w:bookmarkStart w:id="61" w:name="_Toc15396628"/>
      <w:r>
        <w:rPr>
          <w:rStyle w:val="31"/>
          <w:rFonts w:hint="eastAsia" w:ascii="仿宋" w:hAnsi="仿宋" w:eastAsia="仿宋"/>
          <w:b w:val="0"/>
          <w:bCs w:val="0"/>
        </w:rPr>
        <w:t>十、</w:t>
      </w:r>
      <w:bookmarkEnd w:id="61"/>
      <w:r>
        <w:rPr>
          <w:rFonts w:hint="eastAsia" w:ascii="仿宋" w:hAnsi="仿宋" w:eastAsia="仿宋"/>
          <w:b w:val="0"/>
        </w:rPr>
        <w:t>政</w:t>
      </w:r>
      <w:r>
        <w:rPr>
          <w:rStyle w:val="31"/>
          <w:rFonts w:hint="eastAsia" w:ascii="仿宋" w:hAnsi="仿宋" w:eastAsia="仿宋"/>
          <w:b w:val="0"/>
          <w:bCs w:val="0"/>
        </w:rPr>
        <w:t>府性基金预算财政拨款收入支出决算表</w:t>
      </w:r>
    </w:p>
    <w:p>
      <w:pPr>
        <w:pStyle w:val="4"/>
        <w:keepNext/>
        <w:keepLines/>
        <w:pageBreakBefore w:val="0"/>
        <w:widowControl w:val="0"/>
        <w:kinsoku/>
        <w:wordWrap/>
        <w:overflowPunct/>
        <w:topLinePunct w:val="0"/>
        <w:autoSpaceDE/>
        <w:autoSpaceDN/>
        <w:bidi w:val="0"/>
        <w:adjustRightInd/>
        <w:snapToGrid w:val="0"/>
        <w:spacing w:before="0" w:after="0" w:line="360" w:lineRule="auto"/>
        <w:textAlignment w:val="auto"/>
        <w:rPr>
          <w:rFonts w:ascii="仿宋" w:hAnsi="仿宋" w:eastAsia="仿宋"/>
        </w:rPr>
      </w:pPr>
      <w:bookmarkStart w:id="62" w:name="_Toc15396629"/>
      <w:r>
        <w:rPr>
          <w:rStyle w:val="31"/>
          <w:rFonts w:hint="eastAsia" w:ascii="仿宋" w:hAnsi="仿宋" w:eastAsia="仿宋"/>
          <w:b w:val="0"/>
          <w:bCs w:val="0"/>
        </w:rPr>
        <w:t>十一、</w:t>
      </w:r>
      <w:bookmarkEnd w:id="62"/>
      <w:r>
        <w:rPr>
          <w:rFonts w:hint="eastAsia" w:ascii="仿宋" w:hAnsi="仿宋" w:eastAsia="仿宋"/>
          <w:b w:val="0"/>
        </w:rPr>
        <w:t>国</w:t>
      </w:r>
      <w:r>
        <w:rPr>
          <w:rStyle w:val="31"/>
          <w:rFonts w:hint="eastAsia" w:ascii="仿宋" w:hAnsi="仿宋" w:eastAsia="仿宋"/>
          <w:b w:val="0"/>
          <w:bCs w:val="0"/>
        </w:rPr>
        <w:t>有资本经营预算财政拨款收入支出决算表</w:t>
      </w:r>
    </w:p>
    <w:p>
      <w:pPr>
        <w:pStyle w:val="4"/>
        <w:keepNext/>
        <w:keepLines/>
        <w:pageBreakBefore w:val="0"/>
        <w:widowControl w:val="0"/>
        <w:kinsoku/>
        <w:wordWrap/>
        <w:overflowPunct/>
        <w:topLinePunct w:val="0"/>
        <w:autoSpaceDE/>
        <w:autoSpaceDN/>
        <w:bidi w:val="0"/>
        <w:adjustRightInd/>
        <w:snapToGrid w:val="0"/>
        <w:spacing w:before="0" w:after="0" w:line="360" w:lineRule="auto"/>
        <w:textAlignment w:val="auto"/>
        <w:rPr>
          <w:rFonts w:ascii="仿宋" w:hAnsi="仿宋" w:eastAsia="仿宋"/>
        </w:rPr>
      </w:pPr>
      <w:bookmarkStart w:id="63" w:name="_Toc15396630"/>
      <w:r>
        <w:rPr>
          <w:rStyle w:val="31"/>
          <w:rFonts w:hint="eastAsia" w:ascii="仿宋" w:hAnsi="仿宋" w:eastAsia="仿宋"/>
          <w:b w:val="0"/>
          <w:bCs w:val="0"/>
        </w:rPr>
        <w:t>十二、</w:t>
      </w:r>
      <w:bookmarkEnd w:id="63"/>
      <w:r>
        <w:rPr>
          <w:rStyle w:val="31"/>
          <w:rFonts w:hint="eastAsia" w:ascii="仿宋" w:hAnsi="仿宋" w:eastAsia="仿宋"/>
          <w:b w:val="0"/>
          <w:bCs w:val="0"/>
        </w:rPr>
        <w:t>国有资本经营预算财政拨款支出决算表</w:t>
      </w:r>
    </w:p>
    <w:p>
      <w:pPr>
        <w:pStyle w:val="4"/>
        <w:keepNext/>
        <w:keepLines/>
        <w:pageBreakBefore w:val="0"/>
        <w:widowControl w:val="0"/>
        <w:kinsoku/>
        <w:wordWrap/>
        <w:overflowPunct/>
        <w:topLinePunct w:val="0"/>
        <w:autoSpaceDE/>
        <w:autoSpaceDN/>
        <w:bidi w:val="0"/>
        <w:adjustRightInd/>
        <w:snapToGrid w:val="0"/>
        <w:spacing w:before="0" w:after="0" w:line="360" w:lineRule="auto"/>
        <w:textAlignment w:val="auto"/>
        <w:rPr>
          <w:rFonts w:eastAsia="仿宋"/>
        </w:rPr>
      </w:pPr>
      <w:bookmarkStart w:id="64" w:name="_Toc15396631"/>
      <w:r>
        <w:rPr>
          <w:rStyle w:val="31"/>
          <w:rFonts w:hint="eastAsia" w:ascii="仿宋" w:hAnsi="仿宋" w:eastAsia="仿宋"/>
          <w:b w:val="0"/>
          <w:bCs w:val="0"/>
        </w:rPr>
        <w:t>十三、</w:t>
      </w:r>
      <w:bookmarkEnd w:id="64"/>
      <w:r>
        <w:rPr>
          <w:rStyle w:val="31"/>
          <w:rFonts w:hint="eastAsia" w:ascii="仿宋" w:hAnsi="仿宋" w:eastAsia="仿宋"/>
          <w:b w:val="0"/>
          <w:bCs w:val="0"/>
        </w:rPr>
        <w:t>财政拨款“三公”经费支出决算表</w:t>
      </w:r>
    </w:p>
    <w:sectPr>
      <w:headerReference r:id="rId6" w:type="default"/>
      <w:footerReference r:id="rId7" w:type="default"/>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jc w:val="right"/>
      <w:rPr>
        <w:rStyle w:val="19"/>
        <w:rFonts w:ascii="宋体" w:hAnsi="宋体"/>
        <w:sz w:val="28"/>
        <w:szCs w:val="28"/>
      </w:rPr>
    </w:pPr>
    <w:r>
      <w:rPr>
        <w:sz w:val="28"/>
      </w:rPr>
      <w:pict>
        <v:shape id="_x0000_s2054" o:spid="_x0000_s2054"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joinstyle="miter"/>
          <v:imagedata o:title=""/>
          <o:lock v:ext="edit"/>
          <v:textbox inset="0mm,0mm,0mm,0mm" style="mso-fit-shape-to-text:t;">
            <w:txbxContent>
              <w:p>
                <w:pPr>
                  <w:tabs>
                    <w:tab w:val="center" w:pos="4153"/>
                    <w:tab w:val="right" w:pos="8306"/>
                  </w:tabs>
                  <w:jc w:val="right"/>
                </w:pPr>
                <w:r>
                  <w:fldChar w:fldCharType="begin"/>
                </w:r>
                <w:r>
                  <w:instrText xml:space="preserve"> PAGE  \* MERGEFORMAT </w:instrText>
                </w:r>
                <w:r>
                  <w:fldChar w:fldCharType="separate"/>
                </w:r>
                <w:r>
                  <w:t>2</w:t>
                </w:r>
                <w:r>
                  <w:fldChar w:fldCharType="end"/>
                </w:r>
              </w:p>
            </w:txbxContent>
          </v:textbox>
        </v:shape>
      </w:pict>
    </w:r>
  </w:p>
  <w:p>
    <w:pPr>
      <w:tabs>
        <w:tab w:val="right" w:pos="8306"/>
        <w:tab w:val="right" w:pos="8844"/>
      </w:tabs>
      <w:ind w:right="360"/>
    </w:pPr>
    <w:r>
      <w:pict>
        <v:shape id="_x0000_s2053" o:spid="_x0000_s2053" o:spt="202" type="#_x0000_t202" style="position:absolute;left:0pt;margin-left:396.8pt;margin-top:-45.8pt;height:52.2pt;width:51.7pt;mso-position-horizontal-relative:margin;z-index:251661312;mso-width-relative:page;mso-height-relative:page;" filled="f" stroked="f" coordsize="21600,21600" o:gfxdata="UEsDBAoAAAAAAIdO4kAAAAAAAAAAAAAAAAAEAAAAZHJzL1BLAwQUAAAACACHTuJA6CGOhNgAAAAK&#10;AQAADwAAAGRycy9kb3ducmV2LnhtbE2Py07DMBBF90j8gzVI7Fo7RWqTEKcLHjueBaR258RDEuFH&#10;ZDtp+XuGFexmNEd3zq22J2vYjCEO3knIlgIYutbrwXUS3t/uFzmwmJTTyniHEr4xwrY+P6tUqf3R&#10;veK8Sx2jEBdLJaFPaSw5j22PVsWlH9HR7dMHqxKtoeM6qCOFW8NXQqy5VYOjD70a8abH9ms3WQlm&#10;H8NDI9Jhvu0e08sznz7usicpLy8ycQ0s4Sn9wfCrT+pQk1PjJ6cjMxI2xdWaUAmLIqOBiLzYULuG&#10;0FUOvK74/wr1D1BLAwQUAAAACACHTuJA9mZ3U8ABAAB6AwAADgAAAGRycy9lMm9Eb2MueG1srVPN&#10;jtMwEL4j8Q6W7zRpoREbNV0JVYuQECDt8gCu4zSW/KcZt0lfAN6AExfuPFefg7GbdtFy2QMXZzw/&#10;38z3jbO6Ha1hBwWovWv4fFZyppz0rXa7hn99uHv1ljOMwrXCeKcaflTIb9cvX6yGUKuF771pFTAC&#10;cVgPoeF9jKEuCpS9sgJnPihHwc6DFZGusCtaEAOhW1MsyrIqBg9tAC8VInk35yCfEOE5gL7rtFQb&#10;L/dWuXhGBWVEJErY64B8naftOiXj565DFZlpODGN+aQmZG/TWaxXot6BCL2W0wjiOSM84WSFdtT0&#10;CrURUbA96H+grJbg0XdxJr0tzkSyIsRiXj7R5r4XQWUuJDWGq+j4/2Dlp8MXYLqll8CZE5YWfvrx&#10;/fTz9+nXNzZP8gwBa8q6D5QXx3d+TKmTH8mZWI8d2PQlPoziJO7xKq4aI5PkrJbV8oYikkJVtbh5&#10;k8UvHosDYHyvvGXJaDjQ7rKk4vARIzWk1EtK6uX8nTYm7884NhDo62WZC64RqjCOChOF86jJiuN2&#10;nObf+vZItMwHR5Km53Ex4GJsL8Y+gN71NFcmnyFpJXmq6fmknf99z40ff5n1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OghjoTYAAAACgEAAA8AAAAAAAAAAQAgAAAAIgAAAGRycy9kb3ducmV2Lnht&#10;bFBLAQIUABQAAAAIAIdO4kD2ZndTwAEAAHoDAAAOAAAAAAAAAAEAIAAAACcBAABkcnMvZTJvRG9j&#10;LnhtbFBLBQYAAAAABgAGAFkBAABZBQAAAAA=&#10;">
          <v:path/>
          <v:fill on="f" focussize="0,0"/>
          <v:stroke on="f" weight="0.5pt" joinstyle="miter"/>
          <v:imagedata o:title=""/>
          <o:lock v:ext="edit"/>
          <v:textbox inset="0mm,0mm,0mm,0mm">
            <w:txbxContent>
              <w:p>
                <w:pPr>
                  <w:tabs>
                    <w:tab w:val="center" w:pos="4153"/>
                    <w:tab w:val="right" w:pos="8306"/>
                  </w:tabs>
                  <w:rPr>
                    <w:rStyle w:val="19"/>
                    <w:rFonts w:ascii="宋体" w:hAnsi="宋体"/>
                    <w:sz w:val="28"/>
                    <w:szCs w:val="28"/>
                  </w:rPr>
                </w:pPr>
              </w:p>
              <w:p>
                <w:pPr>
                  <w:tabs>
                    <w:tab w:val="center" w:pos="4153"/>
                    <w:tab w:val="right" w:pos="8306"/>
                  </w:tabs>
                  <w:rPr>
                    <w:rStyle w:val="19"/>
                    <w:rFonts w:ascii="宋体" w:hAnsi="宋体"/>
                    <w:sz w:val="28"/>
                    <w:szCs w:val="2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Style w:val="19"/>
        <w:rFonts w:ascii="宋体" w:hAnsi="宋体"/>
        <w:sz w:val="28"/>
        <w:szCs w:val="28"/>
      </w:rPr>
    </w:pPr>
    <w:r>
      <w:rPr>
        <w:sz w:val="28"/>
      </w:rPr>
      <w:pict>
        <v:shape id="_x0000_s2052" o:spid="_x0000_s2052"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path/>
          <v:fill on="f" focussize="0,0"/>
          <v:stroke on="f" joinstyle="miter"/>
          <v:imagedata o:title=""/>
          <o:lock v:ext="edit"/>
          <v:textbox inset="0mm,0mm,0mm,0mm" style="mso-fit-shape-to-text:t;">
            <w:txbxContent>
              <w:p>
                <w:pPr>
                  <w:tabs>
                    <w:tab w:val="center" w:pos="4153"/>
                    <w:tab w:val="right" w:pos="8306"/>
                  </w:tabs>
                </w:pPr>
                <w:r>
                  <w:rPr>
                    <w:rStyle w:val="19"/>
                    <w:rFonts w:ascii="宋体" w:hAnsi="宋体"/>
                    <w:sz w:val="28"/>
                    <w:szCs w:val="28"/>
                  </w:rPr>
                  <w:fldChar w:fldCharType="begin"/>
                </w:r>
                <w:r>
                  <w:rPr>
                    <w:rStyle w:val="19"/>
                    <w:rFonts w:ascii="宋体" w:hAnsi="宋体"/>
                    <w:sz w:val="28"/>
                    <w:szCs w:val="28"/>
                  </w:rPr>
                  <w:instrText xml:space="preserve"> PAGE </w:instrText>
                </w:r>
                <w:r>
                  <w:rPr>
                    <w:rStyle w:val="19"/>
                    <w:rFonts w:ascii="宋体" w:hAnsi="宋体"/>
                    <w:sz w:val="28"/>
                    <w:szCs w:val="28"/>
                  </w:rPr>
                  <w:fldChar w:fldCharType="separate"/>
                </w:r>
                <w:r>
                  <w:rPr>
                    <w:rStyle w:val="19"/>
                    <w:rFonts w:ascii="宋体" w:hAnsi="宋体"/>
                    <w:sz w:val="28"/>
                    <w:szCs w:val="28"/>
                  </w:rPr>
                  <w:t>- 10 -</w:t>
                </w:r>
                <w:r>
                  <w:rPr>
                    <w:rStyle w:val="19"/>
                    <w:rFonts w:ascii="宋体" w:hAnsi="宋体"/>
                    <w:sz w:val="28"/>
                    <w:szCs w:val="28"/>
                  </w:rPr>
                  <w:fldChar w:fldCharType="end"/>
                </w:r>
              </w:p>
            </w:txbxContent>
          </v:textbox>
        </v:shape>
      </w:pict>
    </w:r>
  </w:p>
  <w:p>
    <w:pPr>
      <w:tabs>
        <w:tab w:val="center" w:pos="4153"/>
        <w:tab w:val="right" w:pos="8306"/>
      </w:tabs>
      <w:rPr>
        <w:rStyle w:val="19"/>
        <w:rFonts w:ascii="宋体"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jc w:val="right"/>
      <w:rPr>
        <w:rStyle w:val="19"/>
        <w:rFonts w:ascii="宋体" w:hAnsi="宋体"/>
        <w:sz w:val="28"/>
        <w:szCs w:val="28"/>
      </w:rPr>
    </w:pPr>
    <w:r>
      <w:rPr>
        <w:sz w:val="28"/>
      </w:rPr>
      <w:pict>
        <v:shape id="_x0000_s2051" o:spid="_x0000_s2051"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path/>
          <v:fill on="f" focussize="0,0"/>
          <v:stroke on="f" joinstyle="miter"/>
          <v:imagedata o:title=""/>
          <o:lock v:ext="edit"/>
          <v:textbox inset="0mm,0mm,0mm,0mm" style="mso-fit-shape-to-text:t;">
            <w:txbxContent>
              <w:p>
                <w:pPr>
                  <w:tabs>
                    <w:tab w:val="center" w:pos="4153"/>
                    <w:tab w:val="right" w:pos="8306"/>
                  </w:tabs>
                  <w:jc w:val="right"/>
                </w:pPr>
                <w:r>
                  <w:fldChar w:fldCharType="begin"/>
                </w:r>
                <w:r>
                  <w:instrText xml:space="preserve"> PAGE  \* MERGEFORMAT </w:instrText>
                </w:r>
                <w:r>
                  <w:fldChar w:fldCharType="separate"/>
                </w:r>
                <w:r>
                  <w:t>23</w:t>
                </w:r>
                <w:r>
                  <w:fldChar w:fldCharType="end"/>
                </w:r>
              </w:p>
            </w:txbxContent>
          </v:textbox>
        </v:shape>
      </w:pict>
    </w:r>
  </w:p>
  <w:p>
    <w:pPr>
      <w:tabs>
        <w:tab w:val="right" w:pos="8306"/>
        <w:tab w:val="right" w:pos="8844"/>
      </w:tabs>
      <w:ind w:right="360"/>
    </w:pPr>
    <w:r>
      <w:pict>
        <v:shape id="_x0000_s2050" o:spid="_x0000_s2050" o:spt="202" type="#_x0000_t202" style="position:absolute;left:0pt;margin-left:396.8pt;margin-top:-45.8pt;height:52.2pt;width:51.7pt;mso-position-horizontal-relative:margin;z-index:251665408;mso-width-relative:page;mso-height-relative:page;" filled="f" stroked="f" coordsize="21600,21600" o:gfxdata="UEsDBAoAAAAAAIdO4kAAAAAAAAAAAAAAAAAEAAAAZHJzL1BLAwQUAAAACACHTuJA6CGOhNgAAAAK&#10;AQAADwAAAGRycy9kb3ducmV2LnhtbE2Py07DMBBF90j8gzVI7Fo7RWqTEKcLHjueBaR258RDEuFH&#10;ZDtp+XuGFexmNEd3zq22J2vYjCEO3knIlgIYutbrwXUS3t/uFzmwmJTTyniHEr4xwrY+P6tUqf3R&#10;veK8Sx2jEBdLJaFPaSw5j22PVsWlH9HR7dMHqxKtoeM6qCOFW8NXQqy5VYOjD70a8abH9ms3WQlm&#10;H8NDI9Jhvu0e08sznz7usicpLy8ycQ0s4Sn9wfCrT+pQk1PjJ6cjMxI2xdWaUAmLIqOBiLzYULuG&#10;0FUOvK74/wr1D1BLAwQUAAAACACHTuJA3MVXhcIBAAB6AwAADgAAAGRycy9lMm9Eb2MueG1srVPN&#10;jtMwEL4j8Q6W7zTZQiM2aroSqhYhIUDa5QFcx2ks2R7L4zbpC8AbcOLCnefqczB2my7avexhL854&#10;fr6Z7xtneTNaw/YqoAbX8KtZyZlyElrttg3/fn/75j1nGIVrhQGnGn5QyG9Wr18tB1+rOfRgWhUY&#10;gTisB9/wPkZfFwXKXlmBM/DKUbCDYEWka9gWbRADoVtTzMuyKgYIrQ8gFSJ516cgPyOG5wBC12mp&#10;1iB3Vrl4Qg3KiEiUsNce+SpP23VKxq9dhyoy03BiGvNJTcjepLNYLUW9DcL3Wp5HEM8Z4REnK7Sj&#10;pheotYiC7YJ+AmW1DIDQxZkEW5yIZEWIxVX5SJu7XniVuZDU6C+i48vByi/7b4HptuEVZ05YWvjx&#10;18/j77/HPz9YleQZPNaUdecpL44fYKRHM/mRnIn12AWbvsSHUZzEPVzEVWNkkpzVolpcU0RSqKrm&#10;1++y+MVDsQ8YPyqwLBkND7S7LKnYf8ZIg1DqlJJ6ObjVxuT9GccGAn27KHPBJUIVxlFhonAaNVlx&#10;3IxnXhtoD0TLfHIkaXoekxEmYzMZOx/0tqe5MvkMSSvJU52fT9r5//fc+OGXWf0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6CGOhNgAAAAKAQAADwAAAAAAAAABACAAAAAiAAAAZHJzL2Rvd25yZXYu&#10;eG1sUEsBAhQAFAAAAAgAh07iQNzFV4XCAQAAegMAAA4AAAAAAAAAAQAgAAAAJwEAAGRycy9lMm9E&#10;b2MueG1sUEsFBgAAAAAGAAYAWQEAAFsFAAAAAA==&#10;">
          <v:path/>
          <v:fill on="f" focussize="0,0"/>
          <v:stroke on="f" weight="0.5pt" joinstyle="miter"/>
          <v:imagedata o:title=""/>
          <o:lock v:ext="edit"/>
          <v:textbox inset="0mm,0mm,0mm,0mm">
            <w:txbxContent>
              <w:p>
                <w:pPr>
                  <w:tabs>
                    <w:tab w:val="center" w:pos="4153"/>
                    <w:tab w:val="right" w:pos="8306"/>
                  </w:tabs>
                  <w:rPr>
                    <w:rStyle w:val="19"/>
                    <w:rFonts w:ascii="宋体" w:hAnsi="宋体"/>
                    <w:sz w:val="28"/>
                    <w:szCs w:val="28"/>
                  </w:rPr>
                </w:pPr>
              </w:p>
              <w:p>
                <w:pPr>
                  <w:tabs>
                    <w:tab w:val="center" w:pos="4153"/>
                    <w:tab w:val="right" w:pos="8306"/>
                  </w:tabs>
                  <w:rPr>
                    <w:rStyle w:val="19"/>
                    <w:rFonts w:ascii="宋体" w:hAnsi="宋体"/>
                    <w:sz w:val="28"/>
                    <w:szCs w:val="2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pict>
        <v:shape id="_x0000_s2049" o:spid="_x0000_s2049"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path/>
          <v:fill on="f" focussize="0,0"/>
          <v:stroke on="f" weight="0.5pt" joinstyle="miter"/>
          <v:imagedata o:title=""/>
          <o:lock v:ext="edit"/>
          <v:textbox inset="0mm,0mm,0mm,0mm" style="mso-fit-shape-to-text:t;">
            <w:txbxContent>
              <w:p>
                <w:pPr>
                  <w:pStyle w:val="9"/>
                </w:pPr>
                <w:r>
                  <w:fldChar w:fldCharType="begin"/>
                </w:r>
                <w:r>
                  <w:instrText xml:space="preserve"> PAGE  \* MERGEFORMAT </w:instrText>
                </w:r>
                <w:r>
                  <w:fldChar w:fldCharType="separate"/>
                </w:r>
                <w:r>
                  <w:t>40</w:t>
                </w:r>
                <w:r>
                  <w:fldChar w:fldCharType="end"/>
                </w:r>
              </w:p>
            </w:txbxContent>
          </v:textbox>
        </v:shape>
      </w:pict>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185987"/>
    <w:multiLevelType w:val="singleLevel"/>
    <w:tmpl w:val="93185987"/>
    <w:lvl w:ilvl="0" w:tentative="0">
      <w:start w:val="1"/>
      <w:numFmt w:val="decimal"/>
      <w:lvlText w:val="%1."/>
      <w:lvlJc w:val="left"/>
      <w:pPr>
        <w:tabs>
          <w:tab w:val="left" w:pos="312"/>
        </w:tabs>
      </w:pPr>
    </w:lvl>
  </w:abstractNum>
  <w:abstractNum w:abstractNumId="1">
    <w:nsid w:val="940DA690"/>
    <w:multiLevelType w:val="singleLevel"/>
    <w:tmpl w:val="940DA690"/>
    <w:lvl w:ilvl="0" w:tentative="0">
      <w:start w:val="2"/>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DEBEF323"/>
    <w:multiLevelType w:val="singleLevel"/>
    <w:tmpl w:val="DEBEF323"/>
    <w:lvl w:ilvl="0" w:tentative="0">
      <w:start w:val="4"/>
      <w:numFmt w:val="chineseCounting"/>
      <w:suff w:val="nothing"/>
      <w:lvlText w:val="（%1）"/>
      <w:lvlJc w:val="left"/>
      <w:rPr>
        <w:rFonts w:hint="eastAsia"/>
      </w:rPr>
    </w:lvl>
  </w:abstractNum>
  <w:abstractNum w:abstractNumId="4">
    <w:nsid w:val="FFF674BC"/>
    <w:multiLevelType w:val="singleLevel"/>
    <w:tmpl w:val="FFF674BC"/>
    <w:lvl w:ilvl="0" w:tentative="0">
      <w:start w:val="1"/>
      <w:numFmt w:val="chineseCounting"/>
      <w:suff w:val="nothing"/>
      <w:lvlText w:val="%1、"/>
      <w:lvlJc w:val="left"/>
      <w:rPr>
        <w:rFonts w:hint="eastAsia"/>
      </w:rPr>
    </w:lvl>
  </w:abstractNum>
  <w:abstractNum w:abstractNumId="5">
    <w:nsid w:val="0A4AE057"/>
    <w:multiLevelType w:val="singleLevel"/>
    <w:tmpl w:val="0A4AE057"/>
    <w:lvl w:ilvl="0" w:tentative="0">
      <w:start w:val="1"/>
      <w:numFmt w:val="chineseCounting"/>
      <w:suff w:val="nothing"/>
      <w:lvlText w:val="%1、"/>
      <w:lvlJc w:val="left"/>
      <w:rPr>
        <w:rFonts w:hint="eastAsia"/>
      </w:r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7">
    <w:nsid w:val="4A80DF67"/>
    <w:multiLevelType w:val="singleLevel"/>
    <w:tmpl w:val="4A80DF67"/>
    <w:lvl w:ilvl="0" w:tentative="0">
      <w:start w:val="1"/>
      <w:numFmt w:val="chineseCounting"/>
      <w:suff w:val="nothing"/>
      <w:lvlText w:val="（%1）"/>
      <w:lvlJc w:val="left"/>
      <w:rPr>
        <w:rFonts w:hint="eastAsia"/>
      </w:rPr>
    </w:lvl>
  </w:abstractNum>
  <w:abstractNum w:abstractNumId="8">
    <w:nsid w:val="5262085D"/>
    <w:multiLevelType w:val="singleLevel"/>
    <w:tmpl w:val="5262085D"/>
    <w:lvl w:ilvl="0" w:tentative="0">
      <w:start w:val="1"/>
      <w:numFmt w:val="decimal"/>
      <w:lvlText w:val="%1."/>
      <w:lvlJc w:val="left"/>
      <w:pPr>
        <w:tabs>
          <w:tab w:val="left" w:pos="312"/>
        </w:tabs>
      </w:pPr>
    </w:lvl>
  </w:abstractNum>
  <w:abstractNum w:abstractNumId="9">
    <w:nsid w:val="65308751"/>
    <w:multiLevelType w:val="singleLevel"/>
    <w:tmpl w:val="65308751"/>
    <w:lvl w:ilvl="0" w:tentative="0">
      <w:start w:val="1"/>
      <w:numFmt w:val="decimal"/>
      <w:lvlText w:val="%1."/>
      <w:lvlJc w:val="left"/>
      <w:pPr>
        <w:tabs>
          <w:tab w:val="left" w:pos="312"/>
        </w:tabs>
      </w:pPr>
    </w:lvl>
  </w:abstractNum>
  <w:num w:numId="1">
    <w:abstractNumId w:val="5"/>
  </w:num>
  <w:num w:numId="2">
    <w:abstractNumId w:val="6"/>
  </w:num>
  <w:num w:numId="3">
    <w:abstractNumId w:val="0"/>
  </w:num>
  <w:num w:numId="4">
    <w:abstractNumId w:val="2"/>
  </w:num>
  <w:num w:numId="5">
    <w:abstractNumId w:val="4"/>
  </w:num>
  <w:num w:numId="6">
    <w:abstractNumId w:val="7"/>
  </w:num>
  <w:num w:numId="7">
    <w:abstractNumId w:val="8"/>
  </w:num>
  <w:num w:numId="8">
    <w:abstractNumId w:val="9"/>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DY3ODc1MjgwZDkyNDQxZWMyZmM4YzNkMzZiYzRmZWIifQ=="/>
  </w:docVars>
  <w:rsids>
    <w:rsidRoot w:val="00172A27"/>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2A27"/>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1524"/>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1856"/>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0FF5392"/>
    <w:rsid w:val="015975B8"/>
    <w:rsid w:val="019D1480"/>
    <w:rsid w:val="02143E91"/>
    <w:rsid w:val="0398435B"/>
    <w:rsid w:val="066E0107"/>
    <w:rsid w:val="06E049A3"/>
    <w:rsid w:val="07996F6E"/>
    <w:rsid w:val="07F24A59"/>
    <w:rsid w:val="08DA1CD4"/>
    <w:rsid w:val="0A2032A3"/>
    <w:rsid w:val="0B2F4FCC"/>
    <w:rsid w:val="0C2671FD"/>
    <w:rsid w:val="0F98263C"/>
    <w:rsid w:val="101860EC"/>
    <w:rsid w:val="10C055FF"/>
    <w:rsid w:val="118107EC"/>
    <w:rsid w:val="12C42121"/>
    <w:rsid w:val="13D50BC4"/>
    <w:rsid w:val="151424BA"/>
    <w:rsid w:val="16BB723D"/>
    <w:rsid w:val="182F0403"/>
    <w:rsid w:val="1A5C7163"/>
    <w:rsid w:val="1B40281D"/>
    <w:rsid w:val="1BE8440E"/>
    <w:rsid w:val="1C91454C"/>
    <w:rsid w:val="1D155CEE"/>
    <w:rsid w:val="1D62181B"/>
    <w:rsid w:val="1E4F7A48"/>
    <w:rsid w:val="1F802FD4"/>
    <w:rsid w:val="1FF35744"/>
    <w:rsid w:val="21750BB9"/>
    <w:rsid w:val="23860B96"/>
    <w:rsid w:val="240371BF"/>
    <w:rsid w:val="27E31051"/>
    <w:rsid w:val="28E92610"/>
    <w:rsid w:val="299C51EE"/>
    <w:rsid w:val="29FD04D3"/>
    <w:rsid w:val="2A084FC0"/>
    <w:rsid w:val="2A7C7CFB"/>
    <w:rsid w:val="2C25163C"/>
    <w:rsid w:val="2C8A61B5"/>
    <w:rsid w:val="2DF04E50"/>
    <w:rsid w:val="2EB96332"/>
    <w:rsid w:val="2F040D46"/>
    <w:rsid w:val="306D74E0"/>
    <w:rsid w:val="30A070D3"/>
    <w:rsid w:val="30D26AEE"/>
    <w:rsid w:val="311F5D94"/>
    <w:rsid w:val="319F7F4E"/>
    <w:rsid w:val="31AF471A"/>
    <w:rsid w:val="31BC3E03"/>
    <w:rsid w:val="3304709D"/>
    <w:rsid w:val="36AA5135"/>
    <w:rsid w:val="36E3440F"/>
    <w:rsid w:val="376D39B2"/>
    <w:rsid w:val="37E16F03"/>
    <w:rsid w:val="37E91B9C"/>
    <w:rsid w:val="387553EF"/>
    <w:rsid w:val="38D469F0"/>
    <w:rsid w:val="3B2C3264"/>
    <w:rsid w:val="3B603E7A"/>
    <w:rsid w:val="3D98207C"/>
    <w:rsid w:val="3E78745D"/>
    <w:rsid w:val="40DA219D"/>
    <w:rsid w:val="412837C5"/>
    <w:rsid w:val="42371126"/>
    <w:rsid w:val="42453B41"/>
    <w:rsid w:val="424711AE"/>
    <w:rsid w:val="44DF59C3"/>
    <w:rsid w:val="44E268DA"/>
    <w:rsid w:val="473347CE"/>
    <w:rsid w:val="47FF435C"/>
    <w:rsid w:val="49951A61"/>
    <w:rsid w:val="4A627F82"/>
    <w:rsid w:val="4AA743C5"/>
    <w:rsid w:val="4B0E749A"/>
    <w:rsid w:val="4B2679D8"/>
    <w:rsid w:val="4B4F25DA"/>
    <w:rsid w:val="4BE068DB"/>
    <w:rsid w:val="4D577224"/>
    <w:rsid w:val="4DCB2178"/>
    <w:rsid w:val="4EAB630A"/>
    <w:rsid w:val="4EB6281E"/>
    <w:rsid w:val="4ECE2238"/>
    <w:rsid w:val="4FE6088B"/>
    <w:rsid w:val="50F27248"/>
    <w:rsid w:val="512A3E35"/>
    <w:rsid w:val="537E6D0A"/>
    <w:rsid w:val="55444839"/>
    <w:rsid w:val="55C77BDD"/>
    <w:rsid w:val="571219D8"/>
    <w:rsid w:val="590036EF"/>
    <w:rsid w:val="59A57D21"/>
    <w:rsid w:val="5A6B64ED"/>
    <w:rsid w:val="5AF92295"/>
    <w:rsid w:val="5B1C3353"/>
    <w:rsid w:val="5B3F6E58"/>
    <w:rsid w:val="5CD71FC4"/>
    <w:rsid w:val="5CDE40F8"/>
    <w:rsid w:val="5E4B3F43"/>
    <w:rsid w:val="5E937C7D"/>
    <w:rsid w:val="61192DDC"/>
    <w:rsid w:val="6147473A"/>
    <w:rsid w:val="61B67A96"/>
    <w:rsid w:val="65AF446B"/>
    <w:rsid w:val="65E725C6"/>
    <w:rsid w:val="669D0D0E"/>
    <w:rsid w:val="68282BEF"/>
    <w:rsid w:val="69473047"/>
    <w:rsid w:val="6A383C54"/>
    <w:rsid w:val="6A6D08B5"/>
    <w:rsid w:val="6AE73A71"/>
    <w:rsid w:val="6C4A05C8"/>
    <w:rsid w:val="6D4673BE"/>
    <w:rsid w:val="6E7E3605"/>
    <w:rsid w:val="6F5F696E"/>
    <w:rsid w:val="6FF5CC65"/>
    <w:rsid w:val="70545376"/>
    <w:rsid w:val="715C0E4B"/>
    <w:rsid w:val="72734D90"/>
    <w:rsid w:val="727C3C4D"/>
    <w:rsid w:val="735626A2"/>
    <w:rsid w:val="73631387"/>
    <w:rsid w:val="73A3135F"/>
    <w:rsid w:val="73AD73D5"/>
    <w:rsid w:val="73B6EB34"/>
    <w:rsid w:val="740A456F"/>
    <w:rsid w:val="742915A0"/>
    <w:rsid w:val="744731E5"/>
    <w:rsid w:val="76E3355F"/>
    <w:rsid w:val="77553F58"/>
    <w:rsid w:val="778769C8"/>
    <w:rsid w:val="7831249F"/>
    <w:rsid w:val="79EE5BA4"/>
    <w:rsid w:val="7A0A4861"/>
    <w:rsid w:val="7A894339"/>
    <w:rsid w:val="7BC96ECD"/>
    <w:rsid w:val="7C6863EA"/>
    <w:rsid w:val="7D480D88"/>
    <w:rsid w:val="7E765088"/>
    <w:rsid w:val="7EEF11D3"/>
    <w:rsid w:val="7EFE4943"/>
    <w:rsid w:val="7FA30C79"/>
    <w:rsid w:val="7FB7269E"/>
    <w:rsid w:val="7FC96657"/>
    <w:rsid w:val="D8D6DB89"/>
    <w:rsid w:val="DB6F4CAB"/>
    <w:rsid w:val="DF6F978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7"/>
    <w:qFormat/>
    <w:uiPriority w:val="99"/>
    <w:pPr>
      <w:spacing w:beforeLines="30"/>
    </w:pPr>
    <w:rPr>
      <w:rFonts w:ascii="仿宋_GB2312" w:eastAsia="仿宋_GB2312"/>
      <w:kern w:val="0"/>
      <w:sz w:val="30"/>
    </w:rPr>
  </w:style>
  <w:style w:type="paragraph" w:styleId="6">
    <w:name w:val="Body Text Indent"/>
    <w:basedOn w:val="1"/>
    <w:qFormat/>
    <w:uiPriority w:val="0"/>
    <w:pPr>
      <w:spacing w:after="120"/>
      <w:ind w:left="200" w:leftChars="200"/>
    </w:pPr>
    <w:rPr>
      <w:rFonts w:ascii="仿宋_GB2312"/>
      <w:szCs w:val="32"/>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3"/>
    <w:semiHidden/>
    <w:unhideWhenUsed/>
    <w:qFormat/>
    <w:uiPriority w:val="99"/>
    <w:rPr>
      <w:sz w:val="18"/>
      <w:szCs w:val="18"/>
    </w:rPr>
  </w:style>
  <w:style w:type="paragraph" w:styleId="9">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paragraph" w:styleId="14">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15">
    <w:name w:val="Body Text First Indent 2"/>
    <w:basedOn w:val="6"/>
    <w:unhideWhenUsed/>
    <w:qFormat/>
    <w:uiPriority w:val="99"/>
    <w:pPr>
      <w:ind w:firstLine="420" w:firstLineChars="200"/>
    </w:pPr>
  </w:style>
  <w:style w:type="character" w:styleId="18">
    <w:name w:val="Strong"/>
    <w:basedOn w:val="17"/>
    <w:qFormat/>
    <w:uiPriority w:val="99"/>
    <w:rPr>
      <w:b/>
    </w:rPr>
  </w:style>
  <w:style w:type="character" w:styleId="19">
    <w:name w:val="page number"/>
    <w:basedOn w:val="17"/>
    <w:qFormat/>
    <w:uiPriority w:val="0"/>
  </w:style>
  <w:style w:type="character" w:styleId="20">
    <w:name w:val="Hyperlink"/>
    <w:basedOn w:val="17"/>
    <w:unhideWhenUsed/>
    <w:qFormat/>
    <w:uiPriority w:val="99"/>
    <w:rPr>
      <w:color w:val="0000FF" w:themeColor="hyperlink"/>
      <w:u w:val="single"/>
    </w:rPr>
  </w:style>
  <w:style w:type="paragraph" w:customStyle="1" w:styleId="2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7"/>
    <w:semiHidden/>
    <w:qFormat/>
    <w:uiPriority w:val="99"/>
    <w:rPr>
      <w:rFonts w:ascii="Times New Roman" w:hAnsi="Times New Roman"/>
      <w:sz w:val="18"/>
      <w:szCs w:val="18"/>
    </w:rPr>
  </w:style>
  <w:style w:type="character" w:customStyle="1" w:styleId="23">
    <w:name w:val="页眉 Char"/>
    <w:link w:val="10"/>
    <w:semiHidden/>
    <w:qFormat/>
    <w:locked/>
    <w:uiPriority w:val="99"/>
    <w:rPr>
      <w:sz w:val="18"/>
    </w:rPr>
  </w:style>
  <w:style w:type="character" w:customStyle="1" w:styleId="24">
    <w:name w:val="Footer Char"/>
    <w:basedOn w:val="17"/>
    <w:semiHidden/>
    <w:qFormat/>
    <w:uiPriority w:val="99"/>
    <w:rPr>
      <w:rFonts w:ascii="Times New Roman" w:hAnsi="Times New Roman"/>
      <w:sz w:val="18"/>
      <w:szCs w:val="18"/>
    </w:rPr>
  </w:style>
  <w:style w:type="character" w:customStyle="1" w:styleId="25">
    <w:name w:val="页脚 Char"/>
    <w:link w:val="9"/>
    <w:qFormat/>
    <w:locked/>
    <w:uiPriority w:val="99"/>
    <w:rPr>
      <w:sz w:val="18"/>
    </w:rPr>
  </w:style>
  <w:style w:type="character" w:customStyle="1" w:styleId="26">
    <w:name w:val="Body Text Char"/>
    <w:basedOn w:val="17"/>
    <w:semiHidden/>
    <w:qFormat/>
    <w:uiPriority w:val="99"/>
    <w:rPr>
      <w:rFonts w:ascii="Times New Roman" w:hAnsi="Times New Roman"/>
      <w:szCs w:val="24"/>
    </w:rPr>
  </w:style>
  <w:style w:type="character" w:customStyle="1" w:styleId="27">
    <w:name w:val="正文文本 Char"/>
    <w:link w:val="2"/>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7"/>
    <w:link w:val="3"/>
    <w:qFormat/>
    <w:uiPriority w:val="9"/>
    <w:rPr>
      <w:rFonts w:ascii="Times New Roman" w:hAnsi="Times New Roman"/>
      <w:b/>
      <w:bCs/>
      <w:kern w:val="44"/>
      <w:sz w:val="44"/>
      <w:szCs w:val="44"/>
    </w:rPr>
  </w:style>
  <w:style w:type="character" w:customStyle="1" w:styleId="31">
    <w:name w:val="标题 2 Char"/>
    <w:basedOn w:val="17"/>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3">
    <w:name w:val="批注框文本 Char"/>
    <w:basedOn w:val="17"/>
    <w:link w:val="8"/>
    <w:semiHidden/>
    <w:qFormat/>
    <w:uiPriority w:val="99"/>
    <w:rPr>
      <w:rFonts w:ascii="Times New Roman" w:hAnsi="Times New Roman"/>
      <w:kern w:val="2"/>
      <w:sz w:val="18"/>
      <w:szCs w:val="18"/>
    </w:rPr>
  </w:style>
  <w:style w:type="character" w:customStyle="1" w:styleId="34">
    <w:name w:val="标题 3 Char"/>
    <w:basedOn w:val="17"/>
    <w:link w:val="5"/>
    <w:qFormat/>
    <w:uiPriority w:val="9"/>
    <w:rPr>
      <w:rFonts w:ascii="Times New Roman" w:hAnsi="Times New Roman"/>
      <w:b/>
      <w:bCs/>
      <w:kern w:val="2"/>
      <w:sz w:val="32"/>
      <w:szCs w:val="32"/>
    </w:rPr>
  </w:style>
  <w:style w:type="paragraph" w:customStyle="1" w:styleId="35">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 w:type="character" w:customStyle="1" w:styleId="37">
    <w:name w:val="NormalCharacter"/>
    <w:semiHidden/>
    <w:qFormat/>
    <w:uiPriority w:val="99"/>
  </w:style>
  <w:style w:type="character" w:customStyle="1" w:styleId="38">
    <w:name w:val="font01"/>
    <w:basedOn w:val="17"/>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png"/><Relationship Id="rId15" Type="http://schemas.openxmlformats.org/officeDocument/2006/relationships/chart" Target="charts/chart5.xml"/><Relationship Id="rId14" Type="http://schemas.openxmlformats.org/officeDocument/2006/relationships/image" Target="media/image1.emf"/><Relationship Id="rId13" Type="http://schemas.openxmlformats.org/officeDocument/2006/relationships/oleObject" Target="embeddings/Workbook1.xls"/><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022&#24180;&#20915;&#31639;&#20844;&#24320;&#36164;&#26009;\&#20316;&#21442;&#32771;&#65306;&#39292;&#29366;&#65288;&#30452;&#26041;&#65289;&#22270;&#32472;&#21046;&#26041;&#27861;(2).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2022&#24180;&#20915;&#31639;&#20844;&#24320;&#36164;&#26009;\&#20316;&#21442;&#32771;&#65306;&#39292;&#29366;&#65288;&#30452;&#26041;&#65289;&#22270;&#32472;&#21046;&#26041;&#27861;(2).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2022&#24180;&#20915;&#31639;&#20844;&#24320;&#36164;&#26009;\&#20316;&#21442;&#32771;&#65306;&#39292;&#29366;&#65288;&#30452;&#26041;&#65289;&#22270;&#32472;&#21046;&#26041;&#27861;(2).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Desktop\2022&#24180;&#20915;&#31639;&#20844;&#24320;&#36164;&#26009;\&#20316;&#21442;&#32771;&#65306;&#39292;&#29366;&#65288;&#30452;&#26041;&#65289;&#22270;&#32472;&#21046;&#26041;&#27861;(2).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2022&#24180;&#20915;&#31639;&#20844;&#24320;&#36164;&#26009;\&#20316;&#21442;&#32771;&#65306;&#39292;&#29366;&#65288;&#30452;&#26041;&#65289;&#22270;&#32472;&#21046;&#26041;&#27861;(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3175">
          <a:noFill/>
        </a:ln>
      </c:spPr>
      <c:txPr>
        <a:bodyPr rot="0" spcFirstLastPara="0" vertOverflow="ellipsis" vert="horz" wrap="square" anchor="ctr" anchorCtr="1"/>
        <a:lstStyle/>
        <a:p>
          <a:pPr>
            <a:defRPr lang="zh-CN" sz="11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title>
    <c:autoTitleDeleted val="0"/>
    <c:plotArea>
      <c:layout/>
      <c:barChart>
        <c:barDir val="col"/>
        <c:grouping val="clustered"/>
        <c:varyColors val="0"/>
        <c:ser>
          <c:idx val="0"/>
          <c:order val="0"/>
          <c:tx>
            <c:strRef>
              <c:f>'[作参考：饼状（直方）图绘制方法(2).xls]收支决算总计变动情况-图1'!$A$4</c:f>
              <c:strCache>
                <c:ptCount val="1"/>
                <c:pt idx="0">
                  <c:v>沐川县行政审批局收、支决算总计变动情况</c:v>
                </c:pt>
              </c:strCache>
            </c:strRef>
          </c:tx>
          <c:spPr>
            <a:solidFill>
              <a:srgbClr val="9999FF">
                <a:alpha val="100000"/>
              </a:srgbClr>
            </a:solidFill>
            <a:ln w="12700">
              <a:solidFill>
                <a:srgbClr val="000000">
                  <a:alpha val="100000"/>
                </a:srgbClr>
              </a:solidFill>
              <a:prstDash val="solid"/>
            </a:ln>
          </c:spPr>
          <c:invertIfNegative val="0"/>
          <c:dLbls>
            <c:dLbl>
              <c:idx val="0"/>
              <c:layout>
                <c:manualLayout>
                  <c:x val="0.00176132013201321"/>
                  <c:y val="0.22300024242424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968726072607265"/>
                  <c:y val="0.34296872727272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'[作参考：饼状（直方）图绘制方法(2).xls]收支决算总计变动情况-图1'!$A$1:$B$1</c:f>
              <c:strCache>
                <c:ptCount val="2"/>
                <c:pt idx="0">
                  <c:v>2022年收支</c:v>
                </c:pt>
                <c:pt idx="1">
                  <c:v>2021年收支</c:v>
                </c:pt>
              </c:strCache>
            </c:strRef>
          </c:cat>
          <c:val>
            <c:numRef>
              <c:f>'[作参考：饼状（直方）图绘制方法(2).xls]收支决算总计变动情况-图1'!$A$2:$B$2</c:f>
              <c:numCache>
                <c:formatCode>General</c:formatCode>
                <c:ptCount val="2"/>
                <c:pt idx="0">
                  <c:v>574.2</c:v>
                </c:pt>
                <c:pt idx="1">
                  <c:v>505.18</c:v>
                </c:pt>
              </c:numCache>
            </c:numRef>
          </c:val>
        </c:ser>
        <c:dLbls>
          <c:showLegendKey val="0"/>
          <c:showVal val="1"/>
          <c:showCatName val="0"/>
          <c:showSerName val="0"/>
          <c:showPercent val="0"/>
          <c:showBubbleSize val="0"/>
        </c:dLbls>
        <c:gapWidth val="150"/>
        <c:axId val="156974464"/>
        <c:axId val="157004928"/>
      </c:barChart>
      <c:catAx>
        <c:axId val="156974464"/>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6000000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157004928"/>
        <c:crosses val="autoZero"/>
        <c:auto val="1"/>
        <c:lblAlgn val="ctr"/>
        <c:lblOffset val="100"/>
        <c:noMultiLvlLbl val="0"/>
      </c:catAx>
      <c:valAx>
        <c:axId val="157004928"/>
        <c:scaling>
          <c:orientation val="minMax"/>
        </c:scaling>
        <c:delete val="0"/>
        <c:axPos val="l"/>
        <c:majorGridlines>
          <c:spPr>
            <a:ln w="3175" cap="flat" cmpd="sng" algn="ctr">
              <a:solidFill>
                <a:srgbClr val="000000">
                  <a:alpha val="100000"/>
                </a:srgbClr>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6000000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56974464"/>
        <c:crosses val="autoZero"/>
        <c:crossBetween val="between"/>
      </c:valAx>
      <c:spPr>
        <a:solidFill>
          <a:srgbClr val="C0C0C0">
            <a:alpha val="100000"/>
          </a:srgbClr>
        </a:solidFill>
        <a:ln w="12700">
          <a:solidFill>
            <a:srgbClr val="808080">
              <a:alpha val="100000"/>
            </a:srgbClr>
          </a:solidFill>
          <a:prstDash val="solid"/>
        </a:ln>
      </c:spPr>
    </c:plotArea>
    <c:plotVisOnly val="1"/>
    <c:dispBlanksAs val="gap"/>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3175">
          <a:noFill/>
        </a:ln>
      </c:spPr>
      <c:txPr>
        <a:bodyPr rot="0" spcFirstLastPara="0" vertOverflow="ellipsis" vert="horz" wrap="square" anchor="ctr" anchorCtr="1"/>
        <a:lstStyle/>
        <a:p>
          <a:pPr>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19625"/>
          <c:y val="0.3"/>
          <c:w val="0.2635"/>
          <c:h val="0.527"/>
        </c:manualLayout>
      </c:layout>
      <c:pieChart>
        <c:varyColors val="1"/>
        <c:ser>
          <c:idx val="0"/>
          <c:order val="0"/>
          <c:tx>
            <c:strRef>
              <c:f>'[作参考：饼状（直方）图绘制方法(2).xls]收入'!$B$8</c:f>
              <c:strCache>
                <c:ptCount val="1"/>
                <c:pt idx="0">
                  <c:v>沐川县行政审批局2022年收入决算结构图</c:v>
                </c:pt>
              </c:strCache>
            </c:strRef>
          </c:tx>
          <c:spPr>
            <a:solidFill>
              <a:srgbClr val="9999FF">
                <a:alpha val="100000"/>
              </a:srgbClr>
            </a:solidFill>
            <a:ln w="12700">
              <a:solidFill>
                <a:srgbClr val="000000">
                  <a:alpha val="100000"/>
                </a:srgbClr>
              </a:solidFill>
              <a:prstDash val="solid"/>
            </a:ln>
          </c:spPr>
          <c:explosion val="25"/>
          <c:dPt>
            <c:idx val="0"/>
            <c:bubble3D val="0"/>
            <c:spPr>
              <a:solidFill>
                <a:srgbClr val="9999FF">
                  <a:alpha val="100000"/>
                </a:srgbClr>
              </a:solidFill>
              <a:ln w="12700">
                <a:solidFill>
                  <a:srgbClr val="000000">
                    <a:alpha val="100000"/>
                  </a:srgbClr>
                </a:solidFill>
                <a:prstDash val="solid"/>
              </a:ln>
            </c:spPr>
          </c:dPt>
          <c:dPt>
            <c:idx val="1"/>
            <c:bubble3D val="0"/>
            <c:spPr>
              <a:solidFill>
                <a:srgbClr val="993366">
                  <a:alpha val="100000"/>
                </a:srgbClr>
              </a:solidFill>
              <a:ln w="12700">
                <a:solidFill>
                  <a:srgbClr val="000000">
                    <a:alpha val="100000"/>
                  </a:srgbClr>
                </a:solidFill>
                <a:prstDash val="solid"/>
              </a:ln>
            </c:spPr>
          </c:dPt>
          <c:dPt>
            <c:idx val="2"/>
            <c:bubble3D val="0"/>
            <c:spPr>
              <a:solidFill>
                <a:srgbClr val="FFFFCC">
                  <a:alpha val="100000"/>
                </a:srgbClr>
              </a:solidFill>
              <a:ln w="12700">
                <a:solidFill>
                  <a:srgbClr val="000000">
                    <a:alpha val="100000"/>
                  </a:srgbClr>
                </a:solidFill>
                <a:prstDash val="solid"/>
              </a:ln>
            </c:spPr>
          </c:dPt>
          <c:dLbls>
            <c:numFmt formatCode="0.00%" sourceLinked="0"/>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'[作参考：饼状（直方）图绘制方法(2).xls]收入'!$A$1:$C$1</c:f>
              <c:strCache>
                <c:ptCount val="3"/>
                <c:pt idx="1">
                  <c:v>一般公共预算财政拨款收入</c:v>
                </c:pt>
                <c:pt idx="2">
                  <c:v>其他收入</c:v>
                </c:pt>
              </c:strCache>
            </c:strRef>
          </c:cat>
          <c:val>
            <c:numRef>
              <c:f>'[作参考：饼状（直方）图绘制方法(2).xls]收入'!$A$2:$C$2</c:f>
              <c:numCache>
                <c:formatCode>General</c:formatCode>
                <c:ptCount val="3"/>
                <c:pt idx="1" c:formatCode="#,##0.00">
                  <c:v>574.2</c:v>
                </c:pt>
                <c:pt idx="2">
                  <c:v>0</c:v>
                </c:pt>
              </c:numCache>
            </c:numRef>
          </c:val>
        </c:ser>
        <c:dLbls>
          <c:showLegendKey val="0"/>
          <c:showVal val="0"/>
          <c:showCatName val="0"/>
          <c:showSerName val="0"/>
          <c:showPercent val="1"/>
          <c:showBubbleSize val="0"/>
          <c:showLeaderLines val="1"/>
        </c:dLbls>
        <c:firstSliceAng val="0"/>
      </c:pieChart>
      <c:spPr>
        <a:noFill/>
        <a:ln w="3175">
          <a:noFill/>
        </a:ln>
      </c:spPr>
    </c:plotArea>
    <c:legend>
      <c:legendPos val="r"/>
      <c:legendEntry>
        <c:idx val="0"/>
        <c:delete val="1"/>
      </c:legendEntry>
      <c:layout>
        <c:manualLayout>
          <c:xMode val="edge"/>
          <c:yMode val="edge"/>
          <c:x val="0.575"/>
          <c:y val="0.5155"/>
          <c:w val="0.337744171392565"/>
          <c:h val="0.133828996282528"/>
        </c:manualLayout>
      </c:layout>
      <c:overlay val="0"/>
      <c:spPr>
        <a:solidFill>
          <a:srgbClr val="FFFFFF">
            <a:alpha val="100000"/>
          </a:srgbClr>
        </a:solidFill>
        <a:ln w="3175">
          <a:noFill/>
        </a:ln>
      </c:spPr>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2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3175">
          <a:noFill/>
        </a:ln>
      </c:spPr>
      <c:txPr>
        <a:bodyPr rot="0" spcFirstLastPara="0" vertOverflow="ellipsis" vert="horz" wrap="square" anchor="ctr" anchorCtr="1"/>
        <a:lstStyle/>
        <a:p>
          <a:pPr>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2575"/>
          <c:y val="0.277"/>
          <c:w val="0.33325"/>
          <c:h val="0.56425"/>
        </c:manualLayout>
      </c:layout>
      <c:pieChart>
        <c:varyColors val="1"/>
        <c:ser>
          <c:idx val="0"/>
          <c:order val="0"/>
          <c:tx>
            <c:strRef>
              <c:f>'[作参考：饼状（直方）图绘制方法(2).xls]支出决算结构-图3'!$A$9</c:f>
              <c:strCache>
                <c:ptCount val="1"/>
                <c:pt idx="0">
                  <c:v>沐川县行政审批局2022年支出决算结构图</c:v>
                </c:pt>
              </c:strCache>
            </c:strRef>
          </c:tx>
          <c:spPr>
            <a:solidFill>
              <a:srgbClr val="9999FF">
                <a:alpha val="100000"/>
              </a:srgbClr>
            </a:solidFill>
            <a:ln w="12700">
              <a:solidFill>
                <a:srgbClr val="000000">
                  <a:alpha val="100000"/>
                </a:srgbClr>
              </a:solidFill>
              <a:prstDash val="solid"/>
            </a:ln>
          </c:spPr>
          <c:explosion val="25"/>
          <c:dPt>
            <c:idx val="0"/>
            <c:bubble3D val="0"/>
            <c:spPr>
              <a:solidFill>
                <a:srgbClr val="9999FF">
                  <a:alpha val="100000"/>
                </a:srgbClr>
              </a:solidFill>
              <a:ln w="12700">
                <a:solidFill>
                  <a:srgbClr val="000000">
                    <a:alpha val="100000"/>
                  </a:srgbClr>
                </a:solidFill>
                <a:prstDash val="solid"/>
              </a:ln>
            </c:spPr>
          </c:dPt>
          <c:dPt>
            <c:idx val="1"/>
            <c:bubble3D val="0"/>
            <c:spPr>
              <a:solidFill>
                <a:srgbClr val="993366">
                  <a:alpha val="100000"/>
                </a:srgbClr>
              </a:solidFill>
              <a:ln w="12700">
                <a:solidFill>
                  <a:srgbClr val="000000">
                    <a:alpha val="100000"/>
                  </a:srgbClr>
                </a:solidFill>
                <a:prstDash val="solid"/>
              </a:ln>
            </c:spPr>
          </c:dPt>
          <c:dLbls>
            <c:numFmt formatCode="0.00%" sourceLinked="0"/>
            <c:spPr>
              <a:noFill/>
              <a:ln w="3175">
                <a:noFill/>
              </a:ln>
              <a:effectLst/>
            </c:spPr>
            <c:txPr>
              <a:bodyPr rot="0" spcFirstLastPara="0" vertOverflow="ellipsis" vert="horz" wrap="square" lIns="38100" tIns="19050" rIns="38100" bIns="19050" anchor="ctr" anchorCtr="1"/>
              <a:lstStyle/>
              <a:p>
                <a:pPr>
                  <a:defRPr lang="zh-CN" sz="11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'[作参考：饼状（直方）图绘制方法(2).xls]支出决算结构-图3'!$A$1:$B$1</c:f>
              <c:strCache>
                <c:ptCount val="2"/>
                <c:pt idx="0">
                  <c:v>基本支出</c:v>
                </c:pt>
                <c:pt idx="1">
                  <c:v>项目支出</c:v>
                </c:pt>
              </c:strCache>
            </c:strRef>
          </c:cat>
          <c:val>
            <c:numRef>
              <c:f>'[作参考：饼状（直方）图绘制方法(2).xls]支出决算结构-图3'!$A$4:$B$4</c:f>
              <c:numCache>
                <c:formatCode>0.00%</c:formatCode>
                <c:ptCount val="2"/>
                <c:pt idx="0">
                  <c:v>0.9514</c:v>
                </c:pt>
                <c:pt idx="1">
                  <c:v>0.0486</c:v>
                </c:pt>
              </c:numCache>
            </c:numRef>
          </c:val>
        </c:ser>
        <c:dLbls>
          <c:showLegendKey val="0"/>
          <c:showVal val="0"/>
          <c:showCatName val="0"/>
          <c:showSerName val="0"/>
          <c:showPercent val="1"/>
          <c:showBubbleSize val="0"/>
          <c:showLeaderLines val="1"/>
        </c:dLbls>
        <c:firstSliceAng val="0"/>
      </c:pieChart>
      <c:spPr>
        <a:noFill/>
        <a:ln w="3175">
          <a:noFill/>
        </a:ln>
      </c:spPr>
    </c:plotArea>
    <c:legend>
      <c:legendPos val="r"/>
      <c:layout>
        <c:manualLayout>
          <c:xMode val="edge"/>
          <c:yMode val="edge"/>
          <c:x val="0.7905"/>
          <c:y val="0.456"/>
          <c:w val="0.164705882352941"/>
          <c:h val="0.13111888811439"/>
        </c:manualLayout>
      </c:layout>
      <c:overlay val="0"/>
      <c:spPr>
        <a:solidFill>
          <a:srgbClr val="FFFFFF">
            <a:alpha val="100000"/>
          </a:srgbClr>
        </a:solidFill>
        <a:ln w="3175">
          <a:noFill/>
        </a:ln>
      </c:spPr>
      <c:txPr>
        <a:bodyPr rot="0" spcFirstLastPara="0" vertOverflow="ellipsis" vert="horz" wrap="square" anchor="ctr" anchorCtr="1"/>
        <a:lstStyle/>
        <a:p>
          <a:pPr>
            <a:defRPr lang="zh-CN" sz="11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3175">
          <a:noFill/>
        </a:ln>
      </c:spPr>
      <c:txPr>
        <a:bodyPr rot="0" spcFirstLastPara="0" vertOverflow="ellipsis" vert="horz" wrap="square" anchor="ctr" anchorCtr="1"/>
        <a:lstStyle/>
        <a:p>
          <a:pPr>
            <a:defRPr lang="zh-CN" sz="11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0942574257425744"/>
          <c:y val="0.153333333333333"/>
          <c:w val="0.880660066006601"/>
          <c:h val="0.730222222222222"/>
        </c:manualLayout>
      </c:layout>
      <c:barChart>
        <c:barDir val="col"/>
        <c:grouping val="clustered"/>
        <c:varyColors val="0"/>
        <c:ser>
          <c:idx val="0"/>
          <c:order val="0"/>
          <c:tx>
            <c:strRef>
              <c:f>'[作参考：饼状（直方）图绘制方法(2).xls]财政拨款收入支出决算总计变动情况-图 (3)'!$A$4</c:f>
              <c:strCache>
                <c:ptCount val="1"/>
                <c:pt idx="0">
                  <c:v>沐川县行政审批局财政拨款收、支决算总计变动情况</c:v>
                </c:pt>
              </c:strCache>
            </c:strRef>
          </c:tx>
          <c:spPr>
            <a:solidFill>
              <a:srgbClr val="9999FF">
                <a:alpha val="100000"/>
              </a:srgbClr>
            </a:solidFill>
            <a:ln w="12700">
              <a:solidFill>
                <a:srgbClr val="000000">
                  <a:alpha val="100000"/>
                </a:srgbClr>
              </a:solidFill>
              <a:prstDash val="solid"/>
            </a:ln>
          </c:spPr>
          <c:invertIfNegative val="0"/>
          <c:dLbls>
            <c:dLbl>
              <c:idx val="0"/>
              <c:layout>
                <c:manualLayout>
                  <c:x val="0.00572171617161717"/>
                  <c:y val="0.03300024242424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20949174917491"/>
                  <c:y val="0.0363020606060604"/>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'[作参考：饼状（直方）图绘制方法(2).xls]财政拨款收入支出决算总计变动情况-图 (3)'!$A$1:$D$1</c:f>
              <c:strCache>
                <c:ptCount val="4"/>
                <c:pt idx="0">
                  <c:v>2021年收入</c:v>
                </c:pt>
                <c:pt idx="1">
                  <c:v>2022年收入</c:v>
                </c:pt>
                <c:pt idx="2">
                  <c:v>2021年支出</c:v>
                </c:pt>
                <c:pt idx="3">
                  <c:v>2022年支出</c:v>
                </c:pt>
              </c:strCache>
            </c:strRef>
          </c:cat>
          <c:val>
            <c:numRef>
              <c:f>'[作参考：饼状（直方）图绘制方法(2).xls]财政拨款收入支出决算总计变动情况-图 (3)'!$A$2:$D$2</c:f>
              <c:numCache>
                <c:formatCode>General</c:formatCode>
                <c:ptCount val="4"/>
                <c:pt idx="0">
                  <c:v>505.18</c:v>
                </c:pt>
                <c:pt idx="1">
                  <c:v>574.2</c:v>
                </c:pt>
                <c:pt idx="2">
                  <c:v>505.18</c:v>
                </c:pt>
                <c:pt idx="3">
                  <c:v>574.2</c:v>
                </c:pt>
              </c:numCache>
            </c:numRef>
          </c:val>
        </c:ser>
        <c:dLbls>
          <c:showLegendKey val="0"/>
          <c:showVal val="1"/>
          <c:showCatName val="0"/>
          <c:showSerName val="0"/>
          <c:showPercent val="0"/>
          <c:showBubbleSize val="0"/>
        </c:dLbls>
        <c:gapWidth val="150"/>
        <c:axId val="151550976"/>
        <c:axId val="160637696"/>
      </c:barChart>
      <c:catAx>
        <c:axId val="151550976"/>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6000000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160637696"/>
        <c:crosses val="autoZero"/>
        <c:auto val="1"/>
        <c:lblAlgn val="ctr"/>
        <c:lblOffset val="100"/>
        <c:noMultiLvlLbl val="0"/>
      </c:catAx>
      <c:valAx>
        <c:axId val="160637696"/>
        <c:scaling>
          <c:orientation val="minMax"/>
        </c:scaling>
        <c:delete val="0"/>
        <c:axPos val="l"/>
        <c:majorGridlines>
          <c:spPr>
            <a:ln w="3175" cap="flat" cmpd="sng" algn="ctr">
              <a:solidFill>
                <a:srgbClr val="000000">
                  <a:alpha val="100000"/>
                </a:srgbClr>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6000000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51550976"/>
        <c:crosses val="autoZero"/>
        <c:crossBetween val="between"/>
      </c:valAx>
      <c:spPr>
        <a:solidFill>
          <a:srgbClr val="C0C0C0">
            <a:alpha val="100000"/>
          </a:srgbClr>
        </a:solidFill>
        <a:ln w="12700">
          <a:solidFill>
            <a:srgbClr val="808080">
              <a:alpha val="100000"/>
            </a:srgbClr>
          </a:solidFill>
          <a:prstDash val="solid"/>
        </a:ln>
      </c:spPr>
    </c:plotArea>
    <c:plotVisOnly val="1"/>
    <c:dispBlanksAs val="gap"/>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沐川县行政审批局一般公共预算财政拨款支出决算结构图</a:t>
            </a:r>
            <a:endParaRPr sz="12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manualLayout>
          <c:x val="-0.009"/>
          <c:y val="-0.01025"/>
        </c:manualLayout>
      </c:layout>
      <c:overlay val="0"/>
      <c:spPr>
        <a:noFill/>
        <a:ln w="3175">
          <a:noFill/>
        </a:ln>
      </c:spPr>
    </c:title>
    <c:autoTitleDeleted val="0"/>
    <c:plotArea>
      <c:layout>
        <c:manualLayout>
          <c:layoutTarget val="inner"/>
          <c:xMode val="edge"/>
          <c:yMode val="edge"/>
          <c:x val="0.1005"/>
          <c:y val="0.24925"/>
          <c:w val="0.445"/>
          <c:h val="0.67875"/>
        </c:manualLayout>
      </c:layout>
      <c:pieChart>
        <c:varyColors val="1"/>
        <c:ser>
          <c:idx val="0"/>
          <c:order val="0"/>
          <c:tx>
            <c:strRef>
              <c:f>'[作参考：饼状（直方）图绘制方法(2).xls]一般公共预算财政拨款支出决算结构-图6'!$A$8</c:f>
              <c:strCache>
                <c:ptCount val="1"/>
                <c:pt idx="0">
                  <c:v>沐川县行政审批局一般公共预算财政拨款支出决算结构图</c:v>
                </c:pt>
              </c:strCache>
            </c:strRef>
          </c:tx>
          <c:spPr>
            <a:solidFill>
              <a:srgbClr val="9999FF">
                <a:alpha val="100000"/>
              </a:srgbClr>
            </a:solidFill>
            <a:ln w="12700">
              <a:solidFill>
                <a:srgbClr val="000000">
                  <a:alpha val="100000"/>
                </a:srgbClr>
              </a:solidFill>
              <a:prstDash val="solid"/>
            </a:ln>
          </c:spPr>
          <c:explosion val="0"/>
          <c:dPt>
            <c:idx val="0"/>
            <c:bubble3D val="0"/>
            <c:spPr>
              <a:solidFill>
                <a:srgbClr val="9999FF">
                  <a:alpha val="100000"/>
                </a:srgbClr>
              </a:solidFill>
              <a:ln w="3175">
                <a:solidFill>
                  <a:srgbClr val="000000">
                    <a:alpha val="100000"/>
                  </a:srgbClr>
                </a:solidFill>
                <a:prstDash val="solid"/>
              </a:ln>
            </c:spPr>
          </c:dPt>
          <c:dPt>
            <c:idx val="1"/>
            <c:bubble3D val="0"/>
            <c:spPr>
              <a:solidFill>
                <a:srgbClr val="993366">
                  <a:alpha val="100000"/>
                </a:srgbClr>
              </a:solidFill>
              <a:ln w="12700">
                <a:solidFill>
                  <a:srgbClr val="000000">
                    <a:alpha val="100000"/>
                  </a:srgbClr>
                </a:solidFill>
                <a:prstDash val="solid"/>
              </a:ln>
            </c:spPr>
          </c:dPt>
          <c:dPt>
            <c:idx val="2"/>
            <c:bubble3D val="0"/>
            <c:spPr>
              <a:solidFill>
                <a:srgbClr val="FFFFCC">
                  <a:alpha val="100000"/>
                </a:srgbClr>
              </a:solidFill>
              <a:ln w="12700">
                <a:solidFill>
                  <a:srgbClr val="000000">
                    <a:alpha val="100000"/>
                  </a:srgbClr>
                </a:solidFill>
                <a:prstDash val="solid"/>
              </a:ln>
            </c:spPr>
          </c:dPt>
          <c:dPt>
            <c:idx val="3"/>
            <c:bubble3D val="0"/>
            <c:spPr>
              <a:solidFill>
                <a:srgbClr val="CCFFFF">
                  <a:alpha val="100000"/>
                </a:srgbClr>
              </a:solidFill>
              <a:ln w="12700">
                <a:solidFill>
                  <a:srgbClr val="000000">
                    <a:alpha val="100000"/>
                  </a:srgbClr>
                </a:solidFill>
                <a:prstDash val="solid"/>
              </a:ln>
            </c:spPr>
          </c:dPt>
          <c:dPt>
            <c:idx val="4"/>
            <c:bubble3D val="0"/>
            <c:spPr>
              <a:solidFill>
                <a:srgbClr val="660066">
                  <a:alpha val="100000"/>
                </a:srgbClr>
              </a:solidFill>
              <a:ln w="12700">
                <a:solidFill>
                  <a:srgbClr val="000000">
                    <a:alpha val="100000"/>
                  </a:srgbClr>
                </a:solidFill>
                <a:prstDash val="solid"/>
              </a:ln>
            </c:spPr>
          </c:dPt>
          <c:dLbls>
            <c:dLbl>
              <c:idx val="0"/>
              <c:layout>
                <c:manualLayout>
                  <c:x val="-0.122825912977659"/>
                  <c:y val="-0.361740626182898"/>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0%" sourceLinked="0"/>
            <c:spPr>
              <a:noFill/>
              <a:ln w="3175">
                <a:noFill/>
              </a:ln>
              <a:effectLst/>
            </c:spPr>
            <c:txPr>
              <a:bodyPr rot="0" spcFirstLastPara="0" vertOverflow="ellipsis" vert="horz" wrap="square" lIns="38100" tIns="19050" rIns="38100" bIns="19050" anchor="ctr" anchorCtr="1"/>
              <a:lstStyle/>
              <a:p>
                <a:pPr>
                  <a:defRPr lang="zh-CN" sz="9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'[作参考：饼状（直方）图绘制方法(2).xls]一般公共预算财政拨款支出决算结构-图6'!$A$1:$E$1</c:f>
              <c:strCache>
                <c:ptCount val="5"/>
                <c:pt idx="0">
                  <c:v>2022年一般公共服务支出</c:v>
                </c:pt>
                <c:pt idx="2">
                  <c:v>2022年社会保障和就业支出</c:v>
                </c:pt>
                <c:pt idx="3">
                  <c:v>2022年卫生健康支出</c:v>
                </c:pt>
                <c:pt idx="4">
                  <c:v>2022年住房保障支出</c:v>
                </c:pt>
              </c:strCache>
            </c:strRef>
          </c:cat>
          <c:val>
            <c:numRef>
              <c:f>'[作参考：饼状（直方）图绘制方法(2).xls]一般公共预算财政拨款支出决算结构-图6'!$A$2:$E$2</c:f>
              <c:numCache>
                <c:formatCode>General</c:formatCode>
                <c:ptCount val="5"/>
                <c:pt idx="0">
                  <c:v>470.08</c:v>
                </c:pt>
                <c:pt idx="1">
                  <c:v>0</c:v>
                </c:pt>
                <c:pt idx="2">
                  <c:v>44.37</c:v>
                </c:pt>
                <c:pt idx="3">
                  <c:v>16.12</c:v>
                </c:pt>
                <c:pt idx="4">
                  <c:v>43.63</c:v>
                </c:pt>
              </c:numCache>
            </c:numRef>
          </c:val>
        </c:ser>
        <c:dLbls>
          <c:showLegendKey val="0"/>
          <c:showVal val="0"/>
          <c:showCatName val="0"/>
          <c:showSerName val="0"/>
          <c:showPercent val="1"/>
          <c:showBubbleSize val="0"/>
          <c:showLeaderLines val="1"/>
        </c:dLbls>
        <c:firstSliceAng val="0"/>
      </c:pieChart>
      <c:spPr>
        <a:noFill/>
        <a:ln w="3175">
          <a:noFill/>
        </a:ln>
      </c:spPr>
    </c:plotArea>
    <c:legend>
      <c:legendPos val="r"/>
      <c:layout>
        <c:manualLayout>
          <c:xMode val="edge"/>
          <c:yMode val="edge"/>
          <c:x val="0.6555"/>
          <c:y val="0.28825"/>
          <c:w val="0.342960299604247"/>
          <c:h val="0.553606237816764"/>
        </c:manualLayout>
      </c:layout>
      <c:overlay val="0"/>
      <c:spPr>
        <a:solidFill>
          <a:srgbClr val="FFFFFF">
            <a:alpha val="100000"/>
          </a:srgbClr>
        </a:solidFill>
        <a:ln w="3175">
          <a:noFill/>
        </a:ln>
      </c:spPr>
      <c:txPr>
        <a:bodyPr rot="0" spcFirstLastPara="0" vertOverflow="ellipsis" vert="horz" wrap="square" anchor="ctr" anchorCtr="1"/>
        <a:lstStyle/>
        <a:p>
          <a:pPr>
            <a:defRPr lang="zh-CN" sz="11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4"/>
    <customShpInfo spid="_x0000_s2053"/>
    <customShpInfo spid="_x0000_s2052"/>
    <customShpInfo spid="_x0000_s2051"/>
    <customShpInfo spid="_x0000_s2050"/>
    <customShpInfo spid="_x0000_s2049"/>
    <customShpInfo spid="_x0000_s103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41</Pages>
  <Words>15902</Words>
  <Characters>17657</Characters>
  <Lines>136</Lines>
  <Paragraphs>38</Paragraphs>
  <TotalTime>17</TotalTime>
  <ScaleCrop>false</ScaleCrop>
  <LinksUpToDate>false</LinksUpToDate>
  <CharactersWithSpaces>17830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罗国建</cp:lastModifiedBy>
  <cp:lastPrinted>2023-07-31T02:35:00Z</cp:lastPrinted>
  <dcterms:modified xsi:type="dcterms:W3CDTF">2023-10-10T02:22:44Z</dcterms:modified>
  <dc:title>四川省***</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BC0951ADE8674C9391CCEA2097D4DB80</vt:lpwstr>
  </property>
</Properties>
</file>